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 xml:space="preserve">ýzkum a vývoj pro inovace (OP </w:t>
            </w:r>
            <w:proofErr w:type="spellStart"/>
            <w:r>
              <w:t>VaVpI</w:t>
            </w:r>
            <w:proofErr w:type="spellEnd"/>
            <w:r>
              <w:t>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8A53E1" w:rsidRDefault="008B3DF5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A53E1">
              <w:rPr>
                <w:rFonts w:ascii="Arial" w:hAnsi="Arial" w:cs="Arial"/>
                <w:sz w:val="20"/>
                <w:szCs w:val="20"/>
              </w:rPr>
              <w:t>CETOCOEN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8A53E1" w:rsidRDefault="008B3DF5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A53E1">
              <w:rPr>
                <w:rFonts w:ascii="Arial" w:hAnsi="Arial" w:cs="Arial"/>
                <w:sz w:val="20"/>
                <w:szCs w:val="20"/>
              </w:rPr>
              <w:t>Masarykova univerzita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8A53E1" w:rsidRDefault="008B3DF5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A53E1">
              <w:rPr>
                <w:rFonts w:ascii="Arial" w:hAnsi="Arial" w:cs="Arial"/>
                <w:sz w:val="20"/>
                <w:szCs w:val="20"/>
              </w:rPr>
              <w:t>CZ.1.05/2.1.00/01.0001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8A53E1" w:rsidRDefault="008B3DF5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A53E1">
              <w:rPr>
                <w:rFonts w:ascii="Arial" w:hAnsi="Arial" w:cs="Arial"/>
                <w:sz w:val="20"/>
                <w:szCs w:val="20"/>
              </w:rPr>
              <w:t>Kamenice 126/3, 625 00 Brno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8A53E1" w:rsidRDefault="008B3DF5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A53E1">
              <w:rPr>
                <w:rFonts w:cs="Arial"/>
                <w:sz w:val="20"/>
                <w:szCs w:val="20"/>
              </w:rPr>
              <w:t xml:space="preserve">2.2 Regionální </w:t>
            </w:r>
            <w:proofErr w:type="spellStart"/>
            <w:r w:rsidRPr="008A53E1">
              <w:rPr>
                <w:rFonts w:cs="Arial"/>
                <w:sz w:val="20"/>
                <w:szCs w:val="20"/>
              </w:rPr>
              <w:t>VaV</w:t>
            </w:r>
            <w:proofErr w:type="spellEnd"/>
            <w:r w:rsidRPr="008A53E1">
              <w:rPr>
                <w:rFonts w:cs="Arial"/>
                <w:sz w:val="20"/>
                <w:szCs w:val="20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8A53E1" w:rsidRDefault="008B3DF5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8A53E1">
              <w:rPr>
                <w:rFonts w:ascii="Arial" w:hAnsi="Arial" w:cs="Arial"/>
                <w:sz w:val="20"/>
                <w:szCs w:val="20"/>
              </w:rPr>
              <w:t>15. 2. 2010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446052">
              <w:rPr>
                <w:sz w:val="18"/>
              </w:rPr>
              <w:t xml:space="preserve"> </w:t>
            </w:r>
            <w:r w:rsidR="00EE4B09" w:rsidRPr="00446052">
              <w:rPr>
                <w:sz w:val="18"/>
              </w:rPr>
              <w:t>01. 03. 2010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0F6EEF">
              <w:rPr>
                <w:sz w:val="18"/>
              </w:rPr>
              <w:t xml:space="preserve"> </w:t>
            </w:r>
            <w:r w:rsidR="00EE4B09">
              <w:rPr>
                <w:sz w:val="18"/>
              </w:rPr>
              <w:t>31. 12. 2013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D0CCC" w:rsidRPr="007D0CCC" w:rsidRDefault="007A62D7" w:rsidP="001A3A66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</w:t>
            </w:r>
            <w:r w:rsidR="001A3A66">
              <w:rPr>
                <w:sz w:val="18"/>
              </w:rPr>
              <w:t> </w:t>
            </w:r>
            <w:proofErr w:type="spellStart"/>
            <w:r w:rsidRPr="007D0CCC">
              <w:rPr>
                <w:sz w:val="18"/>
              </w:rPr>
              <w:t>RoPD</w:t>
            </w:r>
            <w:proofErr w:type="spellEnd"/>
            <w:r w:rsidR="001A3A66" w:rsidRPr="007D0CCC">
              <w:rPr>
                <w:sz w:val="18"/>
              </w:rPr>
              <w:t xml:space="preserve"> </w:t>
            </w:r>
            <w:r w:rsidRPr="007D0CCC">
              <w:rPr>
                <w:sz w:val="18"/>
              </w:rPr>
              <w:t>bez snížení):</w:t>
            </w:r>
            <w:r w:rsidR="00446052" w:rsidRPr="007D0CCC">
              <w:t xml:space="preserve"> </w:t>
            </w:r>
          </w:p>
          <w:p w:rsidR="007A62D7" w:rsidRPr="007D0CCC" w:rsidRDefault="007D0CCC" w:rsidP="007D0CCC">
            <w:pPr>
              <w:spacing w:before="120" w:after="60" w:line="240" w:lineRule="auto"/>
              <w:contextualSpacing/>
              <w:rPr>
                <w:rFonts w:ascii="Calibri" w:hAnsi="Calibri"/>
                <w:color w:val="000000"/>
                <w:sz w:val="22"/>
              </w:rPr>
            </w:pPr>
            <w:r w:rsidRPr="007D0CCC">
              <w:rPr>
                <w:sz w:val="18"/>
              </w:rPr>
              <w:t>543 974 958,00</w:t>
            </w:r>
            <w:r>
              <w:rPr>
                <w:rFonts w:ascii="Calibri" w:hAnsi="Calibri"/>
                <w:color w:val="000000"/>
                <w:sz w:val="22"/>
              </w:rPr>
              <w:t xml:space="preserve"> 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74C5F" w:rsidRPr="00AA442B" w:rsidRDefault="007D0CCC" w:rsidP="00F34368">
            <w:pPr>
              <w:spacing w:before="60" w:after="60" w:line="240" w:lineRule="auto"/>
              <w:rPr>
                <w:sz w:val="18"/>
              </w:rPr>
            </w:pPr>
            <w:r w:rsidRPr="007D0CCC">
              <w:rPr>
                <w:sz w:val="18"/>
              </w:rPr>
              <w:t>81 596 243,70</w:t>
            </w:r>
            <w:r>
              <w:rPr>
                <w:sz w:val="18"/>
              </w:rPr>
              <w:t xml:space="preserve"> </w:t>
            </w:r>
            <w:r w:rsidR="00F34368" w:rsidRPr="00AA442B">
              <w:rPr>
                <w:sz w:val="18"/>
              </w:rPr>
              <w:t>Podíl z EU v  CZK  (85 %):</w:t>
            </w:r>
          </w:p>
          <w:p w:rsidR="00F34368" w:rsidRPr="00AA442B" w:rsidRDefault="007D0CCC" w:rsidP="00B81893">
            <w:pPr>
              <w:spacing w:before="60" w:after="60" w:line="240" w:lineRule="auto"/>
              <w:rPr>
                <w:sz w:val="18"/>
              </w:rPr>
            </w:pPr>
            <w:r w:rsidRPr="007D0CCC">
              <w:rPr>
                <w:sz w:val="18"/>
              </w:rPr>
              <w:t>462 378 714,30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C13A71">
              <w:rPr>
                <w:sz w:val="18"/>
              </w:rPr>
              <w:t xml:space="preserve"> </w:t>
            </w:r>
            <w:r w:rsidR="001A3A66" w:rsidRPr="001A3A66">
              <w:rPr>
                <w:sz w:val="18"/>
              </w:rPr>
              <w:t>227 836 955,14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B568DC" w:rsidRPr="001A3A66">
              <w:rPr>
                <w:sz w:val="18"/>
              </w:rPr>
              <w:t xml:space="preserve"> </w:t>
            </w:r>
            <w:r w:rsidR="001A3A66" w:rsidRPr="001A3A66">
              <w:rPr>
                <w:sz w:val="18"/>
              </w:rPr>
              <w:t>137 699 766,48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B568DC">
              <w:rPr>
                <w:sz w:val="18"/>
              </w:rPr>
              <w:t xml:space="preserve"> </w:t>
            </w:r>
            <w:r w:rsidR="001A3A66" w:rsidRPr="001A3A66">
              <w:rPr>
                <w:sz w:val="18"/>
              </w:rPr>
              <w:t>75 295 329,94 Kč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B568DC">
              <w:rPr>
                <w:sz w:val="18"/>
              </w:rPr>
              <w:t xml:space="preserve"> </w:t>
            </w:r>
            <w:r w:rsidR="00B81893" w:rsidRPr="00B81893">
              <w:rPr>
                <w:sz w:val="18"/>
              </w:rPr>
              <w:t>49 627 962,95 Kč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Default="008334DE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Projekt zaměřující se na měření a odstraňování toxicity z prostředí. Projekt vznikl pod původním centrem výzkumu toxických látek, neboli RECETOX., který má již 30 ti letou tradici. </w:t>
            </w:r>
            <w:proofErr w:type="spellStart"/>
            <w:r>
              <w:rPr>
                <w:sz w:val="16"/>
              </w:rPr>
              <w:t>Recetox</w:t>
            </w:r>
            <w:proofErr w:type="spellEnd"/>
            <w:r>
              <w:rPr>
                <w:sz w:val="16"/>
              </w:rPr>
              <w:t xml:space="preserve"> organizuje a koordinuje strategie různých organizací a společenství na ochranu životního prostředí, spolupracují se světovou zdravotní organizací a vytvořili celosvětovou databázi toxických látek, množství jejich výskytu a způsobech eliminace.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</w:p>
          <w:p w:rsidR="000569A9" w:rsidRDefault="000569A9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17. 8. 2010 / kolaudace 28. 2. 2012</w:t>
            </w:r>
          </w:p>
          <w:p w:rsidR="008334DE" w:rsidRPr="00E20092" w:rsidRDefault="008334DE" w:rsidP="00F34368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</w:p>
          <w:p w:rsidR="008334DE" w:rsidRPr="00E20092" w:rsidRDefault="008334DE" w:rsidP="00F34368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8334DE">
              <w:rPr>
                <w:sz w:val="18"/>
              </w:rPr>
              <w:t>Unistav</w:t>
            </w:r>
            <w:proofErr w:type="spellEnd"/>
            <w:r w:rsidRPr="008334DE">
              <w:rPr>
                <w:sz w:val="18"/>
              </w:rPr>
              <w:t xml:space="preserve"> a.s.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F82139" w:rsidRDefault="00F82139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Plánované cíle projektu byly splněny. Účel dotace byl naplněn, budova stojí, přístroje jsou kromě jednoho nakoupeny a personální obsazení bylo naplněno.</w:t>
            </w:r>
          </w:p>
          <w:p w:rsidR="00FF441D" w:rsidRDefault="00781649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Všechny plánované hodnoty ind</w:t>
            </w:r>
            <w:r w:rsidR="00B81893">
              <w:rPr>
                <w:sz w:val="16"/>
              </w:rPr>
              <w:t>i</w:t>
            </w:r>
            <w:r>
              <w:rPr>
                <w:sz w:val="16"/>
              </w:rPr>
              <w:t xml:space="preserve">kátorů byly naplněny, některé překročeny a některé dokonce několikanásobně, natolik, že již nyní příjemce dosáhl plánovaných hodnot k roku 2015. </w:t>
            </w:r>
            <w:r w:rsidR="00301F44">
              <w:rPr>
                <w:sz w:val="16"/>
              </w:rPr>
              <w:t xml:space="preserve">Přesto, že se jedná o projekt z PO 2, vykazují v podstatě všechny publikace impaktované. </w:t>
            </w:r>
            <w:r>
              <w:rPr>
                <w:sz w:val="16"/>
              </w:rPr>
              <w:t>Neočekávám</w:t>
            </w:r>
            <w:r w:rsidR="005C2367">
              <w:rPr>
                <w:sz w:val="16"/>
              </w:rPr>
              <w:t>e</w:t>
            </w:r>
            <w:r>
              <w:rPr>
                <w:sz w:val="16"/>
              </w:rPr>
              <w:t xml:space="preserve"> problémy s naplněním závazků.</w:t>
            </w:r>
          </w:p>
          <w:tbl>
            <w:tblPr>
              <w:tblW w:w="6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021"/>
              <w:gridCol w:w="1536"/>
              <w:gridCol w:w="2101"/>
              <w:gridCol w:w="1417"/>
            </w:tblGrid>
            <w:tr w:rsidR="008D5386" w:rsidRPr="00CA57C7" w:rsidTr="006B5542">
              <w:trPr>
                <w:trHeight w:val="908"/>
              </w:trPr>
              <w:tc>
                <w:tcPr>
                  <w:tcW w:w="840" w:type="pct"/>
                  <w:shd w:val="clear" w:color="000000" w:fill="CCCCCC"/>
                  <w:noWrap/>
                  <w:vAlign w:val="center"/>
                </w:tcPr>
                <w:p w:rsidR="008D5386" w:rsidRPr="00CA57C7" w:rsidRDefault="009349E5" w:rsidP="009349E5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eastAsia="cs-CZ"/>
                    </w:rPr>
                    <w:t>Indikátor</w:t>
                  </w:r>
                </w:p>
              </w:tc>
              <w:tc>
                <w:tcPr>
                  <w:tcW w:w="1264" w:type="pct"/>
                  <w:shd w:val="clear" w:color="000000" w:fill="CCCCCC"/>
                  <w:vAlign w:val="center"/>
                </w:tcPr>
                <w:p w:rsidR="008D5386" w:rsidRPr="00CA57C7" w:rsidRDefault="006B5542" w:rsidP="009349E5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eastAsia="cs-CZ"/>
                    </w:rPr>
                    <w:t>Závazná hodnota k</w:t>
                  </w:r>
                  <w:r w:rsidR="008D5386" w:rsidRPr="00CA57C7">
                    <w:rPr>
                      <w:b/>
                      <w:bCs/>
                      <w:sz w:val="16"/>
                      <w:szCs w:val="16"/>
                      <w:lang w:eastAsia="cs-CZ"/>
                    </w:rPr>
                    <w:t xml:space="preserve"> datu </w:t>
                  </w:r>
                  <w:r w:rsidR="008D5386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ukončení realizace</w:t>
                  </w:r>
                  <w:r w:rsidR="008D5386" w:rsidRPr="00CA57C7">
                    <w:rPr>
                      <w:b/>
                      <w:bCs/>
                      <w:sz w:val="16"/>
                      <w:szCs w:val="16"/>
                      <w:lang w:eastAsia="cs-CZ"/>
                    </w:rPr>
                    <w:t xml:space="preserve"> projektu</w:t>
                  </w:r>
                </w:p>
              </w:tc>
              <w:tc>
                <w:tcPr>
                  <w:tcW w:w="1729" w:type="pct"/>
                  <w:shd w:val="clear" w:color="000000" w:fill="CCCCCC"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eastAsia="cs-CZ"/>
                    </w:rPr>
                    <w:t>Uznaná hodnota k ukončení realizace</w:t>
                  </w:r>
                </w:p>
              </w:tc>
              <w:tc>
                <w:tcPr>
                  <w:tcW w:w="1166" w:type="pct"/>
                  <w:shd w:val="clear" w:color="000000" w:fill="CCCCCC"/>
                  <w:vAlign w:val="center"/>
                </w:tcPr>
                <w:p w:rsidR="008D5386" w:rsidRPr="00CA57C7" w:rsidRDefault="006B5542" w:rsidP="009349E5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eastAsia="cs-CZ"/>
                    </w:rPr>
                    <w:t xml:space="preserve">Plán </w:t>
                  </w:r>
                  <w:r w:rsidR="00EE4B09" w:rsidRPr="00CA57C7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31. 12. 2015</w:t>
                  </w:r>
                </w:p>
              </w:tc>
            </w:tr>
            <w:tr w:rsidR="008D5386" w:rsidRPr="00CA57C7" w:rsidTr="006B5542">
              <w:trPr>
                <w:trHeight w:val="30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35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206,7</w:t>
                  </w:r>
                  <w:r w:rsidRPr="006B5542">
                    <w:rPr>
                      <w:rStyle w:val="Znakapoznpodarou"/>
                      <w:rFonts w:ascii="Times New Roman" w:hAnsi="Times New Roman" w:cs="Times New Roman"/>
                      <w:sz w:val="16"/>
                      <w:szCs w:val="16"/>
                    </w:rPr>
                    <w:footnoteReference w:id="1"/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105</w:t>
                  </w:r>
                </w:p>
              </w:tc>
            </w:tr>
            <w:tr w:rsidR="008D5386" w:rsidRPr="00CA57C7" w:rsidTr="006B5542">
              <w:trPr>
                <w:trHeight w:val="51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1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2</w:t>
                  </w:r>
                </w:p>
              </w:tc>
            </w:tr>
            <w:tr w:rsidR="008D5386" w:rsidRPr="00CA57C7" w:rsidTr="006B5542">
              <w:trPr>
                <w:trHeight w:val="30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1</w:t>
                  </w:r>
                </w:p>
              </w:tc>
            </w:tr>
            <w:tr w:rsidR="008D5386" w:rsidRPr="00CA57C7" w:rsidTr="006B5542">
              <w:trPr>
                <w:trHeight w:val="30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17 450 000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22 007 733,94 Kč</w:t>
                  </w:r>
                  <w:r w:rsidRPr="006B5542">
                    <w:rPr>
                      <w:rStyle w:val="Znakapoznpodarou"/>
                      <w:rFonts w:ascii="Times New Roman" w:hAnsi="Times New Roman" w:cs="Times New Roman"/>
                      <w:sz w:val="16"/>
                      <w:szCs w:val="16"/>
                    </w:rPr>
                    <w:footnoteReference w:id="2"/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34 800 000</w:t>
                  </w:r>
                </w:p>
              </w:tc>
            </w:tr>
            <w:tr w:rsidR="008D5386" w:rsidRPr="00CA57C7" w:rsidTr="006B5542">
              <w:trPr>
                <w:trHeight w:val="30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lastRenderedPageBreak/>
                    <w:t>074901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20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50</w:t>
                  </w:r>
                </w:p>
              </w:tc>
            </w:tr>
            <w:tr w:rsidR="008D5386" w:rsidRPr="00CA57C7" w:rsidTr="006B5542">
              <w:trPr>
                <w:trHeight w:val="30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8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20</w:t>
                  </w:r>
                </w:p>
              </w:tc>
            </w:tr>
            <w:tr w:rsidR="008D5386" w:rsidRPr="00CA57C7" w:rsidTr="006B5542">
              <w:trPr>
                <w:trHeight w:val="51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6B5542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cs="Times New Roman"/>
                      <w:sz w:val="16"/>
                      <w:szCs w:val="16"/>
                      <w:lang w:eastAsia="cs-CZ"/>
                    </w:rPr>
                    <w:t>4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  <w:r w:rsidRPr="006B5542">
                    <w:rPr>
                      <w:rStyle w:val="Znakapoznpodarou"/>
                      <w:rFonts w:ascii="Times New Roman" w:hAnsi="Times New Roman" w:cs="Times New Roman"/>
                      <w:sz w:val="16"/>
                      <w:szCs w:val="16"/>
                    </w:rPr>
                    <w:footnoteReference w:id="3"/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7</w:t>
                  </w:r>
                </w:p>
              </w:tc>
            </w:tr>
            <w:tr w:rsidR="008D5386" w:rsidRPr="00CA57C7" w:rsidTr="006B5542">
              <w:trPr>
                <w:trHeight w:val="51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6B5542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cs="Times New Roman"/>
                      <w:sz w:val="16"/>
                      <w:szCs w:val="16"/>
                      <w:lang w:eastAsia="cs-CZ"/>
                    </w:rPr>
                    <w:t>60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75</w:t>
                  </w:r>
                </w:p>
              </w:tc>
            </w:tr>
            <w:tr w:rsidR="008D5386" w:rsidRPr="000C3F29" w:rsidTr="006B5542">
              <w:trPr>
                <w:trHeight w:val="51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46,60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71,924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46,60</w:t>
                  </w:r>
                </w:p>
              </w:tc>
            </w:tr>
            <w:tr w:rsidR="008D5386" w:rsidRPr="000C3F29" w:rsidTr="006B5542">
              <w:trPr>
                <w:trHeight w:val="51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33,60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46,929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33,60</w:t>
                  </w:r>
                </w:p>
              </w:tc>
            </w:tr>
            <w:tr w:rsidR="008D5386" w:rsidRPr="00CA57C7" w:rsidTr="006B5542">
              <w:trPr>
                <w:trHeight w:val="51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13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26,753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13</w:t>
                  </w:r>
                </w:p>
              </w:tc>
            </w:tr>
            <w:tr w:rsidR="008D5386" w:rsidRPr="00CA57C7" w:rsidTr="006B5542">
              <w:trPr>
                <w:trHeight w:val="30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_</w:t>
                  </w:r>
                </w:p>
              </w:tc>
            </w:tr>
            <w:tr w:rsidR="008D5386" w:rsidRPr="00CA57C7" w:rsidTr="006B5542">
              <w:trPr>
                <w:trHeight w:val="300"/>
              </w:trPr>
              <w:tc>
                <w:tcPr>
                  <w:tcW w:w="840" w:type="pct"/>
                  <w:noWrap/>
                  <w:vAlign w:val="center"/>
                </w:tcPr>
                <w:p w:rsidR="008D5386" w:rsidRPr="00CA57C7" w:rsidRDefault="008D5386" w:rsidP="009349E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CA57C7">
                    <w:rPr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1264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3200</w:t>
                  </w:r>
                </w:p>
              </w:tc>
              <w:tc>
                <w:tcPr>
                  <w:tcW w:w="1729" w:type="pct"/>
                  <w:noWrap/>
                  <w:vAlign w:val="center"/>
                </w:tcPr>
                <w:p w:rsidR="008D5386" w:rsidRPr="006B5542" w:rsidRDefault="008D5386" w:rsidP="009349E5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B5542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4658,8</w:t>
                  </w:r>
                </w:p>
              </w:tc>
              <w:tc>
                <w:tcPr>
                  <w:tcW w:w="1166" w:type="pct"/>
                  <w:vAlign w:val="center"/>
                </w:tcPr>
                <w:p w:rsidR="008D5386" w:rsidRPr="006B5542" w:rsidRDefault="008D5386" w:rsidP="009349E5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6B5542">
                    <w:rPr>
                      <w:rFonts w:cs="Times New Roman"/>
                      <w:sz w:val="16"/>
                      <w:szCs w:val="16"/>
                      <w:lang w:eastAsia="cs-CZ"/>
                    </w:rPr>
                    <w:t>_</w:t>
                  </w:r>
                </w:p>
              </w:tc>
            </w:tr>
          </w:tbl>
          <w:p w:rsidR="00781649" w:rsidRPr="00FF441D" w:rsidRDefault="00781649" w:rsidP="00FF441D">
            <w:pPr>
              <w:rPr>
                <w:sz w:val="16"/>
              </w:rPr>
            </w:pP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612C3E" wp14:editId="2CEB2888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EE4B09">
                                    <w:rPr>
                                      <w:sz w:val="18"/>
                                      <w:szCs w:val="18"/>
                                    </w:rPr>
                                    <w:t xml:space="preserve"> 4. 2</w:t>
                                  </w:r>
                                  <w:r w:rsidR="008334DE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="00EE4B09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334DE">
                                    <w:rPr>
                                      <w:sz w:val="18"/>
                                      <w:szCs w:val="18"/>
                                    </w:rPr>
                                    <w:t>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EE4B09">
                              <w:rPr>
                                <w:sz w:val="18"/>
                                <w:szCs w:val="18"/>
                              </w:rPr>
                              <w:t xml:space="preserve"> 4. 2</w:t>
                            </w:r>
                            <w:r w:rsidR="008334DE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EE4B0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334DE">
                              <w:rPr>
                                <w:sz w:val="18"/>
                                <w:szCs w:val="18"/>
                              </w:rPr>
                              <w:t>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0A2304" w:rsidRDefault="008334DE" w:rsidP="00002DBE">
            <w:pPr>
              <w:spacing w:before="60" w:after="60" w:line="240" w:lineRule="auto"/>
              <w:rPr>
                <w:sz w:val="18"/>
              </w:rPr>
            </w:pPr>
            <w:r w:rsidRPr="008334DE">
              <w:rPr>
                <w:sz w:val="18"/>
              </w:rPr>
              <w:t>doc. PhDr. Mikuláš Bek Ph.D.</w:t>
            </w:r>
            <w:r w:rsidR="000A2304">
              <w:rPr>
                <w:sz w:val="18"/>
              </w:rPr>
              <w:t xml:space="preserve"> - </w:t>
            </w:r>
            <w:r>
              <w:rPr>
                <w:sz w:val="18"/>
              </w:rPr>
              <w:t>rektor</w:t>
            </w:r>
            <w:r w:rsidR="000A2304">
              <w:rPr>
                <w:sz w:val="18"/>
              </w:rPr>
              <w:t xml:space="preserve">, </w:t>
            </w:r>
          </w:p>
          <w:p w:rsidR="008334DE" w:rsidRPr="005F27AE" w:rsidRDefault="000A2304" w:rsidP="00002DBE">
            <w:pPr>
              <w:spacing w:before="60" w:after="60" w:line="240" w:lineRule="auto"/>
              <w:rPr>
                <w:sz w:val="18"/>
              </w:rPr>
            </w:pPr>
            <w:r w:rsidRPr="000A2304">
              <w:rPr>
                <w:sz w:val="18"/>
              </w:rPr>
              <w:t xml:space="preserve">doc. RNDr. Jaromír </w:t>
            </w:r>
            <w:proofErr w:type="spellStart"/>
            <w:r w:rsidRPr="000A2304">
              <w:rPr>
                <w:sz w:val="18"/>
              </w:rPr>
              <w:t>Leichmann</w:t>
            </w:r>
            <w:proofErr w:type="spellEnd"/>
            <w:r w:rsidRPr="000A2304">
              <w:rPr>
                <w:sz w:val="18"/>
              </w:rPr>
              <w:t>, Dr.</w:t>
            </w:r>
            <w:r>
              <w:rPr>
                <w:sz w:val="18"/>
              </w:rPr>
              <w:t xml:space="preserve"> -  děkan Přírodovědecké fakulty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8334DE" w:rsidRPr="005F27AE" w:rsidRDefault="008334DE" w:rsidP="00DD26D3">
            <w:pPr>
              <w:spacing w:before="60" w:after="60" w:line="240" w:lineRule="auto"/>
              <w:rPr>
                <w:sz w:val="18"/>
              </w:rPr>
            </w:pPr>
            <w:r w:rsidRPr="008334DE">
              <w:rPr>
                <w:sz w:val="18"/>
              </w:rPr>
              <w:t>Masarykova univerzita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002DBE" w:rsidRDefault="008334DE" w:rsidP="00DD26D3">
            <w:pPr>
              <w:spacing w:before="60" w:after="60" w:line="240" w:lineRule="auto"/>
              <w:rPr>
                <w:sz w:val="18"/>
              </w:rPr>
            </w:pPr>
            <w:r w:rsidRPr="00085E80">
              <w:rPr>
                <w:sz w:val="20"/>
                <w:szCs w:val="20"/>
              </w:rPr>
              <w:t>doc. RNDr. Jana Klánová, Ph.D.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</w:p>
          <w:p w:rsidR="008334DE" w:rsidRPr="005F27AE" w:rsidRDefault="008334D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Mgr. Vojtěch Přibyla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2437DA" w:rsidRPr="005F27AE" w:rsidRDefault="002437DA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 průběhu realizace došlo k posunu infrastrukturní části projektu, v rámci schválení 30% úspor došlo k nákupu přístrojů nad rámec původního plánu a s ním i k rozšíření výzkumného záměru centra.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2437DA" w:rsidRPr="005F27AE" w:rsidRDefault="002437DA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Bylo využito 30% úspor ze stavebních výdajů </w:t>
            </w:r>
          </w:p>
        </w:tc>
      </w:tr>
      <w:tr w:rsidR="0004245B" w:rsidTr="00610C45">
        <w:trPr>
          <w:trHeight w:val="1107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BB67C2">
              <w:rPr>
                <w:sz w:val="16"/>
              </w:rPr>
              <w:t xml:space="preserve"> -– 100%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414C20">
              <w:rPr>
                <w:sz w:val="16"/>
              </w:rPr>
              <w:t xml:space="preserve"> -– nakoupeno </w:t>
            </w:r>
            <w:proofErr w:type="gramStart"/>
            <w:r w:rsidR="00414C20">
              <w:rPr>
                <w:sz w:val="16"/>
              </w:rPr>
              <w:t>95</w:t>
            </w:r>
            <w:r w:rsidR="00BB67C2">
              <w:rPr>
                <w:sz w:val="16"/>
              </w:rPr>
              <w:t>%</w:t>
            </w:r>
            <w:r w:rsidR="00414C20">
              <w:rPr>
                <w:sz w:val="16"/>
              </w:rPr>
              <w:t xml:space="preserve"> </w:t>
            </w:r>
            <w:r w:rsidR="00BB67C2">
              <w:rPr>
                <w:sz w:val="16"/>
              </w:rPr>
              <w:t xml:space="preserve"> jeden</w:t>
            </w:r>
            <w:proofErr w:type="gramEnd"/>
            <w:r w:rsidR="00BB67C2">
              <w:rPr>
                <w:sz w:val="16"/>
              </w:rPr>
              <w:t xml:space="preserve"> klíčový přístroj z TA nakoupen nebyl</w:t>
            </w:r>
            <w:r w:rsidR="00B92199">
              <w:rPr>
                <w:sz w:val="16"/>
              </w:rPr>
              <w:t>, za to byly z úspor nakoupeny další přístroje a byl rozšířen výzkumný záměr centra.</w:t>
            </w:r>
          </w:p>
          <w:p w:rsidR="0004245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BB67C2">
              <w:rPr>
                <w:sz w:val="16"/>
              </w:rPr>
              <w:t xml:space="preserve"> – </w:t>
            </w:r>
            <w:r w:rsidR="00FD5672">
              <w:rPr>
                <w:sz w:val="16"/>
              </w:rPr>
              <w:t xml:space="preserve">100% </w:t>
            </w:r>
            <w:r w:rsidR="00BB67C2">
              <w:rPr>
                <w:sz w:val="16"/>
              </w:rPr>
              <w:t xml:space="preserve">překročeno původní plánované  </w:t>
            </w:r>
          </w:p>
          <w:p w:rsidR="00B92199" w:rsidRDefault="00B92199" w:rsidP="00DD26D3">
            <w:pPr>
              <w:spacing w:before="60" w:after="60" w:line="240" w:lineRule="auto"/>
              <w:rPr>
                <w:sz w:val="16"/>
              </w:rPr>
            </w:pPr>
          </w:p>
          <w:p w:rsidR="00B92199" w:rsidRPr="00AF6EBB" w:rsidRDefault="00B92199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Po administrativním posunu infrastrukturní části byly milníky splněny. 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733362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Předložené výdaje </w:t>
            </w:r>
            <w:r w:rsidR="00733362" w:rsidRPr="00733362">
              <w:rPr>
                <w:sz w:val="18"/>
              </w:rPr>
              <w:t>490 460 014,51 Kč</w:t>
            </w:r>
            <w:r w:rsidR="00733362">
              <w:rPr>
                <w:sz w:val="18"/>
              </w:rPr>
              <w:t xml:space="preserve">, </w:t>
            </w:r>
            <w:proofErr w:type="spellStart"/>
            <w:r w:rsidR="00733362">
              <w:rPr>
                <w:sz w:val="18"/>
              </w:rPr>
              <w:t>tj</w:t>
            </w:r>
            <w:proofErr w:type="spellEnd"/>
            <w:r w:rsidR="00733362">
              <w:rPr>
                <w:sz w:val="18"/>
              </w:rPr>
              <w:t xml:space="preserve">: </w:t>
            </w:r>
            <w:r w:rsidR="00733362" w:rsidRPr="00733362">
              <w:rPr>
                <w:sz w:val="18"/>
              </w:rPr>
              <w:t xml:space="preserve">91,49% </w:t>
            </w:r>
            <w:r w:rsidR="008F072B">
              <w:rPr>
                <w:sz w:val="18"/>
              </w:rPr>
              <w:t>způsobilých výdajů dle rozpočtu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733362">
              <w:rPr>
                <w:sz w:val="18"/>
              </w:rPr>
              <w:t xml:space="preserve"> </w:t>
            </w:r>
            <w:r w:rsidR="00733362" w:rsidRPr="00733362">
              <w:rPr>
                <w:sz w:val="18"/>
              </w:rPr>
              <w:t>490 460 014,51 Kč</w:t>
            </w:r>
            <w:r w:rsidR="00733362">
              <w:rPr>
                <w:sz w:val="18"/>
              </w:rPr>
              <w:t xml:space="preserve">, </w:t>
            </w:r>
            <w:proofErr w:type="spellStart"/>
            <w:r w:rsidR="00733362">
              <w:rPr>
                <w:sz w:val="18"/>
              </w:rPr>
              <w:t>tj</w:t>
            </w:r>
            <w:proofErr w:type="spellEnd"/>
            <w:r w:rsidR="00733362">
              <w:rPr>
                <w:sz w:val="18"/>
              </w:rPr>
              <w:t xml:space="preserve">: </w:t>
            </w:r>
            <w:r w:rsidR="00733362" w:rsidRPr="00733362">
              <w:rPr>
                <w:sz w:val="18"/>
              </w:rPr>
              <w:t xml:space="preserve">91,49% </w:t>
            </w:r>
            <w:r w:rsidR="008F072B">
              <w:rPr>
                <w:sz w:val="18"/>
              </w:rPr>
              <w:t>způsobilých výdajů dle rozpočtu</w:t>
            </w:r>
          </w:p>
          <w:p w:rsidR="00DA6654" w:rsidRDefault="00DA6654" w:rsidP="00733362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7D0CCC">
              <w:rPr>
                <w:sz w:val="18"/>
              </w:rPr>
              <w:t xml:space="preserve"> </w:t>
            </w:r>
            <w:r w:rsidR="007D0CCC" w:rsidRPr="007D0CCC">
              <w:rPr>
                <w:sz w:val="18"/>
              </w:rPr>
              <w:t>489 692 563,96</w:t>
            </w:r>
            <w:r w:rsidR="007D0CCC">
              <w:rPr>
                <w:sz w:val="18"/>
              </w:rPr>
              <w:t xml:space="preserve"> Kč, tj. </w:t>
            </w:r>
            <w:r w:rsidR="007D0CCC" w:rsidRPr="007D0CCC">
              <w:rPr>
                <w:sz w:val="18"/>
              </w:rPr>
              <w:t>99,84%</w:t>
            </w:r>
            <w:r w:rsidR="007D0CCC">
              <w:rPr>
                <w:sz w:val="18"/>
              </w:rPr>
              <w:t xml:space="preserve"> schválených výdajů </w:t>
            </w:r>
          </w:p>
        </w:tc>
      </w:tr>
      <w:tr w:rsidR="00C43F6D" w:rsidTr="0016774E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  <w:vAlign w:val="center"/>
          </w:tcPr>
          <w:p w:rsidR="00C43F6D" w:rsidRDefault="00733362" w:rsidP="0016774E">
            <w:pPr>
              <w:spacing w:before="60" w:after="60" w:line="240" w:lineRule="auto"/>
              <w:rPr>
                <w:sz w:val="16"/>
              </w:rPr>
            </w:pPr>
            <w:r w:rsidRPr="00733362">
              <w:rPr>
                <w:sz w:val="16"/>
              </w:rPr>
              <w:t>140 822 877,00 Kč</w:t>
            </w:r>
            <w:r>
              <w:rPr>
                <w:sz w:val="16"/>
              </w:rPr>
              <w:t xml:space="preserve">, tj. </w:t>
            </w:r>
            <w:r w:rsidRPr="00733362">
              <w:rPr>
                <w:sz w:val="16"/>
              </w:rPr>
              <w:t>20,80%</w:t>
            </w:r>
            <w:r>
              <w:rPr>
                <w:sz w:val="16"/>
              </w:rPr>
              <w:t xml:space="preserve"> celkových výdajů projektu</w:t>
            </w:r>
            <w:r w:rsidR="0016774E">
              <w:rPr>
                <w:sz w:val="16"/>
              </w:rPr>
              <w:t xml:space="preserve"> (způsobilých i nezpůsobilých)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Default="000D4560" w:rsidP="00DD26D3">
            <w:pPr>
              <w:spacing w:before="60" w:after="60" w:line="240" w:lineRule="auto"/>
            </w:pPr>
            <w:r>
              <w:t>NR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BB4BBB" w:rsidTr="00F74C5F">
        <w:tc>
          <w:tcPr>
            <w:tcW w:w="2298" w:type="dxa"/>
          </w:tcPr>
          <w:p w:rsidR="00BB4BBB" w:rsidRDefault="00BB4BBB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E16104" w:rsidRDefault="00E16104" w:rsidP="00E16104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D</w:t>
            </w:r>
            <w:r w:rsidRPr="00592F2A">
              <w:rPr>
                <w:sz w:val="18"/>
              </w:rPr>
              <w:t xml:space="preserve">osavadní provoz centra při zhruba 100 zaměstnancích činí cca 200 mil. </w:t>
            </w:r>
          </w:p>
          <w:p w:rsidR="00BB4BBB" w:rsidRPr="00703BB7" w:rsidRDefault="00BB4BBB" w:rsidP="00E16104">
            <w:pPr>
              <w:spacing w:before="60" w:after="60" w:line="240" w:lineRule="auto"/>
              <w:rPr>
                <w:sz w:val="18"/>
              </w:rPr>
            </w:pPr>
            <w:r w:rsidRPr="00BB4BBB">
              <w:rPr>
                <w:sz w:val="18"/>
              </w:rPr>
              <w:t>Požadované zdroje smluvní výzkum a jejich zaj</w:t>
            </w:r>
            <w:r w:rsidR="00D964E6">
              <w:rPr>
                <w:sz w:val="18"/>
              </w:rPr>
              <w:t>ištění: zhruba kolem 5 - 10 mil. Me</w:t>
            </w:r>
            <w:r w:rsidRPr="00BB4BBB">
              <w:rPr>
                <w:sz w:val="18"/>
              </w:rPr>
              <w:t xml:space="preserve">zinárodní granty a jejich zajištění: 5- </w:t>
            </w:r>
            <w:r>
              <w:rPr>
                <w:sz w:val="18"/>
              </w:rPr>
              <w:t>20 mil Kč.</w:t>
            </w:r>
            <w:r w:rsidR="00E16104">
              <w:rPr>
                <w:sz w:val="18"/>
              </w:rPr>
              <w:tab/>
            </w:r>
            <w:r w:rsidR="00E16104">
              <w:rPr>
                <w:sz w:val="18"/>
              </w:rPr>
              <w:tab/>
            </w:r>
            <w:r w:rsidR="00E16104">
              <w:rPr>
                <w:sz w:val="18"/>
              </w:rPr>
              <w:tab/>
            </w:r>
            <w:r w:rsidR="00E16104">
              <w:rPr>
                <w:sz w:val="18"/>
              </w:rPr>
              <w:tab/>
            </w:r>
            <w:r w:rsidR="00E16104">
              <w:rPr>
                <w:sz w:val="18"/>
              </w:rPr>
              <w:tab/>
            </w:r>
          </w:p>
        </w:tc>
      </w:tr>
      <w:tr w:rsidR="00BB4BBB" w:rsidTr="00D514BF">
        <w:tc>
          <w:tcPr>
            <w:tcW w:w="2298" w:type="dxa"/>
          </w:tcPr>
          <w:p w:rsidR="00BB4BBB" w:rsidRDefault="00BB4BBB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BB4BBB" w:rsidRPr="00BB4BBB" w:rsidRDefault="00BB4BBB" w:rsidP="00BB4BBB">
            <w:pPr>
              <w:spacing w:before="60" w:after="60" w:line="240" w:lineRule="auto"/>
              <w:rPr>
                <w:sz w:val="18"/>
              </w:rPr>
            </w:pPr>
            <w:r w:rsidRPr="00BB4BBB">
              <w:rPr>
                <w:sz w:val="18"/>
              </w:rPr>
              <w:t>Požadavky na účelové zdroje celke</w:t>
            </w:r>
            <w:r>
              <w:rPr>
                <w:sz w:val="18"/>
              </w:rPr>
              <w:t xml:space="preserve">m: podle scénářů. </w:t>
            </w:r>
            <w:r w:rsidR="00E16104">
              <w:rPr>
                <w:sz w:val="18"/>
              </w:rPr>
              <w:t xml:space="preserve">NPU – v první výzvě přiznána podpora ve výši 194 mil. Kč pro celou pětiletou dobu udržitelnosti. </w:t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</w:p>
          <w:p w:rsidR="00BB4BBB" w:rsidRPr="00703BB7" w:rsidRDefault="00BB4BBB" w:rsidP="00BB4BBB">
            <w:pPr>
              <w:spacing w:before="60" w:after="60" w:line="240" w:lineRule="auto"/>
              <w:rPr>
                <w:sz w:val="18"/>
              </w:rPr>
            </w:pP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</w:p>
        </w:tc>
      </w:tr>
      <w:tr w:rsidR="00BB4BBB" w:rsidTr="00FC3BB8">
        <w:tc>
          <w:tcPr>
            <w:tcW w:w="2298" w:type="dxa"/>
          </w:tcPr>
          <w:p w:rsidR="00BB4BBB" w:rsidRDefault="00BB4BBB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BB4BBB" w:rsidRDefault="00E16104" w:rsidP="00D36C1A">
            <w:pPr>
              <w:spacing w:before="60" w:after="60" w:line="240" w:lineRule="auto"/>
              <w:rPr>
                <w:sz w:val="18"/>
              </w:rPr>
            </w:pPr>
            <w:r w:rsidRPr="00592F2A">
              <w:rPr>
                <w:sz w:val="18"/>
              </w:rPr>
              <w:t>Indikátory udržitelnosti nejen plní, ale některé i výrazně překračuje. Personálně jde o velmi stabilizované centrum, v němž pracuje přes 13% zahraničních pracovníků</w:t>
            </w:r>
            <w:r w:rsidR="00D5205D">
              <w:rPr>
                <w:sz w:val="18"/>
              </w:rPr>
              <w:t>.</w:t>
            </w:r>
          </w:p>
          <w:p w:rsidR="00D5205D" w:rsidRDefault="00D5205D" w:rsidP="00D5205D">
            <w:pPr>
              <w:spacing w:before="60" w:after="60" w:line="240" w:lineRule="auto"/>
              <w:rPr>
                <w:sz w:val="18"/>
              </w:rPr>
            </w:pPr>
            <w:r w:rsidRPr="00BB4BBB">
              <w:rPr>
                <w:sz w:val="18"/>
              </w:rPr>
              <w:t>Současný počet výzkumníků: 93 FTE (115 osob včetně interních Ph.D. s</w:t>
            </w:r>
            <w:r>
              <w:rPr>
                <w:sz w:val="18"/>
              </w:rPr>
              <w:t xml:space="preserve">tudentů. </w:t>
            </w:r>
            <w:r w:rsidRPr="00BB4BBB">
              <w:rPr>
                <w:sz w:val="18"/>
              </w:rPr>
              <w:t>Kvalifikační struktura: 18 FTE senior (25), 32 FTE junior (3</w:t>
            </w:r>
            <w:r>
              <w:rPr>
                <w:sz w:val="18"/>
              </w:rPr>
              <w:t xml:space="preserve">5), 25 FTE Ph.D. student (50), </w:t>
            </w:r>
            <w:r w:rsidRPr="00BB4BBB">
              <w:rPr>
                <w:sz w:val="18"/>
              </w:rPr>
              <w:t>18 FTE</w:t>
            </w:r>
            <w:r>
              <w:rPr>
                <w:sz w:val="18"/>
              </w:rPr>
              <w:t xml:space="preserve"> technik (20).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D5205D" w:rsidRPr="00703BB7" w:rsidRDefault="00D5205D" w:rsidP="00D5205D">
            <w:pPr>
              <w:spacing w:before="60" w:after="60" w:line="240" w:lineRule="auto"/>
              <w:rPr>
                <w:sz w:val="18"/>
              </w:rPr>
            </w:pPr>
            <w:r w:rsidRPr="00BB4BBB">
              <w:rPr>
                <w:sz w:val="18"/>
              </w:rPr>
              <w:t>Plánovaný počet výzkumníků: 43 FTE (68 osob včetně interních Ph</w:t>
            </w:r>
            <w:r>
              <w:rPr>
                <w:sz w:val="18"/>
              </w:rPr>
              <w:t xml:space="preserve">.D. studentů. </w:t>
            </w:r>
            <w:r w:rsidRPr="00BB4BBB">
              <w:rPr>
                <w:sz w:val="18"/>
              </w:rPr>
              <w:t xml:space="preserve">Kvalifikační struktura: 16 FTE senior, 20 FTE junior, 25 Ph.D. student (bez </w:t>
            </w:r>
            <w:proofErr w:type="gramStart"/>
            <w:r w:rsidRPr="00BB4BBB">
              <w:rPr>
                <w:sz w:val="18"/>
              </w:rPr>
              <w:t xml:space="preserve">úvazku),  </w:t>
            </w:r>
            <w:r>
              <w:rPr>
                <w:sz w:val="18"/>
              </w:rPr>
              <w:t>7 FTE</w:t>
            </w:r>
            <w:proofErr w:type="gramEnd"/>
            <w:r>
              <w:rPr>
                <w:sz w:val="18"/>
              </w:rPr>
              <w:t xml:space="preserve"> technik. </w:t>
            </w:r>
            <w:r w:rsidRPr="00BB4BBB">
              <w:rPr>
                <w:sz w:val="18"/>
              </w:rPr>
              <w:t>Zahraniční výzkumníci v současnosti zapojení do výzkumu:  22 FTE (5 FTE sen., 12 FTE jun.,</w:t>
            </w:r>
            <w:r>
              <w:rPr>
                <w:sz w:val="18"/>
              </w:rPr>
              <w:t xml:space="preserve"> 5 FTE Ph.D.). </w:t>
            </w:r>
            <w:r w:rsidRPr="00BB4BBB">
              <w:rPr>
                <w:sz w:val="18"/>
              </w:rPr>
              <w:t>Projektem plánovaní zahraniční v</w:t>
            </w:r>
            <w:r>
              <w:rPr>
                <w:sz w:val="18"/>
              </w:rPr>
              <w:t>ýzkumníci po realizaci projektu</w:t>
            </w:r>
            <w:r w:rsidRPr="00BB4BBB">
              <w:rPr>
                <w:sz w:val="18"/>
              </w:rPr>
              <w:t>: 3 FTE</w:t>
            </w:r>
            <w:r>
              <w:rPr>
                <w:sz w:val="18"/>
              </w:rPr>
              <w:t>.</w:t>
            </w:r>
          </w:p>
        </w:tc>
      </w:tr>
      <w:tr w:rsidR="00BB4BBB" w:rsidTr="00F74C5F">
        <w:tc>
          <w:tcPr>
            <w:tcW w:w="2298" w:type="dxa"/>
          </w:tcPr>
          <w:p w:rsidR="00BB4BBB" w:rsidRDefault="00BB4BBB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E16104" w:rsidRDefault="00592F2A" w:rsidP="00592F2A">
            <w:pPr>
              <w:spacing w:before="60" w:after="60" w:line="240" w:lineRule="auto"/>
              <w:rPr>
                <w:sz w:val="18"/>
              </w:rPr>
            </w:pPr>
            <w:proofErr w:type="gramStart"/>
            <w:r w:rsidRPr="00592F2A">
              <w:rPr>
                <w:sz w:val="18"/>
              </w:rPr>
              <w:t>V  centru</w:t>
            </w:r>
            <w:proofErr w:type="gramEnd"/>
            <w:r w:rsidRPr="00592F2A">
              <w:rPr>
                <w:sz w:val="18"/>
              </w:rPr>
              <w:t xml:space="preserve"> </w:t>
            </w:r>
            <w:proofErr w:type="spellStart"/>
            <w:r w:rsidRPr="00592F2A">
              <w:rPr>
                <w:sz w:val="18"/>
              </w:rPr>
              <w:t>Recetox</w:t>
            </w:r>
            <w:proofErr w:type="spellEnd"/>
            <w:r w:rsidRPr="00592F2A">
              <w:rPr>
                <w:sz w:val="18"/>
              </w:rPr>
              <w:t xml:space="preserve"> (název je z anglického označení  </w:t>
            </w:r>
            <w:proofErr w:type="spellStart"/>
            <w:r w:rsidRPr="00592F2A">
              <w:rPr>
                <w:sz w:val="18"/>
              </w:rPr>
              <w:t>REsearch</w:t>
            </w:r>
            <w:proofErr w:type="spellEnd"/>
            <w:r w:rsidRPr="00592F2A">
              <w:rPr>
                <w:sz w:val="18"/>
              </w:rPr>
              <w:t xml:space="preserve"> </w:t>
            </w:r>
            <w:proofErr w:type="spellStart"/>
            <w:r w:rsidRPr="00592F2A">
              <w:rPr>
                <w:sz w:val="18"/>
              </w:rPr>
              <w:t>CEntre</w:t>
            </w:r>
            <w:proofErr w:type="spellEnd"/>
            <w:r w:rsidRPr="00592F2A">
              <w:rPr>
                <w:sz w:val="18"/>
              </w:rPr>
              <w:t xml:space="preserve"> </w:t>
            </w:r>
            <w:proofErr w:type="spellStart"/>
            <w:r w:rsidRPr="00592F2A">
              <w:rPr>
                <w:sz w:val="18"/>
              </w:rPr>
              <w:t>for</w:t>
            </w:r>
            <w:proofErr w:type="spellEnd"/>
            <w:r w:rsidRPr="00592F2A">
              <w:rPr>
                <w:sz w:val="18"/>
              </w:rPr>
              <w:t xml:space="preserve"> </w:t>
            </w:r>
            <w:proofErr w:type="spellStart"/>
            <w:r w:rsidRPr="00592F2A">
              <w:rPr>
                <w:sz w:val="18"/>
              </w:rPr>
              <w:t>TOXic</w:t>
            </w:r>
            <w:proofErr w:type="spellEnd"/>
            <w:r w:rsidRPr="00592F2A">
              <w:rPr>
                <w:sz w:val="18"/>
              </w:rPr>
              <w:t xml:space="preserve"> </w:t>
            </w:r>
            <w:proofErr w:type="spellStart"/>
            <w:r w:rsidRPr="00592F2A">
              <w:rPr>
                <w:sz w:val="18"/>
              </w:rPr>
              <w:t>compounds</w:t>
            </w:r>
            <w:proofErr w:type="spellEnd"/>
            <w:r w:rsidRPr="00592F2A">
              <w:rPr>
                <w:sz w:val="18"/>
              </w:rPr>
              <w:t xml:space="preserve"> in </w:t>
            </w:r>
            <w:proofErr w:type="spellStart"/>
            <w:r w:rsidRPr="00592F2A">
              <w:rPr>
                <w:sz w:val="18"/>
              </w:rPr>
              <w:t>the</w:t>
            </w:r>
            <w:proofErr w:type="spellEnd"/>
            <w:r w:rsidRPr="00592F2A">
              <w:rPr>
                <w:sz w:val="18"/>
              </w:rPr>
              <w:t xml:space="preserve"> </w:t>
            </w:r>
            <w:proofErr w:type="spellStart"/>
            <w:r w:rsidRPr="00592F2A">
              <w:rPr>
                <w:sz w:val="18"/>
              </w:rPr>
              <w:t>environment</w:t>
            </w:r>
            <w:proofErr w:type="spellEnd"/>
            <w:r w:rsidRPr="00592F2A">
              <w:rPr>
                <w:sz w:val="18"/>
              </w:rPr>
              <w:t>) při Přírodovědecké fakultě Masarykovy university, vybudovaném v rámci projektu  C</w:t>
            </w:r>
            <w:r w:rsidR="00E16104">
              <w:rPr>
                <w:sz w:val="18"/>
              </w:rPr>
              <w:t xml:space="preserve">ETOCOEN. </w:t>
            </w:r>
          </w:p>
          <w:p w:rsidR="00E16104" w:rsidRDefault="00592F2A" w:rsidP="00592F2A">
            <w:pPr>
              <w:spacing w:before="60" w:after="60" w:line="240" w:lineRule="auto"/>
              <w:rPr>
                <w:sz w:val="18"/>
              </w:rPr>
            </w:pPr>
            <w:r w:rsidRPr="00592F2A">
              <w:rPr>
                <w:sz w:val="18"/>
              </w:rPr>
              <w:t xml:space="preserve">Samotný výzkumný program centra je unikátní a i do budoucna velmi ambiciózní. </w:t>
            </w:r>
            <w:proofErr w:type="spellStart"/>
            <w:r w:rsidRPr="00592F2A">
              <w:rPr>
                <w:sz w:val="18"/>
              </w:rPr>
              <w:t>Recetox</w:t>
            </w:r>
            <w:proofErr w:type="spellEnd"/>
            <w:r w:rsidRPr="00592F2A">
              <w:rPr>
                <w:sz w:val="18"/>
              </w:rPr>
              <w:t xml:space="preserve">  se opírá o dlouholetou tradici a zejména o souvislá environmentální data za posledních 30 let, což je v zemích východního bloku zcela ojedinělé. </w:t>
            </w:r>
          </w:p>
          <w:p w:rsidR="00BB4BBB" w:rsidRPr="00703BB7" w:rsidRDefault="00592F2A" w:rsidP="00592F2A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592F2A">
              <w:rPr>
                <w:sz w:val="18"/>
              </w:rPr>
              <w:t>Recetox</w:t>
            </w:r>
            <w:proofErr w:type="spellEnd"/>
            <w:r w:rsidRPr="00592F2A">
              <w:rPr>
                <w:sz w:val="18"/>
              </w:rPr>
              <w:t xml:space="preserve"> se </w:t>
            </w:r>
            <w:proofErr w:type="gramStart"/>
            <w:r w:rsidRPr="00592F2A">
              <w:rPr>
                <w:sz w:val="18"/>
              </w:rPr>
              <w:t>podílí  na</w:t>
            </w:r>
            <w:proofErr w:type="gramEnd"/>
            <w:r w:rsidRPr="00592F2A">
              <w:rPr>
                <w:sz w:val="18"/>
              </w:rPr>
              <w:t xml:space="preserve"> sledování a zpracování údajů o toxických látkách v prostředí nejen u nás a v Evropě, ale i v Africe či Americe apod. Spolupracují a poskytují tyto cenné údaje nejen státním institucím, ale i průmyslovým firmám a podílejí se na tvorbě nové české legislativy, resp. na implementaci mezinárodních úmluv, zaměřených k ochraně životního prostředí na Zemi do našich právních předpisů atd. Do budoucna se zaměřují i na spolupráci při objasňování účinků toxických látek v pro</w:t>
            </w:r>
            <w:r w:rsidR="00E16104">
              <w:rPr>
                <w:sz w:val="18"/>
              </w:rPr>
              <w:t>středí</w:t>
            </w:r>
            <w:r w:rsidRPr="00592F2A">
              <w:rPr>
                <w:sz w:val="18"/>
              </w:rPr>
              <w:t xml:space="preserve"> život</w:t>
            </w:r>
            <w:r w:rsidR="00E16104">
              <w:rPr>
                <w:sz w:val="18"/>
              </w:rPr>
              <w:t>a</w:t>
            </w:r>
            <w:r w:rsidRPr="00592F2A">
              <w:rPr>
                <w:sz w:val="18"/>
              </w:rPr>
              <w:t xml:space="preserve"> na Zemi, resp. na zdraví člověka. Mají k takové spolupráci ideální podmínky, protože toto centrum je součástí Universitního kampusu, kde kromě Přírodovědecké fakulty je lokalizována také Fakulta lékařská a moderní nemocnice, tj. jsou zde soustředěny na jednom místě všechny biomedicínské obory a jednotlivé pavilony jsou navzájem propojeny chodbami.</w:t>
            </w:r>
            <w:bookmarkStart w:id="0" w:name="_GoBack"/>
            <w:bookmarkEnd w:id="0"/>
          </w:p>
        </w:tc>
      </w:tr>
      <w:tr w:rsidR="00BB4BBB" w:rsidTr="00F74C5F">
        <w:tc>
          <w:tcPr>
            <w:tcW w:w="2298" w:type="dxa"/>
          </w:tcPr>
          <w:p w:rsidR="00BB4BBB" w:rsidRDefault="00BB4BBB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BB4BBB" w:rsidRDefault="00BB4BBB" w:rsidP="00BB4BB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Tuzemští partneři: </w:t>
            </w:r>
            <w:r w:rsidRPr="00BB4BBB">
              <w:rPr>
                <w:sz w:val="18"/>
              </w:rPr>
              <w:t>ČHMÚ, SZÚ, ÚKZÚZ, VŠCHT, ÚEM AV, BÚ AV, M</w:t>
            </w:r>
            <w:r>
              <w:rPr>
                <w:sz w:val="18"/>
              </w:rPr>
              <w:t>ENDELU a další</w:t>
            </w:r>
          </w:p>
          <w:p w:rsidR="00BB4BBB" w:rsidRDefault="00BB4BBB" w:rsidP="00BB4BB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Zahraničí partneři: </w:t>
            </w:r>
            <w:proofErr w:type="spellStart"/>
            <w:r w:rsidRPr="00BB4BBB">
              <w:rPr>
                <w:sz w:val="18"/>
              </w:rPr>
              <w:t>Environment</w:t>
            </w:r>
            <w:proofErr w:type="spellEnd"/>
            <w:r w:rsidRPr="00BB4BBB">
              <w:rPr>
                <w:sz w:val="18"/>
              </w:rPr>
              <w:t xml:space="preserve"> </w:t>
            </w:r>
            <w:proofErr w:type="spellStart"/>
            <w:r w:rsidRPr="00BB4BBB">
              <w:rPr>
                <w:sz w:val="18"/>
              </w:rPr>
              <w:t>Canada</w:t>
            </w:r>
            <w:proofErr w:type="spellEnd"/>
            <w:r w:rsidRPr="00BB4BBB">
              <w:rPr>
                <w:sz w:val="18"/>
              </w:rPr>
              <w:t xml:space="preserve">, Toronto </w:t>
            </w:r>
            <w:proofErr w:type="spellStart"/>
            <w:r w:rsidRPr="00BB4BBB">
              <w:rPr>
                <w:sz w:val="18"/>
              </w:rPr>
              <w:t>Uni</w:t>
            </w:r>
            <w:proofErr w:type="spellEnd"/>
            <w:r w:rsidRPr="00BB4BBB">
              <w:rPr>
                <w:sz w:val="18"/>
              </w:rPr>
              <w:t xml:space="preserve">, Saskatchewan </w:t>
            </w:r>
            <w:proofErr w:type="spellStart"/>
            <w:r w:rsidRPr="00BB4BBB">
              <w:rPr>
                <w:sz w:val="18"/>
              </w:rPr>
              <w:t>Uni</w:t>
            </w:r>
            <w:proofErr w:type="spellEnd"/>
            <w:r w:rsidRPr="00BB4BBB">
              <w:rPr>
                <w:sz w:val="18"/>
              </w:rPr>
              <w:t xml:space="preserve">, Indiana </w:t>
            </w:r>
            <w:proofErr w:type="spellStart"/>
            <w:r w:rsidRPr="00BB4BBB">
              <w:rPr>
                <w:sz w:val="18"/>
              </w:rPr>
              <w:t>Uni</w:t>
            </w:r>
            <w:proofErr w:type="spellEnd"/>
            <w:r w:rsidRPr="00BB4BBB">
              <w:rPr>
                <w:sz w:val="18"/>
              </w:rPr>
              <w:t xml:space="preserve">, Rhode Island </w:t>
            </w:r>
            <w:proofErr w:type="spellStart"/>
            <w:r w:rsidRPr="00BB4BBB">
              <w:rPr>
                <w:sz w:val="18"/>
              </w:rPr>
              <w:t>Uni</w:t>
            </w:r>
            <w:proofErr w:type="spellEnd"/>
            <w:r w:rsidRPr="00BB4BBB">
              <w:rPr>
                <w:sz w:val="18"/>
              </w:rPr>
              <w:t xml:space="preserve">, Max Planck </w:t>
            </w:r>
            <w:proofErr w:type="spellStart"/>
            <w:r w:rsidRPr="00BB4BBB">
              <w:rPr>
                <w:sz w:val="18"/>
              </w:rPr>
              <w:t>Inst</w:t>
            </w:r>
            <w:proofErr w:type="spellEnd"/>
            <w:r w:rsidRPr="00BB4BBB">
              <w:rPr>
                <w:sz w:val="18"/>
              </w:rPr>
              <w:t xml:space="preserve">, UFZ </w:t>
            </w:r>
            <w:proofErr w:type="spellStart"/>
            <w:r w:rsidRPr="00BB4BBB">
              <w:rPr>
                <w:sz w:val="18"/>
              </w:rPr>
              <w:t>Leipzig</w:t>
            </w:r>
            <w:proofErr w:type="spellEnd"/>
            <w:r w:rsidRPr="00BB4BBB">
              <w:rPr>
                <w:sz w:val="18"/>
              </w:rPr>
              <w:t xml:space="preserve">, ETH </w:t>
            </w:r>
            <w:proofErr w:type="spellStart"/>
            <w:r w:rsidRPr="00BB4BBB">
              <w:rPr>
                <w:sz w:val="18"/>
              </w:rPr>
              <w:t>Zurich</w:t>
            </w:r>
            <w:proofErr w:type="spellEnd"/>
            <w:r w:rsidRPr="00BB4BBB">
              <w:rPr>
                <w:sz w:val="18"/>
              </w:rPr>
              <w:t xml:space="preserve">, EAWAG, NIVA, NILU, University </w:t>
            </w:r>
            <w:proofErr w:type="spellStart"/>
            <w:r w:rsidRPr="00BB4BBB">
              <w:rPr>
                <w:sz w:val="18"/>
              </w:rPr>
              <w:t>College</w:t>
            </w:r>
            <w:proofErr w:type="spellEnd"/>
            <w:r w:rsidRPr="00BB4BBB">
              <w:rPr>
                <w:sz w:val="18"/>
              </w:rPr>
              <w:t xml:space="preserve"> London, a další</w:t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Pr="00BB4BBB">
              <w:rPr>
                <w:sz w:val="18"/>
              </w:rPr>
              <w:tab/>
            </w:r>
            <w:r w:rsidR="00D5205D">
              <w:rPr>
                <w:sz w:val="18"/>
              </w:rPr>
              <w:tab/>
            </w:r>
            <w:r w:rsidR="00D5205D">
              <w:rPr>
                <w:sz w:val="18"/>
              </w:rPr>
              <w:tab/>
            </w:r>
            <w:r w:rsidR="00D5205D">
              <w:rPr>
                <w:sz w:val="18"/>
              </w:rPr>
              <w:tab/>
            </w:r>
            <w:r w:rsidR="00D5205D">
              <w:rPr>
                <w:sz w:val="18"/>
              </w:rPr>
              <w:tab/>
            </w:r>
          </w:p>
        </w:tc>
      </w:tr>
      <w:tr w:rsidR="00BB4BBB" w:rsidTr="00F74C5F">
        <w:tc>
          <w:tcPr>
            <w:tcW w:w="2298" w:type="dxa"/>
          </w:tcPr>
          <w:p w:rsidR="00BB4BBB" w:rsidRDefault="00BB4BBB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BB4BBB" w:rsidRDefault="00D5205D" w:rsidP="00D36C1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BB4BBB" w:rsidTr="00F74C5F">
        <w:tc>
          <w:tcPr>
            <w:tcW w:w="2298" w:type="dxa"/>
          </w:tcPr>
          <w:p w:rsidR="00BB4BBB" w:rsidRDefault="00BB4BBB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BB4BBB" w:rsidRDefault="00D5205D" w:rsidP="00D5205D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C</w:t>
            </w:r>
            <w:r w:rsidRPr="00592F2A">
              <w:rPr>
                <w:sz w:val="18"/>
              </w:rPr>
              <w:t xml:space="preserve">entrum </w:t>
            </w:r>
            <w:proofErr w:type="spellStart"/>
            <w:r w:rsidRPr="00592F2A">
              <w:rPr>
                <w:sz w:val="18"/>
              </w:rPr>
              <w:t>Recetox</w:t>
            </w:r>
            <w:proofErr w:type="spellEnd"/>
            <w:r w:rsidRPr="00592F2A">
              <w:rPr>
                <w:sz w:val="18"/>
              </w:rPr>
              <w:t xml:space="preserve"> nemá problém s udržitelností ani s dalším vývojem do budoucnosti. Jejich výzkumné programy jsou od začátku promyšlené a vycházejí z potřeb moderní lidské společnosti. Problémem k řešení však </w:t>
            </w:r>
            <w:r w:rsidRPr="00D5205D">
              <w:rPr>
                <w:b/>
                <w:i/>
                <w:sz w:val="18"/>
              </w:rPr>
              <w:t>zůstává otázka smluvního výzkumu</w:t>
            </w:r>
            <w:r w:rsidRPr="00592F2A">
              <w:rPr>
                <w:sz w:val="18"/>
              </w:rPr>
              <w:t xml:space="preserve"> pro toto centru, protože velkou část svých výsledků </w:t>
            </w:r>
            <w:r>
              <w:rPr>
                <w:sz w:val="18"/>
              </w:rPr>
              <w:t>zpracovává a poskytuje státní s</w:t>
            </w:r>
            <w:r w:rsidRPr="00592F2A">
              <w:rPr>
                <w:sz w:val="18"/>
              </w:rPr>
              <w:t>právě či obdobným mezinárodním organizacím. Velkou hrozbou by však pro toto centrum byla situace, kdyby environmentální politika ČR se neshodovala s environmentální politikou EU.</w:t>
            </w: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594" w:rsidRDefault="00951594" w:rsidP="008D5386">
      <w:pPr>
        <w:spacing w:after="0" w:line="240" w:lineRule="auto"/>
      </w:pPr>
      <w:r>
        <w:separator/>
      </w:r>
    </w:p>
  </w:endnote>
  <w:endnote w:type="continuationSeparator" w:id="0">
    <w:p w:rsidR="00951594" w:rsidRDefault="00951594" w:rsidP="008D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594" w:rsidRDefault="00951594" w:rsidP="008D5386">
      <w:pPr>
        <w:spacing w:after="0" w:line="240" w:lineRule="auto"/>
      </w:pPr>
      <w:r>
        <w:separator/>
      </w:r>
    </w:p>
  </w:footnote>
  <w:footnote w:type="continuationSeparator" w:id="0">
    <w:p w:rsidR="00951594" w:rsidRDefault="00951594" w:rsidP="008D5386">
      <w:pPr>
        <w:spacing w:after="0" w:line="240" w:lineRule="auto"/>
      </w:pPr>
      <w:r>
        <w:continuationSeparator/>
      </w:r>
    </w:p>
  </w:footnote>
  <w:footnote w:id="1">
    <w:p w:rsidR="008D5386" w:rsidRPr="008D5386" w:rsidRDefault="008D5386">
      <w:pPr>
        <w:pStyle w:val="Textpoznpodarou"/>
        <w:rPr>
          <w:sz w:val="16"/>
          <w:szCs w:val="16"/>
        </w:rPr>
      </w:pPr>
      <w:r w:rsidRPr="008D5386">
        <w:rPr>
          <w:rStyle w:val="Znakapoznpodarou"/>
          <w:sz w:val="16"/>
          <w:szCs w:val="16"/>
        </w:rPr>
        <w:footnoteRef/>
      </w:r>
      <w:r w:rsidRPr="008D5386">
        <w:rPr>
          <w:sz w:val="16"/>
          <w:szCs w:val="16"/>
        </w:rPr>
        <w:t xml:space="preserve"> Vzhledem k formě vyplnění tabulky 8f docházíme při různých metodách sčítání k různým hodnotám jak u mne, tak u příjemce. Výsledná hodnota je ještě v řešení, každopádně příjemce závaznou hodnotu několikanásobně překračuje, s plněním tedy rozhodně problém nemá.</w:t>
      </w:r>
    </w:p>
  </w:footnote>
  <w:footnote w:id="2">
    <w:p w:rsidR="008D5386" w:rsidRPr="008D5386" w:rsidRDefault="008D5386" w:rsidP="008D5386">
      <w:pPr>
        <w:pStyle w:val="Textkomente"/>
        <w:rPr>
          <w:sz w:val="16"/>
          <w:szCs w:val="16"/>
        </w:rPr>
      </w:pPr>
      <w:r w:rsidRPr="008D5386">
        <w:rPr>
          <w:rStyle w:val="Znakapoznpodarou"/>
          <w:sz w:val="16"/>
          <w:szCs w:val="16"/>
        </w:rPr>
        <w:footnoteRef/>
      </w:r>
      <w:r w:rsidRPr="008D5386">
        <w:rPr>
          <w:sz w:val="16"/>
          <w:szCs w:val="16"/>
        </w:rPr>
        <w:t xml:space="preserve"> Dalších 8 583 377,51 Kč je v řešení. Je možné, že část z toho půjde ještě ke garantům na posouzení.</w:t>
      </w:r>
      <w:r>
        <w:rPr>
          <w:sz w:val="16"/>
          <w:szCs w:val="16"/>
        </w:rPr>
        <w:t xml:space="preserve"> </w:t>
      </w:r>
      <w:r w:rsidRPr="008D5386">
        <w:rPr>
          <w:sz w:val="16"/>
          <w:szCs w:val="16"/>
        </w:rPr>
        <w:t>Každopádně příjemce závaznou hodnotu opět splnil, dokonce téměř dvojnásobně překročil.</w:t>
      </w:r>
    </w:p>
  </w:footnote>
  <w:footnote w:id="3">
    <w:p w:rsidR="008D5386" w:rsidRPr="008D5386" w:rsidRDefault="008D5386">
      <w:pPr>
        <w:pStyle w:val="Textpoznpodarou"/>
        <w:rPr>
          <w:sz w:val="16"/>
          <w:szCs w:val="16"/>
        </w:rPr>
      </w:pPr>
      <w:r w:rsidRPr="008D5386">
        <w:rPr>
          <w:rStyle w:val="Znakapoznpodarou"/>
          <w:sz w:val="16"/>
          <w:szCs w:val="16"/>
        </w:rPr>
        <w:footnoteRef/>
      </w:r>
      <w:r w:rsidRPr="008D5386">
        <w:rPr>
          <w:sz w:val="16"/>
          <w:szCs w:val="16"/>
        </w:rPr>
        <w:t xml:space="preserve"> Zatím uznaná hodnota = 5 další jsou však v řešení stejně jako smluvní výzkum, problematika těchto indikátorů spolu úzce souvisí… I kdyby další projekty uznány nebyly, projekt již v tento moment splnil plánovaný počet projektů, není tedy </w:t>
      </w:r>
      <w:proofErr w:type="gramStart"/>
      <w:r w:rsidRPr="008D5386">
        <w:rPr>
          <w:sz w:val="16"/>
          <w:szCs w:val="16"/>
        </w:rPr>
        <w:t xml:space="preserve">dle </w:t>
      </w:r>
      <w:r w:rsidR="006B5542">
        <w:rPr>
          <w:sz w:val="16"/>
          <w:szCs w:val="16"/>
        </w:rPr>
        <w:t xml:space="preserve"> </w:t>
      </w:r>
      <w:r w:rsidRPr="008D5386">
        <w:rPr>
          <w:sz w:val="16"/>
          <w:szCs w:val="16"/>
        </w:rPr>
        <w:t>mého</w:t>
      </w:r>
      <w:proofErr w:type="gramEnd"/>
      <w:r w:rsidRPr="008D5386">
        <w:rPr>
          <w:sz w:val="16"/>
          <w:szCs w:val="16"/>
        </w:rPr>
        <w:t xml:space="preserve"> názoru v tuto chvíli pro potřeby konstatování, že splnil, co slíbil</w:t>
      </w:r>
      <w:r w:rsidR="006B5542">
        <w:rPr>
          <w:sz w:val="16"/>
          <w:szCs w:val="16"/>
        </w:rPr>
        <w:t>,</w:t>
      </w:r>
      <w:r w:rsidRPr="008D5386">
        <w:rPr>
          <w:sz w:val="16"/>
          <w:szCs w:val="16"/>
        </w:rPr>
        <w:t xml:space="preserve"> potřeba více.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325A3"/>
    <w:rsid w:val="0004245B"/>
    <w:rsid w:val="0005178F"/>
    <w:rsid w:val="000569A9"/>
    <w:rsid w:val="000A2304"/>
    <w:rsid w:val="000A69DE"/>
    <w:rsid w:val="000B7BB7"/>
    <w:rsid w:val="000D4560"/>
    <w:rsid w:val="000F0945"/>
    <w:rsid w:val="000F6EEF"/>
    <w:rsid w:val="0010270A"/>
    <w:rsid w:val="0016774E"/>
    <w:rsid w:val="0018459D"/>
    <w:rsid w:val="001845D5"/>
    <w:rsid w:val="001A3A66"/>
    <w:rsid w:val="001B09DB"/>
    <w:rsid w:val="001B2134"/>
    <w:rsid w:val="001C0B4E"/>
    <w:rsid w:val="001F65FD"/>
    <w:rsid w:val="00235AE1"/>
    <w:rsid w:val="00235E3E"/>
    <w:rsid w:val="002437DA"/>
    <w:rsid w:val="002A102B"/>
    <w:rsid w:val="002B4A3E"/>
    <w:rsid w:val="002C69A4"/>
    <w:rsid w:val="002E3B40"/>
    <w:rsid w:val="00301F44"/>
    <w:rsid w:val="00306F3A"/>
    <w:rsid w:val="003E142B"/>
    <w:rsid w:val="003E4DF2"/>
    <w:rsid w:val="00407B26"/>
    <w:rsid w:val="00414C20"/>
    <w:rsid w:val="00431B1E"/>
    <w:rsid w:val="00446052"/>
    <w:rsid w:val="004C4832"/>
    <w:rsid w:val="004D6F6B"/>
    <w:rsid w:val="00500997"/>
    <w:rsid w:val="0052190C"/>
    <w:rsid w:val="0052281E"/>
    <w:rsid w:val="00526313"/>
    <w:rsid w:val="00592F2A"/>
    <w:rsid w:val="00595603"/>
    <w:rsid w:val="005C2367"/>
    <w:rsid w:val="005D613D"/>
    <w:rsid w:val="005F27AE"/>
    <w:rsid w:val="00610C45"/>
    <w:rsid w:val="00686054"/>
    <w:rsid w:val="00686EA8"/>
    <w:rsid w:val="006B5542"/>
    <w:rsid w:val="006D2560"/>
    <w:rsid w:val="007011BD"/>
    <w:rsid w:val="00733362"/>
    <w:rsid w:val="00737A93"/>
    <w:rsid w:val="00742563"/>
    <w:rsid w:val="00774A9C"/>
    <w:rsid w:val="00781649"/>
    <w:rsid w:val="007A62D7"/>
    <w:rsid w:val="007D0CCC"/>
    <w:rsid w:val="0081225A"/>
    <w:rsid w:val="0081392A"/>
    <w:rsid w:val="008146D9"/>
    <w:rsid w:val="008334DE"/>
    <w:rsid w:val="008353DD"/>
    <w:rsid w:val="008A53E1"/>
    <w:rsid w:val="008B3DF5"/>
    <w:rsid w:val="008B4CE2"/>
    <w:rsid w:val="008D5386"/>
    <w:rsid w:val="008F072B"/>
    <w:rsid w:val="009349E5"/>
    <w:rsid w:val="009360DE"/>
    <w:rsid w:val="009372B3"/>
    <w:rsid w:val="00951594"/>
    <w:rsid w:val="009E437E"/>
    <w:rsid w:val="00A0019C"/>
    <w:rsid w:val="00A431A3"/>
    <w:rsid w:val="00A74241"/>
    <w:rsid w:val="00A7545D"/>
    <w:rsid w:val="00AA442B"/>
    <w:rsid w:val="00AB610C"/>
    <w:rsid w:val="00AD65D3"/>
    <w:rsid w:val="00AE72C5"/>
    <w:rsid w:val="00AF6EBB"/>
    <w:rsid w:val="00AF7545"/>
    <w:rsid w:val="00B0089A"/>
    <w:rsid w:val="00B07516"/>
    <w:rsid w:val="00B31B5B"/>
    <w:rsid w:val="00B568DC"/>
    <w:rsid w:val="00B81893"/>
    <w:rsid w:val="00B92199"/>
    <w:rsid w:val="00BB4BBB"/>
    <w:rsid w:val="00BB67C2"/>
    <w:rsid w:val="00BD0FE5"/>
    <w:rsid w:val="00BD1371"/>
    <w:rsid w:val="00C13A71"/>
    <w:rsid w:val="00C217DD"/>
    <w:rsid w:val="00C43F6D"/>
    <w:rsid w:val="00C56390"/>
    <w:rsid w:val="00C92258"/>
    <w:rsid w:val="00CC6243"/>
    <w:rsid w:val="00CE6475"/>
    <w:rsid w:val="00D03FD2"/>
    <w:rsid w:val="00D2753C"/>
    <w:rsid w:val="00D5205D"/>
    <w:rsid w:val="00D964E6"/>
    <w:rsid w:val="00DA6654"/>
    <w:rsid w:val="00DA7033"/>
    <w:rsid w:val="00DD26D3"/>
    <w:rsid w:val="00E05352"/>
    <w:rsid w:val="00E16104"/>
    <w:rsid w:val="00E20092"/>
    <w:rsid w:val="00E43C3D"/>
    <w:rsid w:val="00E7198F"/>
    <w:rsid w:val="00E71CB7"/>
    <w:rsid w:val="00EC3BBE"/>
    <w:rsid w:val="00EC4408"/>
    <w:rsid w:val="00ED64BD"/>
    <w:rsid w:val="00EE2A12"/>
    <w:rsid w:val="00EE4B09"/>
    <w:rsid w:val="00F0067F"/>
    <w:rsid w:val="00F2542A"/>
    <w:rsid w:val="00F27625"/>
    <w:rsid w:val="00F34368"/>
    <w:rsid w:val="00F74C5F"/>
    <w:rsid w:val="00F82139"/>
    <w:rsid w:val="00F9010E"/>
    <w:rsid w:val="00FA0F95"/>
    <w:rsid w:val="00FD3750"/>
    <w:rsid w:val="00FD5672"/>
    <w:rsid w:val="00FF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669AF-F25E-436E-906A-F28F3C25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2015-03-24T15:21:00Z</dcterms:created>
  <dcterms:modified xsi:type="dcterms:W3CDTF">2015-03-24T15:21:00Z</dcterms:modified>
</cp:coreProperties>
</file>