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3306" w:rsidRDefault="00C410B2">
      <w:pPr>
        <w:spacing w:before="120"/>
      </w:pPr>
      <w:bookmarkStart w:id="0" w:name="_GoBack"/>
      <w:bookmarkEnd w:id="0"/>
      <w:r>
        <w:rPr>
          <w:rFonts w:ascii="Cambria" w:eastAsia="Cambria" w:hAnsi="Cambria" w:cs="Cambria"/>
          <w:b/>
        </w:rPr>
        <w:t>Příloha 1: Potřeba lidských zdrojů na pokrytí klíčových procesů v TA ČR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TA ČR podle zákona č. 130/2002 Sb., § 36a, bodu 3 zabezpečuje všechny činnosti související s podporou aplikovaného výzkumu, zejména pak přípravu, realizaci a hodnocení programů, vyhlašování veřejných soutěží, hodnocení návrhů projektů, uzavírání smluv, poskytování podpory, kontrolu plnění smluv a kontrolu implementace výsledků. Hlavní oblastí podpory je spolupráce výzkumných organizací a podniků.      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Všechny činnosti, která TA ČR vykonává, jsou v souladu se zákonem a vládou schváleným statutem. TA ČR všechny činnosti systematicky popisuje v procesním modelu (viz Obr. 1.) tak, aby byly jednoznačné, měřitelné a </w:t>
      </w:r>
      <w:proofErr w:type="spellStart"/>
      <w:r>
        <w:rPr>
          <w:rFonts w:ascii="Cambria" w:eastAsia="Cambria" w:hAnsi="Cambria" w:cs="Cambria"/>
        </w:rPr>
        <w:t>auditovatelné</w:t>
      </w:r>
      <w:proofErr w:type="spellEnd"/>
      <w:r>
        <w:rPr>
          <w:rFonts w:ascii="Cambria" w:eastAsia="Cambria" w:hAnsi="Cambria" w:cs="Cambria"/>
        </w:rPr>
        <w:t xml:space="preserve">. Tento přístup umožňuje nejen řádné a efektivní vykonávání agend, ale i vyhodnocení kritických míst a trvalé zlepšování. 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Při vzniku TA ČR bylo uspořádání struktur (předsednictvo, výzkumná rada, kontrolní rada, kancelář TA ČR) a přidělené závazné ukazatele včetně počtu funkčních míst analogicky převzato z již existující Grantové agentury (GA ČR). Praktické zkušenosti získané při přípravě a realizaci 7 programů, vyhlášení 14 veřejných soutěží, hodnocení více než 5000 návrhů projektů a podpoře 1300 projektů však ukazují, že nelze na všechny činnosti pohlížet analogicky s GA ČR či jinými poskytovateli. 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Zásadní rozdíly jsou zejména: 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>dané zákonem č. 130/2002 Sb. - §36a, odst. 3) písmeno a), g) a h):</w:t>
      </w:r>
    </w:p>
    <w:p w:rsidR="008F3306" w:rsidRDefault="00C410B2">
      <w:pPr>
        <w:spacing w:before="120" w:line="240" w:lineRule="auto"/>
        <w:ind w:left="705"/>
        <w:jc w:val="both"/>
      </w:pPr>
      <w:r>
        <w:rPr>
          <w:rFonts w:ascii="Cambria" w:eastAsia="Cambria" w:hAnsi="Cambria" w:cs="Cambria"/>
        </w:rPr>
        <w:t>a) příprava a realizace programů aplikovaného výzkumu, vývoje a inovací včetně programů pro potřeby státní správy, veřejných soutěží ve výzkumu, vývoji a inovacích na podporu projektů a zadávání veřejných zakázek,</w:t>
      </w:r>
    </w:p>
    <w:p w:rsidR="008F3306" w:rsidRDefault="00C410B2">
      <w:pPr>
        <w:spacing w:before="120" w:line="240" w:lineRule="auto"/>
        <w:ind w:left="705"/>
        <w:jc w:val="both"/>
      </w:pPr>
      <w:r>
        <w:rPr>
          <w:rFonts w:ascii="Cambria" w:eastAsia="Cambria" w:hAnsi="Cambria" w:cs="Cambria"/>
        </w:rPr>
        <w:t xml:space="preserve">g) poradenství řešitelům projektů a uživatelům výsledků aplikovaného výzkumu, vývoje a inovací, zejména v oblasti právní, finanční a ochrany duševního vlastnictví, </w:t>
      </w:r>
    </w:p>
    <w:p w:rsidR="008F3306" w:rsidRDefault="00C410B2">
      <w:pPr>
        <w:spacing w:before="120" w:line="240" w:lineRule="auto"/>
        <w:ind w:left="705"/>
        <w:jc w:val="both"/>
      </w:pPr>
      <w:r>
        <w:rPr>
          <w:rFonts w:ascii="Cambria" w:eastAsia="Cambria" w:hAnsi="Cambria" w:cs="Cambria"/>
        </w:rPr>
        <w:t xml:space="preserve">h) podpora komunikace mezi výzkumnými organizacemi a soukromým sektorem a podílové financování programových projektů, </w:t>
      </w:r>
    </w:p>
    <w:p w:rsidR="008F3306" w:rsidRDefault="00C410B2">
      <w:pPr>
        <w:spacing w:before="120" w:line="240" w:lineRule="auto"/>
        <w:ind w:left="705"/>
        <w:jc w:val="both"/>
      </w:pPr>
      <w:r>
        <w:rPr>
          <w:rFonts w:ascii="Cambria" w:eastAsia="Cambria" w:hAnsi="Cambria" w:cs="Cambria"/>
        </w:rPr>
        <w:t>§ 31 odst. 6) kde uvedené lhůty pro hodnocení projektů a předání výsledků jsou pro TA ČR 3x kratší než pro GA ČR.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>dané povahou a zaměřením podpory zejména těch skutečností, že pravidla podpory jsou kromě národní legislativy definována evropskými pravidly veřejné podpory především v oblastech:</w:t>
      </w:r>
    </w:p>
    <w:p w:rsidR="008F3306" w:rsidRDefault="00C410B2">
      <w:pPr>
        <w:numPr>
          <w:ilvl w:val="0"/>
          <w:numId w:val="14"/>
        </w:numPr>
        <w:spacing w:before="120"/>
        <w:ind w:hanging="360"/>
        <w:contextualSpacing/>
        <w:jc w:val="both"/>
      </w:pPr>
      <w:r>
        <w:rPr>
          <w:rFonts w:ascii="Cambria" w:eastAsia="Cambria" w:hAnsi="Cambria" w:cs="Cambria"/>
        </w:rPr>
        <w:t>limitů podpory pro různé typy příjemců (malý, střední a velký podnik, výzkumná organizace),</w:t>
      </w:r>
    </w:p>
    <w:p w:rsidR="008F3306" w:rsidRDefault="00C410B2">
      <w:pPr>
        <w:numPr>
          <w:ilvl w:val="0"/>
          <w:numId w:val="14"/>
        </w:numPr>
        <w:spacing w:before="120"/>
        <w:ind w:hanging="360"/>
        <w:contextualSpacing/>
        <w:jc w:val="both"/>
      </w:pPr>
      <w:r>
        <w:rPr>
          <w:rFonts w:ascii="Cambria" w:eastAsia="Cambria" w:hAnsi="Cambria" w:cs="Cambria"/>
        </w:rPr>
        <w:t>limitů podpory pro různé fáze výzkumu (průmyslový výzkum a experimentální vývoj),</w:t>
      </w:r>
    </w:p>
    <w:p w:rsidR="008F3306" w:rsidRDefault="00C410B2">
      <w:pPr>
        <w:numPr>
          <w:ilvl w:val="0"/>
          <w:numId w:val="14"/>
        </w:numPr>
        <w:spacing w:before="120"/>
        <w:ind w:hanging="360"/>
        <w:contextualSpacing/>
        <w:jc w:val="both"/>
      </w:pPr>
      <w:r>
        <w:rPr>
          <w:rFonts w:ascii="Cambria" w:eastAsia="Cambria" w:hAnsi="Cambria" w:cs="Cambria"/>
        </w:rPr>
        <w:t>účinné spolupráce (podniky a výzkumné organizace),</w:t>
      </w:r>
    </w:p>
    <w:p w:rsidR="008F3306" w:rsidRDefault="00C410B2">
      <w:pPr>
        <w:numPr>
          <w:ilvl w:val="0"/>
          <w:numId w:val="14"/>
        </w:numPr>
        <w:spacing w:before="120"/>
        <w:ind w:hanging="360"/>
        <w:contextualSpacing/>
        <w:jc w:val="both"/>
      </w:pPr>
      <w:r>
        <w:rPr>
          <w:rFonts w:ascii="Cambria" w:eastAsia="Cambria" w:hAnsi="Cambria" w:cs="Cambria"/>
        </w:rPr>
        <w:t>ošetření práv k duševnímu vlastnictví,</w:t>
      </w:r>
    </w:p>
    <w:p w:rsidR="008F3306" w:rsidRDefault="00C410B2">
      <w:pPr>
        <w:numPr>
          <w:ilvl w:val="0"/>
          <w:numId w:val="14"/>
        </w:numPr>
        <w:spacing w:before="120"/>
        <w:ind w:hanging="360"/>
        <w:contextualSpacing/>
        <w:jc w:val="both"/>
      </w:pPr>
      <w:r>
        <w:rPr>
          <w:rFonts w:ascii="Cambria" w:eastAsia="Cambria" w:hAnsi="Cambria" w:cs="Cambria"/>
        </w:rPr>
        <w:t>zamezení podpory podniku v obtížích (hodnocení ekonomického zdraví),</w:t>
      </w:r>
    </w:p>
    <w:p w:rsidR="008F3306" w:rsidRDefault="00C410B2">
      <w:pPr>
        <w:numPr>
          <w:ilvl w:val="0"/>
          <w:numId w:val="14"/>
        </w:numPr>
        <w:spacing w:before="120"/>
        <w:ind w:hanging="360"/>
        <w:contextualSpacing/>
        <w:jc w:val="both"/>
      </w:pPr>
      <w:r>
        <w:rPr>
          <w:rFonts w:ascii="Cambria" w:eastAsia="Cambria" w:hAnsi="Cambria" w:cs="Cambria"/>
        </w:rPr>
        <w:t>kumulací podpory apod.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  <w:b/>
        </w:rPr>
        <w:t xml:space="preserve">Vzhledem k  těmto dalším činnostem, které je nutné řádně vykonávat, je stávající limit počtu funkčních míst ve výši 49 nedostačující. 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Doposud byla potřeba dalších kapacit pracovníků řešena krátkodobými dohodami o pracovní činnosti   nebo dohodami o provedení práce. Tento přístup je však i vzhledem k potřebě stabilního a kvalifikovaného týmu zaměstnanců nesystémový a trvale neudržitelný, přináší riziko fluktuace a nižší odpovědnosti. Navíc je na neudržitelnost tohoto stavu opakovaně upozorňováno interním auditem a ze strany kontrolní rady TA ČR, která je volena Poslaneckou sněmovnou Parlamentu ČR a která se zodpovídá ze své činnosti a ve zprávách pro výbor  VVKMT PSP ČR.. To vedlo např. k usnesení VVKMT PSP ČR, kde se doporučuje navýšení funkčních míst (FM) v TA ČR (viz usnesení z 19. 11. 2014), k </w:t>
      </w:r>
      <w:r>
        <w:rPr>
          <w:rFonts w:ascii="Cambria" w:eastAsia="Cambria" w:hAnsi="Cambria" w:cs="Cambria"/>
        </w:rPr>
        <w:lastRenderedPageBreak/>
        <w:t>němuž ovšem dosud nedošlo. Opakovaně je kanceláři TA ČR doporučováno žádat navýšení FM tak, aby odpovídala obdobným organizacím, např. kanceláři AV ČR. Pro organizaci typu a záběru jako je TA ČR je nezbytně nutné zajistit uvedený počet systémových FM, aby bylo možné stabilizovat tým zaměstnanců a disponovat zkušenými odborníky jak na vedoucích místech, tak na místech specialistů.  Podrobné zdůvodnění je součástí kapitolního sešitu státního rozpočtu - kapitoly 377 TA ČR, na rok 2016.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Dle činností, které Technologické agentuře ČR ukládá zákon č. 130/2002 Sb., jsme velmi podrobným výpočtem (souhrn ukazuje Tabulka č. 1) došli  k závěru, že bychom na precizní zpracování celé agendy potřebovali celkem 116 FM, tzn. že bychom měli požadovat dalších 67 FM. Uvědomujeme si, že takovýto počet FM není možné skokově obdržet. Vzhledem k činnostem, které máme pečlivě popsány v procesním modelu (viz Obrázek č. 1) na úrovních řídících a klíčových procesů, navíc s možností krátkodobých výpomocí, a na základě výše uváděných skutečností </w:t>
      </w:r>
      <w:r>
        <w:rPr>
          <w:rFonts w:ascii="Cambria" w:eastAsia="Cambria" w:hAnsi="Cambria" w:cs="Cambria"/>
          <w:b/>
        </w:rPr>
        <w:t>se na Vás obracíme s žádostí o navýšení limitu o 19 nových funkčních míst, tj. na 68 FM</w:t>
      </w:r>
      <w:r>
        <w:rPr>
          <w:rFonts w:ascii="Cambria" w:eastAsia="Cambria" w:hAnsi="Cambria" w:cs="Cambria"/>
        </w:rPr>
        <w:t xml:space="preserve"> s tím, že případné další navýšení funkčních míst by mělo být předmětem jednání při stanovování rozpočtu pro rok 2017. Všechna funkční místa jsou blíže </w:t>
      </w:r>
      <w:proofErr w:type="spellStart"/>
      <w:r>
        <w:rPr>
          <w:rFonts w:ascii="Cambria" w:eastAsia="Cambria" w:hAnsi="Cambria" w:cs="Cambria"/>
        </w:rPr>
        <w:t>specifikovanána</w:t>
      </w:r>
      <w:proofErr w:type="spellEnd"/>
      <w:r>
        <w:rPr>
          <w:rFonts w:ascii="Cambria" w:eastAsia="Cambria" w:hAnsi="Cambria" w:cs="Cambria"/>
        </w:rPr>
        <w:t xml:space="preserve"> a zdůvodněna v následujícím textu. Tato požadovaná funkční místa jsou nezbytná pro kvalitní zajištění hlavních činností TA ČR směřující k vyšší efektivitě účelové podpory </w:t>
      </w:r>
      <w:proofErr w:type="spellStart"/>
      <w:r>
        <w:rPr>
          <w:rFonts w:ascii="Cambria" w:eastAsia="Cambria" w:hAnsi="Cambria" w:cs="Cambria"/>
        </w:rPr>
        <w:t>VaV</w:t>
      </w:r>
      <w:proofErr w:type="spellEnd"/>
      <w:r>
        <w:rPr>
          <w:rFonts w:ascii="Cambria" w:eastAsia="Cambria" w:hAnsi="Cambria" w:cs="Cambria"/>
        </w:rPr>
        <w:t>, která je jedním z nástrojů zvýšení konkurenceschopnosti ČR. Pro srovnání uvádíme, že odbor MPO, podporující výzkum a vývoj, měl v době realizace programu TIP (2011-2012) celkem 48 zaměstnanců, za situace, kdy veškeré podpůrné agendy a uvolňování finančních prostředků žadatelům vykonávaly jiné útvary ministerstva.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>Obrázek č. 1  Procesní mapa TA ČR - přehledová úroveň</w:t>
      </w:r>
    </w:p>
    <w:p w:rsidR="008F3306" w:rsidRDefault="00C410B2">
      <w:pPr>
        <w:spacing w:before="120"/>
        <w:jc w:val="center"/>
      </w:pPr>
      <w:r>
        <w:rPr>
          <w:noProof/>
        </w:rPr>
        <w:drawing>
          <wp:inline distT="114300" distB="114300" distL="114300" distR="114300">
            <wp:extent cx="5780950" cy="4176713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80950" cy="41767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3306" w:rsidRDefault="00C410B2">
      <w:pPr>
        <w:spacing w:before="120"/>
      </w:pPr>
      <w:r>
        <w:rPr>
          <w:rFonts w:ascii="Cambria" w:eastAsia="Cambria" w:hAnsi="Cambria" w:cs="Cambria"/>
        </w:rPr>
        <w:t>Tabulka č. 1  Přehled potřeb lidských zdrojů pro výkon daných činností</w:t>
      </w:r>
    </w:p>
    <w:tbl>
      <w:tblPr>
        <w:tblStyle w:val="a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55"/>
        <w:gridCol w:w="1995"/>
        <w:gridCol w:w="1200"/>
        <w:gridCol w:w="1155"/>
        <w:gridCol w:w="1950"/>
      </w:tblGrid>
      <w:tr w:rsidR="008F3306">
        <w:tc>
          <w:tcPr>
            <w:tcW w:w="3555" w:type="dxa"/>
          </w:tcPr>
          <w:p w:rsidR="008F3306" w:rsidRDefault="00C410B2">
            <w:pPr>
              <w:spacing w:before="120"/>
              <w:jc w:val="center"/>
            </w:pPr>
            <w:r>
              <w:rPr>
                <w:rFonts w:ascii="Cambria" w:eastAsia="Cambria" w:hAnsi="Cambria" w:cs="Cambria"/>
                <w:b/>
              </w:rPr>
              <w:lastRenderedPageBreak/>
              <w:t>Oblast činností</w:t>
            </w:r>
          </w:p>
        </w:tc>
        <w:tc>
          <w:tcPr>
            <w:tcW w:w="1995" w:type="dxa"/>
            <w:vAlign w:val="center"/>
          </w:tcPr>
          <w:p w:rsidR="008F3306" w:rsidRDefault="00C410B2">
            <w:pPr>
              <w:spacing w:before="120"/>
              <w:jc w:val="center"/>
            </w:pPr>
            <w:r>
              <w:rPr>
                <w:rFonts w:ascii="Cambria" w:eastAsia="Cambria" w:hAnsi="Cambria" w:cs="Cambria"/>
                <w:b/>
              </w:rPr>
              <w:t xml:space="preserve">Činnosti dle §36a (odst.) </w:t>
            </w:r>
            <w:proofErr w:type="spellStart"/>
            <w:r>
              <w:rPr>
                <w:rFonts w:ascii="Cambria" w:eastAsia="Cambria" w:hAnsi="Cambria" w:cs="Cambria"/>
                <w:b/>
              </w:rPr>
              <w:t>pís</w:t>
            </w:r>
            <w:proofErr w:type="spellEnd"/>
            <w:r>
              <w:rPr>
                <w:rFonts w:ascii="Cambria" w:eastAsia="Cambria" w:hAnsi="Cambria" w:cs="Cambria"/>
                <w:b/>
              </w:rPr>
              <w:t>.) zák. č. 130/2002 Sb.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jc w:val="center"/>
            </w:pPr>
            <w:r>
              <w:rPr>
                <w:rFonts w:ascii="Cambria" w:eastAsia="Cambria" w:hAnsi="Cambria" w:cs="Cambria"/>
                <w:b/>
              </w:rPr>
              <w:t>Stávající stav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jc w:val="center"/>
            </w:pPr>
            <w:r>
              <w:rPr>
                <w:rFonts w:ascii="Cambria" w:eastAsia="Cambria" w:hAnsi="Cambria" w:cs="Cambria"/>
                <w:b/>
              </w:rPr>
              <w:t>Celková potřeba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jc w:val="center"/>
            </w:pPr>
            <w:r>
              <w:rPr>
                <w:rFonts w:ascii="Cambria" w:eastAsia="Cambria" w:hAnsi="Cambria" w:cs="Cambria"/>
                <w:b/>
              </w:rPr>
              <w:t>Rozdíl/potřeba navýšení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Veřejné soutěže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(3) a)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15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11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Hodnocení projektů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(3) b)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3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Odborné hodnocení - Sektoroví specialisté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(3) b)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7</w:t>
            </w:r>
          </w:p>
        </w:tc>
      </w:tr>
      <w:tr w:rsidR="008F3306">
        <w:trPr>
          <w:trHeight w:val="380"/>
        </w:trPr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Veřejné zakázky program „BETA“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(3) a)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11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9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Realizace projektů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(3) d),  e)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19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Poskytování podpory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 xml:space="preserve">(3) c),  f) 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3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Kontroly projektů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(3) d),  e)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3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Příprava programů a zahraniční spolupráce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(3) a),  j)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10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6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Jednání s orgány ČR a EU o slučitelnosti podpory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(3) i)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 xml:space="preserve">Poradenství řešitelům a podpora komunikace </w:t>
            </w:r>
            <w:proofErr w:type="spellStart"/>
            <w:r>
              <w:rPr>
                <w:rFonts w:ascii="Cambria" w:eastAsia="Cambria" w:hAnsi="Cambria" w:cs="Cambria"/>
              </w:rPr>
              <w:t>kolaborat</w:t>
            </w:r>
            <w:proofErr w:type="spellEnd"/>
            <w:r>
              <w:rPr>
                <w:rFonts w:ascii="Cambria" w:eastAsia="Cambria" w:hAnsi="Cambria" w:cs="Cambria"/>
              </w:rPr>
              <w:t>. výzkumu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(3) g),  h)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3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Předsednictvo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(4)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0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Ostatní (ekonomické- účetnictví a rozpočet, IT zabezpečení, personalistika, právní služby,, analytické služby, interní audit, podpora výzkumné a kontrolní rady, atd.)</w:t>
            </w:r>
          </w:p>
        </w:tc>
        <w:tc>
          <w:tcPr>
            <w:tcW w:w="1995" w:type="dxa"/>
          </w:tcPr>
          <w:p w:rsidR="008F3306" w:rsidRDefault="00C410B2">
            <w:pPr>
              <w:spacing w:before="120"/>
            </w:pPr>
            <w:r>
              <w:rPr>
                <w:rFonts w:ascii="Cambria" w:eastAsia="Cambria" w:hAnsi="Cambria" w:cs="Cambria"/>
              </w:rPr>
              <w:t>-</w:t>
            </w: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15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</w:rPr>
              <w:t>2</w:t>
            </w:r>
          </w:p>
        </w:tc>
      </w:tr>
      <w:tr w:rsidR="008F3306">
        <w:tc>
          <w:tcPr>
            <w:tcW w:w="3555" w:type="dxa"/>
          </w:tcPr>
          <w:p w:rsidR="008F3306" w:rsidRDefault="00C410B2">
            <w:pPr>
              <w:spacing w:before="120"/>
              <w:jc w:val="both"/>
            </w:pPr>
            <w:r>
              <w:rPr>
                <w:rFonts w:ascii="Cambria" w:eastAsia="Cambria" w:hAnsi="Cambria" w:cs="Cambria"/>
                <w:b/>
              </w:rPr>
              <w:t>Celková potřeba funkčních míst</w:t>
            </w:r>
          </w:p>
        </w:tc>
        <w:tc>
          <w:tcPr>
            <w:tcW w:w="1995" w:type="dxa"/>
          </w:tcPr>
          <w:p w:rsidR="008F3306" w:rsidRDefault="008F3306">
            <w:pPr>
              <w:widowControl w:val="0"/>
            </w:pPr>
          </w:p>
        </w:tc>
        <w:tc>
          <w:tcPr>
            <w:tcW w:w="120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  <w:b/>
              </w:rPr>
              <w:t>49</w:t>
            </w:r>
          </w:p>
        </w:tc>
        <w:tc>
          <w:tcPr>
            <w:tcW w:w="1155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  <w:b/>
              </w:rPr>
              <w:t>116</w:t>
            </w:r>
          </w:p>
        </w:tc>
        <w:tc>
          <w:tcPr>
            <w:tcW w:w="1950" w:type="dxa"/>
          </w:tcPr>
          <w:p w:rsidR="008F3306" w:rsidRDefault="00C410B2">
            <w:pPr>
              <w:spacing w:before="120"/>
              <w:ind w:left="375"/>
            </w:pPr>
            <w:r>
              <w:rPr>
                <w:rFonts w:ascii="Cambria" w:eastAsia="Cambria" w:hAnsi="Cambria" w:cs="Cambria"/>
                <w:b/>
              </w:rPr>
              <w:t>67</w:t>
            </w:r>
          </w:p>
        </w:tc>
      </w:tr>
    </w:tbl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EF0A1B" w:rsidRDefault="00EF0A1B">
      <w:pPr>
        <w:spacing w:before="120"/>
        <w:jc w:val="both"/>
      </w:pP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  <w:b/>
        </w:rPr>
        <w:lastRenderedPageBreak/>
        <w:t xml:space="preserve">Příloha 2: Důvody a argumenty pro navýšení funkčních míst k vybraným činnostem TA ČR, které jsou uložené zákonem č. 130/2002 Sb. </w:t>
      </w:r>
    </w:p>
    <w:p w:rsidR="008F3306" w:rsidRDefault="008F3306">
      <w:pPr>
        <w:spacing w:before="120"/>
        <w:jc w:val="both"/>
      </w:pPr>
    </w:p>
    <w:tbl>
      <w:tblPr>
        <w:tblStyle w:val="a0"/>
        <w:tblW w:w="967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80"/>
        <w:gridCol w:w="2910"/>
        <w:gridCol w:w="930"/>
        <w:gridCol w:w="2685"/>
        <w:gridCol w:w="870"/>
      </w:tblGrid>
      <w:tr w:rsidR="008F3306">
        <w:trPr>
          <w:trHeight w:val="420"/>
        </w:trPr>
        <w:tc>
          <w:tcPr>
            <w:tcW w:w="9675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</w:rPr>
              <w:t>Veřejné soutěže</w:t>
            </w:r>
          </w:p>
        </w:tc>
      </w:tr>
      <w:tr w:rsidR="008F3306">
        <w:trPr>
          <w:trHeight w:val="420"/>
        </w:trPr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Činnosti</w:t>
            </w:r>
          </w:p>
        </w:tc>
        <w:tc>
          <w:tcPr>
            <w:tcW w:w="7395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 xml:space="preserve"> Zajištění realizace veřejných soutěží jednotlivých programů ve výzkumu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příprava a vyhlášení veřejných soutěží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příprava, nastavení a testování informačního systému veřejných soutěží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informování uchazečů - semináře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 xml:space="preserve">odpovídání dotazů -  </w:t>
            </w:r>
            <w:proofErr w:type="spellStart"/>
            <w:r>
              <w:rPr>
                <w:rFonts w:ascii="Cambria" w:eastAsia="Cambria" w:hAnsi="Cambria" w:cs="Cambria"/>
              </w:rPr>
              <w:t>hepldesk</w:t>
            </w:r>
            <w:proofErr w:type="spellEnd"/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 xml:space="preserve">povinné zveřejňováni údajů - věstník, úřední deska, </w:t>
            </w:r>
            <w:proofErr w:type="spellStart"/>
            <w:r>
              <w:rPr>
                <w:rFonts w:ascii="Cambria" w:eastAsia="Cambria" w:hAnsi="Cambria" w:cs="Cambria"/>
              </w:rPr>
              <w:t>ISVaV</w:t>
            </w:r>
            <w:proofErr w:type="spellEnd"/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formální kontrola žádostí, zajištění údajů z veřejných registrů (OR, RT)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kontrola a hodnocení způsobilosti uchazečů - odborná způsobilost, bezúhonnost apod.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zajištění hodnocení projektů - jednání hodnotících orgánů (protokoly, zápisy, bodování, pořadníky apod.)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řešení stížností - příprava podkladů pro kontrolní radu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vyhlášení výsledků veřejné soutěže - zveřejnění a rozesílání rozhodnutí</w:t>
            </w:r>
          </w:p>
        </w:tc>
      </w:tr>
      <w:tr w:rsidR="008F3306">
        <w:trPr>
          <w:trHeight w:val="420"/>
        </w:trPr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Kvantifikace</w:t>
            </w:r>
          </w:p>
        </w:tc>
        <w:tc>
          <w:tcPr>
            <w:tcW w:w="7395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Od roku 2010 bylo vyhlášeno 7 vládou schválených programech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14 veřejných soutěžích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 xml:space="preserve">5 000 návrhů projektů přijato a kontrolováno 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3 000 subjektů kontrolována způsobilost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1 300 projektů vybráno k podpoře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3 výzvy k výzkumným potřebám programu BETA vyhlášeno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190 výzkumných potřeb programu BETA hodnoceno</w:t>
            </w:r>
          </w:p>
          <w:p w:rsidR="008F3306" w:rsidRDefault="00C410B2">
            <w:pPr>
              <w:widowControl w:val="0"/>
              <w:numPr>
                <w:ilvl w:val="0"/>
                <w:numId w:val="1"/>
              </w:numPr>
              <w:spacing w:line="240" w:lineRule="auto"/>
              <w:ind w:left="240" w:hanging="150"/>
              <w:contextualSpacing/>
            </w:pPr>
            <w:r>
              <w:rPr>
                <w:rFonts w:ascii="Cambria" w:eastAsia="Cambria" w:hAnsi="Cambria" w:cs="Cambria"/>
              </w:rPr>
              <w:t>v současnosti průměrně 4 soutěže za rok</w:t>
            </w:r>
          </w:p>
        </w:tc>
      </w:tr>
      <w:tr w:rsidR="008F3306">
        <w:trPr>
          <w:trHeight w:val="420"/>
        </w:trPr>
        <w:tc>
          <w:tcPr>
            <w:tcW w:w="228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Výkonové indikátory</w:t>
            </w: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Stávající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FM</w:t>
            </w: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Navrhované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FM</w:t>
            </w:r>
          </w:p>
        </w:tc>
      </w:tr>
      <w:tr w:rsidR="008F3306">
        <w:trPr>
          <w:trHeight w:val="420"/>
        </w:trPr>
        <w:tc>
          <w:tcPr>
            <w:tcW w:w="22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widowControl w:val="0"/>
              <w:spacing w:line="240" w:lineRule="auto"/>
            </w:pP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1 FM/4 soutěže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1 FM/1 soutěž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4</w:t>
            </w:r>
          </w:p>
        </w:tc>
      </w:tr>
      <w:tr w:rsidR="008F3306">
        <w:trPr>
          <w:trHeight w:val="420"/>
        </w:trPr>
        <w:tc>
          <w:tcPr>
            <w:tcW w:w="22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widowControl w:val="0"/>
              <w:spacing w:line="240" w:lineRule="auto"/>
            </w:pP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2 FM/1000 přihlášek</w:t>
            </w:r>
          </w:p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2 FM/700 subjektů</w:t>
            </w:r>
          </w:p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2 FM/200 projektů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 xml:space="preserve">6 FM/1000 přihlášek 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6</w:t>
            </w:r>
          </w:p>
        </w:tc>
      </w:tr>
      <w:tr w:rsidR="008F3306">
        <w:trPr>
          <w:trHeight w:val="420"/>
        </w:trPr>
        <w:tc>
          <w:tcPr>
            <w:tcW w:w="22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widowControl w:val="0"/>
              <w:spacing w:line="240" w:lineRule="auto"/>
            </w:pP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 xml:space="preserve">Ostatní 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Ostatní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5</w:t>
            </w:r>
          </w:p>
        </w:tc>
      </w:tr>
      <w:tr w:rsidR="008F3306">
        <w:trPr>
          <w:trHeight w:val="420"/>
        </w:trPr>
        <w:tc>
          <w:tcPr>
            <w:tcW w:w="22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widowControl w:val="0"/>
              <w:spacing w:line="240" w:lineRule="auto"/>
            </w:pPr>
          </w:p>
        </w:tc>
        <w:tc>
          <w:tcPr>
            <w:tcW w:w="2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</w:rPr>
              <w:t>Celkem</w:t>
            </w:r>
          </w:p>
        </w:tc>
        <w:tc>
          <w:tcPr>
            <w:tcW w:w="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</w:rPr>
              <w:t>4</w:t>
            </w: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widowControl w:val="0"/>
              <w:spacing w:line="240" w:lineRule="auto"/>
            </w:pP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  <w:b/>
              </w:rPr>
              <w:t>15</w:t>
            </w:r>
          </w:p>
        </w:tc>
      </w:tr>
    </w:tbl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tbl>
      <w:tblPr>
        <w:tblStyle w:val="a1"/>
        <w:tblW w:w="962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2900"/>
        <w:gridCol w:w="920"/>
        <w:gridCol w:w="2680"/>
        <w:gridCol w:w="860"/>
      </w:tblGrid>
      <w:tr w:rsidR="008F3306">
        <w:trPr>
          <w:trHeight w:val="420"/>
        </w:trPr>
        <w:tc>
          <w:tcPr>
            <w:tcW w:w="96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lastRenderedPageBreak/>
              <w:t>Hodnocení projektů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Činnosti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 Zajištění hodnocení projektů v rámci veřejných soutěží, veřejných zakázek, realizace projektů a jejich ukončování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správa databáze externích hodnotitelů, registrace a změny údajů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řízení interních hodnotitelských kapacit (sektoroví specialisté, zpravodajové, rady programu), příprava nominací hodnotitelů pro výzkumnou radu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posuzování způsobilosti hodnotitelů, jejich hodnocení, vyřazování nezpůsobilých hodnotitelů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školení hodnotitelů před veřejnou soutěží, e-</w:t>
            </w:r>
            <w:proofErr w:type="spellStart"/>
            <w:r>
              <w:rPr>
                <w:rFonts w:ascii="Cambria" w:eastAsia="Cambria" w:hAnsi="Cambria" w:cs="Cambria"/>
              </w:rPr>
              <w:t>learning</w:t>
            </w:r>
            <w:proofErr w:type="spellEnd"/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 xml:space="preserve">odpovídání dotazů hodnotitelů -  </w:t>
            </w:r>
            <w:proofErr w:type="spellStart"/>
            <w:r>
              <w:rPr>
                <w:rFonts w:ascii="Cambria" w:eastAsia="Cambria" w:hAnsi="Cambria" w:cs="Cambria"/>
              </w:rPr>
              <w:t>hepldesk</w:t>
            </w:r>
            <w:proofErr w:type="spellEnd"/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uzavírání smluv s hodnotiteli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příprava podkladů pro proplácení smluv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účast na jednání hodnotících orgánů (řešení nedostatků hodnocení, náhradní posudky apod.)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vyhodnocování posudků na základě stížností (zákona č. 130/2002 Sb.)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agenda podniku v obtížích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Kvantifikace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Od vzniku TA ČR bylo vypracováno celkem </w:t>
            </w:r>
          </w:p>
          <w:p w:rsidR="008F3306" w:rsidRDefault="00C410B2">
            <w:pPr>
              <w:numPr>
                <w:ilvl w:val="0"/>
                <w:numId w:val="15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12 373 posudků ve veřejné soutěži (oponentské posudky), tj. průměrně 2475 posudků ročně,</w:t>
            </w:r>
          </w:p>
          <w:p w:rsidR="008F3306" w:rsidRDefault="00C410B2">
            <w:pPr>
              <w:numPr>
                <w:ilvl w:val="0"/>
                <w:numId w:val="15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4 464 stanovisek zpravodajů ve veřejné soutěži, tj. průměrně 893 stanovisek ročně,</w:t>
            </w:r>
          </w:p>
          <w:p w:rsidR="008F3306" w:rsidRDefault="00C410B2">
            <w:pPr>
              <w:numPr>
                <w:ilvl w:val="0"/>
                <w:numId w:val="15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2 161 odborných hodnocení, tj. průměrně 432 hodnocení ročně,</w:t>
            </w:r>
          </w:p>
          <w:p w:rsidR="008F3306" w:rsidRDefault="00C410B2">
            <w:pPr>
              <w:numPr>
                <w:ilvl w:val="0"/>
                <w:numId w:val="15"/>
              </w:numPr>
              <w:spacing w:line="288" w:lineRule="auto"/>
              <w:ind w:hanging="360"/>
              <w:contextualSpacing/>
              <w:jc w:val="both"/>
              <w:rPr>
                <w:highlight w:val="white"/>
              </w:rPr>
            </w:pPr>
            <w:r>
              <w:rPr>
                <w:rFonts w:ascii="Cambria" w:eastAsia="Cambria" w:hAnsi="Cambria" w:cs="Cambria"/>
              </w:rPr>
              <w:t>898 posudků pro závěrečná oponentních řízení, tj. průměrně 180 posudků ročně,</w:t>
            </w:r>
          </w:p>
          <w:p w:rsidR="008F3306" w:rsidRDefault="00C410B2">
            <w:pPr>
              <w:numPr>
                <w:ilvl w:val="0"/>
                <w:numId w:val="15"/>
              </w:numPr>
              <w:spacing w:line="240" w:lineRule="auto"/>
              <w:ind w:hanging="360"/>
              <w:contextualSpacing/>
              <w:jc w:val="both"/>
              <w:rPr>
                <w:highlight w:val="white"/>
              </w:rPr>
            </w:pPr>
            <w:r>
              <w:rPr>
                <w:rFonts w:ascii="Cambria" w:eastAsia="Cambria" w:hAnsi="Cambria" w:cs="Cambria"/>
              </w:rPr>
              <w:t>231 posudků pro průběžná oponentní řízení, tj. průměrně 46 posudků ročně.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Pozn.: Průměrné hodnoty je třeba vnímat pouze orientačně. V průběhu let počet veřejných soutěží vyhlašovaných v jednom roce narůstá, hodnocení uchazečů odbornými hodnotiteli probíhá až v posledních třech letech, počty hodnocení v jednotlivých soutěžích se mění i v závislosti na změně metodik. Obecně lze říci, že počty realizovaných hodnocení mají meziročně vzrůstající tendenci. Výjimkou je rok 2015, kdy nebyla vyhlášena veřejná soutěž v žádném z velkých programů typu ALFA či EPSILON. V příštím roce se opět počítá s nárůstem hodnocení. S ukončováním projektů také poroste potřeba posudků pro závěrečná oponentní řízení.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V roce 2015 bude vypracováno celkem</w:t>
            </w:r>
          </w:p>
          <w:p w:rsidR="008F3306" w:rsidRDefault="00C410B2">
            <w:pPr>
              <w:numPr>
                <w:ilvl w:val="0"/>
                <w:numId w:val="3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1 145 posudků ve veřejné soutěži (oponentské posudky),</w:t>
            </w:r>
          </w:p>
          <w:p w:rsidR="008F3306" w:rsidRDefault="00C410B2">
            <w:pPr>
              <w:numPr>
                <w:ilvl w:val="0"/>
                <w:numId w:val="3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383 stanovisek zpravodajů ve veřejné soutěži,</w:t>
            </w:r>
          </w:p>
          <w:p w:rsidR="008F3306" w:rsidRDefault="00C410B2">
            <w:pPr>
              <w:numPr>
                <w:ilvl w:val="0"/>
                <w:numId w:val="3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95 odborných hodnocení,</w:t>
            </w:r>
          </w:p>
          <w:p w:rsidR="008F3306" w:rsidRDefault="00C410B2">
            <w:pPr>
              <w:numPr>
                <w:ilvl w:val="0"/>
                <w:numId w:val="4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 xml:space="preserve">562 posudků pro závěrečná oponentních řízení, </w:t>
            </w:r>
          </w:p>
          <w:p w:rsidR="008F3306" w:rsidRDefault="00C410B2">
            <w:pPr>
              <w:numPr>
                <w:ilvl w:val="0"/>
                <w:numId w:val="4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204 posudků pro průběžná oponentní řízení.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Školení hodnotitelů v roce 2015</w:t>
            </w:r>
          </w:p>
          <w:p w:rsidR="008F3306" w:rsidRDefault="00C410B2">
            <w:pPr>
              <w:numPr>
                <w:ilvl w:val="0"/>
                <w:numId w:val="10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1 e-</w:t>
            </w:r>
            <w:proofErr w:type="spellStart"/>
            <w:r>
              <w:rPr>
                <w:rFonts w:ascii="Cambria" w:eastAsia="Cambria" w:hAnsi="Cambria" w:cs="Cambria"/>
              </w:rPr>
              <w:t>learningový</w:t>
            </w:r>
            <w:proofErr w:type="spellEnd"/>
            <w:r>
              <w:rPr>
                <w:rFonts w:ascii="Cambria" w:eastAsia="Cambria" w:hAnsi="Cambria" w:cs="Cambria"/>
              </w:rPr>
              <w:t xml:space="preserve"> kurz pro oponenty,</w:t>
            </w:r>
          </w:p>
          <w:p w:rsidR="008F3306" w:rsidRDefault="00C410B2">
            <w:pPr>
              <w:numPr>
                <w:ilvl w:val="0"/>
                <w:numId w:val="10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2 prezenční semináře pro oponenty,</w:t>
            </w:r>
          </w:p>
          <w:p w:rsidR="008F3306" w:rsidRDefault="00C410B2">
            <w:pPr>
              <w:numPr>
                <w:ilvl w:val="0"/>
                <w:numId w:val="1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 prezenční semináře pro odborné hodnotitele,</w:t>
            </w:r>
          </w:p>
          <w:p w:rsidR="008F3306" w:rsidRDefault="00C410B2">
            <w:pPr>
              <w:numPr>
                <w:ilvl w:val="0"/>
                <w:numId w:val="10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3 prezenční semináře pro zpravodaje,</w:t>
            </w:r>
          </w:p>
          <w:p w:rsidR="008F3306" w:rsidRDefault="00C410B2">
            <w:pPr>
              <w:numPr>
                <w:ilvl w:val="0"/>
                <w:numId w:val="10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3 prezenční semináře pro pověřené konzultanty.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Počty hodnotitelů v databázi TA ČR a členů odborných poradních orgánů</w:t>
            </w:r>
          </w:p>
          <w:p w:rsidR="008F3306" w:rsidRDefault="00C410B2">
            <w:pPr>
              <w:numPr>
                <w:ilvl w:val="0"/>
                <w:numId w:val="2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1 561 oponentů (1 311 tuzemských, 250 zahraničních),</w:t>
            </w:r>
          </w:p>
          <w:p w:rsidR="008F3306" w:rsidRDefault="00C410B2">
            <w:pPr>
              <w:numPr>
                <w:ilvl w:val="0"/>
                <w:numId w:val="2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204 členů kolegií odborníků (z toho 204 zpravodajů),</w:t>
            </w:r>
          </w:p>
          <w:p w:rsidR="008F3306" w:rsidRDefault="00C410B2">
            <w:pPr>
              <w:numPr>
                <w:ilvl w:val="0"/>
                <w:numId w:val="2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80 členů rad programů (z toho 17 zpravodajů),</w:t>
            </w:r>
          </w:p>
          <w:p w:rsidR="008F3306" w:rsidRDefault="00C410B2">
            <w:pPr>
              <w:numPr>
                <w:ilvl w:val="0"/>
                <w:numId w:val="2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23 odborných hodnotitelů,</w:t>
            </w:r>
          </w:p>
          <w:p w:rsidR="008F3306" w:rsidRDefault="00C410B2">
            <w:pPr>
              <w:numPr>
                <w:ilvl w:val="0"/>
                <w:numId w:val="2"/>
              </w:numPr>
              <w:spacing w:before="120" w:line="240" w:lineRule="auto"/>
              <w:ind w:hanging="36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22 pověřených konzultantů center kompetence.</w:t>
            </w:r>
          </w:p>
          <w:p w:rsidR="008F3306" w:rsidRDefault="008F3306">
            <w:pPr>
              <w:spacing w:before="120" w:line="240" w:lineRule="auto"/>
              <w:jc w:val="both"/>
            </w:pPr>
          </w:p>
        </w:tc>
      </w:tr>
      <w:tr w:rsidR="008F3306">
        <w:trPr>
          <w:trHeight w:val="420"/>
        </w:trPr>
        <w:tc>
          <w:tcPr>
            <w:tcW w:w="22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Výkonové indikátory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Stávající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Navrhované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1,5 FM/2 475 posudků, 893 stanovisek, 432 odborných hodnocení, 226 posudků pro oponentní řízení, 900 smluv s oponenty, 50 smluv se zpravodaji, 5 smluv s odbornými hodnotiteli, 6 školení pro hodnotitele</w:t>
            </w:r>
          </w:p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1,5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 FM/2 475 posudků, 6 školení pro hodnotitele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FM/893 stanovisek, 432 odborných hodnocení, 226 posudků pro oponentní řízení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1 FM/900 smluv s oponenty, 50 smluv se zpravodaji, 5 smluv s odbornými hodnotiteli 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4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Ostatní 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0,5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Ostatní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Celkem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5</w:t>
            </w:r>
          </w:p>
        </w:tc>
      </w:tr>
    </w:tbl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tbl>
      <w:tblPr>
        <w:tblStyle w:val="a2"/>
        <w:tblW w:w="962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2900"/>
        <w:gridCol w:w="920"/>
        <w:gridCol w:w="2680"/>
        <w:gridCol w:w="860"/>
      </w:tblGrid>
      <w:tr w:rsidR="008F3306">
        <w:trPr>
          <w:trHeight w:val="420"/>
        </w:trPr>
        <w:tc>
          <w:tcPr>
            <w:tcW w:w="96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Sektoroví specialisté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Činnosti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Agenda sektorových specialistů je podstatná zejména pro podporu  hodnocení projektů. Zavedení činnosti interních oponentů má své opodstatnění v provedeném zahraničním srovnání, ze kterého vyplývá, že v zahraničí je agenda interních hodnotitelů zcela běžná. 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Dílčí agendy zahrnují zejména: 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hodnocení kvality posudků zpracovaných externími hodnotiteli,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 xml:space="preserve">účast na oponentních řízeních, 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účast na veřejnosprávních kontrolách,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účast v komisích v rámci veřejných soutěží,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vykonávání činností pověřených konzultantů,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vyjadřování se k materiálům </w:t>
            </w:r>
            <w:proofErr w:type="spellStart"/>
            <w:r>
              <w:rPr>
                <w:rFonts w:ascii="Cambria" w:eastAsia="Cambria" w:hAnsi="Cambria" w:cs="Cambria"/>
              </w:rPr>
              <w:t>eKlep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odborné vyjádření k relevantním materiálům v </w:t>
            </w:r>
            <w:proofErr w:type="spellStart"/>
            <w:r>
              <w:rPr>
                <w:rFonts w:ascii="Cambria" w:eastAsia="Cambria" w:hAnsi="Cambria" w:cs="Cambria"/>
              </w:rPr>
              <w:t>eKlep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posuzování stížností, duplicit a multiplicit návrhů projektů.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Kvantifikace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Agenda sektorových specialistů vyžaduje zajištění dostatečného počtu odborníků v následujících oborech: </w:t>
            </w:r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životní prostředí</w:t>
            </w:r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zemědělství a lesní hospodářství</w:t>
            </w:r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strojírenství</w:t>
            </w:r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fyzika a materiály, matematika a statistika</w:t>
            </w:r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chemie, </w:t>
            </w:r>
            <w:proofErr w:type="spellStart"/>
            <w:r>
              <w:rPr>
                <w:rFonts w:ascii="Cambria" w:eastAsia="Cambria" w:hAnsi="Cambria" w:cs="Cambria"/>
              </w:rPr>
              <w:t>biovědy</w:t>
            </w:r>
            <w:proofErr w:type="spellEnd"/>
            <w:r>
              <w:rPr>
                <w:rFonts w:ascii="Cambria" w:eastAsia="Cambria" w:hAnsi="Cambria" w:cs="Cambria"/>
              </w:rPr>
              <w:t xml:space="preserve"> a lékařství</w:t>
            </w:r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doprava</w:t>
            </w:r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ekonomické a humanitní vědy</w:t>
            </w:r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energetika a elektronika</w:t>
            </w:r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informatika, výpočetní technika, robotika a </w:t>
            </w:r>
            <w:proofErr w:type="spellStart"/>
            <w:r>
              <w:rPr>
                <w:rFonts w:ascii="Cambria" w:eastAsia="Cambria" w:hAnsi="Cambria" w:cs="Cambria"/>
              </w:rPr>
              <w:t>mechatronika</w:t>
            </w:r>
            <w:proofErr w:type="spellEnd"/>
          </w:p>
          <w:p w:rsidR="008F3306" w:rsidRDefault="00C410B2">
            <w:pPr>
              <w:numPr>
                <w:ilvl w:val="0"/>
                <w:numId w:val="20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stavebnictví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Podle počtu projektů v jednotlivých oborech lze v případě několika okruhů hovořit o spojení, není tedy potřeba disponovat specialistou na každý obor. </w:t>
            </w:r>
          </w:p>
        </w:tc>
      </w:tr>
      <w:tr w:rsidR="008F3306">
        <w:trPr>
          <w:trHeight w:val="420"/>
        </w:trPr>
        <w:tc>
          <w:tcPr>
            <w:tcW w:w="22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Výkonové indikátory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Stávající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Navrhované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FM/4 soutěže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FM/1 soutěž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3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FM/1000 přihlášek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FM/700 subjektů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FM/200 projektů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4 FM/1000 přihlášek 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4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Celkem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0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7</w:t>
            </w:r>
          </w:p>
        </w:tc>
      </w:tr>
    </w:tbl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tbl>
      <w:tblPr>
        <w:tblStyle w:val="a3"/>
        <w:tblW w:w="994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2715"/>
        <w:gridCol w:w="855"/>
        <w:gridCol w:w="2520"/>
        <w:gridCol w:w="1740"/>
      </w:tblGrid>
      <w:tr w:rsidR="008F3306">
        <w:trPr>
          <w:trHeight w:val="420"/>
        </w:trPr>
        <w:tc>
          <w:tcPr>
            <w:tcW w:w="9945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  <w:b/>
              </w:rPr>
              <w:t>Veřejné zakázky</w:t>
            </w:r>
            <w:r>
              <w:rPr>
                <w:rFonts w:ascii="Cambria" w:eastAsia="Cambria" w:hAnsi="Cambria" w:cs="Cambria"/>
              </w:rPr>
              <w:t xml:space="preserve"> (BETA) </w:t>
            </w:r>
          </w:p>
        </w:tc>
      </w:tr>
      <w:tr w:rsidR="008F3306">
        <w:trPr>
          <w:trHeight w:val="420"/>
        </w:trPr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Činnosti</w:t>
            </w:r>
          </w:p>
        </w:tc>
        <w:tc>
          <w:tcPr>
            <w:tcW w:w="783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S ohledem na zavedení nových procesů (výstup projektu Rozvoj) do administrace veřejných zakázek a zavedení metody PCP v režimu veřejných zakázek do programu (výstup projektu Zefektivnění), s ohledem na nové instituty dle připravovaného zákona o veřejných zakázkách (inovační partnerství) se kromě zvýšení kvality projektů  předpokládá </w:t>
            </w:r>
          </w:p>
          <w:p w:rsidR="008F3306" w:rsidRDefault="00C410B2">
            <w:pPr>
              <w:numPr>
                <w:ilvl w:val="0"/>
                <w:numId w:val="16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výrazné zkrácení doby pro administraci jedné VP </w:t>
            </w:r>
          </w:p>
          <w:p w:rsidR="008F3306" w:rsidRDefault="00C410B2">
            <w:pPr>
              <w:numPr>
                <w:ilvl w:val="0"/>
                <w:numId w:val="16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zavedení efektivní kontroly  projektu v realizační fázi.</w:t>
            </w:r>
          </w:p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Inovativní prvky procesu, které mají administrátoři nově využívat k dalšímu </w:t>
            </w:r>
            <w:r>
              <w:rPr>
                <w:rFonts w:ascii="Cambria" w:eastAsia="Cambria" w:hAnsi="Cambria" w:cs="Cambria"/>
              </w:rPr>
              <w:lastRenderedPageBreak/>
              <w:t xml:space="preserve">zvýšení efektivity administrace programu BETA, vypadají následovně: </w:t>
            </w:r>
          </w:p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ad 1.</w:t>
            </w:r>
          </w:p>
          <w:p w:rsidR="008F3306" w:rsidRDefault="00C410B2">
            <w:pPr>
              <w:numPr>
                <w:ilvl w:val="0"/>
                <w:numId w:val="12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>přijetí VP a komunikace s oponentem nad přípravou projektu před schválením Radou programu (komunikace otázek a způsobu řešení)</w:t>
            </w:r>
          </w:p>
          <w:p w:rsidR="008F3306" w:rsidRDefault="00C410B2">
            <w:pPr>
              <w:numPr>
                <w:ilvl w:val="0"/>
                <w:numId w:val="12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>po schválení Radou programu pak příprava projektu v interakci s odborným garantem/zástupcem resortu</w:t>
            </w:r>
          </w:p>
          <w:p w:rsidR="008F3306" w:rsidRDefault="00C410B2">
            <w:pPr>
              <w:numPr>
                <w:ilvl w:val="0"/>
                <w:numId w:val="12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>vytvoření projektové dokumentace pro návrh řešení (Dokumentace návrhu řešení, Kvalifikační dokumentace)</w:t>
            </w:r>
          </w:p>
          <w:p w:rsidR="008F3306" w:rsidRDefault="00C410B2">
            <w:pPr>
              <w:numPr>
                <w:ilvl w:val="0"/>
                <w:numId w:val="12"/>
              </w:numPr>
              <w:spacing w:before="120" w:line="240" w:lineRule="auto"/>
              <w:ind w:left="240" w:hanging="15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administrace zadávacího řízení v odpovědnosti hlavního administrátora a podpůrného týmu  bez závislosti na ostatních odborných činnostech jiných úseků, zejména právního, a to až  do podpisu smlouvy (předpokládá se stabilní přítomnost právníka/specialisty na úseku BETA a využití OPHP pro zajištění spolupráce s externími experty)</w:t>
            </w:r>
          </w:p>
          <w:p w:rsidR="008F3306" w:rsidRDefault="00C410B2">
            <w:pPr>
              <w:numPr>
                <w:ilvl w:val="0"/>
                <w:numId w:val="12"/>
              </w:numPr>
              <w:spacing w:before="120" w:line="240" w:lineRule="auto"/>
              <w:ind w:left="240" w:hanging="15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technická podpora aplikace Průvodce a support uživatelům</w:t>
            </w:r>
          </w:p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ad 2.</w:t>
            </w:r>
          </w:p>
          <w:p w:rsidR="008F3306" w:rsidRDefault="00C410B2">
            <w:pPr>
              <w:numPr>
                <w:ilvl w:val="0"/>
                <w:numId w:val="11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podpis smlouvy je spojen s přípravou implementačního plánu</w:t>
            </w:r>
          </w:p>
          <w:p w:rsidR="008F3306" w:rsidRDefault="00C410B2">
            <w:pPr>
              <w:numPr>
                <w:ilvl w:val="0"/>
                <w:numId w:val="11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administrativní kontrola realizace probíhá v dvou měsíčních cyklech</w:t>
            </w:r>
          </w:p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Oproti předchozímu stavu tak nejde o pouhé vytvoření zadávací dokumentace převzetím parametrů ze schválené výzkumné potřeby, ale o intenzivní komunikaci s odbornými garanty nad způsobem, jakým vytvořit z popisu výzkumné potřeby realizovatelný a přínosný projekt, tj. zpravidla probíhají v této věci (opakovaná) osobní jednání a konzultace s odbornými garanty. </w:t>
            </w:r>
          </w:p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Dále jsou nově organizovány semináře pro potenciální příjemce k připravovaným projektům vyjádřeným formou zadávací dokumentace.</w:t>
            </w:r>
          </w:p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V oblasti administrace již vyhlášených zakázek jsou nově zajišťovány tyto činnosti:</w:t>
            </w:r>
          </w:p>
          <w:p w:rsidR="008F3306" w:rsidRDefault="00C410B2">
            <w:pPr>
              <w:numPr>
                <w:ilvl w:val="0"/>
                <w:numId w:val="19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technická údržba softwarové aplikace “průvodce podáním nabídky” spojená s nastavením nástroje pro každou vyhlášenou zakázku</w:t>
            </w:r>
          </w:p>
          <w:p w:rsidR="008F3306" w:rsidRDefault="00C410B2">
            <w:pPr>
              <w:numPr>
                <w:ilvl w:val="0"/>
                <w:numId w:val="19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poradenství zájemcům v procesní a věcné rovině zakázek</w:t>
            </w:r>
          </w:p>
          <w:p w:rsidR="008F3306" w:rsidRDefault="00C410B2">
            <w:pPr>
              <w:numPr>
                <w:ilvl w:val="0"/>
                <w:numId w:val="19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provedeno oddělení kvalifikační a hodnotící komise; tedy posouzení kvalifikace uchazečů je v podstatné většině případů zajištěno k tomu jmenovanou komisí složenou ze zaměstnanců úseku BETA - vyšší efektivita procesu</w:t>
            </w:r>
          </w:p>
          <w:p w:rsidR="008F3306" w:rsidRDefault="00C410B2">
            <w:pPr>
              <w:numPr>
                <w:ilvl w:val="0"/>
                <w:numId w:val="19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vyjednání a následná konsolidace návrhu smlouvy, která nově zohledňuje doplnění/požadavky stanovené hodnotící komisí</w:t>
            </w:r>
          </w:p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V agendě realizace projektů bude nově nastaven přístup, kdy nejsou zaměstnanci TA ČR </w:t>
            </w:r>
            <w:r>
              <w:rPr>
                <w:rFonts w:ascii="Cambria" w:eastAsia="Cambria" w:hAnsi="Cambria" w:cs="Cambria"/>
                <w:b/>
              </w:rPr>
              <w:t>pouze administrátory, ale projektovými manažery</w:t>
            </w:r>
            <w:r>
              <w:rPr>
                <w:rFonts w:ascii="Cambria" w:eastAsia="Cambria" w:hAnsi="Cambria" w:cs="Cambria"/>
              </w:rPr>
              <w:t>. To znamená neporovnatelně vyšší nároky na znalost věcné stránky řízených projektů a z toho plynoucí požadavek na vyšší časovou dotaci, kterou je nutné věnovat jednotlivým projektům. Dále s odkazem na výše uvedený zvýšený důraz na kontrolní a dohledové mechanismy nad realizací projektu (dvouměsíční interval administrativních kontrol) jsou celkové nároky na lidské zdroje cca dvojnásobné v porovnání s předchozím stavem (tedy místo 1 HPP + 0,25 DPČ administrativní výpomoc) minimálně ve výši 2 HPP a 0,5 DPČ na agendu realizace projektů.</w:t>
            </w:r>
          </w:p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  <w:b/>
              </w:rPr>
              <w:t>Dále je třeba uvést, že počet realizovaných projektů (a tedy i požadavek na lidské zdroje) bude vzhledem k vyššímu tempu vyhlašování v posledním období (cca od začátku 2015) znatelně vyšší než v předchozím období.</w:t>
            </w:r>
          </w:p>
        </w:tc>
      </w:tr>
      <w:tr w:rsidR="008F3306">
        <w:trPr>
          <w:trHeight w:val="420"/>
        </w:trPr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Kvantifikace</w:t>
            </w:r>
          </w:p>
        </w:tc>
        <w:tc>
          <w:tcPr>
            <w:tcW w:w="783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Kvantifikace je vyjádřená zvýšením kvality ve zkrácené době administrace a </w:t>
            </w:r>
            <w:r>
              <w:rPr>
                <w:rFonts w:ascii="Cambria" w:eastAsia="Cambria" w:hAnsi="Cambria" w:cs="Cambria"/>
              </w:rPr>
              <w:lastRenderedPageBreak/>
              <w:t>zahrnuje nově</w:t>
            </w:r>
          </w:p>
          <w:p w:rsidR="008F3306" w:rsidRDefault="00C410B2">
            <w:pPr>
              <w:numPr>
                <w:ilvl w:val="0"/>
                <w:numId w:val="17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komunikaci s odborným oponentem při přípravě oponentního posudku (tvorba otázek do projektu),</w:t>
            </w:r>
          </w:p>
          <w:p w:rsidR="008F3306" w:rsidRDefault="00C410B2">
            <w:pPr>
              <w:numPr>
                <w:ilvl w:val="0"/>
                <w:numId w:val="17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vytvoření projektu z výzkumné potřeby,</w:t>
            </w:r>
          </w:p>
          <w:p w:rsidR="008F3306" w:rsidRDefault="00C410B2">
            <w:pPr>
              <w:numPr>
                <w:ilvl w:val="0"/>
                <w:numId w:val="17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komunikace prostřednictvím průvodce (podpora uchazečům),</w:t>
            </w:r>
          </w:p>
          <w:p w:rsidR="008F3306" w:rsidRDefault="00C410B2">
            <w:pPr>
              <w:numPr>
                <w:ilvl w:val="0"/>
                <w:numId w:val="17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intenzivnější komunikace s resortem (příprava projektu a implementačního plánu),</w:t>
            </w:r>
          </w:p>
          <w:p w:rsidR="008F3306" w:rsidRDefault="00C410B2">
            <w:pPr>
              <w:numPr>
                <w:ilvl w:val="0"/>
                <w:numId w:val="17"/>
              </w:numPr>
              <w:spacing w:before="120" w:line="240" w:lineRule="auto"/>
              <w:ind w:hanging="36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intenzivnější komunikace (kontrola)  s řešitelem a resortem v průběhu řešení.</w:t>
            </w:r>
          </w:p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</w:tr>
      <w:tr w:rsidR="008F3306">
        <w:trPr>
          <w:trHeight w:val="420"/>
        </w:trPr>
        <w:tc>
          <w:tcPr>
            <w:tcW w:w="211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Výkonové indikátory</w:t>
            </w: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Stávající </w:t>
            </w:r>
          </w:p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 </w:t>
            </w:r>
          </w:p>
        </w:tc>
        <w:tc>
          <w:tcPr>
            <w:tcW w:w="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Navrhované</w:t>
            </w:r>
          </w:p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</w:tr>
      <w:tr w:rsidR="008F3306">
        <w:trPr>
          <w:trHeight w:val="420"/>
        </w:trPr>
        <w:tc>
          <w:tcPr>
            <w:tcW w:w="21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Doba realizace VP do podpisu smlouvy při 2 FM</w:t>
            </w:r>
          </w:p>
        </w:tc>
        <w:tc>
          <w:tcPr>
            <w:tcW w:w="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240 - 480 dnů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Doba realizace VP do podpisu smlouvy při 3 FM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průměrně 90  dnů</w:t>
            </w:r>
          </w:p>
        </w:tc>
      </w:tr>
      <w:tr w:rsidR="008F3306">
        <w:trPr>
          <w:trHeight w:val="420"/>
        </w:trPr>
        <w:tc>
          <w:tcPr>
            <w:tcW w:w="21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0,5 FM administrátoři VP - průměrný počet vyhlášených VZ měsíčně </w:t>
            </w:r>
          </w:p>
        </w:tc>
        <w:tc>
          <w:tcPr>
            <w:tcW w:w="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5,6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2 FM administrátoři VP - průměrný počet vyhlášených VZ měsíčně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9,0</w:t>
            </w:r>
          </w:p>
        </w:tc>
      </w:tr>
      <w:tr w:rsidR="008F3306">
        <w:trPr>
          <w:trHeight w:val="420"/>
        </w:trPr>
        <w:tc>
          <w:tcPr>
            <w:tcW w:w="21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0,5 FM administrátoři VZ - průměrný počet zadaných VZ měsíčně </w:t>
            </w:r>
          </w:p>
        </w:tc>
        <w:tc>
          <w:tcPr>
            <w:tcW w:w="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5,0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3 FM administrátoři VZ - průměrný počet zadaných VZ měsíčně 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9,0</w:t>
            </w:r>
          </w:p>
        </w:tc>
      </w:tr>
      <w:tr w:rsidR="008F3306">
        <w:trPr>
          <w:trHeight w:val="420"/>
        </w:trPr>
        <w:tc>
          <w:tcPr>
            <w:tcW w:w="21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1 FM Administrativní, právní a technická podpora - průměrný počet zadaných VZ měsíčně </w:t>
            </w:r>
          </w:p>
        </w:tc>
        <w:tc>
          <w:tcPr>
            <w:tcW w:w="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 xml:space="preserve">3 FM Administrativní, právní a technická podpora - průměrný počet zadaných VZ měsíčně 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9</w:t>
            </w:r>
          </w:p>
        </w:tc>
      </w:tr>
      <w:tr w:rsidR="008F3306">
        <w:trPr>
          <w:trHeight w:val="420"/>
        </w:trPr>
        <w:tc>
          <w:tcPr>
            <w:tcW w:w="21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0 FM - administrátor realizace projektu/ kontrola a realizace projektu - průměrný počet realizovaných projektů/osobu</w:t>
            </w:r>
          </w:p>
        </w:tc>
        <w:tc>
          <w:tcPr>
            <w:tcW w:w="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  <w:b/>
              </w:rPr>
              <w:t>125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</w:rPr>
              <w:t>3 FM - projektový manažer - průměrný počet realizovaných projektů/osobu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  <w:b/>
              </w:rPr>
              <w:t>40</w:t>
            </w:r>
          </w:p>
        </w:tc>
      </w:tr>
      <w:tr w:rsidR="008F3306">
        <w:trPr>
          <w:trHeight w:val="420"/>
        </w:trPr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  <w:b/>
              </w:rPr>
              <w:t>celkem</w:t>
            </w: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  <w:b/>
              </w:rPr>
              <w:t>2 FM</w:t>
            </w:r>
          </w:p>
        </w:tc>
        <w:tc>
          <w:tcPr>
            <w:tcW w:w="8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contextualSpacing w:val="0"/>
              <w:jc w:val="both"/>
            </w:pPr>
            <w:r>
              <w:rPr>
                <w:rFonts w:ascii="Cambria" w:eastAsia="Cambria" w:hAnsi="Cambria" w:cs="Cambria"/>
                <w:b/>
              </w:rPr>
              <w:t>11 FM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contextualSpacing w:val="0"/>
              <w:jc w:val="both"/>
            </w:pPr>
          </w:p>
        </w:tc>
      </w:tr>
    </w:tbl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center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tbl>
      <w:tblPr>
        <w:tblStyle w:val="a4"/>
        <w:tblW w:w="962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2900"/>
        <w:gridCol w:w="920"/>
        <w:gridCol w:w="2680"/>
        <w:gridCol w:w="860"/>
      </w:tblGrid>
      <w:tr w:rsidR="008F3306">
        <w:trPr>
          <w:trHeight w:val="420"/>
        </w:trPr>
        <w:tc>
          <w:tcPr>
            <w:tcW w:w="96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lastRenderedPageBreak/>
              <w:t>Realizace projektů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Činnosti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Zajištění podpory realizovaných projektů veřejných soutěží jednotlivých programů ve výzkumu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administrace podpisu smluv s podpořenými projekty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příprava, nastavení a testování informačního systému v modulu realizací projektů veřejných soutěží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informování příjemců - realizační semináře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poskytování podpory příjemcům a ukončování projektů - klíčový a sdílený proces (s ekonomickým oddělením - výplata podpory a finanční vypořádání při ukončení projektu včetně případných vratek nebo sankcí) 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 xml:space="preserve">odpovídání dotazů -  </w:t>
            </w:r>
            <w:proofErr w:type="spellStart"/>
            <w:r>
              <w:rPr>
                <w:rFonts w:ascii="Cambria" w:eastAsia="Cambria" w:hAnsi="Cambria" w:cs="Cambria"/>
              </w:rPr>
              <w:t>hepldesk</w:t>
            </w:r>
            <w:proofErr w:type="spellEnd"/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 xml:space="preserve">povinné zveřejňováni údajů - IS </w:t>
            </w:r>
            <w:proofErr w:type="spellStart"/>
            <w:r>
              <w:rPr>
                <w:rFonts w:ascii="Cambria" w:eastAsia="Cambria" w:hAnsi="Cambria" w:cs="Cambria"/>
              </w:rPr>
              <w:t>VaV</w:t>
            </w:r>
            <w:proofErr w:type="spellEnd"/>
            <w:r>
              <w:rPr>
                <w:rFonts w:ascii="Cambria" w:eastAsia="Cambria" w:hAnsi="Cambria" w:cs="Cambria"/>
              </w:rPr>
              <w:t xml:space="preserve"> - CEP, RIV 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změnová řízení projektů a dodatky ke smlouvám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kontrola průběžných a závěrečných zpráv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plánování, příprava a vedení oponentních řízení (plánovaná, závěrečná a mimořádná)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řešení stížností - příprava podkladů pro kontrolní radu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vyhlášení výsledků ukončených projektů - zveřejnění a rozesílání příjemcům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Kvantifikace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909 projektů řešených v 2015 (alokace 13,2 mld. Kč na celou dobu realizace),  tj. 2,34 mld. Kč alokace ze smluv/1 FM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192 projektů ukončených v roce 2014 s dobíhající administrací (1,1 mld. Kč)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podpora 2 920 264 189 Kč za rok 2015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281 ukončovaných projektů a závěrečná oponentní řízení - 2015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 plánovaných průběžných oponentních řízení - 2015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 mimořádných oponentních řízení - 2015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1 200 změnových řízení v 2014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 xml:space="preserve">1 250 dotazů v </w:t>
            </w:r>
            <w:proofErr w:type="spellStart"/>
            <w:r>
              <w:rPr>
                <w:rFonts w:ascii="Cambria" w:eastAsia="Cambria" w:hAnsi="Cambria" w:cs="Cambria"/>
              </w:rPr>
              <w:t>Helpdesku</w:t>
            </w:r>
            <w:proofErr w:type="spellEnd"/>
            <w:r>
              <w:rPr>
                <w:rFonts w:ascii="Cambria" w:eastAsia="Cambria" w:hAnsi="Cambria" w:cs="Cambria"/>
              </w:rPr>
              <w:t xml:space="preserve"> za rok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průměrně 350 RIV exportů - ročně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průměrně 60 CEP exportů - ročně</w:t>
            </w:r>
          </w:p>
        </w:tc>
      </w:tr>
      <w:tr w:rsidR="008F3306">
        <w:trPr>
          <w:trHeight w:val="420"/>
        </w:trPr>
        <w:tc>
          <w:tcPr>
            <w:tcW w:w="22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Výkonové indikátory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Stávající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Navrhované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5 FM/1048 projektů</w:t>
            </w:r>
          </w:p>
          <w:p w:rsidR="008F3306" w:rsidRDefault="00C410B2">
            <w:pPr>
              <w:numPr>
                <w:ilvl w:val="0"/>
                <w:numId w:val="7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 FM/ 209 projektů</w:t>
            </w:r>
          </w:p>
          <w:p w:rsidR="008F3306" w:rsidRDefault="00C410B2">
            <w:pPr>
              <w:numPr>
                <w:ilvl w:val="0"/>
                <w:numId w:val="7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 FM/ cca 600 mil. Kč roční dotace</w:t>
            </w:r>
          </w:p>
          <w:p w:rsidR="008F3306" w:rsidRDefault="00C410B2">
            <w:pPr>
              <w:numPr>
                <w:ilvl w:val="0"/>
                <w:numId w:val="7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 FM/ 2,34 mld. Kč ve smlouvách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20 FM/1000 projektů</w:t>
            </w:r>
          </w:p>
          <w:p w:rsidR="008F3306" w:rsidRDefault="00C410B2">
            <w:pPr>
              <w:numPr>
                <w:ilvl w:val="0"/>
                <w:numId w:val="18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 FM/50 projektů</w:t>
            </w:r>
          </w:p>
          <w:p w:rsidR="008F3306" w:rsidRDefault="00C410B2">
            <w:pPr>
              <w:numPr>
                <w:ilvl w:val="0"/>
                <w:numId w:val="18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 FM/150 mil. Kč roční dotace</w:t>
            </w:r>
          </w:p>
          <w:p w:rsidR="008F3306" w:rsidRDefault="00C410B2">
            <w:pPr>
              <w:numPr>
                <w:ilvl w:val="0"/>
                <w:numId w:val="18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 FM/650 mil. Kč ve smlouvách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20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0 FM/</w:t>
            </w:r>
          </w:p>
          <w:p w:rsidR="008F3306" w:rsidRDefault="00C410B2">
            <w:pPr>
              <w:numPr>
                <w:ilvl w:val="0"/>
                <w:numId w:val="13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281 ukončovaných projektů a závěrečná oponentní řízení - 2015</w:t>
            </w:r>
          </w:p>
          <w:p w:rsidR="008F3306" w:rsidRDefault="00C410B2">
            <w:pPr>
              <w:numPr>
                <w:ilvl w:val="0"/>
                <w:numId w:val="13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102 plánovaných průběžných oponentních řízení - </w:t>
            </w:r>
            <w:r>
              <w:rPr>
                <w:rFonts w:ascii="Cambria" w:eastAsia="Cambria" w:hAnsi="Cambria" w:cs="Cambria"/>
              </w:rPr>
              <w:lastRenderedPageBreak/>
              <w:t>2015</w:t>
            </w:r>
          </w:p>
          <w:p w:rsidR="008F3306" w:rsidRDefault="00C410B2">
            <w:pPr>
              <w:numPr>
                <w:ilvl w:val="0"/>
                <w:numId w:val="13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 mimořádných oponentních řízení - 2015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0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 FM/400 oponentních řízení ročně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0 FM/410 reportů IS </w:t>
            </w:r>
            <w:proofErr w:type="spellStart"/>
            <w:r>
              <w:rPr>
                <w:rFonts w:ascii="Cambria" w:eastAsia="Cambria" w:hAnsi="Cambria" w:cs="Cambria"/>
              </w:rPr>
              <w:t>VaVaI</w:t>
            </w:r>
            <w:proofErr w:type="spellEnd"/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1 FM/400 reportů IS </w:t>
            </w:r>
            <w:proofErr w:type="spellStart"/>
            <w:r>
              <w:rPr>
                <w:rFonts w:ascii="Cambria" w:eastAsia="Cambria" w:hAnsi="Cambria" w:cs="Cambria"/>
              </w:rPr>
              <w:t>VaVaI</w:t>
            </w:r>
            <w:proofErr w:type="spellEnd"/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Ostatní  </w:t>
            </w:r>
            <w:proofErr w:type="spellStart"/>
            <w:r>
              <w:rPr>
                <w:rFonts w:ascii="Cambria" w:eastAsia="Cambria" w:hAnsi="Cambria" w:cs="Cambria"/>
              </w:rPr>
              <w:t>helpdesk</w:t>
            </w:r>
            <w:proofErr w:type="spellEnd"/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FM/30 dotazů týdně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Ostatní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Celkem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6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25</w:t>
            </w:r>
          </w:p>
        </w:tc>
      </w:tr>
    </w:tbl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>Pro srovnání počtu funkčních míst co do objemu podpory a počtu úkonů s operačními programy: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OP </w:t>
      </w:r>
      <w:proofErr w:type="spellStart"/>
      <w:r>
        <w:rPr>
          <w:rFonts w:ascii="Cambria" w:eastAsia="Cambria" w:hAnsi="Cambria" w:cs="Cambria"/>
        </w:rPr>
        <w:t>VaVpI</w:t>
      </w:r>
      <w:proofErr w:type="spellEnd"/>
      <w:r>
        <w:rPr>
          <w:rFonts w:ascii="Cambria" w:eastAsia="Cambria" w:hAnsi="Cambria" w:cs="Cambria"/>
        </w:rPr>
        <w:t xml:space="preserve"> (MŠMT) - 161,5 FM/176 projektů = 1 FM/1 projekt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>Celková výše dotace k podpořeným projektům - 59,94 mld. Kč = 1 FM/371 mil. Kč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>OP VK (MŠMT) - 477,2 FM/11 574 projektů = 1 FM/24,3 projektů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>Celková výše dotace k podpořeným projektům - 55,6 mld. Kč = 1 FM/116,6 mil. Kč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>OPPI (MPO) - 235,6 FM/11 691 projektů = 1 FM/49,6 projektů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>Celková výše dotace k podpořeným projektům - 94,1 mld. Kč = 1 FM/399,4 mil. Kč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 </w:t>
      </w: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tbl>
      <w:tblPr>
        <w:tblStyle w:val="a5"/>
        <w:tblW w:w="962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2900"/>
        <w:gridCol w:w="705"/>
        <w:gridCol w:w="2895"/>
        <w:gridCol w:w="860"/>
      </w:tblGrid>
      <w:tr w:rsidR="008F3306">
        <w:trPr>
          <w:trHeight w:val="420"/>
        </w:trPr>
        <w:tc>
          <w:tcPr>
            <w:tcW w:w="96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Kontrola projektů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Činnosti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 Zajištění komplexní kontrolní činnosti projektů ve výzkumu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“Poskytovatelé vykonávají veřejnosprávní kontrolu u žadatelů o veřejnou finanční podporu nebo u příjemců této podpory, s výjimkou těch, jímž byla poskytnuta veřejná finanční podpora z rozpočtu územního samosprávného celku.”  (Zákon č. 320/2001 Sb. o finanční kontrole ve veřejné správě, část druhá, hlava I,  §8, bod 2))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 xml:space="preserve">“Povinnost provádět kontrolu plnění cílů projektu, včetně kontroly čerpání a účelnosti vynaložených nákladů, a to po ukončení řešení projekt, u projektů delších než 2 roky pak nejméně 1x v průběhu řešení projektu” (Zákon č. 130/2002 Sb. , o podpoře výzkumu, experimentálního vývoje a inovací z veřejných prostředků, část první, hlava III, §13, bod 1)) 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 xml:space="preserve">“Poskytovatel je povinen provádět finanční kontrolu u příjemců podpory podle zvláštních právních předpisů nejméně u 5 % objemu účelové a institucionální podpory poskytnuté poskytovatelem v daném kalendářním roce.” (Zákon č. 130/2002 Sb., o podpoře výzkumu, experimentálního vývoje a inovací z veřejných prostředků, část první, hlava III, §13, bod 3)) 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 xml:space="preserve">Kontrola plnění cílů projektů - tu provádí pracovníci OKP buď samostatně, nebo spolupracují s externími odborníky, o jejichž stanoviska opírají zjištění popsaná v Protokolu o kontrole. 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 xml:space="preserve">odpovídání na dotazy příjemců podpory v aplikaci </w:t>
            </w:r>
            <w:proofErr w:type="spellStart"/>
            <w:r>
              <w:rPr>
                <w:rFonts w:ascii="Cambria" w:eastAsia="Cambria" w:hAnsi="Cambria" w:cs="Cambria"/>
              </w:rPr>
              <w:t>hepldesk</w:t>
            </w:r>
            <w:proofErr w:type="spellEnd"/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komunikace s finančními úřady, předávání informací o podezření z porušení rozpočtové kázně příjemců, předávání o závažných zjištěních z veřejnosprávních kontrol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rozesílání oznámení o budoucí kontrole, sestavování kontrolní skupiny (vedoucí skupiny, zpravodaj, kontrolor), sestavování a odesílání protokolů o kontrole, řešení námitek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příprava podkladů pro předsednictvo a pro kontrolní radu TA ČR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zpracování ročního plánu kontrol na základě analýzy rizik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zpracování podkladů pro MF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Kvantifikace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>Každý rok je poskytnuto cca 2,75 mld. Kč, což znamená povinnost ročně zkontrolovat min. vzorek  v objemu 140 mil. Kč (5 % objemu podpory)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>Za předpokladu, že kontrolní vzorek pokrývá 30 % nákladů projektu, je nutné provést kontroly u příjemců, kteří v rámci řešení projektu již vynaložily náklady ve výši min. 460 mil. Kč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>Průměrný projekt je v objemu 10 mil. Kč. Ročně je tedy nutno provést kontrolu u 60 projektů (tj. u 100 subjektů) v závislosti na jejich velikosti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>Konkrétní projekty jsou vybírány na základě analýzy rizik. Čím více malých projektů je vysoce rizikových, tím větší počet projektů je třeba zkontrolovat, aby byl naplněn požadavek zákona.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>V rámci jedné kontroly jsou pak zpravidla kontrolováni i další účastníci projektu, nejčastěji 2 až 5.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 xml:space="preserve">Kontrolní skupinu tvoří 2 až 3 kontrolující a minimálně se kontroly účastní vždy 2 osoby. 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jc w:val="both"/>
            </w:pPr>
            <w:r>
              <w:rPr>
                <w:rFonts w:ascii="Cambria" w:eastAsia="Cambria" w:hAnsi="Cambria" w:cs="Cambria"/>
              </w:rPr>
              <w:t>Průměrná časová dotace na kontrolu a shromáždění podkladů (bez vypracování protokolu a vyřízení námitek): a) věčná část projektu: ½ dne a b) finanční část projektu 1 účastníka: 1 den</w:t>
            </w:r>
          </w:p>
          <w:p w:rsidR="008F3306" w:rsidRDefault="008F3306">
            <w:pPr>
              <w:spacing w:before="120" w:line="240" w:lineRule="auto"/>
              <w:jc w:val="both"/>
            </w:pPr>
          </w:p>
        </w:tc>
      </w:tr>
      <w:tr w:rsidR="008F3306">
        <w:trPr>
          <w:trHeight w:val="420"/>
        </w:trPr>
        <w:tc>
          <w:tcPr>
            <w:tcW w:w="22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Výkonové indikátory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Stávající</w:t>
            </w:r>
          </w:p>
        </w:tc>
        <w:tc>
          <w:tcPr>
            <w:tcW w:w="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Navrhované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4 FM/90 kontrolovaných subjektů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 kontrolní skupiny/90 k.s. (1 skupina = 2 kontroloři)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4 FM/460 mil Kč nákladů projektů</w:t>
            </w:r>
          </w:p>
        </w:tc>
        <w:tc>
          <w:tcPr>
            <w:tcW w:w="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6 FM/90 kontrolovaných subjektů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3 kontrolní skupiny/90 </w:t>
            </w:r>
            <w:proofErr w:type="spellStart"/>
            <w:r>
              <w:rPr>
                <w:rFonts w:ascii="Cambria" w:eastAsia="Cambria" w:hAnsi="Cambria" w:cs="Cambria"/>
              </w:rPr>
              <w:t>k.s</w:t>
            </w:r>
            <w:proofErr w:type="spellEnd"/>
            <w:r>
              <w:rPr>
                <w:rFonts w:ascii="Cambria" w:eastAsia="Cambria" w:hAnsi="Cambria" w:cs="Cambria"/>
              </w:rPr>
              <w:t xml:space="preserve"> (1 skupina. = 2 kontroloři)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6 FM/460 mil Kč nákladů projektů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6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Kompletní administrativní zabezpečení</w:t>
            </w:r>
          </w:p>
        </w:tc>
        <w:tc>
          <w:tcPr>
            <w:tcW w:w="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Kompletní administrativní zabezpečení a administrativní podpora všem 3 kontrolním skupinám (tj. 6 lidem)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Celkem</w:t>
            </w:r>
          </w:p>
        </w:tc>
        <w:tc>
          <w:tcPr>
            <w:tcW w:w="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5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8</w:t>
            </w:r>
          </w:p>
        </w:tc>
      </w:tr>
    </w:tbl>
    <w:p w:rsidR="008F3306" w:rsidRDefault="008F3306">
      <w:pPr>
        <w:spacing w:after="120"/>
        <w:jc w:val="both"/>
      </w:pPr>
    </w:p>
    <w:p w:rsidR="008F3306" w:rsidRDefault="008F3306">
      <w:pPr>
        <w:spacing w:before="120"/>
        <w:jc w:val="both"/>
      </w:pP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  <w:b/>
        </w:rPr>
        <w:t>Ostatní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b/>
        </w:rPr>
        <w:t xml:space="preserve">činnosti  </w:t>
      </w:r>
      <w:r>
        <w:rPr>
          <w:rFonts w:ascii="Cambria" w:eastAsia="Cambria" w:hAnsi="Cambria" w:cs="Cambria"/>
        </w:rPr>
        <w:t>- interní audit, projektová kancelář, IT zabezpečení, personální péče či ekonomický, právní a provozní servis jsou pomocné útvary a činnosti, které nejsou vyjmenované v zákoně, ale bez nich by jakákoliv organizace nemohla vůbec fungovat. Tyto činnosti jsou z velké většiny zajišťovány v TA ČR obslužným, resp. provozním útvarem, tj. sekcí III. I zde jsou personální kapacity stávajícím stavem přidělených funkčních míst podhodnoceny a je nezbytné jejich personální posílení.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Celkový roční objem finančních prostředků určených organizacím na podporu </w:t>
      </w:r>
      <w:proofErr w:type="spellStart"/>
      <w:r>
        <w:rPr>
          <w:rFonts w:ascii="Cambria" w:eastAsia="Cambria" w:hAnsi="Cambria" w:cs="Cambria"/>
        </w:rPr>
        <w:t>VaVaI</w:t>
      </w:r>
      <w:proofErr w:type="spellEnd"/>
      <w:r>
        <w:rPr>
          <w:rFonts w:ascii="Cambria" w:eastAsia="Cambria" w:hAnsi="Cambria" w:cs="Cambria"/>
        </w:rPr>
        <w:t>, tj. účelová podpora TA ČR, se v posledních letech pohybuje okolo 2,8 mld. Kč. Tuto podporu je zapotřebí dle smluv,  aktuálního stavu projektů apod. přerozdělit a poslat jednotlivým příjemcům. Jedná se o velmi odpovědnou a pečlivou činnost, které vždy vyžaduje kontrolu (min.) čtyř očí.</w:t>
      </w: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tbl>
      <w:tblPr>
        <w:tblStyle w:val="a6"/>
        <w:tblW w:w="962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2900"/>
        <w:gridCol w:w="705"/>
        <w:gridCol w:w="2895"/>
        <w:gridCol w:w="860"/>
      </w:tblGrid>
      <w:tr w:rsidR="008F3306">
        <w:trPr>
          <w:trHeight w:val="420"/>
        </w:trPr>
        <w:tc>
          <w:tcPr>
            <w:tcW w:w="96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Ostatní činnosti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Činnosti</w:t>
            </w:r>
          </w:p>
          <w:p w:rsidR="008F3306" w:rsidRDefault="00C410B2">
            <w:pPr>
              <w:numPr>
                <w:ilvl w:val="0"/>
                <w:numId w:val="5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Ekonomické</w:t>
            </w: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C410B2">
            <w:pPr>
              <w:numPr>
                <w:ilvl w:val="0"/>
                <w:numId w:val="21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Interní audit</w:t>
            </w: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C410B2">
            <w:pPr>
              <w:numPr>
                <w:ilvl w:val="0"/>
                <w:numId w:val="8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Personální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 xml:space="preserve">       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 xml:space="preserve">       -       IT</w:t>
            </w: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C410B2">
            <w:pPr>
              <w:numPr>
                <w:ilvl w:val="0"/>
                <w:numId w:val="9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Právní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Komplexní zajištění obslužných/provozních činnosti v TA ČR: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Procesy</w:t>
            </w:r>
            <w:r>
              <w:rPr>
                <w:rFonts w:ascii="Cambria" w:eastAsia="Cambria" w:hAnsi="Cambria" w:cs="Cambria"/>
              </w:rPr>
              <w:t xml:space="preserve">: </w:t>
            </w:r>
            <w:hyperlink r:id="rId9">
              <w:r>
                <w:rPr>
                  <w:rFonts w:ascii="Cambria" w:eastAsia="Cambria" w:hAnsi="Cambria" w:cs="Cambria"/>
                </w:rPr>
                <w:t>Řízení rozpočtu</w:t>
              </w:r>
            </w:hyperlink>
            <w:r>
              <w:t>;</w:t>
            </w:r>
            <w:r>
              <w:rPr>
                <w:rFonts w:ascii="Cambria" w:eastAsia="Cambria" w:hAnsi="Cambria" w:cs="Cambria"/>
              </w:rPr>
              <w:t xml:space="preserve"> Sestavení a schválení rozpočtu</w:t>
            </w:r>
            <w:r>
              <w:t>;</w:t>
            </w:r>
            <w:r>
              <w:rPr>
                <w:rFonts w:ascii="Cambria" w:eastAsia="Cambria" w:hAnsi="Cambria" w:cs="Cambria"/>
              </w:rPr>
              <w:t xml:space="preserve"> Změna rozpočtu</w:t>
            </w:r>
            <w:r>
              <w:t xml:space="preserve">; </w:t>
            </w:r>
            <w:hyperlink r:id="rId10">
              <w:r>
                <w:rPr>
                  <w:rFonts w:ascii="Cambria" w:eastAsia="Cambria" w:hAnsi="Cambria" w:cs="Cambria"/>
                </w:rPr>
                <w:t>Rozpočtové provizorium</w:t>
              </w:r>
            </w:hyperlink>
            <w:r>
              <w:rPr>
                <w:rFonts w:ascii="Cambria" w:eastAsia="Cambria" w:hAnsi="Cambria" w:cs="Cambria"/>
              </w:rPr>
              <w:t>; Vyhodnocení plnění rozpočtu</w:t>
            </w:r>
            <w:r>
              <w:t xml:space="preserve">; </w:t>
            </w:r>
            <w:hyperlink r:id="rId11">
              <w:r>
                <w:rPr>
                  <w:rFonts w:ascii="Cambria" w:eastAsia="Cambria" w:hAnsi="Cambria" w:cs="Cambria"/>
                </w:rPr>
                <w:t>Řídící kontrola</w:t>
              </w:r>
            </w:hyperlink>
            <w:r>
              <w:t xml:space="preserve">; </w:t>
            </w:r>
            <w:hyperlink r:id="rId12">
              <w:r>
                <w:rPr>
                  <w:rFonts w:ascii="Cambria" w:eastAsia="Cambria" w:hAnsi="Cambria" w:cs="Cambria"/>
                </w:rPr>
                <w:t>Předběžná řídící kontrola</w:t>
              </w:r>
            </w:hyperlink>
            <w:r>
              <w:t xml:space="preserve">; </w:t>
            </w:r>
            <w:hyperlink r:id="rId13">
              <w:r>
                <w:rPr>
                  <w:rFonts w:ascii="Cambria" w:eastAsia="Cambria" w:hAnsi="Cambria" w:cs="Cambria"/>
                </w:rPr>
                <w:t>Průběžná řídící kontrola</w:t>
              </w:r>
            </w:hyperlink>
            <w:r>
              <w:t xml:space="preserve">; </w:t>
            </w:r>
            <w:hyperlink r:id="rId14">
              <w:r>
                <w:rPr>
                  <w:rFonts w:ascii="Cambria" w:eastAsia="Cambria" w:hAnsi="Cambria" w:cs="Cambria"/>
                </w:rPr>
                <w:t>Následná řídící kontrola</w:t>
              </w:r>
            </w:hyperlink>
            <w:r>
              <w:t xml:space="preserve">; </w:t>
            </w:r>
            <w:hyperlink r:id="rId15">
              <w:proofErr w:type="spellStart"/>
              <w:r>
                <w:rPr>
                  <w:rFonts w:ascii="Cambria" w:eastAsia="Cambria" w:hAnsi="Cambria" w:cs="Cambria"/>
                </w:rPr>
                <w:t>Helpdesk</w:t>
              </w:r>
              <w:proofErr w:type="spellEnd"/>
              <w:r>
                <w:rPr>
                  <w:rFonts w:ascii="Cambria" w:eastAsia="Cambria" w:hAnsi="Cambria" w:cs="Cambria"/>
                </w:rPr>
                <w:t xml:space="preserve"> pro uchazeče a příjemce podpory</w:t>
              </w:r>
            </w:hyperlink>
            <w:r>
              <w:t xml:space="preserve">; </w:t>
            </w:r>
            <w:hyperlink r:id="rId16">
              <w:r>
                <w:rPr>
                  <w:rFonts w:ascii="Cambria" w:eastAsia="Cambria" w:hAnsi="Cambria" w:cs="Cambria"/>
                </w:rPr>
                <w:t>Změnové řízení IS Patriot</w:t>
              </w:r>
            </w:hyperlink>
            <w:r>
              <w:t xml:space="preserve">; </w:t>
            </w:r>
            <w:hyperlink r:id="rId17">
              <w:r>
                <w:rPr>
                  <w:rFonts w:ascii="Cambria" w:eastAsia="Cambria" w:hAnsi="Cambria" w:cs="Cambria"/>
                </w:rPr>
                <w:t>Ekonomické proces</w:t>
              </w:r>
            </w:hyperlink>
            <w:r>
              <w:rPr>
                <w:rFonts w:ascii="Cambria" w:eastAsia="Cambria" w:hAnsi="Cambria" w:cs="Cambria"/>
              </w:rPr>
              <w:t xml:space="preserve">y; </w:t>
            </w:r>
            <w:hyperlink r:id="rId18">
              <w:r>
                <w:rPr>
                  <w:rFonts w:ascii="Cambria" w:eastAsia="Cambria" w:hAnsi="Cambria" w:cs="Cambria"/>
                </w:rPr>
                <w:t>Státní závěrečný účet</w:t>
              </w:r>
            </w:hyperlink>
            <w:r>
              <w:t xml:space="preserve">; </w:t>
            </w:r>
            <w:hyperlink r:id="rId19">
              <w:r>
                <w:rPr>
                  <w:rFonts w:ascii="Cambria" w:eastAsia="Cambria" w:hAnsi="Cambria" w:cs="Cambria"/>
                </w:rPr>
                <w:t>Výkaznictví a daňová přiznání</w:t>
              </w:r>
            </w:hyperlink>
            <w:r>
              <w:rPr>
                <w:rFonts w:ascii="Cambria" w:eastAsia="Cambria" w:hAnsi="Cambria" w:cs="Cambria"/>
                <w:b/>
              </w:rPr>
              <w:t xml:space="preserve">, </w:t>
            </w:r>
            <w:r>
              <w:rPr>
                <w:rFonts w:ascii="Cambria" w:eastAsia="Cambria" w:hAnsi="Cambria" w:cs="Cambria"/>
              </w:rPr>
              <w:t>Podatelna a spisová služba.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Činnosti:</w:t>
            </w:r>
            <w:r>
              <w:rPr>
                <w:rFonts w:ascii="Cambria" w:eastAsia="Cambria" w:hAnsi="Cambria" w:cs="Cambria"/>
              </w:rPr>
              <w:t xml:space="preserve"> rozpočtová opatření, čtvrtletní přehledy hospodaření na MF, materiály na předsednictvo a pro Kontrolní radu TA ČR, kapitolní sešity, návrh rozpočtu kapitoly a závěrečný účet kapitoly, stanoviska k materiálům předkládaným resorty do vlády, vykonává funkci správce rozpočtu a hlavní účetní, zajišťuje činnost škodní a likvidační komise a inventurní komise, zajišťuje koncepci financování kapitoly ve střednědobém výhledu a odpovídá za účetnictví, inventarizaci majetku a závazků, pohledávek, cenin, vedení účetních knih (deníku, hlavní knihy, knihy analytické evidence), jejich otevírání a uzavírání a sestavování účtového rozvrhu, komplexní vedení účetnictví účetní jednotky, koordinace účtování o stavu, pohybu a rozdílu majetku a závazků, o nákladech a výnosech, o výdajích a příjmech a o výsledku hospodaření včetně sestavování účetní závěrky, připravuje podklady pro roční audit účetní závěrky a pololetní kontroly hospodaření prováděné Kontrolní radou TA ČR.</w:t>
            </w: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Řídící proces</w:t>
            </w:r>
            <w:r>
              <w:rPr>
                <w:rFonts w:ascii="Cambria" w:eastAsia="Cambria" w:hAnsi="Cambria" w:cs="Cambria"/>
              </w:rPr>
              <w:t xml:space="preserve">: interní audit je nezávislá, objektivně </w:t>
            </w:r>
            <w:proofErr w:type="spellStart"/>
            <w:r>
              <w:rPr>
                <w:rFonts w:ascii="Cambria" w:eastAsia="Cambria" w:hAnsi="Cambria" w:cs="Cambria"/>
              </w:rPr>
              <w:t>ujišťovací</w:t>
            </w:r>
            <w:proofErr w:type="spellEnd"/>
            <w:r>
              <w:rPr>
                <w:rFonts w:ascii="Cambria" w:eastAsia="Cambria" w:hAnsi="Cambria" w:cs="Cambria"/>
              </w:rPr>
              <w:t xml:space="preserve"> a poradenská činnost zaměřená na přidávání hodnoty a zdokonalování procesů TA ČR. Interní audit pomáhá organizaci dosahovat jejích cílů tím, že přináší systematický metodický přístup k hodnocení a zlepšování účinnosti systému řízení rizik, řídicích a kontrolních procesů a řízení a správy </w:t>
            </w:r>
            <w:r>
              <w:rPr>
                <w:rFonts w:ascii="Cambria" w:eastAsia="Cambria" w:hAnsi="Cambria" w:cs="Cambria"/>
              </w:rPr>
              <w:lastRenderedPageBreak/>
              <w:t>organizace.</w:t>
            </w: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 xml:space="preserve">Procesy:   </w:t>
            </w:r>
            <w:r>
              <w:rPr>
                <w:rFonts w:ascii="Cambria" w:eastAsia="Cambria" w:hAnsi="Cambria" w:cs="Cambria"/>
              </w:rPr>
              <w:t xml:space="preserve">Personalistika, Odborný rozvoj zaměstnanců, </w:t>
            </w:r>
            <w:hyperlink r:id="rId20">
              <w:r>
                <w:rPr>
                  <w:rFonts w:ascii="Cambria" w:eastAsia="Cambria" w:hAnsi="Cambria" w:cs="Cambria"/>
                </w:rPr>
                <w:t>Mzdová agend</w:t>
              </w:r>
            </w:hyperlink>
            <w:r>
              <w:rPr>
                <w:rFonts w:ascii="Cambria" w:eastAsia="Cambria" w:hAnsi="Cambria" w:cs="Cambria"/>
              </w:rPr>
              <w:t>a.</w:t>
            </w: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 xml:space="preserve">Procesy:  </w:t>
            </w:r>
            <w:r>
              <w:rPr>
                <w:rFonts w:ascii="Cambria" w:eastAsia="Cambria" w:hAnsi="Cambria" w:cs="Cambria"/>
              </w:rPr>
              <w:t>Správa a řízení ICT, Řízení změn a incidentů provozních IS</w:t>
            </w:r>
          </w:p>
          <w:p w:rsidR="008F3306" w:rsidRDefault="008F3306">
            <w:pPr>
              <w:spacing w:before="120" w:line="240" w:lineRule="auto"/>
              <w:jc w:val="both"/>
            </w:pP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 xml:space="preserve">Procesy: </w:t>
            </w:r>
            <w:r>
              <w:rPr>
                <w:rFonts w:ascii="Cambria" w:eastAsia="Cambria" w:hAnsi="Cambria" w:cs="Cambria"/>
              </w:rPr>
              <w:t xml:space="preserve"> Řízení vnitřních předpisů, Poptávkové řízení a zadávání veřejných zakázek, Sankce, Právní servis</w:t>
            </w:r>
          </w:p>
          <w:p w:rsidR="008F3306" w:rsidRDefault="00C410B2">
            <w:pPr>
              <w:spacing w:before="120"/>
              <w:jc w:val="both"/>
            </w:pPr>
            <w:r>
              <w:rPr>
                <w:rFonts w:ascii="Cambria" w:eastAsia="Cambria" w:hAnsi="Cambria" w:cs="Cambria"/>
                <w:b/>
              </w:rPr>
              <w:t>Činnosti:</w:t>
            </w:r>
            <w:r>
              <w:rPr>
                <w:rFonts w:ascii="Cambria" w:eastAsia="Cambria" w:hAnsi="Cambria" w:cs="Cambria"/>
              </w:rPr>
              <w:t xml:space="preserve"> Jednání s příslušnými orgány ČR nebo EU v otázce posuzování slučitelnosti poskytované podpory se společným trhem zajišťuje právní úsek. Veškerá oficiální komunikace prochází přes ÚOHS, který je prostředník mezi poskytovateli za ČR a Evropskou komisí podle zákona o veřejné podpoře. </w:t>
            </w:r>
          </w:p>
          <w:p w:rsidR="008F3306" w:rsidRDefault="008F3306">
            <w:pPr>
              <w:spacing w:before="120" w:line="240" w:lineRule="auto"/>
              <w:jc w:val="both"/>
            </w:pP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Kvantifikace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Každý rok je poskytnuto cca 2,75 mld. Kč, které procesně zajišťuje  5 zaměstnanců z ekonomického oddělení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V personálním úseku chybí nutná zastupitelnost, navíc 1 personalistka zajišťuje agendu pro více než 150 zaměstnanců (HPP, DPČ, DPP/kmenoví zaměstnanci i zaměstnanci na projektech)</w:t>
            </w:r>
          </w:p>
          <w:p w:rsidR="008F3306" w:rsidRDefault="008F3306">
            <w:pPr>
              <w:spacing w:before="120" w:line="240" w:lineRule="auto"/>
              <w:jc w:val="both"/>
            </w:pPr>
          </w:p>
        </w:tc>
      </w:tr>
      <w:tr w:rsidR="008F3306">
        <w:trPr>
          <w:trHeight w:val="420"/>
        </w:trPr>
        <w:tc>
          <w:tcPr>
            <w:tcW w:w="22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Výkonové indikátory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Stávající</w:t>
            </w:r>
          </w:p>
        </w:tc>
        <w:tc>
          <w:tcPr>
            <w:tcW w:w="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Navrhované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5 FM/2,75 </w:t>
            </w:r>
            <w:proofErr w:type="spellStart"/>
            <w:r>
              <w:rPr>
                <w:rFonts w:ascii="Cambria" w:eastAsia="Cambria" w:hAnsi="Cambria" w:cs="Cambria"/>
              </w:rPr>
              <w:t>mld</w:t>
            </w:r>
            <w:proofErr w:type="spellEnd"/>
            <w:r>
              <w:rPr>
                <w:rFonts w:ascii="Cambria" w:eastAsia="Cambria" w:hAnsi="Cambria" w:cs="Cambria"/>
              </w:rPr>
              <w:t xml:space="preserve"> účelové podpory k přerozdělení uchazečům</w:t>
            </w:r>
          </w:p>
        </w:tc>
        <w:tc>
          <w:tcPr>
            <w:tcW w:w="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5</w:t>
            </w:r>
          </w:p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6 FM/2,75 </w:t>
            </w:r>
            <w:proofErr w:type="spellStart"/>
            <w:r>
              <w:rPr>
                <w:rFonts w:ascii="Cambria" w:eastAsia="Cambria" w:hAnsi="Cambria" w:cs="Cambria"/>
              </w:rPr>
              <w:t>mld</w:t>
            </w:r>
            <w:proofErr w:type="spellEnd"/>
            <w:r>
              <w:rPr>
                <w:rFonts w:ascii="Cambria" w:eastAsia="Cambria" w:hAnsi="Cambria" w:cs="Cambria"/>
              </w:rPr>
              <w:t xml:space="preserve"> účelové podpory k přerozdělení uchazečům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6</w:t>
            </w:r>
          </w:p>
          <w:p w:rsidR="008F3306" w:rsidRDefault="008F3306">
            <w:pPr>
              <w:spacing w:before="120" w:line="240" w:lineRule="auto"/>
              <w:jc w:val="both"/>
            </w:pP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 kompletní administrativní zabezpečení kontrol</w:t>
            </w:r>
          </w:p>
        </w:tc>
        <w:tc>
          <w:tcPr>
            <w:tcW w:w="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 FM na kompletní administrativní zabezpečení a administrativní podpora všem 3 kontrolním skupinám (tj. 6 lidem)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9 FM ostatní</w:t>
            </w:r>
          </w:p>
        </w:tc>
        <w:tc>
          <w:tcPr>
            <w:tcW w:w="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9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9 FM ostatní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9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Celkem</w:t>
            </w:r>
          </w:p>
        </w:tc>
        <w:tc>
          <w:tcPr>
            <w:tcW w:w="7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15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17</w:t>
            </w:r>
          </w:p>
        </w:tc>
      </w:tr>
    </w:tbl>
    <w:p w:rsidR="008F3306" w:rsidRDefault="008F3306">
      <w:pPr>
        <w:spacing w:after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  <w:b/>
        </w:rPr>
        <w:lastRenderedPageBreak/>
        <w:t>Příprava programů a zahraniční spolupráce</w:t>
      </w:r>
      <w:r>
        <w:rPr>
          <w:rFonts w:ascii="Cambria" w:eastAsia="Cambria" w:hAnsi="Cambria" w:cs="Cambria"/>
        </w:rPr>
        <w:t xml:space="preserve"> (OSA) – Příprava nových a aktualizace stávajících programů patří mezi základní činnosti TA ČR, kam spadá i komunikace a spolupráce s resorty, a stojí na začátku celého cyklu projektů. Agenda přípravy programů nezahrnuje jen samotné vytvoření programů. Než k této fázi dojde, je potřeba připravit ex ante analýzu zaměřující se na zjištění potřebnosti nového programu, analýzu současného stavu, vyhodnocení předchozích programů. Z tohoto důvodu jsou do této agendy zapojeni i statistici a analytici (včetně projektu INKA, který bude končit na podzim 2015, kdy bude dodavatelem poskytnuta konečná verze metodiky, ověřená v rámci pilotního a následujících 2 kol šetření. Dále bude však potřeba, aby se těmto rozborům věnovalo více lidí na TA ČR, než je v současné době 1 DPČ). Dále agenda zahrnuje i spolupráci s Úřadem vlády, jednotlivými resorty apod.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Stejně důležitá je i zahraniční spolupráce. TA ČR je členem evropské sítě inovačních agentur  TAFTIE. V roce 2017 bude TA ČR této síti předsedat a již od roku 2016 bude aktivně participovat při přípravě veškerých workshopů a jednání. Do zahraniční spolupráce je však nutné promítnout i spolupráci s EK, OECD, WB apod., se kterými TA ČR spolupracuje na vyplňování nejrůznějších reportů. </w:t>
      </w: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</w:rPr>
        <w:t xml:space="preserve">Do této kategorie je možné zařadit i spolupráci s resorty a ostatními partnery. V rámci této agendy je řešena příprava nových programů, úpravy podmínek pro jednotlivé veřejné soutěže, spolupráce při propagaci </w:t>
      </w:r>
      <w:proofErr w:type="spellStart"/>
      <w:r>
        <w:rPr>
          <w:rFonts w:ascii="Cambria" w:eastAsia="Cambria" w:hAnsi="Cambria" w:cs="Cambria"/>
        </w:rPr>
        <w:t>VaV</w:t>
      </w:r>
      <w:proofErr w:type="spellEnd"/>
      <w:r>
        <w:rPr>
          <w:rFonts w:ascii="Cambria" w:eastAsia="Cambria" w:hAnsi="Cambria" w:cs="Cambria"/>
        </w:rPr>
        <w:t xml:space="preserve"> atd. Tato agenda je tak velmi náročná z hlediska potřebnosti pracovních sil.</w:t>
      </w: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tbl>
      <w:tblPr>
        <w:tblStyle w:val="a7"/>
        <w:tblW w:w="962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2900"/>
        <w:gridCol w:w="920"/>
        <w:gridCol w:w="2680"/>
        <w:gridCol w:w="860"/>
      </w:tblGrid>
      <w:tr w:rsidR="008F3306">
        <w:trPr>
          <w:trHeight w:val="420"/>
        </w:trPr>
        <w:tc>
          <w:tcPr>
            <w:tcW w:w="96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Příprava programů a zahraniční spolupráce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Činnosti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 Zajištění prvotních kroků souvisejících s přípravou nových programů (dle Rámce veřejné podpory)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příprava nových a aktualizace stávajících programů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podílení se na přípravě veřejných soutěží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>hodnocení programů, veřejných soutěží a programů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spolupráce s resorty a partnery v oblasti </w:t>
            </w:r>
            <w:proofErr w:type="spellStart"/>
            <w:r>
              <w:rPr>
                <w:rFonts w:ascii="Cambria" w:eastAsia="Cambria" w:hAnsi="Cambria" w:cs="Cambria"/>
              </w:rPr>
              <w:t>VaV</w:t>
            </w:r>
            <w:proofErr w:type="spellEnd"/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agenda vnějších vztahů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agenda mezinárodní spolupráce</w:t>
            </w:r>
          </w:p>
          <w:p w:rsidR="008F3306" w:rsidRDefault="00C410B2">
            <w:pPr>
              <w:numPr>
                <w:ilvl w:val="0"/>
                <w:numId w:val="1"/>
              </w:numPr>
              <w:spacing w:before="120" w:line="240" w:lineRule="auto"/>
              <w:ind w:left="240" w:hanging="150"/>
              <w:contextualSpacing/>
              <w:jc w:val="both"/>
            </w:pPr>
            <w:r>
              <w:rPr>
                <w:rFonts w:ascii="Cambria" w:eastAsia="Cambria" w:hAnsi="Cambria" w:cs="Cambria"/>
              </w:rPr>
              <w:t xml:space="preserve">agenda </w:t>
            </w:r>
            <w:proofErr w:type="spellStart"/>
            <w:r>
              <w:rPr>
                <w:rFonts w:ascii="Cambria" w:eastAsia="Cambria" w:hAnsi="Cambria" w:cs="Cambria"/>
              </w:rPr>
              <w:t>eKlep</w:t>
            </w:r>
            <w:proofErr w:type="spellEnd"/>
            <w:r>
              <w:rPr>
                <w:rFonts w:ascii="Cambria" w:eastAsia="Cambria" w:hAnsi="Cambria" w:cs="Cambria"/>
              </w:rPr>
              <w:t xml:space="preserve"> a úkolů vyplývajících z usnesení vlády atd.</w:t>
            </w:r>
          </w:p>
        </w:tc>
      </w:tr>
      <w:tr w:rsidR="008F3306">
        <w:trPr>
          <w:trHeight w:val="420"/>
        </w:trPr>
        <w:tc>
          <w:tcPr>
            <w:tcW w:w="2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Kvantifikace</w:t>
            </w:r>
          </w:p>
        </w:tc>
        <w:tc>
          <w:tcPr>
            <w:tcW w:w="73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- Od roku 2010 bylo připraveno celkem 7 vládou schválených programů, v roce 2014 byla většina programů aktualizována z důvodu aktualizace Rámce veřejné podpory.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- Byly zpracovány analytické podklady jak pro příprava nových programů, tak i jako vyhodnocení již </w:t>
            </w:r>
            <w:proofErr w:type="spellStart"/>
            <w:r>
              <w:rPr>
                <w:rFonts w:ascii="Cambria" w:eastAsia="Cambria" w:hAnsi="Cambria" w:cs="Cambria"/>
              </w:rPr>
              <w:t>zprocesovaných</w:t>
            </w:r>
            <w:proofErr w:type="spellEnd"/>
            <w:r>
              <w:rPr>
                <w:rFonts w:ascii="Cambria" w:eastAsia="Cambria" w:hAnsi="Cambria" w:cs="Cambria"/>
              </w:rPr>
              <w:t xml:space="preserve"> veřejných soutěží. 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- Od roku 2010 bylo připraveno celkem 16 dohod nebo memorand s resorty nebo partnery z oblasti státní správy nebo </w:t>
            </w:r>
            <w:proofErr w:type="spellStart"/>
            <w:r>
              <w:rPr>
                <w:rFonts w:ascii="Cambria" w:eastAsia="Cambria" w:hAnsi="Cambria" w:cs="Cambria"/>
              </w:rPr>
              <w:t>VaVaI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- Jako ad hoc agenda vyžadující několik funkčních míst je shledávána agenda vnějších vztahů, agenda </w:t>
            </w:r>
            <w:proofErr w:type="spellStart"/>
            <w:r>
              <w:rPr>
                <w:rFonts w:ascii="Cambria" w:eastAsia="Cambria" w:hAnsi="Cambria" w:cs="Cambria"/>
              </w:rPr>
              <w:t>eKlep</w:t>
            </w:r>
            <w:proofErr w:type="spellEnd"/>
            <w:r>
              <w:rPr>
                <w:rFonts w:ascii="Cambria" w:eastAsia="Cambria" w:hAnsi="Cambria" w:cs="Cambria"/>
              </w:rPr>
              <w:t xml:space="preserve"> a plnění úkolů vyplývajících z jednotlivých usnesení vlády.</w:t>
            </w:r>
          </w:p>
        </w:tc>
      </w:tr>
      <w:tr w:rsidR="008F3306">
        <w:trPr>
          <w:trHeight w:val="420"/>
        </w:trPr>
        <w:tc>
          <w:tcPr>
            <w:tcW w:w="22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Výkonové indikátory</w:t>
            </w: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Stávající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Navrhované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FM/7 programů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 FM/7 programů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1 FM/agenda </w:t>
            </w:r>
            <w:proofErr w:type="spellStart"/>
            <w:r>
              <w:rPr>
                <w:rFonts w:ascii="Cambria" w:eastAsia="Cambria" w:hAnsi="Cambria" w:cs="Cambria"/>
              </w:rPr>
              <w:t>eKlep</w:t>
            </w:r>
            <w:proofErr w:type="spellEnd"/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FM/statistiky a analýzy</w:t>
            </w:r>
          </w:p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1 FM/agenda </w:t>
            </w:r>
            <w:proofErr w:type="spellStart"/>
            <w:r>
              <w:rPr>
                <w:rFonts w:ascii="Cambria" w:eastAsia="Cambria" w:hAnsi="Cambria" w:cs="Cambria"/>
              </w:rPr>
              <w:t>eKlep</w:t>
            </w:r>
            <w:proofErr w:type="spellEnd"/>
          </w:p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3 FM/statistiky a analýzy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4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 xml:space="preserve">Ostatní 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Ostatní</w:t>
            </w: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4</w:t>
            </w:r>
          </w:p>
        </w:tc>
      </w:tr>
      <w:tr w:rsidR="008F3306">
        <w:trPr>
          <w:trHeight w:val="420"/>
        </w:trPr>
        <w:tc>
          <w:tcPr>
            <w:tcW w:w="22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Celkem</w:t>
            </w:r>
          </w:p>
        </w:tc>
        <w:tc>
          <w:tcPr>
            <w:tcW w:w="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4</w:t>
            </w:r>
          </w:p>
        </w:tc>
        <w:tc>
          <w:tcPr>
            <w:tcW w:w="2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10</w:t>
            </w:r>
          </w:p>
        </w:tc>
      </w:tr>
    </w:tbl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  <w:b/>
        </w:rPr>
        <w:t xml:space="preserve">Poradenství řešitelům a podpora komunikace </w:t>
      </w:r>
      <w:proofErr w:type="spellStart"/>
      <w:r>
        <w:rPr>
          <w:rFonts w:ascii="Cambria" w:eastAsia="Cambria" w:hAnsi="Cambria" w:cs="Cambria"/>
          <w:b/>
        </w:rPr>
        <w:t>kolaborativního</w:t>
      </w:r>
      <w:proofErr w:type="spellEnd"/>
      <w:r>
        <w:rPr>
          <w:rFonts w:ascii="Cambria" w:eastAsia="Cambria" w:hAnsi="Cambria" w:cs="Cambria"/>
          <w:b/>
        </w:rPr>
        <w:t xml:space="preserve"> výzkumu</w:t>
      </w:r>
      <w:r>
        <w:rPr>
          <w:rFonts w:ascii="Cambria" w:eastAsia="Cambria" w:hAnsi="Cambria" w:cs="Cambria"/>
        </w:rPr>
        <w:t xml:space="preserve"> - Poradenství řešitelům, ale i žadatelům je v současné době řešeno pouze pomocí aplikace </w:t>
      </w:r>
      <w:proofErr w:type="spellStart"/>
      <w:r>
        <w:rPr>
          <w:rFonts w:ascii="Cambria" w:eastAsia="Cambria" w:hAnsi="Cambria" w:cs="Cambria"/>
        </w:rPr>
        <w:t>Helpdesk</w:t>
      </w:r>
      <w:proofErr w:type="spellEnd"/>
      <w:r>
        <w:rPr>
          <w:rFonts w:ascii="Cambria" w:eastAsia="Cambria" w:hAnsi="Cambria" w:cs="Cambria"/>
        </w:rPr>
        <w:t xml:space="preserve">. V rámci projektu Zefektivnění TA ČR spolufinancovaného z OP LZZ (dále jako “Zefektivnění”) vznikl koncept poradenského centra, která bude poskytovat podporu nejen řešitelům, ale i žadatelům o podporu. Poradenské centrum se bude zaměřovat na poradenství v oblasti programů podpory a dalších možností podpory (včetně podpory v otázce daňových odpočtů, či možnosti exportu výsledků </w:t>
      </w:r>
      <w:proofErr w:type="spellStart"/>
      <w:r>
        <w:rPr>
          <w:rFonts w:ascii="Cambria" w:eastAsia="Cambria" w:hAnsi="Cambria" w:cs="Cambria"/>
        </w:rPr>
        <w:t>VaV</w:t>
      </w:r>
      <w:proofErr w:type="spellEnd"/>
      <w:r>
        <w:rPr>
          <w:rFonts w:ascii="Cambria" w:eastAsia="Cambria" w:hAnsi="Cambria" w:cs="Cambria"/>
        </w:rPr>
        <w:t>, jejichž nastavení je součástí projektu Zefektivnění) a v oblasti implementace. Jelikož se jedná o nový koncept, který je v současné době pilotně ověřován, jedná se také o nové personální kapacity. Z analýzy, kterou vypracovala tato klíčová aktivita projektu Zefektivnění, vzešla potřeba 2 nových úvazků.</w:t>
      </w:r>
    </w:p>
    <w:p w:rsidR="008F3306" w:rsidRDefault="008F3306">
      <w:pPr>
        <w:spacing w:before="120"/>
        <w:jc w:val="both"/>
      </w:pPr>
    </w:p>
    <w:tbl>
      <w:tblPr>
        <w:tblStyle w:val="a8"/>
        <w:tblW w:w="949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2895"/>
        <w:gridCol w:w="915"/>
        <w:gridCol w:w="2685"/>
        <w:gridCol w:w="735"/>
      </w:tblGrid>
      <w:tr w:rsidR="008F3306">
        <w:trPr>
          <w:trHeight w:val="420"/>
        </w:trPr>
        <w:tc>
          <w:tcPr>
            <w:tcW w:w="9495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 xml:space="preserve">Poradenství řešitelům a podpora komunikace </w:t>
            </w:r>
            <w:proofErr w:type="spellStart"/>
            <w:r>
              <w:rPr>
                <w:rFonts w:ascii="Cambria" w:eastAsia="Cambria" w:hAnsi="Cambria" w:cs="Cambria"/>
                <w:b/>
              </w:rPr>
              <w:t>kolaborativního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výzkumu</w:t>
            </w:r>
          </w:p>
        </w:tc>
      </w:tr>
      <w:tr w:rsidR="008F3306">
        <w:trPr>
          <w:trHeight w:val="420"/>
        </w:trPr>
        <w:tc>
          <w:tcPr>
            <w:tcW w:w="22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Činnosti</w:t>
            </w:r>
          </w:p>
        </w:tc>
        <w:tc>
          <w:tcPr>
            <w:tcW w:w="723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Vznik poradenského centra, které bude poskytovat podporu řešitelům i žadatelům o podporu.</w:t>
            </w:r>
          </w:p>
        </w:tc>
      </w:tr>
      <w:tr w:rsidR="008F3306">
        <w:trPr>
          <w:trHeight w:val="420"/>
        </w:trPr>
        <w:tc>
          <w:tcPr>
            <w:tcW w:w="22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Kvantifikace</w:t>
            </w:r>
          </w:p>
        </w:tc>
        <w:tc>
          <w:tcPr>
            <w:tcW w:w="723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numPr>
                <w:ilvl w:val="0"/>
                <w:numId w:val="6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Poradenství potenciálním žadatelům v momentě vyhlášení veřejné soutěže je poskytováno formou seminářů pro žadatele (zpravidla jsou organizovány 2 semináře pro žadatele) a formou písemných dotazů pomocí </w:t>
            </w:r>
            <w:proofErr w:type="spellStart"/>
            <w:r>
              <w:rPr>
                <w:rFonts w:ascii="Cambria" w:eastAsia="Cambria" w:hAnsi="Cambria" w:cs="Cambria"/>
              </w:rPr>
              <w:t>Helpdesk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8F3306" w:rsidRDefault="00C410B2">
            <w:pPr>
              <w:numPr>
                <w:ilvl w:val="0"/>
                <w:numId w:val="6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V rámci implementace projektu je poradenství příjemců poskytováno zejména pomocí </w:t>
            </w:r>
            <w:proofErr w:type="spellStart"/>
            <w:r>
              <w:rPr>
                <w:rFonts w:ascii="Cambria" w:eastAsia="Cambria" w:hAnsi="Cambria" w:cs="Cambria"/>
              </w:rPr>
              <w:t>Helpdesk</w:t>
            </w:r>
            <w:proofErr w:type="spellEnd"/>
            <w:r>
              <w:rPr>
                <w:rFonts w:ascii="Cambria" w:eastAsia="Cambria" w:hAnsi="Cambria" w:cs="Cambria"/>
              </w:rPr>
              <w:t>, spíše výjimečně na bázi osobní konzultace.</w:t>
            </w:r>
          </w:p>
          <w:p w:rsidR="008F3306" w:rsidRDefault="00C410B2">
            <w:pPr>
              <w:numPr>
                <w:ilvl w:val="0"/>
                <w:numId w:val="6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Tato omezení plynou z nedostatečné kapacity lidských zdrojů. Analýza současného stavu, která byla zpracována v rámci projektu Zefektivnění, dokládá, že jak žadatelé, tak příjemci by uvítali možnost osobních konzultací, které by následně vedly i ke kvalitnějším projektovým návrhům a menší chybovosti při implementaci projektů.</w:t>
            </w:r>
          </w:p>
          <w:p w:rsidR="008F3306" w:rsidRDefault="00C410B2">
            <w:pPr>
              <w:numPr>
                <w:ilvl w:val="0"/>
                <w:numId w:val="6"/>
              </w:numPr>
              <w:spacing w:before="120" w:line="240" w:lineRule="auto"/>
              <w:ind w:hanging="360"/>
              <w:contextualSpacing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Analýza dále ukázala, že příjemci by uvítali poradenství i v oblastech ochrany duševního vlastnictví, či pomoc při další implementaci výsledků projektů. </w:t>
            </w:r>
          </w:p>
        </w:tc>
      </w:tr>
      <w:tr w:rsidR="008F3306">
        <w:trPr>
          <w:trHeight w:val="420"/>
        </w:trPr>
        <w:tc>
          <w:tcPr>
            <w:tcW w:w="226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lastRenderedPageBreak/>
              <w:t>Výkonové indikátory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Stávající</w:t>
            </w:r>
          </w:p>
        </w:tc>
        <w:tc>
          <w:tcPr>
            <w:tcW w:w="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Navrhované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FM</w:t>
            </w:r>
          </w:p>
        </w:tc>
      </w:tr>
      <w:tr w:rsidR="008F3306">
        <w:trPr>
          <w:trHeight w:val="420"/>
        </w:trPr>
        <w:tc>
          <w:tcPr>
            <w:tcW w:w="226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FM/7 programů</w:t>
            </w:r>
          </w:p>
        </w:tc>
        <w:tc>
          <w:tcPr>
            <w:tcW w:w="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FM/7 programů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8F3306">
        <w:trPr>
          <w:trHeight w:val="420"/>
        </w:trPr>
        <w:tc>
          <w:tcPr>
            <w:tcW w:w="226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FM/14 veřejných soutěží</w:t>
            </w:r>
          </w:p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 FM/14 veřejných soutěží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</w:rPr>
              <w:t>1</w:t>
            </w:r>
          </w:p>
        </w:tc>
      </w:tr>
      <w:tr w:rsidR="008F3306">
        <w:trPr>
          <w:trHeight w:val="420"/>
        </w:trPr>
        <w:tc>
          <w:tcPr>
            <w:tcW w:w="226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Celkem</w:t>
            </w:r>
          </w:p>
        </w:tc>
        <w:tc>
          <w:tcPr>
            <w:tcW w:w="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0</w:t>
            </w:r>
          </w:p>
        </w:tc>
        <w:tc>
          <w:tcPr>
            <w:tcW w:w="26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spacing w:before="120" w:line="240" w:lineRule="auto"/>
              <w:jc w:val="both"/>
            </w:pP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spacing w:before="120" w:line="240" w:lineRule="auto"/>
              <w:jc w:val="both"/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</w:tr>
    </w:tbl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8F3306">
      <w:pPr>
        <w:spacing w:before="120"/>
        <w:jc w:val="both"/>
      </w:pPr>
    </w:p>
    <w:p w:rsidR="008F3306" w:rsidRDefault="00C410B2">
      <w:pPr>
        <w:spacing w:before="120"/>
        <w:jc w:val="both"/>
      </w:pPr>
      <w:r>
        <w:rPr>
          <w:rFonts w:ascii="Cambria" w:eastAsia="Cambria" w:hAnsi="Cambria" w:cs="Cambria"/>
          <w:b/>
        </w:rPr>
        <w:t>Srovnání TA ČR s obdobnými organizacemi doma i v zahraničí</w:t>
      </w:r>
    </w:p>
    <w:p w:rsidR="008F3306" w:rsidRDefault="008F3306">
      <w:pPr>
        <w:spacing w:before="120"/>
        <w:jc w:val="both"/>
      </w:pPr>
    </w:p>
    <w:tbl>
      <w:tblPr>
        <w:tblStyle w:val="a9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9"/>
        <w:gridCol w:w="2409"/>
        <w:gridCol w:w="2410"/>
        <w:gridCol w:w="2410"/>
      </w:tblGrid>
      <w:tr w:rsidR="008F3306"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organizace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počet osob - FM (rok)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zdroj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poznámka</w:t>
            </w:r>
          </w:p>
        </w:tc>
      </w:tr>
      <w:tr w:rsidR="008F3306"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GA ČR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44 (2015)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GA ČR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widowControl w:val="0"/>
              <w:spacing w:line="240" w:lineRule="auto"/>
            </w:pPr>
          </w:p>
        </w:tc>
      </w:tr>
      <w:tr w:rsidR="008F3306"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AV ČR kancelář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73 (2014)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Výroční zpráva 2014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widowControl w:val="0"/>
              <w:spacing w:line="240" w:lineRule="auto"/>
            </w:pPr>
          </w:p>
        </w:tc>
      </w:tr>
      <w:tr w:rsidR="008F3306"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MPO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48 (2011)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podklady pro RVVI 2014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8F3306">
            <w:pPr>
              <w:widowControl w:val="0"/>
              <w:spacing w:line="240" w:lineRule="auto"/>
            </w:pPr>
          </w:p>
        </w:tc>
      </w:tr>
      <w:tr w:rsidR="008F3306"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TEKES (Finsko)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400 (2015)</w:t>
            </w: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34764A">
            <w:pPr>
              <w:widowControl w:val="0"/>
              <w:spacing w:line="240" w:lineRule="auto"/>
            </w:pPr>
            <w:hyperlink r:id="rId21">
              <w:r w:rsidR="00C410B2">
                <w:rPr>
                  <w:rFonts w:ascii="Cambria" w:eastAsia="Cambria" w:hAnsi="Cambria" w:cs="Cambria"/>
                  <w:color w:val="1155CC"/>
                  <w:u w:val="single"/>
                </w:rPr>
                <w:t>http://www.taftie.org/content/taftie-member-organisations%C2%B4-budgets</w:t>
              </w:r>
            </w:hyperlink>
          </w:p>
          <w:p w:rsidR="008F3306" w:rsidRDefault="008F3306">
            <w:pPr>
              <w:widowControl w:val="0"/>
              <w:spacing w:line="240" w:lineRule="auto"/>
            </w:pPr>
          </w:p>
        </w:tc>
        <w:tc>
          <w:tcPr>
            <w:tcW w:w="24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306" w:rsidRDefault="00C410B2">
            <w:pPr>
              <w:widowControl w:val="0"/>
              <w:spacing w:line="240" w:lineRule="auto"/>
            </w:pPr>
            <w:r>
              <w:rPr>
                <w:rFonts w:ascii="Cambria" w:eastAsia="Cambria" w:hAnsi="Cambria" w:cs="Cambria"/>
              </w:rPr>
              <w:t>celková podpora 660 mil €, z toho institucionální 33 mil € tj. 5% (TA ČR má 3,7%)</w:t>
            </w:r>
          </w:p>
        </w:tc>
      </w:tr>
    </w:tbl>
    <w:p w:rsidR="008F3306" w:rsidRDefault="008F3306">
      <w:pPr>
        <w:spacing w:before="120"/>
        <w:jc w:val="both"/>
      </w:pPr>
    </w:p>
    <w:sectPr w:rsidR="008F3306">
      <w:headerReference w:type="default" r:id="rId22"/>
      <w:footerReference w:type="default" r:id="rId23"/>
      <w:pgSz w:w="11906" w:h="16838"/>
      <w:pgMar w:top="1440" w:right="1134" w:bottom="1440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64A" w:rsidRDefault="0034764A">
      <w:pPr>
        <w:spacing w:line="240" w:lineRule="auto"/>
      </w:pPr>
      <w:r>
        <w:separator/>
      </w:r>
    </w:p>
  </w:endnote>
  <w:endnote w:type="continuationSeparator" w:id="0">
    <w:p w:rsidR="0034764A" w:rsidRDefault="003476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306" w:rsidRDefault="008F3306">
    <w:pPr>
      <w:jc w:val="right"/>
    </w:pPr>
  </w:p>
  <w:p w:rsidR="008F3306" w:rsidRDefault="00C410B2">
    <w:pPr>
      <w:jc w:val="right"/>
    </w:pPr>
    <w:r>
      <w:fldChar w:fldCharType="begin"/>
    </w:r>
    <w:r>
      <w:instrText>PAGE</w:instrText>
    </w:r>
    <w:r>
      <w:fldChar w:fldCharType="separate"/>
    </w:r>
    <w:r w:rsidR="00AE50E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64A" w:rsidRDefault="0034764A">
      <w:pPr>
        <w:spacing w:line="240" w:lineRule="auto"/>
      </w:pPr>
      <w:r>
        <w:separator/>
      </w:r>
    </w:p>
  </w:footnote>
  <w:footnote w:type="continuationSeparator" w:id="0">
    <w:p w:rsidR="0034764A" w:rsidRDefault="003476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306" w:rsidRDefault="008F3306">
    <w:pPr>
      <w:tabs>
        <w:tab w:val="center" w:pos="4536"/>
        <w:tab w:val="right" w:pos="9072"/>
      </w:tabs>
      <w:spacing w:before="120" w:line="240" w:lineRule="auto"/>
    </w:pPr>
  </w:p>
  <w:p w:rsidR="008F3306" w:rsidRDefault="008F3306">
    <w:pPr>
      <w:tabs>
        <w:tab w:val="center" w:pos="4536"/>
        <w:tab w:val="right" w:pos="9072"/>
      </w:tabs>
      <w:spacing w:before="12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4DA"/>
    <w:multiLevelType w:val="multilevel"/>
    <w:tmpl w:val="31B66E8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08F12C9B"/>
    <w:multiLevelType w:val="multilevel"/>
    <w:tmpl w:val="CC2EAF5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095F25BF"/>
    <w:multiLevelType w:val="multilevel"/>
    <w:tmpl w:val="A32EB2A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140D79AB"/>
    <w:multiLevelType w:val="multilevel"/>
    <w:tmpl w:val="C0FAAE0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17A82E47"/>
    <w:multiLevelType w:val="multilevel"/>
    <w:tmpl w:val="1B8ADC9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17A96091"/>
    <w:multiLevelType w:val="multilevel"/>
    <w:tmpl w:val="E5EE635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nsid w:val="19D4017E"/>
    <w:multiLevelType w:val="multilevel"/>
    <w:tmpl w:val="E6BA092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2DC33DA0"/>
    <w:multiLevelType w:val="multilevel"/>
    <w:tmpl w:val="B07C004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>
    <w:nsid w:val="2F0D4AED"/>
    <w:multiLevelType w:val="multilevel"/>
    <w:tmpl w:val="7694910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>
    <w:nsid w:val="347B137A"/>
    <w:multiLevelType w:val="multilevel"/>
    <w:tmpl w:val="E1FC2E3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>
    <w:nsid w:val="41331058"/>
    <w:multiLevelType w:val="multilevel"/>
    <w:tmpl w:val="6D34F87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1">
    <w:nsid w:val="41FF23D0"/>
    <w:multiLevelType w:val="multilevel"/>
    <w:tmpl w:val="403A7F5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>
    <w:nsid w:val="44831871"/>
    <w:multiLevelType w:val="multilevel"/>
    <w:tmpl w:val="9656D3D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3">
    <w:nsid w:val="46E92AB1"/>
    <w:multiLevelType w:val="multilevel"/>
    <w:tmpl w:val="F558D28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>
    <w:nsid w:val="4B007704"/>
    <w:multiLevelType w:val="multilevel"/>
    <w:tmpl w:val="6D78198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5">
    <w:nsid w:val="4CE23AE7"/>
    <w:multiLevelType w:val="multilevel"/>
    <w:tmpl w:val="FD3A3B3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6">
    <w:nsid w:val="5372739C"/>
    <w:multiLevelType w:val="multilevel"/>
    <w:tmpl w:val="0994F33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7">
    <w:nsid w:val="54255D61"/>
    <w:multiLevelType w:val="multilevel"/>
    <w:tmpl w:val="44F4920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8">
    <w:nsid w:val="55A843CE"/>
    <w:multiLevelType w:val="multilevel"/>
    <w:tmpl w:val="DFEACB0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9">
    <w:nsid w:val="6E450F19"/>
    <w:multiLevelType w:val="multilevel"/>
    <w:tmpl w:val="CE82EF5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0">
    <w:nsid w:val="7D5A2E25"/>
    <w:multiLevelType w:val="multilevel"/>
    <w:tmpl w:val="FBA2300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9"/>
  </w:num>
  <w:num w:numId="2">
    <w:abstractNumId w:val="12"/>
  </w:num>
  <w:num w:numId="3">
    <w:abstractNumId w:val="9"/>
  </w:num>
  <w:num w:numId="4">
    <w:abstractNumId w:val="20"/>
  </w:num>
  <w:num w:numId="5">
    <w:abstractNumId w:val="15"/>
  </w:num>
  <w:num w:numId="6">
    <w:abstractNumId w:val="17"/>
  </w:num>
  <w:num w:numId="7">
    <w:abstractNumId w:val="13"/>
  </w:num>
  <w:num w:numId="8">
    <w:abstractNumId w:val="7"/>
  </w:num>
  <w:num w:numId="9">
    <w:abstractNumId w:val="2"/>
  </w:num>
  <w:num w:numId="10">
    <w:abstractNumId w:val="10"/>
  </w:num>
  <w:num w:numId="11">
    <w:abstractNumId w:val="18"/>
  </w:num>
  <w:num w:numId="12">
    <w:abstractNumId w:val="14"/>
  </w:num>
  <w:num w:numId="13">
    <w:abstractNumId w:val="8"/>
  </w:num>
  <w:num w:numId="14">
    <w:abstractNumId w:val="4"/>
  </w:num>
  <w:num w:numId="15">
    <w:abstractNumId w:val="3"/>
  </w:num>
  <w:num w:numId="16">
    <w:abstractNumId w:val="6"/>
  </w:num>
  <w:num w:numId="17">
    <w:abstractNumId w:val="1"/>
  </w:num>
  <w:num w:numId="18">
    <w:abstractNumId w:val="5"/>
  </w:num>
  <w:num w:numId="19">
    <w:abstractNumId w:val="11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F3306"/>
    <w:rsid w:val="0034764A"/>
    <w:rsid w:val="004F7681"/>
    <w:rsid w:val="008F3306"/>
    <w:rsid w:val="00AD6137"/>
    <w:rsid w:val="00AE50E4"/>
    <w:rsid w:val="00C410B2"/>
    <w:rsid w:val="00E3108B"/>
    <w:rsid w:val="00E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  <w:tblStylePr w:type="firstRow">
      <w:pPr>
        <w:contextualSpacing/>
      </w:pPr>
    </w:tblStylePr>
    <w:tblStylePr w:type="lastRow">
      <w:pPr>
        <w:contextualSpacing/>
      </w:pPr>
    </w:tblStylePr>
    <w:tblStylePr w:type="firstCol">
      <w:pPr>
        <w:contextualSpacing/>
      </w:pPr>
    </w:tblStylePr>
    <w:tblStylePr w:type="lastCol">
      <w:pPr>
        <w:contextualSpacing/>
      </w:pPr>
    </w:tblStylePr>
    <w:tblStylePr w:type="band1Vert">
      <w:pPr>
        <w:contextualSpacing/>
      </w:pPr>
    </w:tblStylePr>
    <w:tblStylePr w:type="band2Vert">
      <w:pPr>
        <w:contextualSpacing/>
      </w:pPr>
    </w:tblStylePr>
    <w:tblStylePr w:type="band1Horz">
      <w:pPr>
        <w:contextualSpacing/>
      </w:pPr>
    </w:tblStylePr>
    <w:tblStylePr w:type="band2Horz">
      <w:pPr>
        <w:contextualSpacing/>
      </w:pPr>
    </w:tblStylePr>
    <w:tblStylePr w:type="neCell">
      <w:pPr>
        <w:contextualSpacing/>
      </w:pPr>
    </w:tblStylePr>
    <w:tblStylePr w:type="nwCell">
      <w:pPr>
        <w:contextualSpacing/>
      </w:pPr>
    </w:tblStylePr>
    <w:tblStylePr w:type="seCell">
      <w:pPr>
        <w:contextualSpacing/>
      </w:pPr>
    </w:tblStylePr>
    <w:tblStylePr w:type="swCell">
      <w:pPr>
        <w:contextualSpacing/>
      </w:pPr>
    </w:tblStyle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10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  <w:tblStylePr w:type="firstRow">
      <w:pPr>
        <w:contextualSpacing/>
      </w:pPr>
    </w:tblStylePr>
    <w:tblStylePr w:type="lastRow">
      <w:pPr>
        <w:contextualSpacing/>
      </w:pPr>
    </w:tblStylePr>
    <w:tblStylePr w:type="firstCol">
      <w:pPr>
        <w:contextualSpacing/>
      </w:pPr>
    </w:tblStylePr>
    <w:tblStylePr w:type="lastCol">
      <w:pPr>
        <w:contextualSpacing/>
      </w:pPr>
    </w:tblStylePr>
    <w:tblStylePr w:type="band1Vert">
      <w:pPr>
        <w:contextualSpacing/>
      </w:pPr>
    </w:tblStylePr>
    <w:tblStylePr w:type="band2Vert">
      <w:pPr>
        <w:contextualSpacing/>
      </w:pPr>
    </w:tblStylePr>
    <w:tblStylePr w:type="band1Horz">
      <w:pPr>
        <w:contextualSpacing/>
      </w:pPr>
    </w:tblStylePr>
    <w:tblStylePr w:type="band2Horz">
      <w:pPr>
        <w:contextualSpacing/>
      </w:pPr>
    </w:tblStylePr>
    <w:tblStylePr w:type="neCell">
      <w:pPr>
        <w:contextualSpacing/>
      </w:pPr>
    </w:tblStylePr>
    <w:tblStylePr w:type="nwCell">
      <w:pPr>
        <w:contextualSpacing/>
      </w:pPr>
    </w:tblStylePr>
    <w:tblStylePr w:type="seCell">
      <w:pPr>
        <w:contextualSpacing/>
      </w:pPr>
    </w:tblStylePr>
    <w:tblStylePr w:type="swCell">
      <w:pPr>
        <w:contextualSpacing/>
      </w:pPr>
    </w:tblStyle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10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rocesnimodel.tacr.cz/ARPO_Data/MBF829135-7D72-4181-850F-3837577C7E0F_Z075.HTML" TargetMode="External"/><Relationship Id="rId18" Type="http://schemas.openxmlformats.org/officeDocument/2006/relationships/hyperlink" Target="http://procesnimodel.tacr.cz/ARPO_Data/MAA5ED958-198D-4379-8B21-96EC7DD7C05A_Z075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aftie.org/content/taftie-member-organisations%C2%B4-budget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rocesnimodel.tacr.cz/ARPO_Data/ME7BDF452-AC69-4418-8BDA-D914F9975235_Z075.HTML" TargetMode="External"/><Relationship Id="rId17" Type="http://schemas.openxmlformats.org/officeDocument/2006/relationships/hyperlink" Target="http://procesnimodel.tacr.cz/ARPO_Data/M23D1B058-7BF8-491B-B7D6-CB4B0BB13334_Z075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procesnimodel.tacr.cz/ARPO_Data/M983AE051-FD27-49D1-9966-962C890D2FD5_Z075.HTML" TargetMode="External"/><Relationship Id="rId20" Type="http://schemas.openxmlformats.org/officeDocument/2006/relationships/hyperlink" Target="http://procesnimodel.tacr.cz/ARPO_Data/M1EE393F4-2129-4BC8-BD60-685FD3EBDA29_Z075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rocesnimodel.tacr.cz/ARPO_Data/MB0661367-FEC5-4F31-8440-E8AFAB21B734_Z075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rocesnimodel.tacr.cz/ARPO_Data/M68896D09-332C-485B-AF1D-B0C00B5E440E_Z075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://procesnimodel.tacr.cz/ARPO_Data/M89ACC7FA-FD5D-4909-BE0A-A553E79308D3_Z075.HTML" TargetMode="External"/><Relationship Id="rId19" Type="http://schemas.openxmlformats.org/officeDocument/2006/relationships/hyperlink" Target="http://procesnimodel.tacr.cz/ARPO_Data/M1A00FDEF-A886-4AA7-AD8E-A551112A6F51_Z07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cesnimodel.tacr.cz/ARPO_Data/M92C7F0CC-B1A7-4824-A70A-84F60F8555A8_Z075.HTML" TargetMode="External"/><Relationship Id="rId14" Type="http://schemas.openxmlformats.org/officeDocument/2006/relationships/hyperlink" Target="http://procesnimodel.tacr.cz/ARPO_Data/M1378B79A-B589-4393-9000-4DC872E9DDAD_Z075.HTM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4836</Words>
  <Characters>28533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TAČR</Company>
  <LinksUpToDate>false</LinksUpToDate>
  <CharactersWithSpaces>33303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Zajoncová Lucie</dc:creator>
  <cp:lastModifiedBy>Lexová Alena</cp:lastModifiedBy>
  <cp:revision>2</cp:revision>
  <dcterms:created xsi:type="dcterms:W3CDTF">2015-08-17T09:19:00Z</dcterms:created>
  <dcterms:modified xsi:type="dcterms:W3CDTF">2015-08-17T09:19:00Z</dcterms:modified>
</cp:coreProperties>
</file>