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CA0" w:rsidRPr="002440BD" w:rsidRDefault="00A85A25" w:rsidP="003F0CA0">
      <w:bookmarkStart w:id="0" w:name="_GoBack"/>
      <w:bookmarkEnd w:id="0"/>
      <w:r>
        <w:t>Ministerstvo školství, mládeže a tělovýchovy</w:t>
      </w:r>
    </w:p>
    <w:p w:rsidR="00FE27E8" w:rsidRPr="008B303C" w:rsidRDefault="00C110F9" w:rsidP="003A76E9">
      <w:pPr>
        <w:jc w:val="center"/>
        <w:rPr>
          <w:b/>
        </w:rPr>
      </w:pPr>
      <w:r w:rsidRPr="008B303C">
        <w:rPr>
          <w:b/>
        </w:rPr>
        <w:t>II.</w:t>
      </w:r>
    </w:p>
    <w:p w:rsidR="00C110F9" w:rsidRPr="00D873DF" w:rsidRDefault="00C110F9" w:rsidP="00FE27E8">
      <w:pPr>
        <w:jc w:val="right"/>
        <w:rPr>
          <w:b/>
          <w:spacing w:val="20"/>
          <w:position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672E" w:rsidRPr="00C110F9" w:rsidRDefault="0040404C" w:rsidP="006858E5">
      <w:pPr>
        <w:jc w:val="center"/>
        <w:rPr>
          <w:b/>
        </w:rPr>
      </w:pPr>
      <w:r>
        <w:rPr>
          <w:b/>
        </w:rPr>
        <w:t>PŘEDKLÁDACÍ ZPRÁVA</w:t>
      </w:r>
    </w:p>
    <w:p w:rsidR="00C110F9" w:rsidRDefault="00C110F9" w:rsidP="007F16DF"/>
    <w:p w:rsidR="002440BD" w:rsidRDefault="002440BD" w:rsidP="007F16DF"/>
    <w:p w:rsidR="00D873DF" w:rsidRDefault="0085300A" w:rsidP="00D873D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tab/>
      </w:r>
      <w:r w:rsidR="00D873DF" w:rsidRPr="00D873DF">
        <w:rPr>
          <w:rFonts w:ascii="Calibri" w:hAnsi="Calibri" w:cs="Calibri"/>
          <w:sz w:val="22"/>
          <w:szCs w:val="22"/>
        </w:rPr>
        <w:t>Podle § 5 odst. 2 zákona č. 130/2002 Sb., o podpoře výzkumu, experimentálního vývoje a</w:t>
      </w:r>
      <w:r w:rsidR="00F435FE">
        <w:rPr>
          <w:rFonts w:ascii="Calibri" w:hAnsi="Calibri" w:cs="Calibri"/>
          <w:sz w:val="22"/>
          <w:szCs w:val="22"/>
        </w:rPr>
        <w:t> </w:t>
      </w:r>
      <w:r w:rsidR="00D873DF" w:rsidRPr="00D873DF">
        <w:rPr>
          <w:rFonts w:ascii="Calibri" w:hAnsi="Calibri" w:cs="Calibri"/>
          <w:sz w:val="22"/>
          <w:szCs w:val="22"/>
        </w:rPr>
        <w:t>inovací z veřejných prostředků a o změně některých souvisejících zákonů (zákon o podpoře výzkumu, experimentálního vývoje a inovací), ve znění pozdějších předpisů p</w:t>
      </w:r>
      <w:r w:rsidR="00D873DF" w:rsidRPr="00164B04">
        <w:rPr>
          <w:rFonts w:ascii="Calibri" w:hAnsi="Calibri" w:cs="Calibri"/>
          <w:sz w:val="22"/>
          <w:szCs w:val="22"/>
        </w:rPr>
        <w:t xml:space="preserve">ředkládá </w:t>
      </w:r>
      <w:r w:rsidR="00D873DF">
        <w:rPr>
          <w:rFonts w:ascii="Calibri" w:hAnsi="Calibri" w:cs="Calibri"/>
          <w:sz w:val="22"/>
          <w:szCs w:val="22"/>
        </w:rPr>
        <w:t xml:space="preserve">Ministerstvo školství, mládeže a tělovýchovy </w:t>
      </w:r>
      <w:r w:rsidR="00D873DF" w:rsidRPr="00164B04">
        <w:rPr>
          <w:rFonts w:ascii="Calibri" w:hAnsi="Calibri" w:cs="Calibri"/>
          <w:sz w:val="22"/>
          <w:szCs w:val="22"/>
        </w:rPr>
        <w:t>materiál „</w:t>
      </w:r>
      <w:r w:rsidR="00B064F1">
        <w:rPr>
          <w:rFonts w:ascii="Calibri" w:hAnsi="Calibri" w:cs="Calibri"/>
          <w:sz w:val="22"/>
          <w:szCs w:val="22"/>
        </w:rPr>
        <w:t xml:space="preserve">Návrh </w:t>
      </w:r>
      <w:r w:rsidR="00D873DF" w:rsidRPr="00164B04">
        <w:rPr>
          <w:rFonts w:ascii="Calibri" w:hAnsi="Calibri" w:cs="Calibri"/>
          <w:sz w:val="22"/>
          <w:szCs w:val="22"/>
        </w:rPr>
        <w:t>Program</w:t>
      </w:r>
      <w:r w:rsidR="00B064F1">
        <w:rPr>
          <w:rFonts w:ascii="Calibri" w:hAnsi="Calibri" w:cs="Calibri"/>
          <w:sz w:val="22"/>
          <w:szCs w:val="22"/>
        </w:rPr>
        <w:t>u</w:t>
      </w:r>
      <w:r w:rsidR="00D873DF" w:rsidRPr="00164B04">
        <w:rPr>
          <w:rFonts w:ascii="Calibri" w:hAnsi="Calibri" w:cs="Calibri"/>
          <w:sz w:val="22"/>
          <w:szCs w:val="22"/>
        </w:rPr>
        <w:t xml:space="preserve"> podpory mezinárodní spolupráce ve výzkumu a</w:t>
      </w:r>
      <w:r w:rsidR="00F435FE">
        <w:rPr>
          <w:rFonts w:ascii="Calibri" w:hAnsi="Calibri" w:cs="Calibri"/>
          <w:sz w:val="22"/>
          <w:szCs w:val="22"/>
        </w:rPr>
        <w:t> </w:t>
      </w:r>
      <w:r w:rsidR="00D873DF" w:rsidRPr="00164B04">
        <w:rPr>
          <w:rFonts w:ascii="Calibri" w:hAnsi="Calibri" w:cs="Calibri"/>
          <w:sz w:val="22"/>
          <w:szCs w:val="22"/>
        </w:rPr>
        <w:t>vývoji INTER-EXCELLENCE s předpokládaným termínem vyhlášení v březnu 2016 a dobou trvání do</w:t>
      </w:r>
      <w:r w:rsidR="00F435FE">
        <w:rPr>
          <w:rFonts w:ascii="Calibri" w:hAnsi="Calibri" w:cs="Calibri"/>
          <w:sz w:val="22"/>
          <w:szCs w:val="22"/>
        </w:rPr>
        <w:t> </w:t>
      </w:r>
      <w:r w:rsidR="00D873DF" w:rsidRPr="00164B04">
        <w:rPr>
          <w:rFonts w:ascii="Calibri" w:hAnsi="Calibri" w:cs="Calibri"/>
          <w:sz w:val="22"/>
          <w:szCs w:val="22"/>
        </w:rPr>
        <w:t>31.</w:t>
      </w:r>
      <w:r w:rsidR="00D14C03">
        <w:rPr>
          <w:rFonts w:ascii="Calibri" w:hAnsi="Calibri" w:cs="Calibri"/>
          <w:sz w:val="22"/>
          <w:szCs w:val="22"/>
        </w:rPr>
        <w:t> </w:t>
      </w:r>
      <w:r w:rsidR="00D873DF" w:rsidRPr="00164B04">
        <w:rPr>
          <w:rFonts w:ascii="Calibri" w:hAnsi="Calibri" w:cs="Calibri"/>
          <w:sz w:val="22"/>
          <w:szCs w:val="22"/>
        </w:rPr>
        <w:t xml:space="preserve">prosince 2024 (dále jen „Program“). Tento harmonogram je navržen v souvislosti s končící platností současných mezinárodních programů spolupráce EUPRO II, INGO II, </w:t>
      </w:r>
      <w:r w:rsidR="00D873DF" w:rsidRPr="00176302">
        <w:rPr>
          <w:rFonts w:ascii="Calibri" w:hAnsi="Calibri" w:cs="Calibri"/>
          <w:sz w:val="22"/>
          <w:szCs w:val="22"/>
        </w:rPr>
        <w:t>COST CZ, KONTAKT II, EUREKA CZ (jejichž platnost vyprší k 31. prosinci 2017) a programu GESHER/MOST (jehož platnost vyprší k 31. prosinci 2016).  V zájmu zachování kontinuity podpory projektů mezinárodní spolupráce jsou navrhované termíny vedeny snahou o plynulé navázání nového Programu na programy končící.</w:t>
      </w:r>
    </w:p>
    <w:p w:rsidR="00D873DF" w:rsidRDefault="00D873DF" w:rsidP="00D873DF">
      <w:pPr>
        <w:tabs>
          <w:tab w:val="left" w:pos="567"/>
        </w:tabs>
        <w:ind w:firstLine="357"/>
        <w:jc w:val="both"/>
        <w:rPr>
          <w:rFonts w:ascii="Calibri" w:hAnsi="Calibri" w:cs="Calibri"/>
          <w:sz w:val="22"/>
          <w:szCs w:val="22"/>
        </w:rPr>
      </w:pPr>
    </w:p>
    <w:p w:rsidR="00D873DF" w:rsidRPr="00176302" w:rsidRDefault="00D873DF" w:rsidP="00D873DF">
      <w:pPr>
        <w:tabs>
          <w:tab w:val="left" w:pos="567"/>
        </w:tabs>
        <w:spacing w:after="120"/>
        <w:ind w:firstLine="357"/>
        <w:rPr>
          <w:rFonts w:ascii="Calibri" w:hAnsi="Calibri" w:cs="Calibri"/>
          <w:b/>
          <w:sz w:val="22"/>
          <w:szCs w:val="22"/>
        </w:rPr>
      </w:pPr>
      <w:r w:rsidRPr="00176302">
        <w:rPr>
          <w:rFonts w:ascii="Calibri" w:hAnsi="Calibri" w:cs="Calibri"/>
          <w:b/>
          <w:sz w:val="22"/>
          <w:szCs w:val="22"/>
        </w:rPr>
        <w:t>Právní rámec</w:t>
      </w:r>
    </w:p>
    <w:p w:rsidR="00D873DF" w:rsidRPr="00176302" w:rsidRDefault="00D873DF" w:rsidP="00D873DF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tab/>
        <w:t>Program se řídí zákonem č. 130/2002 Sb., o podpoře výzkumu, ex</w:t>
      </w:r>
      <w:r>
        <w:rPr>
          <w:rFonts w:ascii="Calibri" w:hAnsi="Calibri" w:cs="Calibri"/>
          <w:sz w:val="22"/>
          <w:szCs w:val="22"/>
        </w:rPr>
        <w:t>perimentálního vývoje a</w:t>
      </w:r>
      <w:r w:rsidR="00F435FE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inovací,</w:t>
      </w:r>
      <w:r w:rsidRPr="00176302">
        <w:rPr>
          <w:rFonts w:ascii="Calibri" w:hAnsi="Calibri" w:cs="Calibri"/>
          <w:sz w:val="22"/>
          <w:szCs w:val="22"/>
        </w:rPr>
        <w:t xml:space="preserve"> zákonem č. 218/2000 Sb., o rozpočtových pravidlech a o změně některých souvisejících zákonů (rozpočtová pravidla), ve znění pozdějších předpisů, Nařízením Komise (EU) č. 651/2014 ze dne 17. června 2014, kterým ve v souladu s články 107 a 108 Smlouvy prohlašují určité kategorie podpory za slučitelné s vnitřním trhem (dále jen „Nařízení“) a dalšími souvisejícími právními předpisy.</w:t>
      </w:r>
    </w:p>
    <w:p w:rsidR="00D873DF" w:rsidRPr="00176302" w:rsidRDefault="00D873DF" w:rsidP="00D873DF">
      <w:pPr>
        <w:jc w:val="both"/>
        <w:rPr>
          <w:rFonts w:ascii="Calibri" w:hAnsi="Calibri" w:cs="Calibri"/>
          <w:sz w:val="22"/>
          <w:szCs w:val="22"/>
        </w:rPr>
      </w:pPr>
    </w:p>
    <w:p w:rsidR="00D873DF" w:rsidRPr="00176302" w:rsidRDefault="00D873DF" w:rsidP="00D873DF">
      <w:pPr>
        <w:jc w:val="both"/>
        <w:rPr>
          <w:rFonts w:ascii="Calibri" w:hAnsi="Calibri" w:cs="Calibr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tab/>
        <w:t>Program je v souladu s Národní politikou výzkumu, vývoje a inovací České republiky na léta 2009-2015 s výhledem do roku 2020 (dále jen „národní politika výzkumu, vývoje a inovací“) a</w:t>
      </w:r>
      <w:r w:rsidR="00F435FE">
        <w:rPr>
          <w:rFonts w:ascii="Calibri" w:hAnsi="Calibri" w:cs="Calibri"/>
          <w:sz w:val="22"/>
          <w:szCs w:val="22"/>
        </w:rPr>
        <w:t> </w:t>
      </w:r>
      <w:r w:rsidRPr="00176302">
        <w:rPr>
          <w:rFonts w:ascii="Calibri" w:hAnsi="Calibri" w:cs="Calibri"/>
          <w:sz w:val="22"/>
          <w:szCs w:val="22"/>
        </w:rPr>
        <w:t>s Národními prioritami orientovaného výzkumu, experimentálního vývoje a inovací. Program naplňuje v plné míře opatření č. 10 národní politiky výzkumu, vývoje a inovací - podpora aktivit napomáhajících v zapojení subjektů z České republiky do mezinárodního výzkumu (zejména do</w:t>
      </w:r>
      <w:r w:rsidR="00F435FE">
        <w:rPr>
          <w:rFonts w:ascii="Calibri" w:hAnsi="Calibri" w:cs="Calibri"/>
          <w:sz w:val="22"/>
          <w:szCs w:val="22"/>
        </w:rPr>
        <w:t> </w:t>
      </w:r>
      <w:r w:rsidRPr="00176302">
        <w:rPr>
          <w:rFonts w:ascii="Calibri" w:hAnsi="Calibri" w:cs="Calibri"/>
          <w:sz w:val="22"/>
          <w:szCs w:val="22"/>
        </w:rPr>
        <w:t>programu Horizont 2020) a zajištění odborného zázemí pro reprezentanty České republiky pro</w:t>
      </w:r>
      <w:r w:rsidR="00F435FE">
        <w:rPr>
          <w:rFonts w:ascii="Calibri" w:hAnsi="Calibri" w:cs="Calibri"/>
          <w:sz w:val="22"/>
          <w:szCs w:val="22"/>
        </w:rPr>
        <w:t> </w:t>
      </w:r>
      <w:r w:rsidRPr="00176302">
        <w:rPr>
          <w:rFonts w:ascii="Calibri" w:hAnsi="Calibri" w:cs="Calibri"/>
          <w:sz w:val="22"/>
          <w:szCs w:val="22"/>
        </w:rPr>
        <w:t>jednání a další akce realizované na úrovni Evropské komise související s formováním ERA (Evropského výzkumného prostoru), a významným způsobem opatření č. 5 národní politiky výzkumu, vývoje a</w:t>
      </w:r>
      <w:r w:rsidR="00F435FE">
        <w:rPr>
          <w:rFonts w:ascii="Calibri" w:hAnsi="Calibri" w:cs="Calibri"/>
          <w:sz w:val="22"/>
          <w:szCs w:val="22"/>
        </w:rPr>
        <w:t> </w:t>
      </w:r>
      <w:r w:rsidRPr="00176302">
        <w:rPr>
          <w:rFonts w:ascii="Calibri" w:hAnsi="Calibri" w:cs="Calibri"/>
          <w:sz w:val="22"/>
          <w:szCs w:val="22"/>
        </w:rPr>
        <w:t xml:space="preserve">inovací, a to zejména </w:t>
      </w:r>
      <w:r w:rsidRPr="00176302">
        <w:rPr>
          <w:rFonts w:ascii="Calibri" w:hAnsi="Calibri" w:cs="Calibri"/>
          <w:bCs/>
          <w:sz w:val="22"/>
          <w:szCs w:val="22"/>
        </w:rPr>
        <w:t>v oblasti internacionalizace výzkumu, rozvoje lidských zdrojů, rozvoje infrastruktury pro realizace výzkumných aktivit, transferu výsledků výzkumu a vývoje do praxe a</w:t>
      </w:r>
      <w:r w:rsidR="00F435FE">
        <w:rPr>
          <w:rFonts w:ascii="Calibri" w:hAnsi="Calibri" w:cs="Calibri"/>
          <w:bCs/>
          <w:sz w:val="22"/>
          <w:szCs w:val="22"/>
        </w:rPr>
        <w:t> </w:t>
      </w:r>
      <w:r w:rsidRPr="00176302">
        <w:rPr>
          <w:rFonts w:ascii="Calibri" w:hAnsi="Calibri" w:cs="Calibri"/>
          <w:bCs/>
          <w:sz w:val="22"/>
          <w:szCs w:val="22"/>
        </w:rPr>
        <w:t>spolupráce s aplikačním sektorem.</w:t>
      </w:r>
    </w:p>
    <w:p w:rsidR="00D873DF" w:rsidRPr="00176302" w:rsidRDefault="00D873DF" w:rsidP="00D873DF">
      <w:p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t xml:space="preserve"> </w:t>
      </w:r>
    </w:p>
    <w:p w:rsidR="00D873DF" w:rsidRPr="00176302" w:rsidRDefault="00D873DF" w:rsidP="00D873DF">
      <w:pPr>
        <w:tabs>
          <w:tab w:val="left" w:pos="567"/>
        </w:tabs>
        <w:spacing w:after="120"/>
        <w:ind w:firstLine="357"/>
        <w:rPr>
          <w:rFonts w:ascii="Calibri" w:hAnsi="Calibri" w:cs="Calibri"/>
          <w:b/>
          <w:sz w:val="22"/>
          <w:szCs w:val="22"/>
        </w:rPr>
      </w:pPr>
      <w:r w:rsidRPr="00176302">
        <w:rPr>
          <w:rFonts w:ascii="Calibri" w:hAnsi="Calibri" w:cs="Calibri"/>
          <w:b/>
          <w:sz w:val="22"/>
          <w:szCs w:val="22"/>
        </w:rPr>
        <w:t>Předmět podpory</w:t>
      </w:r>
    </w:p>
    <w:p w:rsidR="00CA4D3B" w:rsidRDefault="00D873DF" w:rsidP="00CA4D3B">
      <w:pPr>
        <w:jc w:val="both"/>
      </w:pPr>
      <w:r w:rsidRPr="00176302">
        <w:rPr>
          <w:rFonts w:ascii="Calibri" w:hAnsi="Calibri" w:cs="Calibri"/>
          <w:sz w:val="22"/>
          <w:szCs w:val="22"/>
        </w:rPr>
        <w:tab/>
      </w:r>
      <w:r w:rsidR="00CA4D3B">
        <w:t>Předmětem podpory dle Programu je projekt podle § 3 odst. 2 písm. b) zákona o podpoře výzkumu, experimentálního vývoje a inovací ve vlastním výzkumu a vývoji v podmínkách mezinárodní spolupráce</w:t>
      </w:r>
      <w:r w:rsidR="00CA4D3B">
        <w:rPr>
          <w:rFonts w:cs="Calibri"/>
        </w:rPr>
        <w:t xml:space="preserve"> nebo </w:t>
      </w:r>
      <w:r w:rsidR="00CA4D3B">
        <w:t>ve smyslu podpůrné činnosti výzkumu a vývoje podle § 2 odst. 2 písm. e) téhož zákona.</w:t>
      </w:r>
    </w:p>
    <w:p w:rsidR="00D873DF" w:rsidRPr="00176302" w:rsidRDefault="00D873DF" w:rsidP="00CA4D3B">
      <w:p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</w:p>
    <w:p w:rsidR="00D873DF" w:rsidRPr="00176302" w:rsidRDefault="00D873DF" w:rsidP="00D873DF">
      <w:pPr>
        <w:tabs>
          <w:tab w:val="left" w:pos="567"/>
        </w:tabs>
        <w:spacing w:after="120"/>
        <w:ind w:firstLine="357"/>
        <w:rPr>
          <w:rFonts w:ascii="Calibri" w:hAnsi="Calibri" w:cs="Calibri"/>
          <w:b/>
          <w:sz w:val="22"/>
          <w:szCs w:val="22"/>
        </w:rPr>
      </w:pPr>
      <w:r w:rsidRPr="00176302">
        <w:rPr>
          <w:rFonts w:ascii="Calibri" w:hAnsi="Calibri" w:cs="Calibri"/>
          <w:b/>
          <w:sz w:val="22"/>
          <w:szCs w:val="22"/>
        </w:rPr>
        <w:t>Architektura Programu</w:t>
      </w:r>
    </w:p>
    <w:p w:rsidR="00D873DF" w:rsidRPr="00176302" w:rsidRDefault="00D873DF" w:rsidP="00D873DF">
      <w:pPr>
        <w:spacing w:after="120"/>
        <w:ind w:firstLine="357"/>
        <w:jc w:val="both"/>
        <w:rPr>
          <w:rFonts w:ascii="Calibri" w:hAnsi="Calibri" w:cs="Calibr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t xml:space="preserve">Program se člení na CÍLE PODPORY 1 – 3, a tyto cíle se dále člení na OBLASTI PODPORY 1 – 6. OBLASTI PODPORY 1 a 2, sjednocené pod CÍL PODPORY 1 nahrazují program EUPRO II a podprogram Poplatek programu INGO II. OBLAST PODPORY 6 podřazená pod CÍL PODPORY 3 zajišťuje pokračování podpory pokryté programem EUREKA. Všechny ostatní OBLASTI PODPORY (tj. 3 – 5) podřazené v rámci Programu pod CÍL 2 zajišťují pokračování podpory pokryté všemi ostatními výše zmíněnými programy mezinárodní spolupráce ve výzkumu a vývoji. </w:t>
      </w:r>
    </w:p>
    <w:p w:rsidR="00D873DF" w:rsidRPr="00176302" w:rsidRDefault="00D873DF" w:rsidP="00D873DF">
      <w:pPr>
        <w:jc w:val="both"/>
        <w:rPr>
          <w:rFonts w:ascii="Calibri" w:hAnsi="Calibri" w:cs="Calibr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lastRenderedPageBreak/>
        <w:t>Program ve své komplexnosti umožní nejen nahrazení, ale i další rozšíření dříve podporovaných aktivit a uchazečů.</w:t>
      </w:r>
    </w:p>
    <w:p w:rsidR="00D873DF" w:rsidRPr="00176302" w:rsidRDefault="00D873DF" w:rsidP="00D873DF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4A0" w:firstRow="1" w:lastRow="0" w:firstColumn="1" w:lastColumn="0" w:noHBand="0" w:noVBand="1"/>
      </w:tblPr>
      <w:tblGrid>
        <w:gridCol w:w="1377"/>
        <w:gridCol w:w="7662"/>
      </w:tblGrid>
      <w:tr w:rsidR="00D873DF" w:rsidRPr="00176302" w:rsidTr="00D14C03">
        <w:tc>
          <w:tcPr>
            <w:tcW w:w="9210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CÍL PODPORY 1</w:t>
            </w:r>
          </w:p>
          <w:p w:rsidR="00D873DF" w:rsidRPr="00D14C03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14C03">
              <w:rPr>
                <w:rFonts w:ascii="Calibri" w:hAnsi="Calibri" w:cs="Calibri"/>
                <w:b/>
                <w:sz w:val="22"/>
                <w:szCs w:val="22"/>
              </w:rPr>
              <w:t>zajištění podpůrných služeb pro zapojení České republiky do aktivit v ERA (Evropském výzkumném prostoru) a dalších multilaterálních aktivit formou nepřímé podpory výzkumu a vývoji</w:t>
            </w:r>
          </w:p>
        </w:tc>
      </w:tr>
      <w:tr w:rsidR="00D873DF" w:rsidRPr="00176302" w:rsidTr="00D14C03">
        <w:tc>
          <w:tcPr>
            <w:tcW w:w="1384" w:type="dxa"/>
            <w:tcBorders>
              <w:right w:val="single" w:sz="18" w:space="0" w:color="FFFFFF"/>
            </w:tcBorders>
            <w:shd w:val="clear" w:color="auto" w:fill="EAEAEA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OBLAST PODPORY 1</w:t>
            </w:r>
          </w:p>
        </w:tc>
        <w:tc>
          <w:tcPr>
            <w:tcW w:w="78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podpora budování a udržitelnosti informačních sítí ve výzkumu a vývoji v zájmu zvýšení účasti českých výzkumných pracovišť v mezinárodních programech výzkumu a vývoje</w:t>
            </w:r>
          </w:p>
        </w:tc>
      </w:tr>
      <w:tr w:rsidR="00D873DF" w:rsidRPr="00176302" w:rsidTr="00D14C03">
        <w:tc>
          <w:tcPr>
            <w:tcW w:w="1384" w:type="dxa"/>
            <w:tcBorders>
              <w:right w:val="single" w:sz="18" w:space="0" w:color="FFFFFF"/>
            </w:tcBorders>
            <w:shd w:val="clear" w:color="auto" w:fill="EAEAEA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OBLAST PODPORY 2</w:t>
            </w:r>
          </w:p>
        </w:tc>
        <w:tc>
          <w:tcPr>
            <w:tcW w:w="78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posílení aktivního zastoupení českých vědců v řídících orgánech špičkových nevládních organizací mezinárodního charakteru, zabývajících se výzkumem a vývojem</w:t>
            </w:r>
          </w:p>
        </w:tc>
      </w:tr>
      <w:tr w:rsidR="00D873DF" w:rsidRPr="00176302" w:rsidTr="00D14C03">
        <w:tc>
          <w:tcPr>
            <w:tcW w:w="9210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CÍL PODPORY 2</w:t>
            </w:r>
          </w:p>
          <w:p w:rsidR="00D873DF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14C03">
              <w:rPr>
                <w:rFonts w:ascii="Calibri" w:hAnsi="Calibri" w:cs="Calibri"/>
                <w:b/>
                <w:sz w:val="22"/>
                <w:szCs w:val="22"/>
              </w:rPr>
              <w:t>rozvoj mezinárodní bilaterální a multilaterální spolupráce ve výzkumu a vývoji</w:t>
            </w:r>
          </w:p>
          <w:p w:rsidR="00D14C03" w:rsidRPr="00D14C03" w:rsidRDefault="00D14C03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873DF" w:rsidRPr="00176302" w:rsidTr="00D14C03">
        <w:tc>
          <w:tcPr>
            <w:tcW w:w="1384" w:type="dxa"/>
            <w:tcBorders>
              <w:right w:val="single" w:sz="18" w:space="0" w:color="FFFFFF"/>
            </w:tcBorders>
            <w:shd w:val="clear" w:color="auto" w:fill="EAEAEA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OBLAST PODPORY 3</w:t>
            </w:r>
          </w:p>
        </w:tc>
        <w:tc>
          <w:tcPr>
            <w:tcW w:w="78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podpora účasti českých vědeckých pracovníků na mezinárodních projektech výzkumu a vývoje, prostřednictvím podpory jejich zapojení do špičkových mezinárodních výzkumných týmů, lokalizovaných ve výzkumných centrech mezinárodních organizací nebo vládních institucí v zahraničí v případě, kdy je povoleno přímé členství uchazeče, nebo v případě, kdy tato účast není umožněna již existujícím členstvím České republiky v klubu členských zemí a poplatky zaplacenými státem v souvislosti s tímto členstvím</w:t>
            </w:r>
          </w:p>
        </w:tc>
      </w:tr>
      <w:tr w:rsidR="00D873DF" w:rsidRPr="00176302" w:rsidTr="00D14C03">
        <w:tc>
          <w:tcPr>
            <w:tcW w:w="1384" w:type="dxa"/>
            <w:tcBorders>
              <w:right w:val="single" w:sz="18" w:space="0" w:color="FFFFFF"/>
            </w:tcBorders>
            <w:shd w:val="clear" w:color="auto" w:fill="EAEAEA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OBLAST PODPORY 4</w:t>
            </w:r>
          </w:p>
        </w:tc>
        <w:tc>
          <w:tcPr>
            <w:tcW w:w="78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 xml:space="preserve">podpora zapojení českých vědeckých týmů do evropské mnohostranné spolupráce COST v oblasti základního nebo aplikovaného výzkumu a vývoje, a to formou nových akcí (tj. tematických okruhů vybíraných k podpoře příslušnými orgány COST), navrhovanými těmito českými vědeckými týmy, nebo jejich připojením se k akcím (tematickým okruhům) již navrženým jinými vědeckými týmy  </w:t>
            </w:r>
          </w:p>
        </w:tc>
      </w:tr>
      <w:tr w:rsidR="00D873DF" w:rsidRPr="00176302" w:rsidTr="00D14C03">
        <w:tc>
          <w:tcPr>
            <w:tcW w:w="1384" w:type="dxa"/>
            <w:tcBorders>
              <w:right w:val="single" w:sz="18" w:space="0" w:color="FFFFFF"/>
            </w:tcBorders>
            <w:shd w:val="clear" w:color="auto" w:fill="EAEAEA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OBLAST PODPORY 5</w:t>
            </w:r>
          </w:p>
        </w:tc>
        <w:tc>
          <w:tcPr>
            <w:tcW w:w="78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 xml:space="preserve">podpora bilaterální spolupráce českých výzkumných pracovišť a jejich partnerských pracovišť v  zemích, se kterými je sjednána platná dohoda pro aktivity výzkumu a vývoje; výčet těchto zemí je specifikován podle aktuálního stavu ke dni vyhlášení veřejné soutěže ve výzkumu, vývoj a inovacích   </w:t>
            </w:r>
          </w:p>
        </w:tc>
      </w:tr>
      <w:tr w:rsidR="00D873DF" w:rsidRPr="00176302" w:rsidTr="00D14C03">
        <w:tc>
          <w:tcPr>
            <w:tcW w:w="9210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CÍL PODPORY 3</w:t>
            </w:r>
          </w:p>
          <w:p w:rsidR="00D873DF" w:rsidRPr="00D14C03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14C03">
              <w:rPr>
                <w:rFonts w:ascii="Calibri" w:hAnsi="Calibri" w:cs="Calibri"/>
                <w:b/>
                <w:sz w:val="22"/>
                <w:szCs w:val="22"/>
              </w:rPr>
              <w:t>zapojení českých subjektů do evropských programů s výběrem projektů aplikovaného výzkumu na nadnárodní úrovni</w:t>
            </w:r>
          </w:p>
          <w:p w:rsidR="00D14C03" w:rsidRPr="00176302" w:rsidRDefault="00D14C03" w:rsidP="00787F1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73DF" w:rsidRPr="00176302" w:rsidTr="00D14C03">
        <w:tc>
          <w:tcPr>
            <w:tcW w:w="1384" w:type="dxa"/>
            <w:tcBorders>
              <w:right w:val="single" w:sz="18" w:space="0" w:color="FFFFFF"/>
            </w:tcBorders>
            <w:shd w:val="clear" w:color="auto" w:fill="EAEAEA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OBLAST PODPORY 6</w:t>
            </w:r>
          </w:p>
        </w:tc>
        <w:tc>
          <w:tcPr>
            <w:tcW w:w="78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podpora mezinárodní spolupráce mezi průmyslovými podniky a výzkumnými organizacemi, přímo navazující na evropský program EUREKA</w:t>
            </w:r>
          </w:p>
        </w:tc>
      </w:tr>
    </w:tbl>
    <w:p w:rsidR="00D873DF" w:rsidRPr="00176302" w:rsidRDefault="00D873DF" w:rsidP="00D873DF">
      <w:pPr>
        <w:tabs>
          <w:tab w:val="left" w:pos="567"/>
        </w:tabs>
        <w:rPr>
          <w:rFonts w:ascii="Calibri" w:hAnsi="Calibri" w:cs="Calibri"/>
          <w:sz w:val="22"/>
          <w:szCs w:val="22"/>
        </w:rPr>
      </w:pPr>
    </w:p>
    <w:p w:rsidR="00D873DF" w:rsidRPr="00176302" w:rsidRDefault="00D873DF" w:rsidP="00D873DF">
      <w:pPr>
        <w:pStyle w:val="Standard"/>
        <w:jc w:val="center"/>
        <w:rPr>
          <w:rFonts w:ascii="Calibri" w:eastAsia="Calibri" w:hAnsi="Calibri" w:cs="Calibri"/>
          <w:color w:val="000000"/>
          <w:kern w:val="0"/>
          <w:sz w:val="22"/>
          <w:szCs w:val="22"/>
          <w:lang w:eastAsia="en-US"/>
        </w:rPr>
      </w:pPr>
    </w:p>
    <w:p w:rsidR="00D873DF" w:rsidRPr="00176302" w:rsidRDefault="00D873DF" w:rsidP="00D873DF">
      <w:pPr>
        <w:pStyle w:val="Standard"/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176302">
        <w:rPr>
          <w:rFonts w:ascii="Calibri" w:hAnsi="Calibri" w:cs="Calibri"/>
          <w:b/>
          <w:sz w:val="22"/>
          <w:szCs w:val="22"/>
        </w:rPr>
        <w:t>Potencionální příjemci</w:t>
      </w:r>
    </w:p>
    <w:p w:rsidR="00D873DF" w:rsidRPr="00176302" w:rsidRDefault="00D873DF" w:rsidP="00D873DF">
      <w:pPr>
        <w:tabs>
          <w:tab w:val="left" w:pos="567"/>
        </w:tabs>
        <w:spacing w:after="120"/>
        <w:ind w:firstLine="357"/>
        <w:jc w:val="both"/>
        <w:rPr>
          <w:rFonts w:ascii="Calibri" w:hAnsi="Calibri" w:cs="Calibr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t xml:space="preserve">Uchazeči o podporu v rámci Programu jsou definování podle jednotlivých OBLASTÍ PODPORY. V zásadě jde o kombinaci výzkumných organizací a malých, středních nebo velkých podniků. </w:t>
      </w:r>
    </w:p>
    <w:p w:rsidR="00D873DF" w:rsidRPr="00176302" w:rsidRDefault="00D873DF" w:rsidP="00D873DF">
      <w:p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</w:p>
    <w:p w:rsidR="00D873DF" w:rsidRPr="00176302" w:rsidRDefault="00D873DF" w:rsidP="00D873DF">
      <w:p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</w:p>
    <w:p w:rsidR="00D873DF" w:rsidRPr="00176302" w:rsidRDefault="00D873DF" w:rsidP="00D873DF">
      <w:pPr>
        <w:tabs>
          <w:tab w:val="left" w:pos="567"/>
        </w:tabs>
        <w:spacing w:after="120"/>
        <w:ind w:firstLine="357"/>
        <w:jc w:val="center"/>
        <w:rPr>
          <w:rFonts w:ascii="Calibri" w:hAnsi="Calibri" w:cs="Calibri"/>
          <w:b/>
          <w:sz w:val="22"/>
          <w:szCs w:val="22"/>
        </w:rPr>
      </w:pPr>
      <w:r w:rsidRPr="00176302">
        <w:rPr>
          <w:rFonts w:ascii="Calibri" w:hAnsi="Calibri" w:cs="Calibri"/>
          <w:b/>
          <w:sz w:val="22"/>
          <w:szCs w:val="22"/>
        </w:rPr>
        <w:t>Intenzita podpory</w:t>
      </w:r>
    </w:p>
    <w:p w:rsidR="00D873DF" w:rsidRPr="00176302" w:rsidRDefault="00D873DF" w:rsidP="00D873DF">
      <w:pPr>
        <w:tabs>
          <w:tab w:val="left" w:pos="567"/>
        </w:tabs>
        <w:spacing w:after="120"/>
        <w:ind w:firstLine="357"/>
        <w:jc w:val="both"/>
        <w:rPr>
          <w:rFonts w:ascii="Calibri" w:hAnsi="Calibri" w:cs="Calibr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t xml:space="preserve">Intenzita podpory, tzn. procentní podíl podpory na způsobilých (uznaných) nákladech projektu nesmí překročit následující limity stanovené v oddílu 4 článku 25 odst. 5 písm. a), b) a c) Nařízení </w:t>
      </w:r>
      <w:r w:rsidRPr="00176302">
        <w:rPr>
          <w:rFonts w:ascii="Calibri" w:hAnsi="Calibri" w:cs="Calibri"/>
          <w:sz w:val="22"/>
          <w:szCs w:val="22"/>
        </w:rPr>
        <w:lastRenderedPageBreak/>
        <w:t>Komise (EU) č. 651/2014 ze dne 17. června 2014, kterým se v souladu s články 107 a 108 Smlouvy prohlašují určité kategorie podpory za slučitelné s vnitřním trhem:</w:t>
      </w:r>
    </w:p>
    <w:p w:rsidR="00D873DF" w:rsidRPr="00176302" w:rsidRDefault="00D873DF" w:rsidP="00D873DF">
      <w:pPr>
        <w:tabs>
          <w:tab w:val="left" w:pos="567"/>
        </w:tabs>
        <w:ind w:firstLine="357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4536"/>
        <w:gridCol w:w="4530"/>
      </w:tblGrid>
      <w:tr w:rsidR="00D873DF" w:rsidRPr="00176302" w:rsidTr="00D14C03">
        <w:tc>
          <w:tcPr>
            <w:tcW w:w="4605" w:type="dxa"/>
            <w:tcBorders>
              <w:bottom w:val="single" w:sz="18" w:space="0" w:color="FFFFFF"/>
            </w:tcBorders>
            <w:shd w:val="clear" w:color="auto" w:fill="EAEAEA"/>
          </w:tcPr>
          <w:p w:rsidR="00D873DF" w:rsidRPr="00176302" w:rsidRDefault="00D873DF" w:rsidP="00787F12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Typ výzkumné aktivity</w:t>
            </w:r>
          </w:p>
        </w:tc>
        <w:tc>
          <w:tcPr>
            <w:tcW w:w="4605" w:type="dxa"/>
            <w:tcBorders>
              <w:bottom w:val="single" w:sz="18" w:space="0" w:color="FFFFFF"/>
            </w:tcBorders>
            <w:shd w:val="clear" w:color="auto" w:fill="EAEAEA"/>
          </w:tcPr>
          <w:p w:rsidR="00D873DF" w:rsidRPr="00176302" w:rsidRDefault="00D873DF" w:rsidP="00787F12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 xml:space="preserve">Intenzita podpory (% způsobilých nákladů) </w:t>
            </w:r>
          </w:p>
        </w:tc>
      </w:tr>
      <w:tr w:rsidR="00D873DF" w:rsidRPr="00176302" w:rsidTr="00D14C03">
        <w:tc>
          <w:tcPr>
            <w:tcW w:w="4605" w:type="dxa"/>
            <w:tcBorders>
              <w:top w:val="single" w:sz="18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Základní výzkum</w:t>
            </w:r>
          </w:p>
        </w:tc>
        <w:tc>
          <w:tcPr>
            <w:tcW w:w="4605" w:type="dxa"/>
            <w:tcBorders>
              <w:top w:val="single" w:sz="18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100%</w:t>
            </w:r>
          </w:p>
        </w:tc>
      </w:tr>
      <w:tr w:rsidR="00D873DF" w:rsidRPr="00176302" w:rsidTr="00D14C03">
        <w:tc>
          <w:tcPr>
            <w:tcW w:w="460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Průmyslový výzkum</w:t>
            </w:r>
          </w:p>
        </w:tc>
        <w:tc>
          <w:tcPr>
            <w:tcW w:w="460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50%</w:t>
            </w:r>
          </w:p>
        </w:tc>
      </w:tr>
      <w:tr w:rsidR="00D873DF" w:rsidRPr="00176302" w:rsidTr="00D14C03">
        <w:tc>
          <w:tcPr>
            <w:tcW w:w="460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Experimentální vývoj</w:t>
            </w:r>
          </w:p>
        </w:tc>
        <w:tc>
          <w:tcPr>
            <w:tcW w:w="460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25%</w:t>
            </w:r>
          </w:p>
        </w:tc>
      </w:tr>
    </w:tbl>
    <w:p w:rsidR="00D873DF" w:rsidRPr="00176302" w:rsidRDefault="00D873DF" w:rsidP="00D873DF">
      <w:pPr>
        <w:tabs>
          <w:tab w:val="left" w:pos="567"/>
        </w:tabs>
        <w:ind w:firstLine="357"/>
        <w:jc w:val="both"/>
        <w:rPr>
          <w:rFonts w:ascii="Calibri" w:hAnsi="Calibri" w:cs="Calibr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t xml:space="preserve">   </w:t>
      </w:r>
    </w:p>
    <w:p w:rsidR="00D873DF" w:rsidRPr="00176302" w:rsidRDefault="00D873DF" w:rsidP="00D873DF">
      <w:pPr>
        <w:tabs>
          <w:tab w:val="left" w:pos="567"/>
        </w:tabs>
        <w:spacing w:after="120"/>
        <w:ind w:firstLine="357"/>
        <w:rPr>
          <w:rFonts w:ascii="Calibri" w:hAnsi="Calibri" w:cs="Calibri"/>
          <w:b/>
          <w:sz w:val="22"/>
          <w:szCs w:val="22"/>
        </w:rPr>
      </w:pPr>
      <w:r w:rsidRPr="00176302">
        <w:rPr>
          <w:rFonts w:ascii="Calibri" w:hAnsi="Calibri" w:cs="Calibri"/>
          <w:b/>
          <w:sz w:val="22"/>
          <w:szCs w:val="22"/>
        </w:rPr>
        <w:t>Rozpočet Programu</w:t>
      </w:r>
    </w:p>
    <w:p w:rsidR="00D873DF" w:rsidRPr="00176302" w:rsidRDefault="00D873DF" w:rsidP="00D873DF">
      <w:pPr>
        <w:tabs>
          <w:tab w:val="left" w:pos="0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tab/>
        <w:t>Celková výše alokovaných prostředků ve formě účelových dotací pro jednotlivé rozpočtové roky je navržena takto:</w:t>
      </w:r>
    </w:p>
    <w:p w:rsidR="00D873DF" w:rsidRPr="00176302" w:rsidRDefault="00D873DF" w:rsidP="00D873DF">
      <w:pPr>
        <w:tabs>
          <w:tab w:val="left" w:pos="567"/>
        </w:tabs>
        <w:ind w:firstLine="357"/>
        <w:jc w:val="both"/>
        <w:rPr>
          <w:rFonts w:ascii="Calibri" w:hAnsi="Calibri" w:cs="Calibri"/>
          <w:sz w:val="22"/>
          <w:szCs w:val="22"/>
        </w:rPr>
      </w:pPr>
    </w:p>
    <w:tbl>
      <w:tblPr>
        <w:tblW w:w="9072" w:type="dxa"/>
        <w:tblInd w:w="90" w:type="dxa"/>
        <w:tblBorders>
          <w:top w:val="single" w:sz="4" w:space="0" w:color="FFFFFF"/>
          <w:left w:val="single" w:sz="4" w:space="0" w:color="auto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680"/>
        <w:gridCol w:w="851"/>
        <w:gridCol w:w="873"/>
        <w:gridCol w:w="970"/>
        <w:gridCol w:w="992"/>
        <w:gridCol w:w="850"/>
        <w:gridCol w:w="993"/>
        <w:gridCol w:w="850"/>
        <w:gridCol w:w="992"/>
      </w:tblGrid>
      <w:tr w:rsidR="00D873DF" w:rsidRPr="00567862" w:rsidTr="00F435FE">
        <w:tc>
          <w:tcPr>
            <w:tcW w:w="10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ROK</w:t>
            </w:r>
          </w:p>
        </w:tc>
        <w:tc>
          <w:tcPr>
            <w:tcW w:w="68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2018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2019</w:t>
            </w:r>
          </w:p>
        </w:tc>
        <w:tc>
          <w:tcPr>
            <w:tcW w:w="97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2022</w:t>
            </w:r>
          </w:p>
        </w:tc>
        <w:tc>
          <w:tcPr>
            <w:tcW w:w="99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2023</w:t>
            </w:r>
          </w:p>
        </w:tc>
        <w:tc>
          <w:tcPr>
            <w:tcW w:w="8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CELKEM</w:t>
            </w:r>
          </w:p>
        </w:tc>
      </w:tr>
      <w:tr w:rsidR="00D873DF" w:rsidRPr="0060240C" w:rsidTr="00F435FE">
        <w:trPr>
          <w:trHeight w:val="70"/>
        </w:trPr>
        <w:tc>
          <w:tcPr>
            <w:tcW w:w="1021" w:type="dxa"/>
            <w:tcBorders>
              <w:top w:val="single" w:sz="18" w:space="0" w:color="FFFFFF"/>
              <w:left w:val="single" w:sz="4" w:space="0" w:color="FFFFFF"/>
            </w:tcBorders>
            <w:shd w:val="clear" w:color="auto" w:fill="DDDDDD"/>
          </w:tcPr>
          <w:p w:rsidR="00D873DF" w:rsidRPr="00176302" w:rsidRDefault="00D873DF" w:rsidP="00787F1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873DF" w:rsidRDefault="00D873DF" w:rsidP="00787F1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VÝDAJ</w:t>
            </w:r>
          </w:p>
          <w:p w:rsidR="00F435FE" w:rsidRPr="00176302" w:rsidRDefault="00F435FE" w:rsidP="00787F1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(mil. Kč)</w:t>
            </w:r>
          </w:p>
        </w:tc>
        <w:tc>
          <w:tcPr>
            <w:tcW w:w="680" w:type="dxa"/>
            <w:tcBorders>
              <w:top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851" w:type="dxa"/>
            <w:tcBorders>
              <w:top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525</w:t>
            </w:r>
          </w:p>
        </w:tc>
        <w:tc>
          <w:tcPr>
            <w:tcW w:w="873" w:type="dxa"/>
            <w:tcBorders>
              <w:top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790</w:t>
            </w:r>
          </w:p>
        </w:tc>
        <w:tc>
          <w:tcPr>
            <w:tcW w:w="970" w:type="dxa"/>
            <w:tcBorders>
              <w:top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930</w:t>
            </w:r>
          </w:p>
        </w:tc>
        <w:tc>
          <w:tcPr>
            <w:tcW w:w="992" w:type="dxa"/>
            <w:tcBorders>
              <w:top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930</w:t>
            </w:r>
          </w:p>
        </w:tc>
        <w:tc>
          <w:tcPr>
            <w:tcW w:w="850" w:type="dxa"/>
            <w:tcBorders>
              <w:top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790</w:t>
            </w:r>
          </w:p>
        </w:tc>
        <w:tc>
          <w:tcPr>
            <w:tcW w:w="993" w:type="dxa"/>
            <w:tcBorders>
              <w:top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525</w:t>
            </w:r>
          </w:p>
        </w:tc>
        <w:tc>
          <w:tcPr>
            <w:tcW w:w="850" w:type="dxa"/>
            <w:tcBorders>
              <w:top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76302">
              <w:rPr>
                <w:rFonts w:ascii="Calibri" w:hAnsi="Calibri" w:cs="Calibri"/>
                <w:sz w:val="22"/>
                <w:szCs w:val="22"/>
              </w:rPr>
              <w:t>250</w:t>
            </w:r>
          </w:p>
        </w:tc>
        <w:tc>
          <w:tcPr>
            <w:tcW w:w="992" w:type="dxa"/>
            <w:tcBorders>
              <w:top w:val="single" w:sz="18" w:space="0" w:color="FFFFFF"/>
            </w:tcBorders>
            <w:shd w:val="clear" w:color="auto" w:fill="F8F8F8"/>
          </w:tcPr>
          <w:p w:rsidR="00D873DF" w:rsidRPr="00176302" w:rsidRDefault="00D873DF" w:rsidP="00787F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76302">
              <w:rPr>
                <w:rFonts w:ascii="Calibri" w:hAnsi="Calibri" w:cs="Calibri"/>
                <w:b/>
                <w:sz w:val="22"/>
                <w:szCs w:val="22"/>
              </w:rPr>
              <w:t>4 980</w:t>
            </w:r>
          </w:p>
          <w:p w:rsidR="00D873DF" w:rsidRPr="00176302" w:rsidRDefault="00D873DF" w:rsidP="00787F12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D873DF" w:rsidRPr="00176302" w:rsidRDefault="00D873DF" w:rsidP="00D873DF">
      <w:pPr>
        <w:tabs>
          <w:tab w:val="left" w:pos="567"/>
        </w:tabs>
        <w:ind w:firstLine="357"/>
        <w:jc w:val="both"/>
        <w:rPr>
          <w:rFonts w:ascii="Calibri" w:hAnsi="Calibri" w:cs="Calibri"/>
          <w:sz w:val="22"/>
          <w:szCs w:val="22"/>
        </w:rPr>
      </w:pPr>
    </w:p>
    <w:p w:rsidR="00D873DF" w:rsidRPr="00176302" w:rsidRDefault="00D873DF" w:rsidP="00D873DF">
      <w:p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</w:p>
    <w:p w:rsidR="00D873DF" w:rsidRPr="00F435FE" w:rsidRDefault="00D873DF" w:rsidP="00D873DF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6302">
        <w:rPr>
          <w:rFonts w:ascii="Calibri" w:hAnsi="Calibri" w:cs="Calibri"/>
          <w:sz w:val="22"/>
          <w:szCs w:val="22"/>
        </w:rPr>
        <w:tab/>
        <w:t>Program předpokládá vyhlášení první veřejné soutěže ve výzkumu a vývoji již v roce 2016 se</w:t>
      </w:r>
      <w:r w:rsidR="00F435FE">
        <w:rPr>
          <w:rFonts w:ascii="Calibri" w:hAnsi="Calibri" w:cs="Calibri"/>
          <w:sz w:val="22"/>
          <w:szCs w:val="22"/>
        </w:rPr>
        <w:t> </w:t>
      </w:r>
      <w:r w:rsidRPr="00176302">
        <w:rPr>
          <w:rFonts w:ascii="Calibri" w:hAnsi="Calibri" w:cs="Calibri"/>
          <w:sz w:val="22"/>
          <w:szCs w:val="22"/>
        </w:rPr>
        <w:t>zahájením financování projektů vzešlých z této veřejné soutěže v roce 2017.</w:t>
      </w:r>
      <w:r w:rsidR="00F435FE">
        <w:rPr>
          <w:rFonts w:ascii="Calibri" w:hAnsi="Calibri" w:cs="Calibri"/>
          <w:sz w:val="22"/>
          <w:szCs w:val="22"/>
        </w:rPr>
        <w:t xml:space="preserve"> </w:t>
      </w:r>
      <w:r w:rsidR="00F435FE" w:rsidRPr="00F435FE">
        <w:rPr>
          <w:rFonts w:asciiTheme="minorHAnsi" w:hAnsiTheme="minorHAnsi" w:cstheme="minorHAnsi"/>
          <w:sz w:val="22"/>
          <w:szCs w:val="22"/>
        </w:rPr>
        <w:t>Poskytovatel bude projekty financovat v rámci disponibilních zdrojů v souladu s dokumenty finančního řízení kapitoly 333</w:t>
      </w:r>
      <w:r w:rsidRPr="00F435FE">
        <w:rPr>
          <w:rFonts w:asciiTheme="minorHAnsi" w:hAnsiTheme="minorHAnsi" w:cstheme="minorHAnsi"/>
          <w:sz w:val="22"/>
          <w:szCs w:val="22"/>
        </w:rPr>
        <w:t>.</w:t>
      </w:r>
    </w:p>
    <w:p w:rsidR="00D873DF" w:rsidRPr="00176302" w:rsidRDefault="00D873DF" w:rsidP="00D873DF">
      <w:p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</w:p>
    <w:p w:rsidR="00D873DF" w:rsidRPr="00176302" w:rsidRDefault="00D873DF" w:rsidP="00D873DF">
      <w:pPr>
        <w:tabs>
          <w:tab w:val="left" w:pos="567"/>
        </w:tabs>
        <w:spacing w:after="120"/>
        <w:ind w:firstLine="357"/>
        <w:rPr>
          <w:rFonts w:ascii="Calibri" w:hAnsi="Calibri" w:cs="Calibri"/>
          <w:b/>
          <w:sz w:val="22"/>
          <w:szCs w:val="22"/>
        </w:rPr>
      </w:pPr>
      <w:r w:rsidRPr="00176302">
        <w:rPr>
          <w:rFonts w:ascii="Calibri" w:hAnsi="Calibri" w:cs="Calibri"/>
          <w:b/>
          <w:sz w:val="22"/>
          <w:szCs w:val="22"/>
        </w:rPr>
        <w:t>Způsob hodnocení návrhů projektů</w:t>
      </w:r>
    </w:p>
    <w:p w:rsidR="00D873DF" w:rsidRPr="00AE31B9" w:rsidRDefault="00AE31B9" w:rsidP="00D873DF">
      <w:pPr>
        <w:spacing w:after="12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AE31B9">
        <w:rPr>
          <w:rFonts w:asciiTheme="minorHAnsi" w:hAnsiTheme="minorHAnsi" w:cstheme="minorHAnsi"/>
          <w:sz w:val="22"/>
          <w:szCs w:val="22"/>
        </w:rPr>
        <w:t>Kritéria hodnocení návrhů projektů specifikovaná níže mají význam v rovině základní orientace o</w:t>
      </w:r>
      <w:r w:rsidR="00F435FE">
        <w:rPr>
          <w:rFonts w:asciiTheme="minorHAnsi" w:hAnsiTheme="minorHAnsi" w:cstheme="minorHAnsi"/>
          <w:sz w:val="22"/>
          <w:szCs w:val="22"/>
        </w:rPr>
        <w:t> </w:t>
      </w:r>
      <w:r w:rsidRPr="00AE31B9">
        <w:rPr>
          <w:rFonts w:asciiTheme="minorHAnsi" w:hAnsiTheme="minorHAnsi" w:cstheme="minorHAnsi"/>
          <w:sz w:val="22"/>
          <w:szCs w:val="22"/>
        </w:rPr>
        <w:t>prioritách poskytovatele, kam směřovat jím přidělené finanční prostředky, a mohou se v čase měnit. Přijímání a hodnocení návrhů projektů přijatých do veřejné soutěže ve výzkumu, vývoji a inovacích se</w:t>
      </w:r>
      <w:r w:rsidR="005C0BE8">
        <w:rPr>
          <w:rFonts w:asciiTheme="minorHAnsi" w:hAnsiTheme="minorHAnsi" w:cstheme="minorHAnsi"/>
          <w:sz w:val="22"/>
          <w:szCs w:val="22"/>
        </w:rPr>
        <w:t> </w:t>
      </w:r>
      <w:r w:rsidRPr="00AE31B9">
        <w:rPr>
          <w:rFonts w:asciiTheme="minorHAnsi" w:hAnsiTheme="minorHAnsi" w:cstheme="minorHAnsi"/>
          <w:sz w:val="22"/>
          <w:szCs w:val="22"/>
        </w:rPr>
        <w:t>řídí § 21 zákona o podpoře výzkumu, experimentálního vývoje a inovací. V zásadě platí, že hodnocení návrhů projektů provádí odborný poradní orgán ustavený poskytovatelem, a jako podklad pro toto hodnocení využívá nejméně dvou posudků oponentů, zajištěných poskytovatelem. Hodnotící formuláře připravuje poskytovatel jako konsensuální podklad pro hodnocení členů odborného poradního orgánu poskytovatele a nezávislými oponenty a zveřejňuje je spolu se zadávací dokumentací pro každou veřejnou soutěž ve výzkumu, vývoji a inovacích pro každou OBLAST PODPORY s výjimkou případů, kdy výběr projektů k podpoře proběhl již na mezinárodní úrovni.</w:t>
      </w:r>
      <w:r w:rsidR="00D873DF" w:rsidRPr="00AE31B9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5300A" w:rsidRPr="00AE31B9" w:rsidRDefault="0085300A" w:rsidP="00A85A25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85300A" w:rsidRPr="00AE31B9" w:rsidSect="00F573C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04C" w:rsidRDefault="00F1304C">
      <w:r>
        <w:separator/>
      </w:r>
    </w:p>
  </w:endnote>
  <w:endnote w:type="continuationSeparator" w:id="0">
    <w:p w:rsidR="00F1304C" w:rsidRDefault="00F1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="00F573C7"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="00F573C7" w:rsidRPr="00C110F9">
      <w:rPr>
        <w:sz w:val="20"/>
        <w:szCs w:val="20"/>
      </w:rPr>
      <w:fldChar w:fldCharType="separate"/>
    </w:r>
    <w:r w:rsidR="005C0BE8">
      <w:rPr>
        <w:noProof/>
        <w:sz w:val="20"/>
        <w:szCs w:val="20"/>
      </w:rPr>
      <w:t>2</w:t>
    </w:r>
    <w:r w:rsidR="00F573C7"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04C" w:rsidRDefault="00F1304C">
      <w:r>
        <w:separator/>
      </w:r>
    </w:p>
  </w:footnote>
  <w:footnote w:type="continuationSeparator" w:id="0">
    <w:p w:rsidR="00F1304C" w:rsidRDefault="00F13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BFA"/>
    <w:rsid w:val="000353F8"/>
    <w:rsid w:val="000368B3"/>
    <w:rsid w:val="000C6DE7"/>
    <w:rsid w:val="000E0B3C"/>
    <w:rsid w:val="00193610"/>
    <w:rsid w:val="001E0BBF"/>
    <w:rsid w:val="00216D41"/>
    <w:rsid w:val="002331DE"/>
    <w:rsid w:val="002440BD"/>
    <w:rsid w:val="002A672E"/>
    <w:rsid w:val="002B6C17"/>
    <w:rsid w:val="003130CC"/>
    <w:rsid w:val="00361DDC"/>
    <w:rsid w:val="00371422"/>
    <w:rsid w:val="003A59AF"/>
    <w:rsid w:val="003A76E9"/>
    <w:rsid w:val="003F0CA0"/>
    <w:rsid w:val="0040404C"/>
    <w:rsid w:val="00421876"/>
    <w:rsid w:val="00422CA2"/>
    <w:rsid w:val="00517DCD"/>
    <w:rsid w:val="00526BF0"/>
    <w:rsid w:val="005476CA"/>
    <w:rsid w:val="00560822"/>
    <w:rsid w:val="0056661A"/>
    <w:rsid w:val="00574B2B"/>
    <w:rsid w:val="005846F2"/>
    <w:rsid w:val="005C0BE8"/>
    <w:rsid w:val="005C7BFA"/>
    <w:rsid w:val="006858E5"/>
    <w:rsid w:val="006D0316"/>
    <w:rsid w:val="006E70BC"/>
    <w:rsid w:val="007A0E35"/>
    <w:rsid w:val="007F16DF"/>
    <w:rsid w:val="00804CE1"/>
    <w:rsid w:val="0085300A"/>
    <w:rsid w:val="008B303C"/>
    <w:rsid w:val="008C1953"/>
    <w:rsid w:val="00942359"/>
    <w:rsid w:val="00956947"/>
    <w:rsid w:val="00990E91"/>
    <w:rsid w:val="009F4360"/>
    <w:rsid w:val="00A0291F"/>
    <w:rsid w:val="00A21197"/>
    <w:rsid w:val="00A85A25"/>
    <w:rsid w:val="00A8681C"/>
    <w:rsid w:val="00A90BF6"/>
    <w:rsid w:val="00AB5907"/>
    <w:rsid w:val="00AE31B9"/>
    <w:rsid w:val="00B064F1"/>
    <w:rsid w:val="00B52072"/>
    <w:rsid w:val="00C066CA"/>
    <w:rsid w:val="00C110F9"/>
    <w:rsid w:val="00C9742C"/>
    <w:rsid w:val="00CA4D3B"/>
    <w:rsid w:val="00CE46C7"/>
    <w:rsid w:val="00D14C03"/>
    <w:rsid w:val="00D8204E"/>
    <w:rsid w:val="00D873DF"/>
    <w:rsid w:val="00D9250E"/>
    <w:rsid w:val="00DA3CB5"/>
    <w:rsid w:val="00DA45D9"/>
    <w:rsid w:val="00E553A4"/>
    <w:rsid w:val="00EB11BC"/>
    <w:rsid w:val="00F1304C"/>
    <w:rsid w:val="00F435FE"/>
    <w:rsid w:val="00F573C7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5:docId w15:val="{2F69E92A-DFC9-44A0-98BB-CFA867C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73C7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D873DF"/>
    <w:pPr>
      <w:suppressAutoHyphens/>
      <w:autoSpaceDN w:val="0"/>
      <w:textAlignment w:val="baseline"/>
    </w:pPr>
    <w:rPr>
      <w:kern w:val="3"/>
      <w:sz w:val="24"/>
      <w:szCs w:val="24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ystrick\AppData\Local\Temp\03_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03_predkladaci_zprava</Template>
  <TotalTime>0</TotalTime>
  <Pages>3</Pages>
  <Words>1102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"[Klepněte sem a vložte římské číslo dle čísla na obálce</vt:lpstr>
    </vt:vector>
  </TitlesOfParts>
  <Company>uvcr</Company>
  <LinksUpToDate>false</LinksUpToDate>
  <CharactersWithSpaces>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Bystřická Jana</dc:creator>
  <cp:lastModifiedBy>Horská Jarmila</cp:lastModifiedBy>
  <cp:revision>2</cp:revision>
  <cp:lastPrinted>2004-05-12T11:49:00Z</cp:lastPrinted>
  <dcterms:created xsi:type="dcterms:W3CDTF">2016-02-02T12:14:00Z</dcterms:created>
  <dcterms:modified xsi:type="dcterms:W3CDTF">2016-02-02T12:14:00Z</dcterms:modified>
</cp:coreProperties>
</file>