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012C307" w14:textId="77777777" w:rsidR="00F30870" w:rsidRPr="008A4D33" w:rsidRDefault="003D47F5" w:rsidP="00B1207A">
      <w:pPr>
        <w:spacing w:before="120" w:after="120"/>
        <w:jc w:val="right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III.</w:t>
      </w:r>
    </w:p>
    <w:p w14:paraId="6DEDEB74" w14:textId="5AA5F4B3" w:rsidR="00F30870" w:rsidRPr="008A4D33" w:rsidRDefault="003D47F5" w:rsidP="00B1207A">
      <w:pPr>
        <w:spacing w:before="120" w:after="120"/>
        <w:jc w:val="center"/>
        <w:rPr>
          <w:rFonts w:ascii="Arial" w:hAnsi="Arial" w:cs="Arial"/>
        </w:rPr>
      </w:pPr>
      <w:r w:rsidRPr="008A4D33">
        <w:rPr>
          <w:rFonts w:ascii="Arial" w:eastAsia="Arial" w:hAnsi="Arial" w:cs="Arial"/>
          <w:b/>
        </w:rPr>
        <w:t xml:space="preserve">Program </w:t>
      </w:r>
      <w:r w:rsidR="008A4D33" w:rsidRPr="008A4D33">
        <w:rPr>
          <w:rFonts w:ascii="Arial" w:eastAsia="Arial" w:hAnsi="Arial" w:cs="Arial"/>
          <w:b/>
        </w:rPr>
        <w:t>podpory</w:t>
      </w:r>
      <w:r w:rsidRPr="008A4D33">
        <w:rPr>
          <w:rFonts w:ascii="Arial" w:eastAsia="Arial" w:hAnsi="Arial" w:cs="Arial"/>
          <w:b/>
        </w:rPr>
        <w:t xml:space="preserve"> aplikovaného výzkumu</w:t>
      </w:r>
      <w:r w:rsidR="008A4D33" w:rsidRPr="008A4D33">
        <w:rPr>
          <w:rFonts w:ascii="Arial" w:eastAsia="Arial" w:hAnsi="Arial" w:cs="Arial"/>
          <w:b/>
        </w:rPr>
        <w:t xml:space="preserve"> a</w:t>
      </w:r>
      <w:r w:rsidRPr="008A4D33">
        <w:rPr>
          <w:rFonts w:ascii="Arial" w:eastAsia="Arial" w:hAnsi="Arial" w:cs="Arial"/>
          <w:b/>
        </w:rPr>
        <w:t xml:space="preserve"> experimentálního vývoje </w:t>
      </w:r>
      <w:r w:rsidRPr="008A4D33">
        <w:rPr>
          <w:rFonts w:ascii="Arial" w:eastAsia="Arial" w:hAnsi="Arial" w:cs="Arial"/>
          <w:b/>
        </w:rPr>
        <w:br/>
      </w:r>
      <w:r w:rsidR="008A4D33" w:rsidRPr="008A4D33">
        <w:rPr>
          <w:rFonts w:ascii="Arial" w:eastAsia="Arial" w:hAnsi="Arial" w:cs="Arial"/>
          <w:b/>
        </w:rPr>
        <w:t>DELTA</w:t>
      </w:r>
    </w:p>
    <w:p w14:paraId="5B6EBE7F" w14:textId="77777777" w:rsidR="00F30870" w:rsidRPr="008A4D33" w:rsidRDefault="003D47F5" w:rsidP="00F94E70">
      <w:pPr>
        <w:pStyle w:val="Nadpis1"/>
        <w:rPr>
          <w:rFonts w:ascii="Arial" w:hAnsi="Arial" w:cs="Arial"/>
          <w:szCs w:val="22"/>
        </w:rPr>
      </w:pPr>
      <w:r w:rsidRPr="008A4D33">
        <w:rPr>
          <w:rFonts w:ascii="Arial" w:hAnsi="Arial" w:cs="Arial"/>
          <w:szCs w:val="22"/>
        </w:rPr>
        <w:t>NÁZEV PROGRAMU</w:t>
      </w:r>
    </w:p>
    <w:p w14:paraId="25AA83D1" w14:textId="37EE2458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Program </w:t>
      </w:r>
      <w:r w:rsidR="008A4D33" w:rsidRPr="008A4D33">
        <w:rPr>
          <w:rFonts w:ascii="Arial" w:eastAsia="Arial" w:hAnsi="Arial" w:cs="Arial"/>
          <w:sz w:val="22"/>
          <w:szCs w:val="22"/>
        </w:rPr>
        <w:t>podpory</w:t>
      </w:r>
      <w:r w:rsidRPr="008A4D33">
        <w:rPr>
          <w:rFonts w:ascii="Arial" w:eastAsia="Arial" w:hAnsi="Arial" w:cs="Arial"/>
          <w:sz w:val="22"/>
          <w:szCs w:val="22"/>
        </w:rPr>
        <w:t xml:space="preserve"> aplikovaného výzkumu</w:t>
      </w:r>
      <w:r w:rsidR="008A4D33" w:rsidRPr="008A4D33">
        <w:rPr>
          <w:rFonts w:ascii="Arial" w:eastAsia="Arial" w:hAnsi="Arial" w:cs="Arial"/>
          <w:sz w:val="22"/>
          <w:szCs w:val="22"/>
        </w:rPr>
        <w:t xml:space="preserve"> a</w:t>
      </w:r>
      <w:r w:rsidRPr="008A4D33">
        <w:rPr>
          <w:rFonts w:ascii="Arial" w:eastAsia="Arial" w:hAnsi="Arial" w:cs="Arial"/>
          <w:sz w:val="22"/>
          <w:szCs w:val="22"/>
        </w:rPr>
        <w:t xml:space="preserve"> experimentálního vývoje </w:t>
      </w:r>
      <w:r w:rsidR="008A4D33" w:rsidRPr="008A4D33">
        <w:rPr>
          <w:rFonts w:ascii="Arial" w:eastAsia="Arial" w:hAnsi="Arial" w:cs="Arial"/>
          <w:sz w:val="22"/>
          <w:szCs w:val="22"/>
        </w:rPr>
        <w:t>DELTA</w:t>
      </w:r>
      <w:r w:rsidRPr="008A4D33">
        <w:rPr>
          <w:rFonts w:ascii="Arial" w:eastAsia="Arial" w:hAnsi="Arial" w:cs="Arial"/>
          <w:sz w:val="22"/>
          <w:szCs w:val="22"/>
        </w:rPr>
        <w:t xml:space="preserve"> (dále jen „program“).</w:t>
      </w:r>
    </w:p>
    <w:p w14:paraId="7EBF7AFD" w14:textId="198FB249" w:rsidR="00F30870" w:rsidRPr="008A4D33" w:rsidRDefault="003D47F5" w:rsidP="006802BA">
      <w:pPr>
        <w:pStyle w:val="Nadpis1"/>
        <w:rPr>
          <w:rFonts w:ascii="Arial" w:hAnsi="Arial" w:cs="Arial"/>
          <w:szCs w:val="22"/>
        </w:rPr>
      </w:pPr>
      <w:r w:rsidRPr="008A4D33">
        <w:rPr>
          <w:rFonts w:ascii="Arial" w:hAnsi="Arial" w:cs="Arial"/>
          <w:szCs w:val="22"/>
        </w:rPr>
        <w:t>PRÁVNÍ RÁMEC PROGRAMU</w:t>
      </w:r>
    </w:p>
    <w:p w14:paraId="1EF7F36F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bude realizován podle:</w:t>
      </w:r>
    </w:p>
    <w:p w14:paraId="2942AA24" w14:textId="63C8034E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Zákona č. 130/2002 Sb., o podpoře výzkumu, experimentálního vývoje a inovací z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veřejných prostředků a o změně některých souvisejících zákonů, ve znění pozdějších předpisů (dále jen „Zákon“);</w:t>
      </w:r>
    </w:p>
    <w:p w14:paraId="7D85DF1F" w14:textId="606BE6AD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Smlouvy o fungování Evropské unie 2012/C 326/01, (zejména 107, případně také články 93 a 106);</w:t>
      </w:r>
    </w:p>
    <w:p w14:paraId="13CDA35F" w14:textId="30EA5854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Rámce pro státní podporu výzkumu, vývoje a inovací – Úřední věstník Evropské unie C 198, 27. června 2014 (dále jen „Rámec“);</w:t>
      </w:r>
    </w:p>
    <w:p w14:paraId="530137C5" w14:textId="46E887E5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 Nařízení Komise (ES) č. 651/2014 ze dne 17. června 2014, kterým se v souladu s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články 107 a 108 Smlouvy prohlašují určité kategorie podpory za slučitelné s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vnitřním trhem -  Úřední věstník Evropské unie L 187, 26. června 2014 (dále jen „Nařízení“), zejm. čl. 25, 28 a 29; </w:t>
      </w:r>
    </w:p>
    <w:p w14:paraId="70C56C9C" w14:textId="58D11EE8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a podle ostatních souvisejících předpisů.</w:t>
      </w:r>
    </w:p>
    <w:p w14:paraId="60E49A06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je vyňat z oznamovací povinnosti podle čl. 108 odst. 3 Smlouvy o fungování Evropské unie, neboť splňuje podmínky Nařízení.</w:t>
      </w:r>
    </w:p>
    <w:p w14:paraId="3CF5D409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V rámci tohoto programu je vyloučeno vyplacení jednotlivé podpory ve prospěch podniku:</w:t>
      </w:r>
    </w:p>
    <w:p w14:paraId="3DD440C6" w14:textId="4A2168A1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vůči němuž byl v návaznosti na rozhodnutí Komise, jímž je podpora prohlášena za protiprávní a neslučitelnou s vnitřním trhem, vystaven inkasní příkaz, který je nesplacený,</w:t>
      </w:r>
    </w:p>
    <w:p w14:paraId="12C5CE2A" w14:textId="6BC93520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splňujícímu definici podniku v obtížích uvedenou v čl. 2, odst. 18) Nařízení.</w:t>
      </w:r>
    </w:p>
    <w:p w14:paraId="4982D9C1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14:paraId="3FAD9CA5" w14:textId="7A989B8F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Program bude realizován v souladu s Národní politikou výzkumu, vývoje a inovací České republiky na léta 2016 až 2020, schválenou usnesením vlády České republiky ze dne 17.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února 2016 č. 135, Národními prioritami orientovaného výzkumu, experimentálního vývoje a inovací, které byly přijaty usnesením vlády ze dne 19. července 2012 č. 552 (dále jen „NPOV“), aktualizovanou Národní výzkumnou a inovační strategií pro inteligentní specializaci České republiky, schválenou usnesením vlády České republiky dne 11.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července 2016 č. 634, s principy Iniciativy Průmysl 4.0 vzaté na vědomí vládou usnesením č. 729 dne 24. srpna 2016 a dalšími národními a rezortními strategiemi.</w:t>
      </w:r>
    </w:p>
    <w:p w14:paraId="728BE5E3" w14:textId="310F9D34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POSKYTOVATEL</w:t>
      </w:r>
    </w:p>
    <w:p w14:paraId="2D715B8B" w14:textId="77777777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Poskytovatelem podpory je Technologická agentura České republiky (dále jen „TA ČR“).</w:t>
      </w:r>
    </w:p>
    <w:p w14:paraId="09D46633" w14:textId="70D1AFFF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lastRenderedPageBreak/>
        <w:t>IDENTIFIKAČNÍ KÓD PROGRAMU</w:t>
      </w:r>
    </w:p>
    <w:p w14:paraId="68A7BC3A" w14:textId="247F8F09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 účely evidence v informačním systému výzkumu, experimentálního vývoje a inovací byl programu přidělen kód „</w:t>
      </w:r>
      <w:r w:rsidR="008A4D33" w:rsidRPr="008A4D33">
        <w:rPr>
          <w:rFonts w:ascii="Arial" w:eastAsia="Arial" w:hAnsi="Arial" w:cs="Arial"/>
          <w:sz w:val="22"/>
          <w:szCs w:val="22"/>
        </w:rPr>
        <w:t>TF</w:t>
      </w:r>
      <w:r w:rsidRPr="008A4D33">
        <w:rPr>
          <w:rFonts w:ascii="Arial" w:eastAsia="Arial" w:hAnsi="Arial" w:cs="Arial"/>
          <w:sz w:val="22"/>
          <w:szCs w:val="22"/>
        </w:rPr>
        <w:t>“.</w:t>
      </w:r>
    </w:p>
    <w:p w14:paraId="1587DD93" w14:textId="05ECE047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DOBA TRVÁNÍ A TERMÍNY VYHLÁŠENÍ PROGRAMU</w:t>
      </w:r>
    </w:p>
    <w:p w14:paraId="184C1890" w14:textId="5762F9CF" w:rsidR="00F30870" w:rsidRPr="008A4D33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Doba trvání programu se předpokládá v letech 201</w:t>
      </w:r>
      <w:r w:rsidR="008A4D33" w:rsidRPr="008A4D33">
        <w:rPr>
          <w:rFonts w:ascii="Arial" w:eastAsia="Arial" w:hAnsi="Arial" w:cs="Arial"/>
          <w:sz w:val="22"/>
          <w:szCs w:val="22"/>
        </w:rPr>
        <w:t>4</w:t>
      </w:r>
      <w:r w:rsidRPr="008A4D33">
        <w:rPr>
          <w:rFonts w:ascii="Arial" w:eastAsia="Arial" w:hAnsi="Arial" w:cs="Arial"/>
          <w:sz w:val="22"/>
          <w:szCs w:val="22"/>
        </w:rPr>
        <w:t xml:space="preserve"> až 2025. </w:t>
      </w:r>
    </w:p>
    <w:p w14:paraId="12F6D73E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Veřejná soutěž v aplikovaném výzkumu a experimentálním vývoji a inovacích (dále jen „veřejná soutěž“) na výběr projektů do programu bude vyhlášena poprvé v roce 2015. Následně se předpokládá vyhlášení veřejné soutěže každoročně v letech 2016 až 2023. </w:t>
      </w:r>
    </w:p>
    <w:p w14:paraId="17B03CE3" w14:textId="22AC1DF2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Předpokládaná maximální délka řešení projektů je 36 měsíců. Doba trvání projektů nesmí přesáhnout dobu trvání programu.</w:t>
      </w:r>
    </w:p>
    <w:p w14:paraId="35FB323C" w14:textId="26019F80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ZAMĚŘENÍ PROGRAMU</w:t>
      </w:r>
    </w:p>
    <w:p w14:paraId="194C42F6" w14:textId="184E5FF9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je zaměřen na podporu spolupráce, která dle čl. 25 odst. 2 písm. b) a c) Nařízení a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čl. </w:t>
      </w:r>
      <w:proofErr w:type="gramStart"/>
      <w:r w:rsidRPr="008A4D33">
        <w:rPr>
          <w:rFonts w:ascii="Arial" w:eastAsia="Arial" w:hAnsi="Arial" w:cs="Arial"/>
          <w:sz w:val="22"/>
          <w:szCs w:val="22"/>
        </w:rPr>
        <w:t>1.3. písm.</w:t>
      </w:r>
      <w:proofErr w:type="gramEnd"/>
      <w:r w:rsidRPr="008A4D33">
        <w:rPr>
          <w:rFonts w:ascii="Arial" w:eastAsia="Arial" w:hAnsi="Arial" w:cs="Arial"/>
          <w:sz w:val="22"/>
          <w:szCs w:val="22"/>
        </w:rPr>
        <w:t xml:space="preserve"> e) Rámce spadá do kategorie aplikovaného výzkumu (zahrnuje průmyslový výzkum, experimentální vývoj nebo jejich kombinaci) prostřednictvím společných projektů podniků a organizací pro výzkum a šíření znalostí (dále jen „výzkumné organizace“) dle čl. 2 odst. 83 Nařízení podporovaných TA ČR a významnými zahraničními technologickými a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inovačními agenturami či jinými obdobnými institucemi (dále jsou uvedené partnerské agentury či instituce označovány souhrnně jako „partnerské agentury“). </w:t>
      </w:r>
    </w:p>
    <w:p w14:paraId="1DB19E07" w14:textId="15B4BE26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Spolupráce mezi agenturami závisí na dohodě mezi TA ČR a partnerskou agenturou o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způsobu podpory, prokázání způsobilosti či jiného ov</w:t>
      </w:r>
      <w:r w:rsidR="005F6936">
        <w:rPr>
          <w:rFonts w:ascii="Arial" w:eastAsia="Arial" w:hAnsi="Arial" w:cs="Arial"/>
          <w:sz w:val="22"/>
          <w:szCs w:val="22"/>
        </w:rPr>
        <w:t>ěřování zahraničního partnera a </w:t>
      </w:r>
      <w:r w:rsidRPr="008A4D33">
        <w:rPr>
          <w:rFonts w:ascii="Arial" w:eastAsia="Arial" w:hAnsi="Arial" w:cs="Arial"/>
          <w:sz w:val="22"/>
          <w:szCs w:val="22"/>
        </w:rPr>
        <w:t>českého účastníka. Konkrétní podmínky budou určeny na základě dohody mezi poskytovatelem a partnerskou agenturou a upřesněny v příslušné veřejné soutěži ve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výzkumu, experimentálním vývoji a inovacích (dále jen „veřejná soutěž“). </w:t>
      </w:r>
    </w:p>
    <w:p w14:paraId="4F4DEC7A" w14:textId="75E93BF8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Program jako takový není tematicky zaměřen, témata společných projektů mohou být určována ad hoc v jednotlivých veřejných soutěžích. Výběr témat bude určen pro každou partnerskou agenturu samostatně a bude odrážet prioritní oblasti aplikovaného výzkumu zapojených zemí. </w:t>
      </w:r>
      <w:r>
        <w:rPr>
          <w:rFonts w:ascii="Arial" w:eastAsia="Arial" w:hAnsi="Arial" w:cs="Arial"/>
          <w:sz w:val="22"/>
          <w:szCs w:val="22"/>
        </w:rPr>
        <w:t xml:space="preserve">Přehled programem akceptovaných </w:t>
      </w:r>
      <w:r w:rsidRPr="008A4D33">
        <w:rPr>
          <w:rFonts w:ascii="Arial" w:eastAsia="Arial" w:hAnsi="Arial" w:cs="Arial"/>
          <w:sz w:val="22"/>
          <w:szCs w:val="22"/>
        </w:rPr>
        <w:t>prioritní</w:t>
      </w:r>
      <w:r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oblastí, oblastí a podoblastí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dle Národních priorit</w:t>
      </w:r>
      <w:r w:rsidRPr="008A4D33">
        <w:rPr>
          <w:rFonts w:ascii="Arial" w:eastAsia="Arial" w:hAnsi="Arial" w:cs="Arial"/>
          <w:sz w:val="22"/>
          <w:szCs w:val="22"/>
        </w:rPr>
        <w:t xml:space="preserve"> orientovaného výzkumu, experimentálního vývoje a inovací</w:t>
      </w:r>
      <w:r>
        <w:rPr>
          <w:rFonts w:ascii="Arial" w:eastAsia="Arial" w:hAnsi="Arial" w:cs="Arial"/>
          <w:sz w:val="22"/>
          <w:szCs w:val="22"/>
        </w:rPr>
        <w:t xml:space="preserve"> je uveden v příloze 1 programu.</w:t>
      </w:r>
    </w:p>
    <w:p w14:paraId="74FAEF80" w14:textId="684710F4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přispěje k tomu, aby veřejné prostředky investované do aplikovaného výzkumu přinášely ekonomický či jiný společenský přínos z jejich realizace. Získané poznatky přispějí k definování faktorů a procesů, které určují a ovlivňují fungování a rozvoj české společnosti, v kontextu probíhající evropské integrace a světové globalizace. Při realizaci tento program předpokládá především uplatnění projektů zaměřených na průmyslový výzkum (zahrnující ovšem také nezbytné činnosti orientovaného základního výzkumu) a také podporu projektů s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převahou experimentálního vývoje.</w:t>
      </w:r>
    </w:p>
    <w:p w14:paraId="5466B64B" w14:textId="01F05465" w:rsidR="008D2C1B" w:rsidRPr="008A4D33" w:rsidRDefault="008A4D33" w:rsidP="008D2C1B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Program bude možné využít pro synergické a komplementární efekty v mezinárodních schématech typu H2020</w:t>
      </w:r>
      <w:r>
        <w:rPr>
          <w:rStyle w:val="Znakapoznpodarou"/>
          <w:rFonts w:ascii="Arial" w:eastAsia="Arial" w:hAnsi="Arial" w:cs="Arial"/>
          <w:sz w:val="22"/>
          <w:szCs w:val="22"/>
        </w:rPr>
        <w:footnoteReference w:id="1"/>
      </w:r>
      <w:r w:rsidRPr="008A4D33">
        <w:rPr>
          <w:rFonts w:ascii="Arial" w:eastAsia="Arial" w:hAnsi="Arial" w:cs="Arial"/>
          <w:sz w:val="22"/>
          <w:szCs w:val="22"/>
        </w:rPr>
        <w:t>, dalších programech EU a dalších mezinárodních programech, které jsou v souladu se zaměřením programu.</w:t>
      </w:r>
    </w:p>
    <w:p w14:paraId="41D797F7" w14:textId="036C4965" w:rsidR="00F30870" w:rsidRPr="005F6936" w:rsidRDefault="00555619" w:rsidP="00EB78E6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lastRenderedPageBreak/>
        <w:t>CÍL</w:t>
      </w:r>
      <w:r w:rsidR="003D47F5" w:rsidRPr="005F6936">
        <w:rPr>
          <w:rFonts w:ascii="Arial" w:hAnsi="Arial" w:cs="Arial"/>
          <w:szCs w:val="22"/>
        </w:rPr>
        <w:t xml:space="preserve"> PROGRAMU</w:t>
      </w:r>
    </w:p>
    <w:p w14:paraId="1720ADEB" w14:textId="1B5E5058" w:rsidR="005F6936" w:rsidRPr="005F6936" w:rsidRDefault="005F6936" w:rsidP="00EB78E6">
      <w:pPr>
        <w:keepNext/>
        <w:keepLines/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>Cílem programu je zvýšit množství konkrétních výsledků aplikovaného výzkumu v oblastech, v nichž existuje shoda se zahraničním partnerem, které budou úspěšně zavedeny do praxe a</w:t>
      </w:r>
      <w:r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 xml:space="preserve">posílí tak konkurenceschopnost zúčastněných podniků a výzkumných organizací, a to podporou bilaterální, případně multilaterální spolupráce českých a zahraničních účastníků.  </w:t>
      </w:r>
    </w:p>
    <w:p w14:paraId="7527DCB0" w14:textId="1D8FDD55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>Cíle programu bude dosaženo podporou společných projektů uskutečňovaných uchazeči z</w:t>
      </w:r>
      <w:r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 xml:space="preserve">ČR a uchazeči ze země partnerské agentury v oblastech, které jsou pro dané země perspektivní. </w:t>
      </w:r>
    </w:p>
    <w:p w14:paraId="5E7A5145" w14:textId="77777777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 xml:space="preserve">Podporovány budou projekty zaměřené na konkrétní výstupy v aplikovaném výzkumu, tj. vedoucí k získání nových poznatků a dovedností pro vývoj nových nebo podstatně zdokonalených výrobků, postupů nebo služeb, a vedoucí k novému výrobku, postupu či službě. Vybrané projekty zároveň musí reagovat na aktuální či budoucí potřeby dané země. </w:t>
      </w:r>
    </w:p>
    <w:p w14:paraId="42FFDC35" w14:textId="53A304A0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Program zlepší přístup týmů z ČR k mezinárodním znalostem a know-how, zahraničním výzkumným kapacitám a usnadní pronikání na zahraniční trhy. Synergickým efektem programu je také přenos „dobré praxe“ a osvědčených postupů ze zahraničí do ČR.</w:t>
      </w:r>
    </w:p>
    <w:p w14:paraId="660B6A86" w14:textId="079D535F" w:rsidR="00F30870" w:rsidRPr="005F6936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t>ODŮVODNĚNÍ CÍLE</w:t>
      </w:r>
      <w:r w:rsidR="003D47F5" w:rsidRPr="005F6936">
        <w:rPr>
          <w:rFonts w:ascii="Arial" w:hAnsi="Arial" w:cs="Arial"/>
          <w:szCs w:val="22"/>
        </w:rPr>
        <w:t xml:space="preserve"> PROGRAMU</w:t>
      </w:r>
    </w:p>
    <w:p w14:paraId="518819CF" w14:textId="77777777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 xml:space="preserve">V oblasti aplikovaného výzkumu a experimentálního vývoje obecně ČR zaostává za světovou špičkou reprezentovanou USA a Japonskem i za evropskou špičkou. Přesto v ČR existuje řada pracovišť ve výzkumných organizacích i podniků realizujících aplikovaný výzkum v progresivních oborech. </w:t>
      </w:r>
    </w:p>
    <w:p w14:paraId="20D6876A" w14:textId="77777777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>Cílem programu je nabídnout těmto, ale i dalším podnikům a výzkumným organizacím šanci pracovat na společných projektech se zahraničními týmy z předmětných zemí a tím zvýšit jejich kvalitu. V konečném důsledku by pak měl mít program za cíl zvýšení konkurenceschopnosti ČR.</w:t>
      </w:r>
    </w:p>
    <w:p w14:paraId="6FB07906" w14:textId="7733182E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Program významným způsobem přispěje k orientaci českého aplikovaného výzkumu na vysoce progresivní obory, a dále k zapojení českých týmů do mezinárodních výzkumných projektů, konsorcií a asociací. Napomůže tím k zařazení českých výzkumných organizací a</w:t>
      </w:r>
      <w:r w:rsidR="00096EA4"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>inovativních podniků mezi světovou špičku v těchto oborech. Program rovněž naplní Národní priority ve vztahu k podpoře zapojení výzkumných týmů z ČR do mezinárodního výzkumu. V souladu s Prioritami musí být veřejné finanční prostředky využívány i na podporu účasti výzkumných týmů z ČR (výzkumných organizací z veřejného sektoru i podniků) do všech mezinárodních programů a iniciativ, jejichž zaměření odpovídá stanoveným prioritním oblastem.</w:t>
      </w:r>
    </w:p>
    <w:p w14:paraId="3ABCA38F" w14:textId="2C6AAC38" w:rsidR="00555619" w:rsidRPr="005F6936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t xml:space="preserve">KRITÉRIA SPLNĚNÍ CÍLŮ PROGRAMU </w:t>
      </w:r>
    </w:p>
    <w:p w14:paraId="2065E36C" w14:textId="51111BDD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Dosažení cílů programu bude vyhodnocováno v souladu s Metodikou hodnocení výsledků výzkumných organizací a hodnocení výsledků ukončených programů platnou v době hodnocení programu, případně podmínek stanovených poskytovatelem. Dosažení cílů programu bude vyhodnocováno mimo jiné na základě souboru indikátorů určených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F6936">
        <w:rPr>
          <w:rFonts w:ascii="Arial" w:eastAsia="Arial" w:hAnsi="Arial" w:cs="Arial"/>
          <w:sz w:val="22"/>
          <w:szCs w:val="22"/>
        </w:rPr>
        <w:t>pro monitorování průběhu plnění programu a ho</w:t>
      </w:r>
      <w:r>
        <w:rPr>
          <w:rFonts w:ascii="Arial" w:eastAsia="Arial" w:hAnsi="Arial" w:cs="Arial"/>
          <w:sz w:val="22"/>
          <w:szCs w:val="22"/>
        </w:rPr>
        <w:t xml:space="preserve">dnocení jeho celkové výkonnosti </w:t>
      </w:r>
      <w:r w:rsidRPr="005F6936">
        <w:rPr>
          <w:rFonts w:ascii="Arial" w:eastAsia="Arial" w:hAnsi="Arial" w:cs="Arial"/>
          <w:sz w:val="22"/>
          <w:szCs w:val="22"/>
        </w:rPr>
        <w:t>a úspěšnosti.</w:t>
      </w:r>
    </w:p>
    <w:p w14:paraId="72830B68" w14:textId="77777777" w:rsidR="00EB78E6" w:rsidRDefault="00EB78E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6123AE41" w14:textId="771EC546" w:rsidR="006802BA" w:rsidRPr="005F6936" w:rsidRDefault="006802BA" w:rsidP="006802BA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5F6936">
        <w:rPr>
          <w:rFonts w:ascii="Arial" w:eastAsia="Arial" w:hAnsi="Arial" w:cs="Arial"/>
          <w:b/>
          <w:sz w:val="22"/>
          <w:szCs w:val="22"/>
        </w:rPr>
        <w:lastRenderedPageBreak/>
        <w:t>Tabulka č. 9. 1: Indikátory programu</w:t>
      </w:r>
    </w:p>
    <w:tbl>
      <w:tblPr>
        <w:tblStyle w:val="a4"/>
        <w:tblW w:w="959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20"/>
        <w:gridCol w:w="1470"/>
      </w:tblGrid>
      <w:tr w:rsidR="00555619" w:rsidRPr="008A4D33" w14:paraId="741BA925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blHeader/>
        </w:trPr>
        <w:tc>
          <w:tcPr>
            <w:tcW w:w="8120" w:type="dxa"/>
            <w:shd w:val="clear" w:color="auto" w:fill="D9D9D9" w:themeFill="background1" w:themeFillShade="D9"/>
          </w:tcPr>
          <w:p w14:paraId="56E59536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eastAsia="Arial" w:hAnsi="Arial" w:cs="Arial"/>
                <w:b/>
                <w:sz w:val="22"/>
                <w:szCs w:val="22"/>
              </w:rPr>
              <w:t>Indikátor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409A221E" w14:textId="3F1B3E10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eastAsia="Arial" w:hAnsi="Arial" w:cs="Arial"/>
                <w:b/>
                <w:sz w:val="22"/>
                <w:szCs w:val="22"/>
              </w:rPr>
              <w:t>Hodnota</w:t>
            </w:r>
          </w:p>
        </w:tc>
      </w:tr>
      <w:tr w:rsidR="00555619" w:rsidRPr="008A4D33" w14:paraId="7191F8EE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2D8F96C5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1. Průměrná míra podpory za program</w:t>
            </w:r>
          </w:p>
        </w:tc>
        <w:tc>
          <w:tcPr>
            <w:tcW w:w="1470" w:type="dxa"/>
          </w:tcPr>
          <w:p w14:paraId="7897C5F3" w14:textId="0FAB0A9C" w:rsidR="00555619" w:rsidRPr="005F6936" w:rsidRDefault="00555619" w:rsidP="005F693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7</w:t>
            </w:r>
            <w:r w:rsidR="005F6936" w:rsidRPr="005F6936">
              <w:rPr>
                <w:rFonts w:ascii="Arial" w:hAnsi="Arial" w:cs="Arial"/>
                <w:sz w:val="22"/>
                <w:szCs w:val="22"/>
              </w:rPr>
              <w:t>4</w:t>
            </w:r>
            <w:r w:rsidRPr="005F6936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555619" w:rsidRPr="008A4D33" w14:paraId="2306DFDF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0807B3D5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2. Minimální počet podpořených projektů</w:t>
            </w:r>
          </w:p>
        </w:tc>
        <w:tc>
          <w:tcPr>
            <w:tcW w:w="1470" w:type="dxa"/>
          </w:tcPr>
          <w:p w14:paraId="2A8A9F1D" w14:textId="5D764E98" w:rsidR="00555619" w:rsidRPr="005F6936" w:rsidRDefault="005F6936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  <w:tr w:rsidR="00555619" w:rsidRPr="008A4D33" w14:paraId="00951C49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59C73AAA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3. Minimální míra úspěšně dokončených projektů</w:t>
            </w:r>
          </w:p>
        </w:tc>
        <w:tc>
          <w:tcPr>
            <w:tcW w:w="1470" w:type="dxa"/>
          </w:tcPr>
          <w:p w14:paraId="4B225EA1" w14:textId="6290E2BF" w:rsidR="00555619" w:rsidRPr="005F6936" w:rsidRDefault="003D59F0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80</w:t>
            </w:r>
            <w:r w:rsidR="00555619" w:rsidRPr="005F6936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555619" w:rsidRPr="008A4D33" w14:paraId="2286D722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20" w:type="dxa"/>
          </w:tcPr>
          <w:p w14:paraId="4A5FDD90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4. Minimální počet dosažených výstupů</w:t>
            </w:r>
          </w:p>
        </w:tc>
        <w:tc>
          <w:tcPr>
            <w:tcW w:w="1470" w:type="dxa"/>
          </w:tcPr>
          <w:p w14:paraId="5AC3BF18" w14:textId="3DC4DF40" w:rsidR="00555619" w:rsidRPr="005F6936" w:rsidRDefault="005F6936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30</w:t>
            </w:r>
            <w:r w:rsidR="005D59D1" w:rsidRPr="005F693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55619" w:rsidRPr="008A4D33" w14:paraId="1880D688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20" w:type="dxa"/>
          </w:tcPr>
          <w:p w14:paraId="7CE6DC30" w14:textId="29471B30" w:rsidR="00555619" w:rsidRPr="005F6936" w:rsidRDefault="003D59F0" w:rsidP="003D59F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5. Minimální počet</w:t>
            </w:r>
            <w:r w:rsidR="00555619" w:rsidRPr="005F6936">
              <w:rPr>
                <w:rFonts w:ascii="Arial" w:hAnsi="Arial" w:cs="Arial"/>
                <w:sz w:val="22"/>
                <w:szCs w:val="22"/>
              </w:rPr>
              <w:t xml:space="preserve"> aplikovaných výstupů</w:t>
            </w:r>
          </w:p>
        </w:tc>
        <w:tc>
          <w:tcPr>
            <w:tcW w:w="1470" w:type="dxa"/>
          </w:tcPr>
          <w:p w14:paraId="3F9A2B6D" w14:textId="41BB5461" w:rsidR="00555619" w:rsidRPr="005F6936" w:rsidRDefault="005F6936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25</w:t>
            </w:r>
            <w:r w:rsidR="003D59F0" w:rsidRPr="005F693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F6936" w:rsidRPr="008A4D33" w14:paraId="61B27BAC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20" w:type="dxa"/>
          </w:tcPr>
          <w:p w14:paraId="168872CC" w14:textId="50354228" w:rsidR="005F6936" w:rsidRPr="005F6936" w:rsidRDefault="005F6936" w:rsidP="003D59F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6. Počet mezinárodní vazeb realizovaných mezi účastníky projektů v rámci programu</w:t>
            </w:r>
          </w:p>
        </w:tc>
        <w:tc>
          <w:tcPr>
            <w:tcW w:w="1470" w:type="dxa"/>
          </w:tcPr>
          <w:p w14:paraId="0BA8B19D" w14:textId="54192DEE" w:rsidR="005F6936" w:rsidRPr="005F6936" w:rsidRDefault="005F6936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</w:tbl>
    <w:p w14:paraId="146CB078" w14:textId="77777777" w:rsidR="00555619" w:rsidRPr="00096EA4" w:rsidRDefault="00555619" w:rsidP="00F94E70">
      <w:pPr>
        <w:pStyle w:val="Nadpis1"/>
        <w:rPr>
          <w:rFonts w:ascii="Arial" w:hAnsi="Arial" w:cs="Arial"/>
          <w:szCs w:val="22"/>
        </w:rPr>
      </w:pPr>
      <w:r w:rsidRPr="00096EA4">
        <w:rPr>
          <w:rFonts w:ascii="Arial" w:hAnsi="Arial" w:cs="Arial"/>
          <w:szCs w:val="22"/>
        </w:rPr>
        <w:t>OČEKÁVANÉ VÝSLEDKY A PŘÍNOSY PROGRAMU</w:t>
      </w:r>
    </w:p>
    <w:p w14:paraId="58F17CBE" w14:textId="6BE3BBE8" w:rsidR="00096EA4" w:rsidRPr="00096EA4" w:rsidRDefault="00096EA4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V tomto programu budou podporovány zejména projekty, u kterých se odůvodněně předpokládá dosažení využitelných výstupů, taktéž publikačních, jejichž aplikace přispěje k plnění stanovených cílů programu a k pozitivním společenským (</w:t>
      </w:r>
      <w:proofErr w:type="spellStart"/>
      <w:r w:rsidRPr="00096EA4">
        <w:rPr>
          <w:rFonts w:ascii="Arial" w:eastAsia="Arial" w:hAnsi="Arial" w:cs="Arial"/>
          <w:sz w:val="22"/>
          <w:szCs w:val="22"/>
        </w:rPr>
        <w:t>socio</w:t>
      </w:r>
      <w:proofErr w:type="spellEnd"/>
      <w:r w:rsidRPr="00096EA4">
        <w:rPr>
          <w:rFonts w:ascii="Arial" w:eastAsia="Arial" w:hAnsi="Arial" w:cs="Arial"/>
          <w:sz w:val="22"/>
          <w:szCs w:val="22"/>
        </w:rPr>
        <w:t>-ekonomickým) dopadům. Program umožní dosažení následujících výstupů ve formě výsledků dle Metodiky a Rejstříku informací o výsledcích (RIV) platné v době jejich uplatňování:</w:t>
      </w:r>
    </w:p>
    <w:p w14:paraId="412A72A1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 – patent;</w:t>
      </w:r>
    </w:p>
    <w:p w14:paraId="0F122FA9" w14:textId="77777777" w:rsidR="00096EA4" w:rsidRPr="00096EA4" w:rsidRDefault="00096EA4" w:rsidP="00096EA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Z – poloprovoz, ověřená technologie;</w:t>
      </w:r>
    </w:p>
    <w:p w14:paraId="4350EF06" w14:textId="77777777" w:rsidR="00096EA4" w:rsidRPr="00096EA4" w:rsidRDefault="00096EA4" w:rsidP="00096EA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F – průmyslový a užitný vzor;</w:t>
      </w:r>
    </w:p>
    <w:p w14:paraId="147C5126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G – technicky realizované výsledky – prototyp, funkční vzorek;</w:t>
      </w:r>
    </w:p>
    <w:p w14:paraId="343A9458" w14:textId="07ABC68F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N – certifikované metodiky, postupy a specializované mapy s odborným obsahem;</w:t>
      </w:r>
    </w:p>
    <w:p w14:paraId="7D141D0F" w14:textId="02B2E19A" w:rsidR="00096EA4" w:rsidRPr="00096EA4" w:rsidRDefault="00096EA4" w:rsidP="00096EA4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O – ostatní.</w:t>
      </w:r>
    </w:p>
    <w:p w14:paraId="01F6E26F" w14:textId="6B18C616" w:rsidR="00096EA4" w:rsidRPr="00096EA4" w:rsidRDefault="00096EA4" w:rsidP="00096EA4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Vzhledem ke specifickému zaměření programu však dále existuje celá řada poznatků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 xml:space="preserve">dovedností v souladu s §2 </w:t>
      </w:r>
      <w:proofErr w:type="spellStart"/>
      <w:r w:rsidRPr="00096EA4">
        <w:rPr>
          <w:rFonts w:ascii="Arial" w:eastAsia="Arial" w:hAnsi="Arial" w:cs="Arial"/>
          <w:sz w:val="22"/>
          <w:szCs w:val="22"/>
        </w:rPr>
        <w:t>odst</w:t>
      </w:r>
      <w:proofErr w:type="spellEnd"/>
      <w:r w:rsidRPr="00096EA4">
        <w:rPr>
          <w:rFonts w:ascii="Arial" w:eastAsia="Arial" w:hAnsi="Arial" w:cs="Arial"/>
          <w:sz w:val="22"/>
          <w:szCs w:val="22"/>
        </w:rPr>
        <w:t xml:space="preserve"> 2, písmeno k) zákona o podpoře výzkumu, vývoje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inovací, které se očekávají jako výsledky veřejných soutěží. Z tohoto důvodu bude program hodnocen nejen na základě výstupů ve formě výsledků dle aktuálně platné Metodiky hodnocení výsledků výzkumných organizací a hodnocení výsledků ukončených programů, ale také podle dosažených poznatků a dovedností, které budou specifikovány v rámci přípravy projektu tohoto typu výzkumu.</w:t>
      </w:r>
    </w:p>
    <w:p w14:paraId="3E89FEFD" w14:textId="020DC75F" w:rsidR="00096EA4" w:rsidRPr="00096EA4" w:rsidRDefault="00096EA4" w:rsidP="00096EA4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Mezi očekávané přínosy programu patří hlavně zvýšení kvality a počtu výsledků výzkumu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vývoje, které budou aplikovány v praxi v podobě inovací výrobků, postupů, procesů nebo služeb. Program by měl také přispět ke zvýšené schopnosti podniků uplatnit výsledky projektů, které se sekundárně projeví i ve zlepšení ukazatelů podpořených subjektů (a to např. v růstu obratu, exportu apod.).</w:t>
      </w:r>
    </w:p>
    <w:p w14:paraId="6DDC77DA" w14:textId="2D0BC3B9" w:rsidR="00555619" w:rsidRDefault="00096EA4" w:rsidP="001A6B01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U spolupracujících výzkumných organizací se přínosy programu projeví například ve zvýšení počtu jejich výsledků aplikovaných v praxi, v počtu komercializovaných patentů a jiných výsledků a nárůstu jejich komerčního potenciálu. Jako sekundární efekt lze považovat posílení efektivního transferu know-how a technologií do praxe.</w:t>
      </w:r>
    </w:p>
    <w:p w14:paraId="715B7F35" w14:textId="2A541E8A" w:rsidR="00F3290C" w:rsidRPr="005A4BC8" w:rsidRDefault="00F3290C" w:rsidP="00F3290C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lastRenderedPageBreak/>
        <w:t xml:space="preserve">Program </w:t>
      </w:r>
      <w:r w:rsidR="005A4BC8">
        <w:rPr>
          <w:rFonts w:ascii="Arial" w:eastAsia="Arial" w:hAnsi="Arial" w:cs="Arial"/>
          <w:sz w:val="22"/>
          <w:szCs w:val="22"/>
        </w:rPr>
        <w:t>přispěje ke zlepšení</w:t>
      </w:r>
      <w:r w:rsidRPr="00F3290C">
        <w:rPr>
          <w:rFonts w:ascii="Arial" w:eastAsia="Arial" w:hAnsi="Arial" w:cs="Arial"/>
          <w:sz w:val="22"/>
          <w:szCs w:val="22"/>
        </w:rPr>
        <w:t xml:space="preserve"> přístup</w:t>
      </w:r>
      <w:r w:rsidR="005A4BC8">
        <w:rPr>
          <w:rFonts w:ascii="Arial" w:eastAsia="Arial" w:hAnsi="Arial" w:cs="Arial"/>
          <w:sz w:val="22"/>
          <w:szCs w:val="22"/>
        </w:rPr>
        <w:t>u</w:t>
      </w:r>
      <w:r w:rsidRPr="00F3290C">
        <w:rPr>
          <w:rFonts w:ascii="Arial" w:eastAsia="Arial" w:hAnsi="Arial" w:cs="Arial"/>
          <w:sz w:val="22"/>
          <w:szCs w:val="22"/>
        </w:rPr>
        <w:t xml:space="preserve"> týmů z ČR k mezinárodním znalostem a know-how, zahraničním výzkumným kapacitám a usnadní pronikání na zahraniční trhy.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 xml:space="preserve">Synergickým efektem programu </w:t>
      </w:r>
      <w:r w:rsidR="005A4BC8">
        <w:rPr>
          <w:rFonts w:ascii="Arial" w:eastAsia="Arial" w:hAnsi="Arial" w:cs="Arial"/>
          <w:sz w:val="22"/>
          <w:szCs w:val="22"/>
        </w:rPr>
        <w:t>by měl být</w:t>
      </w:r>
      <w:r w:rsidRPr="00F3290C">
        <w:rPr>
          <w:rFonts w:ascii="Arial" w:eastAsia="Arial" w:hAnsi="Arial" w:cs="Arial"/>
          <w:sz w:val="22"/>
          <w:szCs w:val="22"/>
        </w:rPr>
        <w:t xml:space="preserve"> také přenos „dobré praxe“ a osvědčený</w:t>
      </w:r>
      <w:r w:rsidR="005A4BC8">
        <w:rPr>
          <w:rFonts w:ascii="Arial" w:eastAsia="Arial" w:hAnsi="Arial" w:cs="Arial"/>
          <w:sz w:val="22"/>
          <w:szCs w:val="22"/>
        </w:rPr>
        <w:t>ch postupů ze zahraničí do ČR.</w:t>
      </w:r>
    </w:p>
    <w:p w14:paraId="096ED97D" w14:textId="3218E978" w:rsidR="00555619" w:rsidRPr="00096EA4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096EA4">
        <w:rPr>
          <w:rFonts w:ascii="Arial" w:hAnsi="Arial" w:cs="Arial"/>
          <w:szCs w:val="22"/>
        </w:rPr>
        <w:t>UCHAZEČI A PROKÁZÁNÍ JEJICH ZPŮSOBILOSTI</w:t>
      </w:r>
    </w:p>
    <w:p w14:paraId="7C9A4827" w14:textId="116E42E6" w:rsidR="00555619" w:rsidRPr="00096EA4" w:rsidRDefault="00BA443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Uchazečem, respektive</w:t>
      </w:r>
      <w:r w:rsidR="00555619" w:rsidRPr="00096EA4">
        <w:rPr>
          <w:rFonts w:ascii="Arial" w:eastAsia="Arial" w:hAnsi="Arial" w:cs="Arial"/>
          <w:sz w:val="22"/>
          <w:szCs w:val="22"/>
        </w:rPr>
        <w:t xml:space="preserve"> příjemcem podpory na projekt podle zákona o</w:t>
      </w:r>
      <w:r w:rsidR="00CB78E6" w:rsidRPr="00096EA4">
        <w:rPr>
          <w:rFonts w:ascii="Arial" w:eastAsia="Arial" w:hAnsi="Arial" w:cs="Arial"/>
          <w:sz w:val="22"/>
          <w:szCs w:val="22"/>
        </w:rPr>
        <w:t> </w:t>
      </w:r>
      <w:r w:rsidR="00555619" w:rsidRPr="00096EA4">
        <w:rPr>
          <w:rFonts w:ascii="Arial" w:eastAsia="Arial" w:hAnsi="Arial" w:cs="Arial"/>
          <w:sz w:val="22"/>
          <w:szCs w:val="22"/>
        </w:rPr>
        <w:t>podpoře výzkumu, experimentálního vývoje a inovací, Rámce a Nařízení mohou být:</w:t>
      </w:r>
    </w:p>
    <w:p w14:paraId="45CF05C4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b/>
          <w:sz w:val="22"/>
          <w:szCs w:val="22"/>
        </w:rPr>
        <w:t>Podniky</w:t>
      </w:r>
      <w:r w:rsidRPr="00096EA4">
        <w:rPr>
          <w:rFonts w:ascii="Arial" w:eastAsia="Arial" w:hAnsi="Arial" w:cs="Arial"/>
          <w:sz w:val="22"/>
          <w:szCs w:val="22"/>
        </w:rPr>
        <w:t xml:space="preserve"> – právnické i fyzické osoby vykonávající hospodářskou činnost, bez ohledu na právní formu (příloha 1 Nařízení), které řeší projekt samostatně nebo ve spolupráci s dalšími účastníky a prokáží schopnost projekt spolufinancovat z neveřejných prostředků.</w:t>
      </w:r>
    </w:p>
    <w:p w14:paraId="321D04F3" w14:textId="21CDB14E" w:rsidR="00555619" w:rsidRDefault="00555619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b/>
          <w:sz w:val="22"/>
          <w:szCs w:val="22"/>
        </w:rPr>
        <w:t>Organizace pro výzkum a šíření znalostí (dále jen „výzkumné organizace“)</w:t>
      </w:r>
      <w:r w:rsidRPr="00096EA4">
        <w:rPr>
          <w:rFonts w:ascii="Arial" w:eastAsia="Arial" w:hAnsi="Arial" w:cs="Arial"/>
          <w:sz w:val="22"/>
          <w:szCs w:val="22"/>
        </w:rPr>
        <w:t xml:space="preserve"> – právnické osoby, které splňují definici výzkumné organizace podle čl. 2 odst. 83 Nařízení</w:t>
      </w:r>
      <w:r w:rsidR="00EB2BAC" w:rsidRPr="00096EA4">
        <w:rPr>
          <w:rFonts w:ascii="Arial" w:eastAsia="Arial" w:hAnsi="Arial" w:cs="Arial"/>
          <w:sz w:val="22"/>
          <w:szCs w:val="22"/>
        </w:rPr>
        <w:t xml:space="preserve"> a dle zákona o podpoře výzkumu, experimentálního vývoje a inovací</w:t>
      </w:r>
      <w:r w:rsidRPr="00096EA4">
        <w:rPr>
          <w:rFonts w:ascii="Arial" w:eastAsia="Arial" w:hAnsi="Arial" w:cs="Arial"/>
          <w:sz w:val="22"/>
          <w:szCs w:val="22"/>
        </w:rPr>
        <w:t>, a které řeší projekt samostatně nebo ve spolupráci s dalšími účastníky</w:t>
      </w:r>
      <w:r w:rsidR="004C01E2" w:rsidRPr="00096EA4">
        <w:rPr>
          <w:rFonts w:ascii="Arial" w:eastAsia="Arial" w:hAnsi="Arial" w:cs="Arial"/>
          <w:sz w:val="22"/>
          <w:szCs w:val="22"/>
        </w:rPr>
        <w:t>.</w:t>
      </w:r>
      <w:r w:rsidR="00096EA4">
        <w:rPr>
          <w:rFonts w:ascii="Arial" w:eastAsia="Arial" w:hAnsi="Arial" w:cs="Arial"/>
          <w:sz w:val="22"/>
          <w:szCs w:val="22"/>
        </w:rPr>
        <w:t xml:space="preserve"> </w:t>
      </w:r>
      <w:r w:rsidR="00096EA4" w:rsidRPr="00096EA4">
        <w:rPr>
          <w:rFonts w:ascii="Arial" w:eastAsia="Arial" w:hAnsi="Arial" w:cs="Arial"/>
          <w:sz w:val="22"/>
          <w:szCs w:val="22"/>
        </w:rPr>
        <w:t>Výzkumné organizace mohou být uchazečem, respektive příjemcem podpory samostatně ve výjimečných případech adekvátně zdůvodněných v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="00096EA4" w:rsidRPr="00096EA4">
        <w:rPr>
          <w:rFonts w:ascii="Arial" w:eastAsia="Arial" w:hAnsi="Arial" w:cs="Arial"/>
          <w:sz w:val="22"/>
          <w:szCs w:val="22"/>
        </w:rPr>
        <w:t>zadávací dokumentaci k veřejné soutěži (např. pokud je u takových uchazečů předpokládán</w:t>
      </w:r>
      <w:r w:rsidR="00BE375F">
        <w:rPr>
          <w:rFonts w:ascii="Arial" w:eastAsia="Arial" w:hAnsi="Arial" w:cs="Arial"/>
          <w:sz w:val="22"/>
          <w:szCs w:val="22"/>
        </w:rPr>
        <w:t>a komerci</w:t>
      </w:r>
      <w:bookmarkStart w:id="0" w:name="_GoBack"/>
      <w:bookmarkEnd w:id="0"/>
      <w:r w:rsidR="00096EA4" w:rsidRPr="00096EA4">
        <w:rPr>
          <w:rFonts w:ascii="Arial" w:eastAsia="Arial" w:hAnsi="Arial" w:cs="Arial"/>
          <w:sz w:val="22"/>
          <w:szCs w:val="22"/>
        </w:rPr>
        <w:t>alizace výsledků a návratnost vložených prostředků).</w:t>
      </w:r>
    </w:p>
    <w:p w14:paraId="421F878F" w14:textId="2636BFB9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Podporu na projekt realizovaný v Programu mohou získat pouze ti uchazeči, kteří splňují podmínky způsobilosti dané § 18 Zákona č. 130/2002 Sb. Uchází-li se o řešení jednoho projektu společně více uchazečů, vztahuje se povinnost prokázat svoji způsobilost na všechny tyto uchazeče. Způsobilost prokazuje uchazeč doklady dle zákona o podpoře výzkumu, experimentálního vývoje a inovací způsobem stanoveným poskytovatelem v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zadávací dokumentaci.</w:t>
      </w:r>
    </w:p>
    <w:p w14:paraId="20C81558" w14:textId="0E8660D7" w:rsid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Okruh uchazečů může oproti programu zúžit zadávací dokumentace k veřejné soutěži.</w:t>
      </w:r>
      <w:r w:rsidR="00BB2C3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Další podmínky pro účast v programu:</w:t>
      </w:r>
    </w:p>
    <w:p w14:paraId="235A99A4" w14:textId="09201858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Programu se musí účastnit vždy minimálně jeden uchazeč ze země, v níž sídlí partnerská agentura a minimálně jeden uchazeč z ČR. Preferovaným modelem spolupráce je účast podniku ve spo</w:t>
      </w:r>
      <w:r>
        <w:rPr>
          <w:rFonts w:ascii="Arial" w:eastAsia="Arial" w:hAnsi="Arial" w:cs="Arial"/>
          <w:sz w:val="22"/>
          <w:szCs w:val="22"/>
        </w:rPr>
        <w:t>lupráci s výzkumnou organizací.</w:t>
      </w:r>
      <w:r w:rsidRPr="00096EA4">
        <w:rPr>
          <w:rFonts w:ascii="Arial" w:eastAsia="Arial" w:hAnsi="Arial" w:cs="Arial"/>
          <w:sz w:val="22"/>
          <w:szCs w:val="22"/>
        </w:rPr>
        <w:t xml:space="preserve"> </w:t>
      </w:r>
    </w:p>
    <w:p w14:paraId="65C4F275" w14:textId="4BAAD4A2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Podíly účasti na projektu všech partnerů z ČR (podíl na činnostech, na rozpočtu i na výsledcích) musí být vyvážené a v případě spolupráce podniku s výzkumnou organizací musí být také splněny požadavky (alespoň jeden z nich) dle čl. 2.2.2. odst. 28 Rámce.</w:t>
      </w:r>
    </w:p>
    <w:p w14:paraId="4F965017" w14:textId="311EE869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 xml:space="preserve">Návrh projektu musí být předložen zahraničním účastníkem partnerské agentuře, nebo zahraniční partner již řeší projekt podporovaný partnerskou agenturou s danou tématikou. Účast uchazečů o podporu z programu není vázána podmínkou získání podpory zahraničních partnerů od partnerské agentury, to znamená, že zahraniční partneři mohou účast na řešení projektů financovat i z jiných, např. vlastních zdrojů. Účastníci z ČR k návrhu projektu připojují informaci o části projektu řešené zahraničním partnerem včetně způsobu financování účasti zahraničního partnera na společném projektu. </w:t>
      </w:r>
    </w:p>
    <w:p w14:paraId="24711268" w14:textId="2A1442B1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Návrh projektu musí být řešen v oboru, který je dle zadávací dokumentace mezi vytipovanými obory spolupráce pro příslušnou veřejnou soutěž.</w:t>
      </w:r>
    </w:p>
    <w:p w14:paraId="74ECE860" w14:textId="5DD358C2" w:rsidR="00F30870" w:rsidRPr="00F3290C" w:rsidRDefault="003D47F5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VÝDAJE NA PROGRAM</w:t>
      </w:r>
    </w:p>
    <w:p w14:paraId="01AE177F" w14:textId="05920515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Celkové výdaje na program jsou na období trvání programu stanoveny v souladu s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 xml:space="preserve">předpokládaným postupným vyhlašováním jednotlivých veřejných soutěží ve výzkumu, vývoji a inovacích. </w:t>
      </w:r>
    </w:p>
    <w:p w14:paraId="0D4F7D58" w14:textId="15C7600E" w:rsid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096EA4">
        <w:rPr>
          <w:rFonts w:ascii="Arial" w:eastAsia="Arial" w:hAnsi="Arial" w:cs="Arial"/>
          <w:sz w:val="22"/>
          <w:szCs w:val="22"/>
        </w:rPr>
        <w:lastRenderedPageBreak/>
        <w:t>Celkové výdaje na jednotlivé projekty a podniky jsou uvažovány dle čl. 4 Nařízení Komise (EU) č. 651/2014 ze dne 17. června 2014, kterým se v souladu s články 107 a 108 Smlouvy prohlašují určité kategorie podpory za slučitelné s vnitřním trhem, tzv. obecného nařízení o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blokových výjimkách.</w:t>
      </w:r>
    </w:p>
    <w:p w14:paraId="50108641" w14:textId="2D6CE56E" w:rsidR="00F30870" w:rsidRPr="00F3290C" w:rsidRDefault="003D47F5" w:rsidP="00BA4439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F3290C">
        <w:rPr>
          <w:rFonts w:ascii="Arial" w:eastAsia="Arial" w:hAnsi="Arial" w:cs="Arial"/>
          <w:b/>
          <w:sz w:val="22"/>
          <w:szCs w:val="22"/>
        </w:rPr>
        <w:t xml:space="preserve">Tabulka č. </w:t>
      </w:r>
      <w:r w:rsidR="006802BA" w:rsidRPr="00F3290C">
        <w:rPr>
          <w:rFonts w:ascii="Arial" w:eastAsia="Arial" w:hAnsi="Arial" w:cs="Arial"/>
          <w:b/>
          <w:sz w:val="22"/>
          <w:szCs w:val="22"/>
        </w:rPr>
        <w:t>12</w:t>
      </w:r>
      <w:r w:rsidR="00FE7F86" w:rsidRPr="00F3290C">
        <w:rPr>
          <w:rFonts w:ascii="Arial" w:eastAsia="Arial" w:hAnsi="Arial" w:cs="Arial"/>
          <w:b/>
          <w:sz w:val="22"/>
          <w:szCs w:val="22"/>
        </w:rPr>
        <w:t xml:space="preserve">. </w:t>
      </w:r>
      <w:r w:rsidRPr="00F3290C">
        <w:rPr>
          <w:rFonts w:ascii="Arial" w:eastAsia="Arial" w:hAnsi="Arial" w:cs="Arial"/>
          <w:b/>
          <w:sz w:val="22"/>
          <w:szCs w:val="22"/>
        </w:rPr>
        <w:t>1: Rozpočet programu [</w:t>
      </w:r>
      <w:r w:rsidR="00BA4439" w:rsidRPr="00F3290C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Pr="00F3290C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"/>
        <w:tblW w:w="912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0"/>
        <w:gridCol w:w="567"/>
        <w:gridCol w:w="567"/>
        <w:gridCol w:w="567"/>
        <w:gridCol w:w="567"/>
        <w:gridCol w:w="555"/>
        <w:gridCol w:w="555"/>
        <w:gridCol w:w="555"/>
        <w:gridCol w:w="555"/>
        <w:gridCol w:w="555"/>
        <w:gridCol w:w="555"/>
        <w:gridCol w:w="555"/>
        <w:gridCol w:w="555"/>
        <w:gridCol w:w="827"/>
      </w:tblGrid>
      <w:tr w:rsidR="00096EA4" w:rsidRPr="00F3290C" w14:paraId="62E3F872" w14:textId="77777777" w:rsidTr="00F32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24FB5E41" w14:textId="77777777" w:rsidR="00096EA4" w:rsidRPr="00F3290C" w:rsidRDefault="00096EA4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4F89EE2" w14:textId="20D0C9D0" w:rsidR="00096EA4" w:rsidRPr="00F3290C" w:rsidRDefault="00096EA4" w:rsidP="00F3290C">
            <w:pPr>
              <w:keepNext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7E09B8" w14:textId="04DAE16B" w:rsidR="00096EA4" w:rsidRPr="00F3290C" w:rsidRDefault="00096EA4" w:rsidP="00F3290C">
            <w:pPr>
              <w:keepNext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AA0436" w14:textId="5C0689D4" w:rsidR="00096EA4" w:rsidRPr="00F3290C" w:rsidRDefault="00096EA4" w:rsidP="00F3290C">
            <w:pPr>
              <w:keepNext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7E130D" w14:textId="01E2808E" w:rsidR="00096EA4" w:rsidRPr="00F3290C" w:rsidRDefault="00096EA4" w:rsidP="00F3290C">
            <w:pPr>
              <w:keepNext/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5BBA01" w14:textId="43167B1E" w:rsidR="00096EA4" w:rsidRPr="00F3290C" w:rsidRDefault="00096EA4" w:rsidP="00F3290C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FBA2C4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9FE9FB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E0258A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0CF36D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E383B4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404178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1C7175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397FAE" w14:textId="77777777" w:rsidR="00096EA4" w:rsidRPr="00F3290C" w:rsidRDefault="00096EA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F3290C" w:rsidRPr="00F3290C" w14:paraId="09097D4B" w14:textId="77777777" w:rsidTr="00F329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5EBF1D21" w14:textId="77777777" w:rsidR="00F3290C" w:rsidRPr="00F3290C" w:rsidRDefault="00F3290C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37F2B9" w14:textId="31A93552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AB67E0" w14:textId="436F5B0A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8F4F92" w14:textId="220456B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0A9EC3" w14:textId="1B7F7A48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147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CD7485" w14:textId="0482E0CB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312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FC03FC" w14:textId="2BF68DE9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31A314" w14:textId="2CAEE608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4A0984" w14:textId="11EEB352" w:rsidR="00F3290C" w:rsidRPr="00F3290C" w:rsidRDefault="00257BA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5BB8DC" w14:textId="63548C89" w:rsidR="00F3290C" w:rsidRPr="00F3290C" w:rsidRDefault="00257BA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CFBAB3" w14:textId="487F2ECD" w:rsidR="00F3290C" w:rsidRPr="00F3290C" w:rsidRDefault="00257BA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3A1249" w14:textId="7606D26F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DC4944" w14:textId="7EC3E315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135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F3B23B" w14:textId="3BEB9916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b/>
                <w:sz w:val="20"/>
              </w:rPr>
              <w:t>2 527</w:t>
            </w:r>
          </w:p>
        </w:tc>
      </w:tr>
      <w:tr w:rsidR="00F3290C" w:rsidRPr="00F3290C" w14:paraId="7942B94B" w14:textId="77777777" w:rsidTr="00F32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4C186376" w14:textId="77777777" w:rsidR="00F3290C" w:rsidRPr="00F3290C" w:rsidRDefault="00F3290C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01BBF" w14:textId="585CAF9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1EA63D" w14:textId="76C92272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EEF7FD" w14:textId="1D3B7384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54B3B9" w14:textId="0CCB4B6C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109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AC8F11" w14:textId="6E19381C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231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F959EB" w14:textId="588A8E1F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FB3E93" w14:textId="567B1028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9C5BB4" w14:textId="4A27A0A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76DB1C" w14:textId="6D4B0380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C0AF64" w14:textId="71D247B9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157096" w14:textId="2B167893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8CFBA4" w14:textId="181C5654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9E918D" w14:textId="12288D7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b/>
                <w:sz w:val="20"/>
              </w:rPr>
              <w:t>1 870</w:t>
            </w:r>
          </w:p>
        </w:tc>
      </w:tr>
      <w:tr w:rsidR="00F3290C" w:rsidRPr="00F3290C" w14:paraId="7845DCA2" w14:textId="77777777" w:rsidTr="00F329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0FCB61BE" w14:textId="77777777" w:rsidR="00F3290C" w:rsidRPr="00F3290C" w:rsidRDefault="00F3290C" w:rsidP="00F329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C5656D" w14:textId="38C7C381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45F2208" w14:textId="62A40B52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DCEB95" w14:textId="4A53325D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D9B108" w14:textId="74BFF100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71744B" w14:textId="028D7754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87128E" w14:textId="08277B6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DF72A0" w14:textId="6DB5E680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3D684C" w14:textId="7658A34A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D71555" w14:textId="417D46E4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5A4308" w14:textId="7E158027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CA6BFD" w14:textId="19E24484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9D99D6" w14:textId="186B4875" w:rsidR="00F3290C" w:rsidRPr="00F3290C" w:rsidRDefault="00F3290C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2360D0" w14:textId="66C77570" w:rsidR="00F3290C" w:rsidRPr="00F3290C" w:rsidRDefault="00F3290C" w:rsidP="00F3290C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b/>
                <w:sz w:val="20"/>
              </w:rPr>
              <w:t>657</w:t>
            </w:r>
          </w:p>
        </w:tc>
      </w:tr>
    </w:tbl>
    <w:p w14:paraId="2B2E2139" w14:textId="77777777" w:rsidR="00F30870" w:rsidRPr="00F3290C" w:rsidRDefault="003D47F5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MÍRA PODPORY</w:t>
      </w:r>
    </w:p>
    <w:p w14:paraId="404C6926" w14:textId="59E64439" w:rsid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F3290C">
        <w:rPr>
          <w:rFonts w:ascii="Arial" w:eastAsia="Arial" w:hAnsi="Arial" w:cs="Arial"/>
          <w:sz w:val="22"/>
          <w:szCs w:val="22"/>
        </w:rPr>
        <w:t>Předpokládaná průměrná míra podpory celkově za program je 74 %. Míra 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měr podpory.</w:t>
      </w:r>
      <w:r w:rsidR="00BB2C39"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>Předpokládaná maximální částka finanční podpory vynaložená na jeden projekt pro účastníky z ČR je 25 mil. Kč.</w:t>
      </w:r>
    </w:p>
    <w:p w14:paraId="5FD50481" w14:textId="28599416" w:rsidR="00FE7F86" w:rsidRPr="00F3290C" w:rsidRDefault="00496E9D" w:rsidP="00297F27">
      <w:pPr>
        <w:tabs>
          <w:tab w:val="left" w:pos="360"/>
        </w:tabs>
        <w:spacing w:before="120" w:after="120"/>
        <w:rPr>
          <w:rFonts w:ascii="Arial" w:eastAsia="Arial" w:hAnsi="Arial" w:cs="Arial"/>
          <w:b/>
          <w:sz w:val="22"/>
          <w:szCs w:val="22"/>
        </w:rPr>
      </w:pPr>
      <w:r w:rsidRPr="00F3290C">
        <w:rPr>
          <w:rFonts w:ascii="Arial" w:eastAsia="Arial" w:hAnsi="Arial" w:cs="Arial"/>
          <w:b/>
          <w:sz w:val="22"/>
          <w:szCs w:val="22"/>
        </w:rPr>
        <w:t>Tabulka č. 13</w:t>
      </w:r>
      <w:r w:rsidR="00F3290C" w:rsidRPr="00F3290C">
        <w:rPr>
          <w:rFonts w:ascii="Arial" w:eastAsia="Arial" w:hAnsi="Arial" w:cs="Arial"/>
          <w:b/>
          <w:sz w:val="22"/>
          <w:szCs w:val="22"/>
        </w:rPr>
        <w:t xml:space="preserve">. 1: </w:t>
      </w:r>
      <w:r w:rsidR="00FE7F86" w:rsidRPr="00F3290C">
        <w:rPr>
          <w:rFonts w:ascii="Arial" w:eastAsia="Arial" w:hAnsi="Arial" w:cs="Arial"/>
          <w:b/>
          <w:sz w:val="22"/>
          <w:szCs w:val="22"/>
        </w:rPr>
        <w:t xml:space="preserve">Nejvyšší povolené míry podpory pro průmyslový výzkum a experimentální </w:t>
      </w:r>
      <w:r w:rsidR="006802BA" w:rsidRPr="00F3290C">
        <w:rPr>
          <w:rFonts w:ascii="Arial" w:eastAsia="Arial" w:hAnsi="Arial" w:cs="Arial"/>
          <w:b/>
          <w:sz w:val="22"/>
          <w:szCs w:val="22"/>
        </w:rPr>
        <w:t>vývoj podle</w:t>
      </w:r>
      <w:r w:rsidR="00297F27" w:rsidRPr="00F3290C">
        <w:rPr>
          <w:rFonts w:ascii="Arial" w:eastAsia="Arial" w:hAnsi="Arial" w:cs="Arial"/>
          <w:b/>
          <w:sz w:val="22"/>
          <w:szCs w:val="22"/>
        </w:rPr>
        <w:t xml:space="preserve"> kategorie účastníků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1"/>
        <w:gridCol w:w="1267"/>
        <w:gridCol w:w="1383"/>
        <w:gridCol w:w="1288"/>
        <w:gridCol w:w="2073"/>
      </w:tblGrid>
      <w:tr w:rsidR="000E0B0F" w:rsidRPr="00F3290C" w14:paraId="72A38711" w14:textId="77777777" w:rsidTr="00C95849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4399F6A" w14:textId="77777777" w:rsidR="000E0B0F" w:rsidRPr="00F3290C" w:rsidRDefault="000E0B0F" w:rsidP="00C95849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56F16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0E0B0F" w:rsidRPr="00F3290C" w14:paraId="5B0D9CAB" w14:textId="77777777" w:rsidTr="00C95849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6817C8F" w14:textId="77777777" w:rsidR="000E0B0F" w:rsidRPr="00F3290C" w:rsidRDefault="000E0B0F" w:rsidP="00C95849">
            <w:pPr>
              <w:spacing w:after="120"/>
              <w:jc w:val="both"/>
              <w:rPr>
                <w:color w:val="auto"/>
              </w:rPr>
            </w:pPr>
            <w:r w:rsidRPr="00F3290C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94244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40D00C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7A39CB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7080DFF" w14:textId="74FBF793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výzkumné organizace</w:t>
            </w:r>
            <w:r w:rsidR="007A7985" w:rsidRPr="00F3290C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0E0B0F" w:rsidRPr="00F3290C" w14:paraId="25CAD8AB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402C54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F1750C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62421B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2ECAA3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20C8FA" w14:textId="0155A7DC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55EEFAD7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E6D449" w14:textId="77777777" w:rsidR="000E0B0F" w:rsidRPr="00F3290C" w:rsidRDefault="000E0B0F" w:rsidP="00297F27">
            <w:pPr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14:paraId="3F6AEF41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469587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873D4D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EB98031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77BF33" w14:textId="4E15544D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1CA89EF1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C19F8D9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6C888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DBD9761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6527E6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CB87D39" w14:textId="234FDC5A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1D2117B9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BE655FA" w14:textId="77777777" w:rsidR="000E0B0F" w:rsidRPr="00F3290C" w:rsidRDefault="000E0B0F" w:rsidP="00297F27">
            <w:pPr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14:paraId="1E7D03CE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07C137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8C2A7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467FCF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A1FAD8" w14:textId="49C5277C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3A0D8550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997D360" w14:textId="0ED52026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Inovace určená malým a</w:t>
            </w:r>
            <w:r w:rsidR="00297F27" w:rsidRPr="00F3290C">
              <w:rPr>
                <w:rFonts w:ascii="Arial" w:hAnsi="Arial" w:cs="Arial"/>
                <w:sz w:val="22"/>
                <w:szCs w:val="22"/>
              </w:rPr>
              <w:t> </w:t>
            </w:r>
            <w:r w:rsidRPr="00F3290C">
              <w:rPr>
                <w:rFonts w:ascii="Arial" w:hAnsi="Arial" w:cs="Arial"/>
                <w:sz w:val="22"/>
                <w:szCs w:val="22"/>
              </w:rPr>
              <w:t>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094C21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E60F3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E2B9B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FBDB00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E0B0F" w:rsidRPr="00F3290C" w14:paraId="3AD13016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C020A2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B0C72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D44CD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F951771" w14:textId="0F65C9D3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15 %</w:t>
            </w:r>
            <w:r w:rsidR="0040751C" w:rsidRPr="00F3290C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5B1387F" w14:textId="2B88A221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</w:tbl>
    <w:p w14:paraId="062E8E91" w14:textId="6428C104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b/>
          <w:bCs/>
          <w:sz w:val="18"/>
          <w:szCs w:val="18"/>
        </w:rPr>
        <w:t>Poznámka:</w:t>
      </w:r>
      <w:r w:rsidRPr="00F3290C">
        <w:rPr>
          <w:rFonts w:ascii="Arial" w:hAnsi="Arial" w:cs="Arial"/>
          <w:sz w:val="18"/>
          <w:szCs w:val="18"/>
        </w:rPr>
        <w:t xml:space="preserve"> </w:t>
      </w:r>
      <w:r w:rsidRPr="00F3290C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F3290C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v Příloze 1 Nařízení a velký podnik je vymezen podle definice v článku 2 odst. 24 Nařízení. </w:t>
      </w:r>
    </w:p>
    <w:p w14:paraId="43200A98" w14:textId="2BBD2C1E" w:rsidR="000E0B0F" w:rsidRPr="00F3290C" w:rsidRDefault="000E0B0F" w:rsidP="000E0B0F">
      <w:pPr>
        <w:jc w:val="both"/>
        <w:rPr>
          <w:rFonts w:ascii="Arial" w:hAnsi="Arial" w:cs="Arial"/>
          <w:sz w:val="18"/>
          <w:szCs w:val="18"/>
        </w:rPr>
      </w:pPr>
      <w:r w:rsidRPr="00F3290C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F3290C">
        <w:rPr>
          <w:rFonts w:ascii="Arial" w:hAnsi="Arial" w:cs="Arial"/>
          <w:sz w:val="18"/>
          <w:szCs w:val="18"/>
        </w:rPr>
        <w:t xml:space="preserve">Výzkumná organizace je vymezena podle čl. 2 odst. 83 Nařízení. Uvedená míra podpory je určena pro </w:t>
      </w:r>
      <w:proofErr w:type="spellStart"/>
      <w:r w:rsidRPr="00F3290C">
        <w:rPr>
          <w:rFonts w:ascii="Arial" w:hAnsi="Arial" w:cs="Arial"/>
          <w:sz w:val="18"/>
          <w:szCs w:val="18"/>
        </w:rPr>
        <w:t>nehospodářské</w:t>
      </w:r>
      <w:proofErr w:type="spellEnd"/>
      <w:r w:rsidRPr="00F3290C">
        <w:rPr>
          <w:rFonts w:ascii="Arial" w:hAnsi="Arial" w:cs="Arial"/>
          <w:sz w:val="18"/>
          <w:szCs w:val="18"/>
        </w:rPr>
        <w:t xml:space="preserve"> činnosti výzkumných organizací.</w:t>
      </w:r>
    </w:p>
    <w:p w14:paraId="1352514B" w14:textId="427BAFB5" w:rsidR="0040751C" w:rsidRPr="00F3290C" w:rsidRDefault="0040751C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sz w:val="18"/>
          <w:szCs w:val="18"/>
        </w:rPr>
        <w:t>*** Podpora velkým podnikům na inovace postupů a organizační inovace je slučitelná pouze za podmínek uvedených v čl. 29 odst. 2 Nařízení.</w:t>
      </w:r>
    </w:p>
    <w:p w14:paraId="3F4352B8" w14:textId="1A9B504E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</w:p>
    <w:p w14:paraId="14C92D18" w14:textId="77777777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b/>
          <w:bCs/>
          <w:sz w:val="18"/>
          <w:szCs w:val="18"/>
        </w:rPr>
        <w:t>Zdroj: Nařízení</w:t>
      </w:r>
    </w:p>
    <w:p w14:paraId="13237E5B" w14:textId="316A683B" w:rsidR="00555619" w:rsidRPr="00F3290C" w:rsidRDefault="00555619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lastRenderedPageBreak/>
        <w:t>ZPŮSOBILÉ A UZNANÉ NÁKLADY</w:t>
      </w:r>
    </w:p>
    <w:p w14:paraId="67746866" w14:textId="7825E68A" w:rsidR="00F3290C" w:rsidRPr="00F3290C" w:rsidRDefault="00F3290C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Podpora bude poskytována na uznané náklady projektu, tj. na ty způsobilé náklady, které poskytovatel schválí, které jsou zdůvodněné, a které jsou v rozsahu nezbytném pro účely projektu. Uchazeč může jako způsobilé náklady navrhnout pouze náklady vymezené vždy 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souladu se zákonem o podpoře výzkumu, experimentál</w:t>
      </w:r>
      <w:r>
        <w:rPr>
          <w:rFonts w:ascii="Arial" w:eastAsia="Arial" w:hAnsi="Arial" w:cs="Arial"/>
          <w:sz w:val="22"/>
          <w:szCs w:val="22"/>
        </w:rPr>
        <w:t>ního vývoje a inovací, a dále v </w:t>
      </w:r>
      <w:r w:rsidRPr="00F3290C">
        <w:rPr>
          <w:rFonts w:ascii="Arial" w:eastAsia="Arial" w:hAnsi="Arial" w:cs="Arial"/>
          <w:sz w:val="22"/>
          <w:szCs w:val="22"/>
        </w:rPr>
        <w:t>případě podpory v režimu veřejné podpory podle kat</w:t>
      </w:r>
      <w:r>
        <w:rPr>
          <w:rFonts w:ascii="Arial" w:eastAsia="Arial" w:hAnsi="Arial" w:cs="Arial"/>
          <w:sz w:val="22"/>
          <w:szCs w:val="22"/>
        </w:rPr>
        <w:t xml:space="preserve">egorie podpory, tj. v souladu </w:t>
      </w:r>
      <w:r w:rsidRPr="00F3290C">
        <w:rPr>
          <w:rFonts w:ascii="Arial" w:eastAsia="Arial" w:hAnsi="Arial" w:cs="Arial"/>
          <w:sz w:val="22"/>
          <w:szCs w:val="22"/>
        </w:rPr>
        <w:t>s Nařízením.</w:t>
      </w:r>
    </w:p>
    <w:p w14:paraId="727C4E1B" w14:textId="77777777" w:rsidR="00555619" w:rsidRPr="00F3290C" w:rsidRDefault="00555619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MOTIVAČNÍ ÚČINEK</w:t>
      </w:r>
    </w:p>
    <w:p w14:paraId="3005AF75" w14:textId="098956D8" w:rsidR="00F3290C" w:rsidRPr="00F3290C" w:rsidRDefault="00F3290C" w:rsidP="008D2C1B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Pro naplnění cílů programu a podmínek Nařízení bude poskytovatel v rámci procesu hodnocení návrhů projektů posuzovat přítomnost motivačního účinku podpory podle čl. 6 Nařízení.</w:t>
      </w:r>
    </w:p>
    <w:p w14:paraId="698AA8E9" w14:textId="56CD5CCE" w:rsidR="00425311" w:rsidRPr="00F3290C" w:rsidRDefault="00425311" w:rsidP="00F94E70">
      <w:pPr>
        <w:pStyle w:val="Nadpis1"/>
        <w:rPr>
          <w:rFonts w:ascii="Arial" w:eastAsia="Times New Roman" w:hAnsi="Arial" w:cs="Arial"/>
          <w:szCs w:val="22"/>
        </w:rPr>
      </w:pPr>
      <w:r w:rsidRPr="00F3290C">
        <w:rPr>
          <w:rFonts w:ascii="Arial" w:hAnsi="Arial" w:cs="Arial"/>
          <w:szCs w:val="22"/>
        </w:rPr>
        <w:t>ZPŮSOB A OBECNÁ KRITÉRIA HODNOCENÍ NÁVRHŮ PROJEKTŮ</w:t>
      </w:r>
    </w:p>
    <w:p w14:paraId="3C0FEBF9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Návrhy projektů budou TA ČR komplexně hodnoceny v souladu se zákonem o podpoře výzkumu, experimentálního vývoje a inovací. Každý návrh projektu bude hodnocen nejméně dvěma nezávislými oponenty. Pro hodnocení návrhů projektů přijatých do veřejné soutěže ustaví TA ČR odborný poradní orgán. </w:t>
      </w:r>
    </w:p>
    <w:p w14:paraId="2D9FEDDE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Navrhovaná obecná kritéria hodnocení: </w:t>
      </w:r>
    </w:p>
    <w:p w14:paraId="6B752B0C" w14:textId="111E0059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splnění podmínek veřejné soutěže; </w:t>
      </w:r>
    </w:p>
    <w:p w14:paraId="09015D8E" w14:textId="67B8D98B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potřebnost projektu a jeho přínos k naplňování cílů programu; </w:t>
      </w:r>
    </w:p>
    <w:p w14:paraId="146EBD2C" w14:textId="45D1C84B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očekávaný přínos a kvalita výsledku projektu; </w:t>
      </w:r>
    </w:p>
    <w:p w14:paraId="775BF761" w14:textId="707BC1F4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proveditelnost a postup realizace projektu. </w:t>
      </w:r>
    </w:p>
    <w:p w14:paraId="6F46BD55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Podrobný způsob hodnocení návrhů projektu, bodové a prahové hodnoty jednotlivých kritérií hodnocení stanoví zadávací dokumentace k příslušné veřejné soutěži. </w:t>
      </w:r>
    </w:p>
    <w:p w14:paraId="5C499650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Pro hodnocení případných duplicit, návazností, komplementarit a synergií mezi různými již realizovanými projekty a návrhy projektů využije poskytovatel datové a analytické nástroje.</w:t>
      </w:r>
    </w:p>
    <w:p w14:paraId="5A85E529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Návrhy projektů budou hodnoceny podle pravidel platných pro každou zemi. </w:t>
      </w:r>
    </w:p>
    <w:p w14:paraId="0D64D4E9" w14:textId="28AB94D2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S ohledem na odpovědnost Ministerstva školství, mládeže a tělovýchovy (dále jen „MŠMT“) za mezinárodní spolupráci ve výzkumu a vývoji jako ústředního správního orgánu dle ustanovení § 7 odst. 1 zákona č. 2/1969 Sb., o zřízení ministerstev a jiných ústředních orgánů státní správy České republiky, ve znění pozdějších předpisů, a dle ustanovení § 33 odst. 2 písm. a) zákona č. 130/2002 Sb., o podpoře výzkumu, experimentálního vývoje a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inovací z veřejných prostředků a o změně některých souvisejících zákonů, a k vyloučení možných překryvů s programy mezinárodní spolupráce MŠMT, bude nastavení podmínek konkrétní veřejné soutěže realizováno ve spolupráci TA ČR s MŠMT. Bude ustavena pracovní skupina pro mezinárodní spolupráci mezi TA ČR a MŠMT, v rámci které bude probíhat koordinace příslušných aktivit. Zástupci MŠMT budou rovněž členy odborného poradního orgánu pro hodnocení návrhů projektů.</w:t>
      </w:r>
    </w:p>
    <w:p w14:paraId="2EE9C07C" w14:textId="324FDEBE" w:rsid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F3290C">
        <w:rPr>
          <w:rFonts w:ascii="Arial" w:eastAsia="Arial" w:hAnsi="Arial" w:cs="Arial"/>
          <w:sz w:val="22"/>
          <w:szCs w:val="22"/>
        </w:rPr>
        <w:t>K vyloučení možných překryvů projektů naplňujících prioritní oblast „Bezpečná společnost“ 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 xml:space="preserve">oblastech 1. Bezpečnost občanů, 2. Bezpečnost kritických infrastruktur a zdrojů, 3. Krizové řízení a bezpečnostní politika, v tomto programu s programy Ministerstva vnitra (MV) zaměřenými na bezpečnostní výzkum bude nastavení konkrétní veřejné soutěže realizováno ve spolupráci TA ČR s MV. Zástupci MV budou členy odborného poradního orgánu pro hodnocení návrhů projektů. Procesní zakotvení zastoupení zástupců MV včetně mechanismu spolupráce a koordinace při přípravě veřejných soutěží včetně práva veta </w:t>
      </w:r>
      <w:r w:rsidRPr="00F3290C">
        <w:rPr>
          <w:rFonts w:ascii="Arial" w:eastAsia="Arial" w:hAnsi="Arial" w:cs="Arial"/>
          <w:sz w:val="22"/>
          <w:szCs w:val="22"/>
        </w:rPr>
        <w:lastRenderedPageBreak/>
        <w:t>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předmětné oblasti bude zapracováno do Statutu a jednacího řádu odborného poradního orgánu.</w:t>
      </w:r>
    </w:p>
    <w:p w14:paraId="593115AA" w14:textId="32364B62" w:rsidR="00F30870" w:rsidRPr="005A4BC8" w:rsidRDefault="003D47F5" w:rsidP="00F94E70">
      <w:pPr>
        <w:pStyle w:val="Nadpis1"/>
        <w:rPr>
          <w:rFonts w:ascii="Arial" w:hAnsi="Arial" w:cs="Arial"/>
          <w:szCs w:val="22"/>
        </w:rPr>
      </w:pPr>
      <w:r w:rsidRPr="005A4BC8">
        <w:rPr>
          <w:rFonts w:ascii="Arial" w:hAnsi="Arial" w:cs="Arial"/>
          <w:szCs w:val="22"/>
        </w:rPr>
        <w:t>SROVNÁNÍ SOUČASNÉHO STAVU V ČESKÉ REPUBLICE A V ZAHRANIČÍ</w:t>
      </w:r>
    </w:p>
    <w:p w14:paraId="6C2E2B09" w14:textId="77777777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 xml:space="preserve">Podpora projektů mezinárodní spolupráce, kdy každý stát financuje pouze své národní týmy, není ve světě nová. Členské země EU nicméně soustředí svou podporu především na spolupráci v rámci Evropské unie a na využívání prostředků plynoucích ze 7. Rámcového programu či programu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Eureka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>.</w:t>
      </w:r>
    </w:p>
    <w:p w14:paraId="2A78F7EB" w14:textId="77777777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Bilaterální spolupráci podniků či výzkumných organizací se subjekty z mimoevropských zemí podporuje nižší počet agentur. Spolupráce může fungovat dvěma základními způsoby:</w:t>
      </w:r>
    </w:p>
    <w:p w14:paraId="7DCBAD43" w14:textId="33DFADC1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a)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A4BC8">
        <w:rPr>
          <w:rFonts w:ascii="Arial" w:eastAsia="Arial" w:hAnsi="Arial" w:cs="Arial"/>
          <w:sz w:val="22"/>
          <w:szCs w:val="22"/>
        </w:rPr>
        <w:t>pomocí bilaterálních programů, v nichž jsou veřejné soutěže vyhlašovány oběma agenturami zároveň, a hodnotící proces probíhá společně. Podpořeny mohou být pouze projekty vybrané oběma zeměmi. Tento způsob podpory využívá např. francouzské OSEO či španělské CDTI.</w:t>
      </w:r>
    </w:p>
    <w:p w14:paraId="09C2DAB4" w14:textId="429BE212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b)</w:t>
      </w:r>
      <w:r>
        <w:rPr>
          <w:rFonts w:ascii="Arial" w:eastAsia="Arial" w:hAnsi="Arial" w:cs="Arial"/>
          <w:sz w:val="22"/>
          <w:szCs w:val="22"/>
        </w:rPr>
        <w:t xml:space="preserve"> p</w:t>
      </w:r>
      <w:r w:rsidRPr="005A4BC8">
        <w:rPr>
          <w:rFonts w:ascii="Arial" w:eastAsia="Arial" w:hAnsi="Arial" w:cs="Arial"/>
          <w:sz w:val="22"/>
          <w:szCs w:val="22"/>
        </w:rPr>
        <w:t xml:space="preserve">omocí programů, z nichž je možné financovat výzkumné projekty firem či výzkumných organizací, které chtějí spolupracovat s partnery z mimoevropských zemí. Hodnocení i financování probíhá nezávisle na partnerské zemi, resp. není závislé na podpoře projektu v partnerské zemi. Takto poskytují podporu např. nizozemská agentura NL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Agency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 xml:space="preserve">, finský TEKES či britská Technology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Strategy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Board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>. Tato varianta může být ještě modifikována začleněním mezinárodní dimenze do „běžných“ programů podpory a vyčleněním části prostředků na projekty, jichž se účastní mimoevropský partner.</w:t>
      </w:r>
    </w:p>
    <w:p w14:paraId="6E2AB8DF" w14:textId="713CA8D9" w:rsidR="005F6936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A4BC8">
        <w:rPr>
          <w:rFonts w:ascii="Arial" w:eastAsia="Arial" w:hAnsi="Arial" w:cs="Arial"/>
          <w:sz w:val="22"/>
          <w:szCs w:val="22"/>
        </w:rPr>
        <w:t xml:space="preserve">Agentury z členských zemí EU nejčastěji spolupracují s partnerskými agenturami z asijských zemí, zejména Číny, Japonska, Jižní Koreje a Indie, ale také s agenturami z Brazílie, Ruska a Jihoafrické republiky. Příkladem může být spolupráce finské agentury TEKES s Ruskem na podporu výzkumu a vývoje v oblasti nanotechnologií v rámci programu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Nanotech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5A4BC8">
        <w:rPr>
          <w:rFonts w:ascii="Arial" w:eastAsia="Arial" w:hAnsi="Arial" w:cs="Arial"/>
          <w:sz w:val="22"/>
          <w:szCs w:val="22"/>
        </w:rPr>
        <w:t>Finland-Russia</w:t>
      </w:r>
      <w:proofErr w:type="spellEnd"/>
      <w:r w:rsidRPr="005A4BC8">
        <w:rPr>
          <w:rFonts w:ascii="Arial" w:eastAsia="Arial" w:hAnsi="Arial" w:cs="Arial"/>
          <w:sz w:val="22"/>
          <w:szCs w:val="22"/>
        </w:rPr>
        <w:t>. Program je zaměřen na podporu společných projektů VaVaI mezi finskými a ruskými malými a středními podniky. Finská TEKES dále spolupracuje např. s Indií v oblasti podpory VaVaI zaměřeného na diagnostiku, a s Čínou v oblasti nanotechnologií.</w:t>
      </w:r>
      <w:r w:rsidR="005F6936">
        <w:rPr>
          <w:rFonts w:ascii="Arial" w:hAnsi="Arial" w:cs="Arial"/>
          <w:szCs w:val="22"/>
        </w:rPr>
        <w:br w:type="page"/>
      </w:r>
    </w:p>
    <w:p w14:paraId="7CAFD013" w14:textId="72B39367" w:rsidR="008A4D33" w:rsidRPr="008A4D33" w:rsidRDefault="008A4D33" w:rsidP="008A4D33">
      <w:pPr>
        <w:pStyle w:val="Nadpis1"/>
        <w:rPr>
          <w:rFonts w:ascii="Arial" w:eastAsia="Times New Roman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PŘÍLOHA 1</w:t>
      </w:r>
    </w:p>
    <w:p w14:paraId="7F2F700A" w14:textId="13BF8139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Přehled programem akceptovaných </w:t>
      </w:r>
      <w:r w:rsidRPr="008A4D33">
        <w:rPr>
          <w:rFonts w:ascii="Arial" w:eastAsia="Arial" w:hAnsi="Arial" w:cs="Arial"/>
          <w:sz w:val="22"/>
          <w:szCs w:val="22"/>
        </w:rPr>
        <w:t>prioritní</w:t>
      </w:r>
      <w:r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oblastí, oblastí a podoblastí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dle Národních priorit</w:t>
      </w:r>
      <w:r w:rsidRPr="008A4D33">
        <w:rPr>
          <w:rFonts w:ascii="Arial" w:eastAsia="Arial" w:hAnsi="Arial" w:cs="Arial"/>
          <w:sz w:val="22"/>
          <w:szCs w:val="22"/>
        </w:rPr>
        <w:t xml:space="preserve"> orientovaného výzkumu, experimentálního vývoje a inovací</w:t>
      </w:r>
      <w:r w:rsidR="005F6936">
        <w:rPr>
          <w:rFonts w:ascii="Arial" w:eastAsia="Arial" w:hAnsi="Arial" w:cs="Arial"/>
          <w:sz w:val="22"/>
          <w:szCs w:val="22"/>
        </w:rPr>
        <w:t>:</w:t>
      </w:r>
    </w:p>
    <w:p w14:paraId="6163FD1C" w14:textId="77777777" w:rsidR="005F6936" w:rsidRPr="005F6936" w:rsidRDefault="005F6936" w:rsidP="005F6936">
      <w:pPr>
        <w:spacing w:before="240" w:after="120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 xml:space="preserve">Prioritní oblast - Konkurenceschopná ekonomika založená na znalostech </w:t>
      </w:r>
    </w:p>
    <w:tbl>
      <w:tblPr>
        <w:tblStyle w:val="a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01CE7A80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53F1F6E2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4992288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5F6936" w:rsidRPr="005F6936" w14:paraId="21509C73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Align w:val="center"/>
          </w:tcPr>
          <w:p w14:paraId="693E31BA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 xml:space="preserve">1. Využití (aplikace) nových poznatků z oblasti tzv. General </w:t>
            </w:r>
            <w:proofErr w:type="spellStart"/>
            <w:r w:rsidRPr="005F6936">
              <w:rPr>
                <w:rFonts w:ascii="Arial" w:hAnsi="Arial" w:cs="Arial"/>
                <w:b/>
                <w:sz w:val="20"/>
                <w:szCs w:val="20"/>
              </w:rPr>
              <w:t>Purpose</w:t>
            </w:r>
            <w:proofErr w:type="spellEnd"/>
            <w:r w:rsidRPr="005F6936">
              <w:rPr>
                <w:rFonts w:ascii="Arial" w:hAnsi="Arial" w:cs="Arial"/>
                <w:b/>
                <w:sz w:val="20"/>
                <w:szCs w:val="20"/>
              </w:rPr>
              <w:t xml:space="preserve"> Technologies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2069361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 xml:space="preserve">1.1 </w:t>
            </w:r>
            <w:proofErr w:type="spellStart"/>
            <w:r w:rsidRPr="005F6936">
              <w:rPr>
                <w:rFonts w:ascii="Arial" w:hAnsi="Arial" w:cs="Arial"/>
                <w:sz w:val="20"/>
                <w:szCs w:val="20"/>
              </w:rPr>
              <w:t>GPTs</w:t>
            </w:r>
            <w:proofErr w:type="spellEnd"/>
            <w:r w:rsidRPr="005F6936">
              <w:rPr>
                <w:rFonts w:ascii="Arial" w:hAnsi="Arial" w:cs="Arial"/>
                <w:sz w:val="20"/>
                <w:szCs w:val="20"/>
              </w:rPr>
              <w:t xml:space="preserve"> pro inovace procesů, produktů a služeb</w:t>
            </w:r>
          </w:p>
        </w:tc>
      </w:tr>
      <w:tr w:rsidR="00BB2C39" w:rsidRPr="005F6936" w14:paraId="4092028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2C8EA1B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Posílení udržitelnosti výroby a dalších ekonomických aktivit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6DE1329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2.1 Úspornost, efektivita a adaptabilita</w:t>
            </w:r>
          </w:p>
        </w:tc>
      </w:tr>
      <w:tr w:rsidR="00BB2C39" w:rsidRPr="005F6936" w14:paraId="1F345007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C76FD6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BE36F5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Užitné vlastnosti produktů a služeb</w:t>
            </w:r>
          </w:p>
        </w:tc>
      </w:tr>
      <w:tr w:rsidR="00BB2C39" w:rsidRPr="005F6936" w14:paraId="16EDB5D3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34EEDF1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Posílení bezpečnosti a spolehlivosti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AF0E77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Bezpečnost a spolehlivost produktů a služeb</w:t>
            </w:r>
          </w:p>
        </w:tc>
      </w:tr>
      <w:tr w:rsidR="00BB2C39" w:rsidRPr="005F6936" w14:paraId="3FE6BD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8652C7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C673EF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Bezpečnost a spolehlivost procesů</w:t>
            </w:r>
          </w:p>
        </w:tc>
      </w:tr>
    </w:tbl>
    <w:p w14:paraId="22878E5D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- Udržitelnost energetiky a materiálových zdrojů</w:t>
      </w:r>
    </w:p>
    <w:tbl>
      <w:tblPr>
        <w:tblStyle w:val="a0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1F543E20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456D3CEF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AC76AAE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23A3FA73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DE00BD7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Udržitelná energetika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7333C7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Obnovitelné zdroje energie</w:t>
            </w:r>
          </w:p>
        </w:tc>
      </w:tr>
      <w:tr w:rsidR="00BB2C39" w:rsidRPr="005F6936" w14:paraId="6F1F4BA7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4CBD75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B11A621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Jaderné zdroje energie</w:t>
            </w:r>
          </w:p>
        </w:tc>
      </w:tr>
      <w:tr w:rsidR="00BB2C39" w:rsidRPr="005F6936" w14:paraId="18F1937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1EA635B0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696669B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1.3 Fosilní zdroje energie</w:t>
            </w:r>
          </w:p>
        </w:tc>
      </w:tr>
      <w:tr w:rsidR="00BB2C39" w:rsidRPr="005F6936" w14:paraId="6584CC08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6B28F0D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B26AB4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1.4 Elektrické sítě včetně akumulace energie</w:t>
            </w:r>
          </w:p>
        </w:tc>
      </w:tr>
      <w:tr w:rsidR="00BB2C39" w:rsidRPr="005F6936" w14:paraId="07C5A64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2942C91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97E9276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 xml:space="preserve">1.5 Výroba a distribuce tepla/chladu, včetně </w:t>
            </w:r>
            <w:proofErr w:type="spellStart"/>
            <w:r w:rsidRPr="005F6936">
              <w:rPr>
                <w:rFonts w:ascii="Arial" w:hAnsi="Arial" w:cs="Arial"/>
                <w:sz w:val="20"/>
                <w:szCs w:val="20"/>
              </w:rPr>
              <w:t>kogenerace</w:t>
            </w:r>
            <w:proofErr w:type="spellEnd"/>
            <w:r w:rsidRPr="005F6936">
              <w:rPr>
                <w:rFonts w:ascii="Arial" w:hAnsi="Arial" w:cs="Arial"/>
                <w:sz w:val="20"/>
                <w:szCs w:val="20"/>
              </w:rPr>
              <w:t xml:space="preserve"> a </w:t>
            </w:r>
            <w:proofErr w:type="spellStart"/>
            <w:r w:rsidRPr="005F6936">
              <w:rPr>
                <w:rFonts w:ascii="Arial" w:hAnsi="Arial" w:cs="Arial"/>
                <w:sz w:val="20"/>
                <w:szCs w:val="20"/>
              </w:rPr>
              <w:t>trigenerace</w:t>
            </w:r>
            <w:proofErr w:type="spellEnd"/>
          </w:p>
        </w:tc>
      </w:tr>
      <w:tr w:rsidR="00BB2C39" w:rsidRPr="005F6936" w14:paraId="1BA3460F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48839AC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919537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1.6 Energie v dopravě</w:t>
            </w:r>
          </w:p>
        </w:tc>
      </w:tr>
      <w:tr w:rsidR="00BB2C39" w:rsidRPr="005F6936" w14:paraId="6582543C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1C37AC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349E927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1.7 Systémový rozvoj energetiky ČR v kontextu rozvoje energetiky EU</w:t>
            </w:r>
          </w:p>
        </w:tc>
      </w:tr>
      <w:tr w:rsidR="00BB2C39" w:rsidRPr="005F6936" w14:paraId="7A50E72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53E65E2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Snižování energetické náročnosti hospodářství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7B8097D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2.1 Snižování energetické náročnosti hospodářství</w:t>
            </w:r>
          </w:p>
        </w:tc>
      </w:tr>
      <w:tr w:rsidR="00BB2C39" w:rsidRPr="005F6936" w14:paraId="7E4961B9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CC004A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D804E5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Nové technologie a postupy s potenciálním využitím v energetice</w:t>
            </w:r>
          </w:p>
        </w:tc>
      </w:tr>
      <w:tr w:rsidR="005F6936" w:rsidRPr="005F6936" w14:paraId="644052EE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Align w:val="center"/>
          </w:tcPr>
          <w:p w14:paraId="6036F06A" w14:textId="77777777" w:rsidR="005F6936" w:rsidRPr="005F6936" w:rsidRDefault="005F6936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Materiálová základna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6B1F63D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Pokročilé materiály</w:t>
            </w:r>
          </w:p>
        </w:tc>
      </w:tr>
    </w:tbl>
    <w:p w14:paraId="583D1F10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- Prostředí pro kvalitní život</w:t>
      </w:r>
    </w:p>
    <w:tbl>
      <w:tblPr>
        <w:tblStyle w:val="a1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600D318E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3BDD9F0D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402B8153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59479B26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532FDB5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Přírodní zdroje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03C02E3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Biodiverzita</w:t>
            </w:r>
          </w:p>
        </w:tc>
      </w:tr>
      <w:tr w:rsidR="00BB2C39" w:rsidRPr="005F6936" w14:paraId="312E0C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2B17F518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1226FF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Voda</w:t>
            </w:r>
          </w:p>
        </w:tc>
      </w:tr>
      <w:tr w:rsidR="00BB2C39" w:rsidRPr="005F6936" w14:paraId="1D2ACDBC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EAF006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AAF2BA9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1.3 Půda</w:t>
            </w:r>
          </w:p>
        </w:tc>
      </w:tr>
      <w:tr w:rsidR="00BB2C39" w:rsidRPr="005F6936" w14:paraId="3EFC5C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E2368E3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F7B79CB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1.4 Ovzduší</w:t>
            </w:r>
          </w:p>
        </w:tc>
      </w:tr>
      <w:tr w:rsidR="00BB2C39" w:rsidRPr="005F6936" w14:paraId="53BCBD31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282030F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0BC52A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1.5 Nerostné zdroje a vlivy těžby na životní prostředí</w:t>
            </w:r>
          </w:p>
        </w:tc>
      </w:tr>
      <w:tr w:rsidR="00BB2C39" w:rsidRPr="005F6936" w14:paraId="12C640D8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0AB2F4C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Globální změny</w:t>
            </w:r>
          </w:p>
          <w:p w14:paraId="0E65D59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3BF73B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 xml:space="preserve">2.1 Metody </w:t>
            </w:r>
            <w:proofErr w:type="spellStart"/>
            <w:r w:rsidRPr="005F6936">
              <w:rPr>
                <w:rFonts w:ascii="Arial" w:hAnsi="Arial" w:cs="Arial"/>
                <w:sz w:val="20"/>
                <w:szCs w:val="20"/>
              </w:rPr>
              <w:t>mitigace</w:t>
            </w:r>
            <w:proofErr w:type="spellEnd"/>
            <w:r w:rsidRPr="005F6936">
              <w:rPr>
                <w:rFonts w:ascii="Arial" w:hAnsi="Arial" w:cs="Arial"/>
                <w:sz w:val="20"/>
                <w:szCs w:val="20"/>
              </w:rPr>
              <w:t xml:space="preserve"> a adaptace na globální a lokální změny</w:t>
            </w:r>
          </w:p>
        </w:tc>
      </w:tr>
      <w:tr w:rsidR="00BB2C39" w:rsidRPr="005F6936" w14:paraId="608B94DA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AB2556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682BCA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Biogeochemické cykly dusíku a fosforu</w:t>
            </w:r>
          </w:p>
        </w:tc>
      </w:tr>
      <w:tr w:rsidR="00BB2C39" w:rsidRPr="005F6936" w14:paraId="6F7B8FBD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5DA4EA7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308463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2.3 Nebezpečné látky v životním prostředí</w:t>
            </w:r>
          </w:p>
        </w:tc>
      </w:tr>
      <w:tr w:rsidR="00BB2C39" w:rsidRPr="005F6936" w14:paraId="64B0A203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2462FFC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Udržitelný rozvoj krajiny a lidských sídel</w:t>
            </w:r>
          </w:p>
          <w:p w14:paraId="09ABBDB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C9A40B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Zelená infrastruktura – stabilní struktura krajiny</w:t>
            </w:r>
          </w:p>
        </w:tc>
      </w:tr>
      <w:tr w:rsidR="00BB2C39" w:rsidRPr="005F6936" w14:paraId="4ADC515F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7443384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E793468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Zemědělství a lesnictví</w:t>
            </w:r>
          </w:p>
        </w:tc>
      </w:tr>
      <w:tr w:rsidR="00BB2C39" w:rsidRPr="005F6936" w14:paraId="6AEAAF9F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12A9051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8EF2EFE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3.3 Urbanizmus a inteligentní lidská sídla</w:t>
            </w:r>
          </w:p>
        </w:tc>
      </w:tr>
      <w:tr w:rsidR="00BB2C39" w:rsidRPr="005F6936" w14:paraId="6F16C5C7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48605AE6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4. Environmentální technologie a </w:t>
            </w:r>
            <w:proofErr w:type="spellStart"/>
            <w:r w:rsidRPr="005F6936">
              <w:rPr>
                <w:rFonts w:ascii="Arial" w:hAnsi="Arial" w:cs="Arial"/>
                <w:b/>
                <w:sz w:val="20"/>
                <w:szCs w:val="20"/>
              </w:rPr>
              <w:t>ekoinovace</w:t>
            </w:r>
            <w:proofErr w:type="spellEnd"/>
          </w:p>
          <w:p w14:paraId="338C183A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08A276A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4.1 Technologie, techniky a materiály přátelské k životnímu prostředí</w:t>
            </w:r>
          </w:p>
        </w:tc>
      </w:tr>
      <w:tr w:rsidR="00BB2C39" w:rsidRPr="005F6936" w14:paraId="7B2BED7F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7AE4CF1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4CA97B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4.2 Biotechnologie, materiálově, energeticky a emisně efektivní technologie, výrobky a služby</w:t>
            </w:r>
          </w:p>
        </w:tc>
      </w:tr>
      <w:tr w:rsidR="00BB2C39" w:rsidRPr="005F6936" w14:paraId="59F78A9C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F43180C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BFE6864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4.3 Minimalizace tvorby odpadů a jejich znovuvyužití</w:t>
            </w:r>
          </w:p>
        </w:tc>
      </w:tr>
      <w:tr w:rsidR="00BB2C39" w:rsidRPr="005F6936" w14:paraId="10382585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88D6B0D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450862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4.4 Odstraňování nebezpečných látek – starých škod z životního prostředí</w:t>
            </w:r>
          </w:p>
        </w:tc>
      </w:tr>
      <w:tr w:rsidR="00BB2C39" w:rsidRPr="005F6936" w14:paraId="19B38222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504297F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BB8C03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4.5 Minimalizace rizik z chemických látek</w:t>
            </w:r>
          </w:p>
        </w:tc>
      </w:tr>
      <w:tr w:rsidR="00BB2C39" w:rsidRPr="005F6936" w14:paraId="11F19F98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16941F02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5. Environmentálně příznivá společnost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763C3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5.1 Spotřební vzorce obyvatelstva</w:t>
            </w:r>
          </w:p>
        </w:tc>
      </w:tr>
      <w:tr w:rsidR="00BB2C39" w:rsidRPr="005F6936" w14:paraId="48FCDAE9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D843CDE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52008C2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5.2 Nástroje environmentálně příznivého růstu</w:t>
            </w:r>
          </w:p>
        </w:tc>
      </w:tr>
    </w:tbl>
    <w:p w14:paraId="2766EDB8" w14:textId="77777777" w:rsidR="005F6936" w:rsidRPr="005F6936" w:rsidRDefault="005F6936" w:rsidP="005F6936">
      <w:pPr>
        <w:jc w:val="both"/>
        <w:rPr>
          <w:rFonts w:ascii="Arial" w:hAnsi="Arial" w:cs="Arial"/>
          <w:sz w:val="20"/>
          <w:szCs w:val="20"/>
        </w:rPr>
      </w:pPr>
    </w:p>
    <w:p w14:paraId="32BA73DA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(priorita) – Bezpečná společnost</w:t>
      </w:r>
    </w:p>
    <w:tbl>
      <w:tblPr>
        <w:tblStyle w:val="a2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5E8CFFC2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35FB3B07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214444D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2ABB19E0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623CA1C0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Bezpečnost občanů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161F49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Ochrana obyvatelstva</w:t>
            </w:r>
          </w:p>
        </w:tc>
      </w:tr>
      <w:tr w:rsidR="00BB2C39" w:rsidRPr="005F6936" w14:paraId="47E0B04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6DC5E7F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F2209D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Ochrana před kriminalitou, extremismem a terorismem</w:t>
            </w:r>
          </w:p>
        </w:tc>
      </w:tr>
      <w:tr w:rsidR="00BB2C39" w:rsidRPr="005F6936" w14:paraId="5E477006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11D6B96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Bezpečnost kritických infrastruktur a zdrojů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594888D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 xml:space="preserve">2.1 Ochrana, odolnost a obnova kritických infrastruktur  </w:t>
            </w:r>
          </w:p>
        </w:tc>
      </w:tr>
      <w:tr w:rsidR="00BB2C39" w:rsidRPr="005F6936" w14:paraId="13B8DDFF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5A1781C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E89B38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Komunikace a vazby mezi kritickými infrastrukturami</w:t>
            </w:r>
          </w:p>
        </w:tc>
      </w:tr>
      <w:tr w:rsidR="00BB2C39" w:rsidRPr="005F6936" w14:paraId="459E8F87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36292999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Krizové řízení a bezpečnostní politika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642DA1A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Rozvoj bezpečnostní politiky státu a bezpečnostního systému ČR</w:t>
            </w:r>
          </w:p>
        </w:tc>
      </w:tr>
      <w:tr w:rsidR="00BB2C39" w:rsidRPr="005F6936" w14:paraId="730461BB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EF5196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DCDC8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Hodnocení hrozeb a rizik, tvorba a rozvíjení scénářů, postupů a opatření</w:t>
            </w:r>
          </w:p>
        </w:tc>
      </w:tr>
      <w:tr w:rsidR="00BB2C39" w:rsidRPr="005F6936" w14:paraId="73136156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A264277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8D0888C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3.3 Systémy analýzy, prevence, odezvy a obnovy</w:t>
            </w:r>
          </w:p>
        </w:tc>
      </w:tr>
      <w:tr w:rsidR="00BB2C39" w:rsidRPr="005F6936" w14:paraId="554A561E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98A1175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0CCA106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3.4 Legislativní a právní problémy</w:t>
            </w:r>
          </w:p>
        </w:tc>
      </w:tr>
    </w:tbl>
    <w:p w14:paraId="5380EAE0" w14:textId="77777777" w:rsidR="005F6936" w:rsidRPr="008A4D33" w:rsidRDefault="005F6936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6808F4C8" w14:textId="3462D98A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sectPr w:rsidR="005E443F" w:rsidRPr="00E7695F" w:rsidSect="006A62DB">
      <w:footerReference w:type="default" r:id="rId9"/>
      <w:headerReference w:type="first" r:id="rId10"/>
      <w:pgSz w:w="11906" w:h="16838"/>
      <w:pgMar w:top="1417" w:right="1417" w:bottom="1417" w:left="1417" w:header="737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D966E" w14:textId="77777777" w:rsidR="00871A1C" w:rsidRDefault="00871A1C">
      <w:r>
        <w:separator/>
      </w:r>
    </w:p>
  </w:endnote>
  <w:endnote w:type="continuationSeparator" w:id="0">
    <w:p w14:paraId="6C0ACCBB" w14:textId="77777777" w:rsidR="00871A1C" w:rsidRDefault="0087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0FA5" w14:textId="04265513" w:rsidR="005F6936" w:rsidRPr="005A4BC8" w:rsidRDefault="005F6936">
    <w:pPr>
      <w:pStyle w:val="Podtitul"/>
      <w:spacing w:after="720"/>
      <w:rPr>
        <w:rFonts w:ascii="Arial" w:hAnsi="Arial" w:cs="Arial"/>
      </w:rPr>
    </w:pPr>
    <w:r w:rsidRPr="005A4BC8">
      <w:rPr>
        <w:rFonts w:ascii="Arial" w:eastAsia="Arial" w:hAnsi="Arial" w:cs="Arial"/>
        <w:sz w:val="22"/>
        <w:szCs w:val="22"/>
      </w:rPr>
      <w:t xml:space="preserve">Stránka </w:t>
    </w:r>
    <w:r w:rsidRPr="005A4BC8">
      <w:rPr>
        <w:rFonts w:ascii="Arial" w:hAnsi="Arial" w:cs="Arial"/>
      </w:rPr>
      <w:fldChar w:fldCharType="begin"/>
    </w:r>
    <w:r w:rsidRPr="005A4BC8">
      <w:rPr>
        <w:rFonts w:ascii="Arial" w:hAnsi="Arial" w:cs="Arial"/>
      </w:rPr>
      <w:instrText>PAGE</w:instrText>
    </w:r>
    <w:r w:rsidRPr="005A4BC8">
      <w:rPr>
        <w:rFonts w:ascii="Arial" w:hAnsi="Arial" w:cs="Arial"/>
      </w:rPr>
      <w:fldChar w:fldCharType="separate"/>
    </w:r>
    <w:r w:rsidR="00BE375F">
      <w:rPr>
        <w:rFonts w:ascii="Arial" w:hAnsi="Arial" w:cs="Arial"/>
        <w:noProof/>
      </w:rPr>
      <w:t>2</w:t>
    </w:r>
    <w:r w:rsidRPr="005A4BC8">
      <w:rPr>
        <w:rFonts w:ascii="Arial" w:hAnsi="Arial" w:cs="Arial"/>
        <w:noProof/>
      </w:rPr>
      <w:fldChar w:fldCharType="end"/>
    </w:r>
    <w:r w:rsidRPr="005A4BC8">
      <w:rPr>
        <w:rFonts w:ascii="Arial" w:eastAsia="Arial" w:hAnsi="Arial" w:cs="Arial"/>
        <w:sz w:val="22"/>
        <w:szCs w:val="22"/>
      </w:rPr>
      <w:t xml:space="preserve"> (celkem </w:t>
    </w:r>
    <w:r w:rsidRPr="005A4BC8">
      <w:rPr>
        <w:rFonts w:ascii="Arial" w:hAnsi="Arial" w:cs="Arial"/>
      </w:rPr>
      <w:fldChar w:fldCharType="begin"/>
    </w:r>
    <w:r w:rsidRPr="005A4BC8">
      <w:rPr>
        <w:rFonts w:ascii="Arial" w:hAnsi="Arial" w:cs="Arial"/>
      </w:rPr>
      <w:instrText>NUMPAGES</w:instrText>
    </w:r>
    <w:r w:rsidRPr="005A4BC8">
      <w:rPr>
        <w:rFonts w:ascii="Arial" w:hAnsi="Arial" w:cs="Arial"/>
      </w:rPr>
      <w:fldChar w:fldCharType="separate"/>
    </w:r>
    <w:r w:rsidR="00BE375F">
      <w:rPr>
        <w:rFonts w:ascii="Arial" w:hAnsi="Arial" w:cs="Arial"/>
        <w:noProof/>
      </w:rPr>
      <w:t>10</w:t>
    </w:r>
    <w:r w:rsidRPr="005A4BC8">
      <w:rPr>
        <w:rFonts w:ascii="Arial" w:hAnsi="Arial" w:cs="Arial"/>
        <w:noProof/>
      </w:rPr>
      <w:fldChar w:fldCharType="end"/>
    </w:r>
    <w:r w:rsidRPr="005A4BC8"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38604" w14:textId="77777777" w:rsidR="00871A1C" w:rsidRDefault="00871A1C">
      <w:r>
        <w:separator/>
      </w:r>
    </w:p>
  </w:footnote>
  <w:footnote w:type="continuationSeparator" w:id="0">
    <w:p w14:paraId="546E6407" w14:textId="77777777" w:rsidR="00871A1C" w:rsidRDefault="00871A1C">
      <w:r>
        <w:continuationSeparator/>
      </w:r>
    </w:p>
  </w:footnote>
  <w:footnote w:id="1">
    <w:p w14:paraId="2F41016C" w14:textId="2169AEA9" w:rsidR="005F6936" w:rsidRPr="008A4D33" w:rsidRDefault="005F6936">
      <w:pPr>
        <w:pStyle w:val="Textpoznpodarou"/>
        <w:rPr>
          <w:rFonts w:ascii="Arial" w:hAnsi="Arial" w:cs="Arial"/>
          <w:sz w:val="16"/>
          <w:szCs w:val="16"/>
        </w:rPr>
      </w:pPr>
      <w:r w:rsidRPr="008A4D33">
        <w:rPr>
          <w:rStyle w:val="Znakapoznpodarou"/>
          <w:rFonts w:ascii="Arial" w:hAnsi="Arial" w:cs="Arial"/>
          <w:sz w:val="16"/>
          <w:szCs w:val="16"/>
        </w:rPr>
        <w:footnoteRef/>
      </w:r>
      <w:r w:rsidRPr="008A4D33">
        <w:rPr>
          <w:rFonts w:ascii="Arial" w:hAnsi="Arial" w:cs="Arial"/>
          <w:sz w:val="16"/>
          <w:szCs w:val="16"/>
        </w:rPr>
        <w:t xml:space="preserve"> Následně pak v rámcovém programu pro výzkum a inovace, který nahradí Horizont 2020 od roku 2021.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364FA" w14:textId="5E61EA18" w:rsidR="005F6936" w:rsidRDefault="005F6936" w:rsidP="00555619">
    <w:pPr>
      <w:pStyle w:val="Zhlav"/>
      <w:tabs>
        <w:tab w:val="clear" w:pos="4536"/>
        <w:tab w:val="clear" w:pos="9072"/>
        <w:tab w:val="left" w:pos="3285"/>
      </w:tabs>
    </w:pPr>
    <w:r>
      <w:rPr>
        <w:noProof/>
        <w:sz w:val="12"/>
      </w:rPr>
      <w:drawing>
        <wp:anchor distT="0" distB="0" distL="114300" distR="114300" simplePos="0" relativeHeight="251659264" behindDoc="1" locked="1" layoutInCell="0" allowOverlap="0" wp14:anchorId="4713C679" wp14:editId="74ACCFD0">
          <wp:simplePos x="0" y="0"/>
          <wp:positionH relativeFrom="page">
            <wp:posOffset>-9525</wp:posOffset>
          </wp:positionH>
          <wp:positionV relativeFrom="page">
            <wp:posOffset>-28575</wp:posOffset>
          </wp:positionV>
          <wp:extent cx="1439545" cy="1439545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6B3523F" w14:textId="77777777" w:rsidR="005F6936" w:rsidRDefault="005F69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422"/>
    <w:multiLevelType w:val="hybridMultilevel"/>
    <w:tmpl w:val="CD082DC0"/>
    <w:lvl w:ilvl="0" w:tplc="666A5BC8">
      <w:start w:val="17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6B3D"/>
    <w:multiLevelType w:val="multilevel"/>
    <w:tmpl w:val="2BB88F78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">
    <w:nsid w:val="179036F4"/>
    <w:multiLevelType w:val="multilevel"/>
    <w:tmpl w:val="F460D222"/>
    <w:lvl w:ilvl="0">
      <w:start w:val="1"/>
      <w:numFmt w:val="bullet"/>
      <w:lvlText w:val="●"/>
      <w:lvlJc w:val="left"/>
      <w:pPr>
        <w:ind w:left="1070" w:firstLine="285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90" w:firstLine="501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10" w:firstLine="717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30" w:firstLine="933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50" w:firstLine="114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70" w:firstLine="1365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90" w:firstLine="1581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10" w:firstLine="1797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30" w:firstLine="20130"/>
      </w:pPr>
      <w:rPr>
        <w:rFonts w:ascii="Arial" w:eastAsia="Arial" w:hAnsi="Arial" w:cs="Arial"/>
      </w:rPr>
    </w:lvl>
  </w:abstractNum>
  <w:abstractNum w:abstractNumId="3">
    <w:nsid w:val="1D3B2430"/>
    <w:multiLevelType w:val="multilevel"/>
    <w:tmpl w:val="065E91B2"/>
    <w:lvl w:ilvl="0">
      <w:start w:val="7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4">
    <w:nsid w:val="237E5364"/>
    <w:multiLevelType w:val="multilevel"/>
    <w:tmpl w:val="C2027C50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78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74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6836"/>
      </w:pPr>
    </w:lvl>
  </w:abstractNum>
  <w:abstractNum w:abstractNumId="5">
    <w:nsid w:val="2E6760BE"/>
    <w:multiLevelType w:val="multilevel"/>
    <w:tmpl w:val="336E8578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7">
    <w:nsid w:val="3CEC731F"/>
    <w:multiLevelType w:val="multilevel"/>
    <w:tmpl w:val="8214A99C"/>
    <w:lvl w:ilvl="0">
      <w:start w:val="1"/>
      <w:numFmt w:val="bullet"/>
      <w:lvlText w:val="●"/>
      <w:lvlJc w:val="left"/>
      <w:pPr>
        <w:ind w:left="1423" w:firstLine="390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3" w:firstLine="606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3" w:firstLine="822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3" w:firstLine="1038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3" w:firstLine="125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3" w:firstLine="1470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3" w:firstLine="1686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3" w:firstLine="1902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3" w:firstLine="21188"/>
      </w:pPr>
      <w:rPr>
        <w:rFonts w:ascii="Arial" w:eastAsia="Arial" w:hAnsi="Arial" w:cs="Arial"/>
      </w:rPr>
    </w:lvl>
  </w:abstractNum>
  <w:abstractNum w:abstractNumId="8">
    <w:nsid w:val="43170972"/>
    <w:multiLevelType w:val="multilevel"/>
    <w:tmpl w:val="083097CE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9">
    <w:nsid w:val="46CD6ED9"/>
    <w:multiLevelType w:val="multilevel"/>
    <w:tmpl w:val="B8320768"/>
    <w:lvl w:ilvl="0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10">
    <w:nsid w:val="4B3873C8"/>
    <w:multiLevelType w:val="multilevel"/>
    <w:tmpl w:val="095ED7EC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1">
    <w:nsid w:val="65B10FD6"/>
    <w:multiLevelType w:val="multilevel"/>
    <w:tmpl w:val="8270811A"/>
    <w:lvl w:ilvl="0">
      <w:start w:val="1"/>
      <w:numFmt w:val="bullet"/>
      <w:lvlText w:val="●"/>
      <w:lvlJc w:val="left"/>
      <w:pPr>
        <w:ind w:left="36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eastAsia="Arial" w:hAnsi="Arial" w:cs="Arial"/>
      </w:rPr>
    </w:lvl>
  </w:abstractNum>
  <w:abstractNum w:abstractNumId="12">
    <w:nsid w:val="6AB32A4F"/>
    <w:multiLevelType w:val="multilevel"/>
    <w:tmpl w:val="C5FA7D3C"/>
    <w:lvl w:ilvl="0">
      <w:start w:val="2"/>
      <w:numFmt w:val="decimal"/>
      <w:lvlText w:val="%1."/>
      <w:lvlJc w:val="left"/>
      <w:pPr>
        <w:ind w:left="720" w:firstLine="39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82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26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69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21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55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98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1336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27016"/>
      </w:pPr>
      <w:rPr>
        <w:u w:val="none"/>
      </w:rPr>
    </w:lvl>
  </w:abstractNum>
  <w:abstractNum w:abstractNumId="13">
    <w:nsid w:val="6FF71716"/>
    <w:multiLevelType w:val="multilevel"/>
    <w:tmpl w:val="B110635A"/>
    <w:lvl w:ilvl="0">
      <w:start w:val="8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4">
    <w:nsid w:val="743A3607"/>
    <w:multiLevelType w:val="hybridMultilevel"/>
    <w:tmpl w:val="DA5A32DC"/>
    <w:lvl w:ilvl="0" w:tplc="CA12B93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92F2F"/>
    <w:multiLevelType w:val="multilevel"/>
    <w:tmpl w:val="BF607A96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6">
    <w:nsid w:val="7CC32287"/>
    <w:multiLevelType w:val="multilevel"/>
    <w:tmpl w:val="1EE0E788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7CEA745C"/>
    <w:multiLevelType w:val="multilevel"/>
    <w:tmpl w:val="9314E8C6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8">
    <w:nsid w:val="7D4E68FC"/>
    <w:multiLevelType w:val="multilevel"/>
    <w:tmpl w:val="9DCE8930"/>
    <w:lvl w:ilvl="0">
      <w:start w:val="1"/>
      <w:numFmt w:val="decimal"/>
      <w:lvlText w:val="%1."/>
      <w:lvlJc w:val="left"/>
      <w:pPr>
        <w:ind w:left="720" w:firstLine="3960"/>
      </w:p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7016"/>
      </w:p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10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12"/>
  </w:num>
  <w:num w:numId="12">
    <w:abstractNumId w:val="15"/>
  </w:num>
  <w:num w:numId="13">
    <w:abstractNumId w:val="1"/>
  </w:num>
  <w:num w:numId="14">
    <w:abstractNumId w:val="7"/>
  </w:num>
  <w:num w:numId="15">
    <w:abstractNumId w:val="2"/>
  </w:num>
  <w:num w:numId="16">
    <w:abstractNumId w:val="11"/>
  </w:num>
  <w:num w:numId="17">
    <w:abstractNumId w:val="14"/>
  </w:num>
  <w:num w:numId="18">
    <w:abstractNumId w:val="0"/>
  </w:num>
  <w:num w:numId="19">
    <w:abstractNumId w:val="0"/>
  </w:num>
  <w:num w:numId="20">
    <w:abstractNumId w:val="0"/>
  </w:num>
  <w:num w:numId="21">
    <w:abstractNumId w:val="1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70"/>
    <w:rsid w:val="00021019"/>
    <w:rsid w:val="0004665E"/>
    <w:rsid w:val="00060428"/>
    <w:rsid w:val="00096EA4"/>
    <w:rsid w:val="000A3D09"/>
    <w:rsid w:val="000A547E"/>
    <w:rsid w:val="000B5FA8"/>
    <w:rsid w:val="000E0B0F"/>
    <w:rsid w:val="000E7FFD"/>
    <w:rsid w:val="000F7558"/>
    <w:rsid w:val="000F7842"/>
    <w:rsid w:val="00102A3E"/>
    <w:rsid w:val="00114B89"/>
    <w:rsid w:val="001609DE"/>
    <w:rsid w:val="00171501"/>
    <w:rsid w:val="001810C5"/>
    <w:rsid w:val="00185B28"/>
    <w:rsid w:val="00186FB0"/>
    <w:rsid w:val="00191898"/>
    <w:rsid w:val="0019623F"/>
    <w:rsid w:val="001A2870"/>
    <w:rsid w:val="001A6B01"/>
    <w:rsid w:val="001C5E7C"/>
    <w:rsid w:val="001D3B8B"/>
    <w:rsid w:val="001E2752"/>
    <w:rsid w:val="001E6658"/>
    <w:rsid w:val="00225973"/>
    <w:rsid w:val="00247F85"/>
    <w:rsid w:val="00252066"/>
    <w:rsid w:val="00257BAC"/>
    <w:rsid w:val="0027049E"/>
    <w:rsid w:val="00295A14"/>
    <w:rsid w:val="00297F27"/>
    <w:rsid w:val="002A078C"/>
    <w:rsid w:val="002A2CA1"/>
    <w:rsid w:val="002D12E3"/>
    <w:rsid w:val="002D1DF0"/>
    <w:rsid w:val="002E62C5"/>
    <w:rsid w:val="002F5640"/>
    <w:rsid w:val="00302BC2"/>
    <w:rsid w:val="00311682"/>
    <w:rsid w:val="00327FAB"/>
    <w:rsid w:val="0037312D"/>
    <w:rsid w:val="00373A3C"/>
    <w:rsid w:val="00380C06"/>
    <w:rsid w:val="003908A9"/>
    <w:rsid w:val="0039113F"/>
    <w:rsid w:val="003927F7"/>
    <w:rsid w:val="003A269B"/>
    <w:rsid w:val="003B1A5F"/>
    <w:rsid w:val="003B5C89"/>
    <w:rsid w:val="003C68B1"/>
    <w:rsid w:val="003D47F5"/>
    <w:rsid w:val="003D59F0"/>
    <w:rsid w:val="003D7145"/>
    <w:rsid w:val="003D7F26"/>
    <w:rsid w:val="003F11D7"/>
    <w:rsid w:val="003F5A1A"/>
    <w:rsid w:val="00402E9E"/>
    <w:rsid w:val="004040F8"/>
    <w:rsid w:val="00405574"/>
    <w:rsid w:val="0040751C"/>
    <w:rsid w:val="0041766F"/>
    <w:rsid w:val="0042041D"/>
    <w:rsid w:val="00425311"/>
    <w:rsid w:val="004443AD"/>
    <w:rsid w:val="00467C74"/>
    <w:rsid w:val="00496E9D"/>
    <w:rsid w:val="004B75BB"/>
    <w:rsid w:val="004C01E2"/>
    <w:rsid w:val="004E0A7C"/>
    <w:rsid w:val="004E6480"/>
    <w:rsid w:val="004E68CE"/>
    <w:rsid w:val="004E7D26"/>
    <w:rsid w:val="005002A5"/>
    <w:rsid w:val="00505C7A"/>
    <w:rsid w:val="00506E46"/>
    <w:rsid w:val="00507156"/>
    <w:rsid w:val="00526461"/>
    <w:rsid w:val="00555619"/>
    <w:rsid w:val="00560692"/>
    <w:rsid w:val="00576B52"/>
    <w:rsid w:val="00583533"/>
    <w:rsid w:val="00584ADA"/>
    <w:rsid w:val="005A4BC8"/>
    <w:rsid w:val="005B0045"/>
    <w:rsid w:val="005D59D1"/>
    <w:rsid w:val="005D6E6A"/>
    <w:rsid w:val="005E193D"/>
    <w:rsid w:val="005E28CF"/>
    <w:rsid w:val="005E443F"/>
    <w:rsid w:val="005E46F1"/>
    <w:rsid w:val="005E6ED7"/>
    <w:rsid w:val="005F2E1E"/>
    <w:rsid w:val="005F6936"/>
    <w:rsid w:val="006046B1"/>
    <w:rsid w:val="00614152"/>
    <w:rsid w:val="00632486"/>
    <w:rsid w:val="00642E24"/>
    <w:rsid w:val="0065217C"/>
    <w:rsid w:val="00654D53"/>
    <w:rsid w:val="00670B43"/>
    <w:rsid w:val="00675A06"/>
    <w:rsid w:val="006802BA"/>
    <w:rsid w:val="006928F2"/>
    <w:rsid w:val="006A62DB"/>
    <w:rsid w:val="006A7016"/>
    <w:rsid w:val="006B046D"/>
    <w:rsid w:val="006D38E7"/>
    <w:rsid w:val="00701FC6"/>
    <w:rsid w:val="007363FE"/>
    <w:rsid w:val="0074692E"/>
    <w:rsid w:val="007476A7"/>
    <w:rsid w:val="00760A14"/>
    <w:rsid w:val="007A70A9"/>
    <w:rsid w:val="007A7985"/>
    <w:rsid w:val="007A7EA2"/>
    <w:rsid w:val="007B1EBB"/>
    <w:rsid w:val="007C4E75"/>
    <w:rsid w:val="007C782E"/>
    <w:rsid w:val="007E204F"/>
    <w:rsid w:val="007F7A2D"/>
    <w:rsid w:val="00804D07"/>
    <w:rsid w:val="008145F2"/>
    <w:rsid w:val="00855D2B"/>
    <w:rsid w:val="00864386"/>
    <w:rsid w:val="00871A1C"/>
    <w:rsid w:val="00893838"/>
    <w:rsid w:val="008A4D33"/>
    <w:rsid w:val="008B7FB8"/>
    <w:rsid w:val="008C5B02"/>
    <w:rsid w:val="008D2C1B"/>
    <w:rsid w:val="00903085"/>
    <w:rsid w:val="009032C5"/>
    <w:rsid w:val="00911125"/>
    <w:rsid w:val="009456AA"/>
    <w:rsid w:val="00960AE6"/>
    <w:rsid w:val="0096453D"/>
    <w:rsid w:val="00991BF5"/>
    <w:rsid w:val="00994031"/>
    <w:rsid w:val="009C0272"/>
    <w:rsid w:val="009C0B90"/>
    <w:rsid w:val="009D07AA"/>
    <w:rsid w:val="009E0096"/>
    <w:rsid w:val="00A15AAE"/>
    <w:rsid w:val="00A173F4"/>
    <w:rsid w:val="00A32014"/>
    <w:rsid w:val="00A35622"/>
    <w:rsid w:val="00A75777"/>
    <w:rsid w:val="00A900CD"/>
    <w:rsid w:val="00AC431A"/>
    <w:rsid w:val="00AD2AA8"/>
    <w:rsid w:val="00B1207A"/>
    <w:rsid w:val="00B1379F"/>
    <w:rsid w:val="00B44170"/>
    <w:rsid w:val="00B5571F"/>
    <w:rsid w:val="00B60D33"/>
    <w:rsid w:val="00B9782F"/>
    <w:rsid w:val="00BA4439"/>
    <w:rsid w:val="00BB2C39"/>
    <w:rsid w:val="00BC3AB4"/>
    <w:rsid w:val="00BD24B2"/>
    <w:rsid w:val="00BD6745"/>
    <w:rsid w:val="00BD6DC2"/>
    <w:rsid w:val="00BE3554"/>
    <w:rsid w:val="00BE375F"/>
    <w:rsid w:val="00C07D86"/>
    <w:rsid w:val="00C16BDF"/>
    <w:rsid w:val="00C27780"/>
    <w:rsid w:val="00C336AB"/>
    <w:rsid w:val="00C43BF0"/>
    <w:rsid w:val="00C6054E"/>
    <w:rsid w:val="00C80CE5"/>
    <w:rsid w:val="00C81905"/>
    <w:rsid w:val="00C95849"/>
    <w:rsid w:val="00C962AE"/>
    <w:rsid w:val="00CA5897"/>
    <w:rsid w:val="00CA7B2E"/>
    <w:rsid w:val="00CB376E"/>
    <w:rsid w:val="00CB78E6"/>
    <w:rsid w:val="00CC5ACE"/>
    <w:rsid w:val="00CF01A1"/>
    <w:rsid w:val="00D07E8C"/>
    <w:rsid w:val="00D30B57"/>
    <w:rsid w:val="00D5278F"/>
    <w:rsid w:val="00D574D4"/>
    <w:rsid w:val="00D63BEE"/>
    <w:rsid w:val="00D94A92"/>
    <w:rsid w:val="00DA7B42"/>
    <w:rsid w:val="00DC3042"/>
    <w:rsid w:val="00DC35C2"/>
    <w:rsid w:val="00DE0B2A"/>
    <w:rsid w:val="00DF5248"/>
    <w:rsid w:val="00E058E7"/>
    <w:rsid w:val="00E11B9E"/>
    <w:rsid w:val="00E20581"/>
    <w:rsid w:val="00E34422"/>
    <w:rsid w:val="00E35816"/>
    <w:rsid w:val="00E43B78"/>
    <w:rsid w:val="00E45AA5"/>
    <w:rsid w:val="00E519C2"/>
    <w:rsid w:val="00E7695F"/>
    <w:rsid w:val="00EB2BAC"/>
    <w:rsid w:val="00EB3076"/>
    <w:rsid w:val="00EB7155"/>
    <w:rsid w:val="00EB78E6"/>
    <w:rsid w:val="00EC6B36"/>
    <w:rsid w:val="00EE3B1E"/>
    <w:rsid w:val="00EE7F69"/>
    <w:rsid w:val="00F02924"/>
    <w:rsid w:val="00F10FAA"/>
    <w:rsid w:val="00F11C08"/>
    <w:rsid w:val="00F12CB6"/>
    <w:rsid w:val="00F30870"/>
    <w:rsid w:val="00F3290C"/>
    <w:rsid w:val="00F51BE4"/>
    <w:rsid w:val="00F61D64"/>
    <w:rsid w:val="00F81E9B"/>
    <w:rsid w:val="00F83F40"/>
    <w:rsid w:val="00F8705B"/>
    <w:rsid w:val="00F94E70"/>
    <w:rsid w:val="00FB2E41"/>
    <w:rsid w:val="00FC0BE4"/>
    <w:rsid w:val="00FE31DB"/>
    <w:rsid w:val="00FE4970"/>
    <w:rsid w:val="00FE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F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8421-50DC-4000-94BF-8D57AF07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3474</Words>
  <Characters>20503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Kačena</dc:creator>
  <cp:lastModifiedBy>Lukáš Kačena</cp:lastModifiedBy>
  <cp:revision>13</cp:revision>
  <cp:lastPrinted>2016-11-09T12:27:00Z</cp:lastPrinted>
  <dcterms:created xsi:type="dcterms:W3CDTF">2016-11-29T15:40:00Z</dcterms:created>
  <dcterms:modified xsi:type="dcterms:W3CDTF">2017-03-30T09:08:00Z</dcterms:modified>
</cp:coreProperties>
</file>