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4C8" w:rsidRPr="00F42B92" w:rsidRDefault="00A13F21" w:rsidP="001A0B94">
      <w:pPr>
        <w:pStyle w:val="Nadpis1"/>
        <w:ind w:left="7080"/>
        <w:jc w:val="right"/>
        <w:rPr>
          <w:sz w:val="24"/>
        </w:rPr>
      </w:pPr>
      <w:bookmarkStart w:id="0" w:name="_GoBack"/>
      <w:bookmarkEnd w:id="0"/>
      <w:r w:rsidRPr="00F42B92">
        <w:rPr>
          <w:sz w:val="24"/>
        </w:rPr>
        <w:t>V.</w:t>
      </w:r>
    </w:p>
    <w:p w:rsidR="001D4A45" w:rsidRPr="00F42B92" w:rsidRDefault="001D4A45" w:rsidP="001D4A45">
      <w:pPr>
        <w:jc w:val="center"/>
        <w:rPr>
          <w:b/>
          <w:sz w:val="24"/>
        </w:rPr>
      </w:pPr>
    </w:p>
    <w:p w:rsidR="00BD24C8" w:rsidRPr="00F42B92" w:rsidRDefault="004D0127" w:rsidP="001D4A45">
      <w:pPr>
        <w:jc w:val="center"/>
        <w:rPr>
          <w:b/>
          <w:sz w:val="32"/>
          <w:szCs w:val="32"/>
        </w:rPr>
      </w:pPr>
      <w:r w:rsidRPr="00F42B92">
        <w:rPr>
          <w:b/>
          <w:sz w:val="32"/>
          <w:szCs w:val="32"/>
        </w:rPr>
        <w:t xml:space="preserve">Vypořádání </w:t>
      </w:r>
      <w:r w:rsidR="00AB164C" w:rsidRPr="00F42B92">
        <w:rPr>
          <w:b/>
          <w:sz w:val="32"/>
          <w:szCs w:val="32"/>
        </w:rPr>
        <w:t xml:space="preserve">meziresortního </w:t>
      </w:r>
      <w:r w:rsidRPr="00F42B92">
        <w:rPr>
          <w:b/>
          <w:sz w:val="32"/>
          <w:szCs w:val="32"/>
        </w:rPr>
        <w:t>připomínkového řízení</w:t>
      </w:r>
    </w:p>
    <w:p w:rsidR="006B7D6F" w:rsidRPr="00F42B92" w:rsidRDefault="006B7D6F" w:rsidP="00BD24C8">
      <w:pPr>
        <w:rPr>
          <w:sz w:val="24"/>
        </w:rPr>
      </w:pPr>
    </w:p>
    <w:p w:rsidR="006B7D6F" w:rsidRPr="00F42B92" w:rsidRDefault="006B7D6F" w:rsidP="00BD24C8">
      <w:pPr>
        <w:rPr>
          <w:sz w:val="24"/>
        </w:rPr>
      </w:pPr>
    </w:p>
    <w:p w:rsidR="00BD24C8" w:rsidRPr="00F42B92" w:rsidRDefault="006B7D6F" w:rsidP="00BD24C8">
      <w:pPr>
        <w:rPr>
          <w:sz w:val="24"/>
        </w:rPr>
      </w:pPr>
      <w:r w:rsidRPr="00F42B92">
        <w:rPr>
          <w:sz w:val="24"/>
        </w:rPr>
        <w:t>Materiál byl</w:t>
      </w:r>
      <w:r w:rsidR="00AB164C" w:rsidRPr="00F42B92">
        <w:rPr>
          <w:sz w:val="24"/>
        </w:rPr>
        <w:t xml:space="preserve"> dne </w:t>
      </w:r>
      <w:r w:rsidR="00D946B8" w:rsidRPr="00F42B92">
        <w:rPr>
          <w:sz w:val="24"/>
        </w:rPr>
        <w:t>22. června</w:t>
      </w:r>
      <w:r w:rsidR="00AB164C" w:rsidRPr="00F42B92">
        <w:rPr>
          <w:sz w:val="24"/>
        </w:rPr>
        <w:t xml:space="preserve"> 201</w:t>
      </w:r>
      <w:r w:rsidR="00D946B8" w:rsidRPr="00F42B92">
        <w:rPr>
          <w:sz w:val="24"/>
        </w:rPr>
        <w:t>7</w:t>
      </w:r>
      <w:r w:rsidRPr="00F42B92">
        <w:rPr>
          <w:sz w:val="24"/>
        </w:rPr>
        <w:t xml:space="preserve"> rozeslán do </w:t>
      </w:r>
      <w:r w:rsidR="00AB164C" w:rsidRPr="00F42B92">
        <w:rPr>
          <w:sz w:val="24"/>
        </w:rPr>
        <w:t xml:space="preserve">meziresortního </w:t>
      </w:r>
      <w:r w:rsidRPr="00F42B92">
        <w:rPr>
          <w:sz w:val="24"/>
        </w:rPr>
        <w:t xml:space="preserve">připomínkového řízení </w:t>
      </w:r>
      <w:r w:rsidR="00AB164C" w:rsidRPr="00F42B92">
        <w:rPr>
          <w:sz w:val="24"/>
        </w:rPr>
        <w:t>(prostřednictvím systému eKLEP</w:t>
      </w:r>
      <w:r w:rsidR="00D946B8" w:rsidRPr="00F42B92">
        <w:rPr>
          <w:sz w:val="24"/>
        </w:rPr>
        <w:t xml:space="preserve"> a datovou schránkou SFŽP</w:t>
      </w:r>
      <w:r w:rsidR="00AB164C" w:rsidRPr="00F42B92">
        <w:rPr>
          <w:sz w:val="24"/>
        </w:rPr>
        <w:t>) 1</w:t>
      </w:r>
      <w:r w:rsidR="00D946B8" w:rsidRPr="00F42B92">
        <w:rPr>
          <w:sz w:val="24"/>
        </w:rPr>
        <w:t>1</w:t>
      </w:r>
      <w:r w:rsidR="00AB164C" w:rsidRPr="00F42B92">
        <w:rPr>
          <w:sz w:val="24"/>
        </w:rPr>
        <w:t xml:space="preserve"> vybraným </w:t>
      </w:r>
      <w:r w:rsidR="00D946B8" w:rsidRPr="00F42B92">
        <w:rPr>
          <w:sz w:val="24"/>
        </w:rPr>
        <w:t>úřadům</w:t>
      </w:r>
      <w:r w:rsidR="00AB164C" w:rsidRPr="00F42B92">
        <w:rPr>
          <w:sz w:val="24"/>
        </w:rPr>
        <w:t xml:space="preserve">, jejichž působnosti se Finanční mechanismy EHP/Norska na období 2014-2021 dotýkají, </w:t>
      </w:r>
      <w:r w:rsidRPr="00F42B92">
        <w:rPr>
          <w:sz w:val="24"/>
        </w:rPr>
        <w:t xml:space="preserve">s termínem pro uplatnění připomínek do </w:t>
      </w:r>
      <w:r w:rsidR="00AB164C" w:rsidRPr="00F42B92">
        <w:rPr>
          <w:sz w:val="24"/>
        </w:rPr>
        <w:t>2</w:t>
      </w:r>
      <w:r w:rsidR="00D946B8" w:rsidRPr="00F42B92">
        <w:rPr>
          <w:sz w:val="24"/>
        </w:rPr>
        <w:t>9</w:t>
      </w:r>
      <w:r w:rsidR="00AB164C" w:rsidRPr="00F42B92">
        <w:rPr>
          <w:sz w:val="24"/>
        </w:rPr>
        <w:t>. červ</w:t>
      </w:r>
      <w:r w:rsidR="00D946B8" w:rsidRPr="00F42B92">
        <w:rPr>
          <w:sz w:val="24"/>
        </w:rPr>
        <w:t>na</w:t>
      </w:r>
      <w:r w:rsidR="00AB21E5" w:rsidRPr="00F42B92">
        <w:rPr>
          <w:sz w:val="24"/>
        </w:rPr>
        <w:t xml:space="preserve"> 201</w:t>
      </w:r>
      <w:r w:rsidR="00D946B8" w:rsidRPr="00F42B92">
        <w:rPr>
          <w:sz w:val="24"/>
        </w:rPr>
        <w:t>7</w:t>
      </w:r>
      <w:r w:rsidRPr="00F42B92">
        <w:rPr>
          <w:sz w:val="24"/>
        </w:rPr>
        <w:t>.</w:t>
      </w:r>
    </w:p>
    <w:p w:rsidR="00D946B8" w:rsidRPr="00F42B92" w:rsidRDefault="00D946B8" w:rsidP="00BD24C8">
      <w:pPr>
        <w:rPr>
          <w:sz w:val="24"/>
        </w:rPr>
      </w:pPr>
      <w:r w:rsidRPr="00F42B92">
        <w:rPr>
          <w:sz w:val="24"/>
        </w:rPr>
        <w:t>Zkrácení doby meziresortního připomínkového řízení a zúžení seznamu povinných připomínkových míst bylo odsouhlaseno dopisem předsedy vlády č.j. 15175/2017-OVA ze dne 31. května 2017.</w:t>
      </w:r>
    </w:p>
    <w:p w:rsidR="00D946B8" w:rsidRPr="00F42B92" w:rsidRDefault="00D946B8" w:rsidP="00D946B8">
      <w:pPr>
        <w:rPr>
          <w:sz w:val="24"/>
        </w:rPr>
      </w:pPr>
    </w:p>
    <w:p w:rsidR="006B7D6F" w:rsidRPr="00F42B92" w:rsidRDefault="00AB21E5" w:rsidP="00BD24C8">
      <w:pPr>
        <w:rPr>
          <w:sz w:val="24"/>
        </w:rPr>
      </w:pPr>
      <w:r w:rsidRPr="00F42B92">
        <w:rPr>
          <w:sz w:val="24"/>
        </w:rPr>
        <w:t xml:space="preserve">Všechny připomínky uplatněné </w:t>
      </w:r>
      <w:r w:rsidR="00AB164C" w:rsidRPr="00F42B92">
        <w:rPr>
          <w:sz w:val="24"/>
        </w:rPr>
        <w:t>připomínkovými místy</w:t>
      </w:r>
      <w:r w:rsidRPr="00F42B92">
        <w:rPr>
          <w:sz w:val="24"/>
        </w:rPr>
        <w:t xml:space="preserve"> byly vypořádány</w:t>
      </w:r>
      <w:r w:rsidR="002C7322" w:rsidRPr="00F42B92">
        <w:rPr>
          <w:sz w:val="24"/>
        </w:rPr>
        <w:t>, s výjimkou zásadních připomínek MŠMT</w:t>
      </w:r>
      <w:r w:rsidRPr="00F42B92">
        <w:rPr>
          <w:sz w:val="24"/>
        </w:rPr>
        <w:t>.</w:t>
      </w:r>
      <w:r w:rsidR="002C7322" w:rsidRPr="00F42B92">
        <w:rPr>
          <w:sz w:val="24"/>
        </w:rPr>
        <w:t xml:space="preserve"> Materiál proto předkládáme s rozporem.</w:t>
      </w:r>
    </w:p>
    <w:p w:rsidR="00D946B8" w:rsidRPr="00F42B92" w:rsidRDefault="00D946B8" w:rsidP="00BD24C8">
      <w:pPr>
        <w:rPr>
          <w:sz w:val="24"/>
        </w:rPr>
      </w:pPr>
    </w:p>
    <w:tbl>
      <w:tblPr>
        <w:tblW w:w="5281" w:type="pct"/>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2"/>
        <w:gridCol w:w="1135"/>
        <w:gridCol w:w="6379"/>
        <w:gridCol w:w="4678"/>
        <w:gridCol w:w="1700"/>
      </w:tblGrid>
      <w:tr w:rsidR="00F42B92" w:rsidRPr="00F42B92" w:rsidTr="00E779E4">
        <w:trPr>
          <w:tblHeader/>
        </w:trPr>
        <w:tc>
          <w:tcPr>
            <w:tcW w:w="992" w:type="dxa"/>
            <w:shd w:val="clear" w:color="auto" w:fill="CCCCCC"/>
            <w:tcMar>
              <w:top w:w="0" w:type="dxa"/>
              <w:left w:w="45" w:type="dxa"/>
              <w:bottom w:w="0" w:type="dxa"/>
              <w:right w:w="45" w:type="dxa"/>
            </w:tcMar>
            <w:vAlign w:val="center"/>
            <w:hideMark/>
          </w:tcPr>
          <w:p w:rsidR="00D946B8" w:rsidRPr="00F42B92" w:rsidRDefault="00D946B8" w:rsidP="00AE4214">
            <w:pPr>
              <w:jc w:val="center"/>
              <w:rPr>
                <w:b/>
                <w:bCs/>
                <w:szCs w:val="22"/>
              </w:rPr>
            </w:pPr>
            <w:r w:rsidRPr="00F42B92">
              <w:rPr>
                <w:b/>
                <w:bCs/>
                <w:szCs w:val="22"/>
              </w:rPr>
              <w:t>Instituce</w:t>
            </w:r>
          </w:p>
        </w:tc>
        <w:tc>
          <w:tcPr>
            <w:tcW w:w="1135" w:type="dxa"/>
            <w:shd w:val="clear" w:color="auto" w:fill="CCCCCC"/>
            <w:tcMar>
              <w:top w:w="0" w:type="dxa"/>
              <w:left w:w="45" w:type="dxa"/>
              <w:bottom w:w="0" w:type="dxa"/>
              <w:right w:w="45" w:type="dxa"/>
            </w:tcMar>
            <w:vAlign w:val="center"/>
            <w:hideMark/>
          </w:tcPr>
          <w:p w:rsidR="00D946B8" w:rsidRPr="00F42B92" w:rsidRDefault="00D946B8" w:rsidP="00AE4214">
            <w:pPr>
              <w:jc w:val="center"/>
              <w:rPr>
                <w:b/>
                <w:bCs/>
                <w:szCs w:val="22"/>
              </w:rPr>
            </w:pPr>
            <w:r w:rsidRPr="00F42B92">
              <w:rPr>
                <w:b/>
                <w:bCs/>
                <w:szCs w:val="22"/>
              </w:rPr>
              <w:t>Relevance</w:t>
            </w:r>
          </w:p>
        </w:tc>
        <w:tc>
          <w:tcPr>
            <w:tcW w:w="6379" w:type="dxa"/>
            <w:shd w:val="clear" w:color="auto" w:fill="CCCCCC"/>
            <w:tcMar>
              <w:top w:w="0" w:type="dxa"/>
              <w:left w:w="45" w:type="dxa"/>
              <w:bottom w:w="0" w:type="dxa"/>
              <w:right w:w="45" w:type="dxa"/>
            </w:tcMar>
            <w:vAlign w:val="center"/>
            <w:hideMark/>
          </w:tcPr>
          <w:p w:rsidR="00D946B8" w:rsidRPr="00F42B92" w:rsidRDefault="00D946B8" w:rsidP="00AE4214">
            <w:pPr>
              <w:jc w:val="center"/>
              <w:rPr>
                <w:b/>
                <w:bCs/>
                <w:szCs w:val="22"/>
              </w:rPr>
            </w:pPr>
            <w:r w:rsidRPr="00F42B92">
              <w:rPr>
                <w:b/>
                <w:bCs/>
                <w:szCs w:val="22"/>
              </w:rPr>
              <w:t>Připomínka</w:t>
            </w:r>
          </w:p>
        </w:tc>
        <w:tc>
          <w:tcPr>
            <w:tcW w:w="4678" w:type="dxa"/>
            <w:shd w:val="clear" w:color="auto" w:fill="CCCCCC"/>
            <w:tcMar>
              <w:top w:w="0" w:type="dxa"/>
              <w:left w:w="45" w:type="dxa"/>
              <w:bottom w:w="0" w:type="dxa"/>
              <w:right w:w="45" w:type="dxa"/>
            </w:tcMar>
            <w:vAlign w:val="center"/>
            <w:hideMark/>
          </w:tcPr>
          <w:p w:rsidR="00D946B8" w:rsidRPr="00F42B92" w:rsidRDefault="00D946B8" w:rsidP="00AE4214">
            <w:pPr>
              <w:jc w:val="center"/>
              <w:rPr>
                <w:b/>
                <w:bCs/>
                <w:szCs w:val="22"/>
              </w:rPr>
            </w:pPr>
            <w:r w:rsidRPr="00F42B92">
              <w:rPr>
                <w:b/>
                <w:bCs/>
                <w:szCs w:val="22"/>
              </w:rPr>
              <w:t>Vypořádání</w:t>
            </w:r>
          </w:p>
        </w:tc>
        <w:tc>
          <w:tcPr>
            <w:tcW w:w="1700" w:type="dxa"/>
            <w:shd w:val="clear" w:color="auto" w:fill="CCCCCC"/>
            <w:tcMar>
              <w:top w:w="0" w:type="dxa"/>
              <w:left w:w="45" w:type="dxa"/>
              <w:bottom w:w="0" w:type="dxa"/>
              <w:right w:w="45" w:type="dxa"/>
            </w:tcMar>
            <w:vAlign w:val="center"/>
            <w:hideMark/>
          </w:tcPr>
          <w:p w:rsidR="00D946B8" w:rsidRPr="00F42B92" w:rsidRDefault="00D946B8" w:rsidP="00AE4214">
            <w:pPr>
              <w:jc w:val="center"/>
              <w:rPr>
                <w:b/>
                <w:bCs/>
                <w:sz w:val="20"/>
                <w:szCs w:val="20"/>
              </w:rPr>
            </w:pPr>
            <w:r w:rsidRPr="00F42B92">
              <w:rPr>
                <w:b/>
                <w:bCs/>
                <w:sz w:val="20"/>
                <w:szCs w:val="20"/>
              </w:rPr>
              <w:t>Doručeno</w:t>
            </w:r>
          </w:p>
        </w:tc>
      </w:tr>
      <w:tr w:rsidR="00F42B92" w:rsidRPr="00F42B92" w:rsidTr="00E779E4">
        <w:tc>
          <w:tcPr>
            <w:tcW w:w="992" w:type="dxa"/>
            <w:tcMar>
              <w:top w:w="0" w:type="dxa"/>
              <w:left w:w="45" w:type="dxa"/>
              <w:bottom w:w="0" w:type="dxa"/>
              <w:right w:w="45" w:type="dxa"/>
            </w:tcMar>
          </w:tcPr>
          <w:p w:rsidR="00C67964" w:rsidRPr="00F42B92" w:rsidRDefault="00C67964" w:rsidP="00096C95">
            <w:pPr>
              <w:jc w:val="center"/>
              <w:rPr>
                <w:szCs w:val="22"/>
              </w:rPr>
            </w:pPr>
            <w:r w:rsidRPr="00F42B92">
              <w:rPr>
                <w:szCs w:val="22"/>
              </w:rPr>
              <w:t>MSp</w:t>
            </w:r>
          </w:p>
        </w:tc>
        <w:tc>
          <w:tcPr>
            <w:tcW w:w="1135" w:type="dxa"/>
            <w:tcMar>
              <w:top w:w="0" w:type="dxa"/>
              <w:left w:w="45" w:type="dxa"/>
              <w:bottom w:w="0" w:type="dxa"/>
              <w:right w:w="45" w:type="dxa"/>
            </w:tcMar>
          </w:tcPr>
          <w:p w:rsidR="00C67964" w:rsidRPr="00F42B92" w:rsidRDefault="00C67964" w:rsidP="00096C95">
            <w:pPr>
              <w:jc w:val="center"/>
              <w:rPr>
                <w:szCs w:val="22"/>
              </w:rPr>
            </w:pPr>
          </w:p>
        </w:tc>
        <w:tc>
          <w:tcPr>
            <w:tcW w:w="6379" w:type="dxa"/>
            <w:tcMar>
              <w:top w:w="0" w:type="dxa"/>
              <w:left w:w="45" w:type="dxa"/>
              <w:bottom w:w="0" w:type="dxa"/>
              <w:right w:w="45" w:type="dxa"/>
            </w:tcMar>
          </w:tcPr>
          <w:p w:rsidR="00C67964" w:rsidRPr="00F42B92" w:rsidRDefault="00C67964" w:rsidP="008E556D">
            <w:pPr>
              <w:rPr>
                <w:szCs w:val="22"/>
              </w:rPr>
            </w:pPr>
            <w:r w:rsidRPr="00F42B92">
              <w:rPr>
                <w:b/>
                <w:szCs w:val="22"/>
              </w:rPr>
              <w:t>Bez připomínek</w:t>
            </w:r>
            <w:r w:rsidRPr="00F42B92">
              <w:rPr>
                <w:szCs w:val="22"/>
              </w:rPr>
              <w:t xml:space="preserve"> – Připomínka </w:t>
            </w:r>
            <w:r w:rsidR="008E556D" w:rsidRPr="00F42B92">
              <w:rPr>
                <w:szCs w:val="22"/>
              </w:rPr>
              <w:t xml:space="preserve">od </w:t>
            </w:r>
            <w:r w:rsidRPr="00F42B92">
              <w:rPr>
                <w:szCs w:val="22"/>
              </w:rPr>
              <w:t>Ministerstv</w:t>
            </w:r>
            <w:r w:rsidR="008E556D" w:rsidRPr="00F42B92">
              <w:rPr>
                <w:szCs w:val="22"/>
              </w:rPr>
              <w:t>o</w:t>
            </w:r>
            <w:r w:rsidRPr="00F42B92">
              <w:rPr>
                <w:szCs w:val="22"/>
              </w:rPr>
              <w:t xml:space="preserve"> spravedlnosti k Návrh na sjednání Memoranda o porozumění pro implementaci Finančního mechanismu EHP na období 2014-2021 mezi Islandskou republiku, Lichtenštejnským knížectvím, Norským královstvím a Českou republikou a Memoranda o porozumění pro implementaci Finančního mechanismu Norska na období 2014-2021 mezi Norským královstvím a Českou republikou</w:t>
            </w:r>
          </w:p>
        </w:tc>
        <w:tc>
          <w:tcPr>
            <w:tcW w:w="4678" w:type="dxa"/>
            <w:tcMar>
              <w:top w:w="0" w:type="dxa"/>
              <w:left w:w="45" w:type="dxa"/>
              <w:bottom w:w="0" w:type="dxa"/>
              <w:right w:w="45" w:type="dxa"/>
            </w:tcMar>
          </w:tcPr>
          <w:p w:rsidR="00C67964" w:rsidRPr="00F42B92" w:rsidRDefault="00C67964" w:rsidP="00096C95">
            <w:pPr>
              <w:rPr>
                <w:szCs w:val="22"/>
              </w:rPr>
            </w:pPr>
            <w:r w:rsidRPr="00F42B92">
              <w:rPr>
                <w:szCs w:val="22"/>
              </w:rPr>
              <w:t>---</w:t>
            </w:r>
          </w:p>
        </w:tc>
        <w:tc>
          <w:tcPr>
            <w:tcW w:w="1700" w:type="dxa"/>
            <w:tcMar>
              <w:top w:w="0" w:type="dxa"/>
              <w:left w:w="45" w:type="dxa"/>
              <w:bottom w:w="0" w:type="dxa"/>
              <w:right w:w="45" w:type="dxa"/>
            </w:tcMar>
          </w:tcPr>
          <w:p w:rsidR="00C67964" w:rsidRPr="00F42B92" w:rsidRDefault="00C67964" w:rsidP="00C67964">
            <w:pPr>
              <w:rPr>
                <w:sz w:val="20"/>
                <w:szCs w:val="20"/>
              </w:rPr>
            </w:pPr>
            <w:r w:rsidRPr="00F42B92">
              <w:rPr>
                <w:sz w:val="20"/>
                <w:szCs w:val="20"/>
              </w:rPr>
              <w:t>eKLEPem 28.6.2017 (č.j. MF-16180/2017/5804-8, PID: MFCR7XKERY)</w:t>
            </w:r>
          </w:p>
        </w:tc>
      </w:tr>
      <w:tr w:rsidR="00F42B92" w:rsidRPr="00F42B92" w:rsidTr="00E779E4">
        <w:tc>
          <w:tcPr>
            <w:tcW w:w="992" w:type="dxa"/>
            <w:tcMar>
              <w:top w:w="0" w:type="dxa"/>
              <w:left w:w="45" w:type="dxa"/>
              <w:bottom w:w="0" w:type="dxa"/>
              <w:right w:w="45" w:type="dxa"/>
            </w:tcMar>
          </w:tcPr>
          <w:p w:rsidR="006D2AE3" w:rsidRPr="00F42B92" w:rsidRDefault="006D2AE3" w:rsidP="00C06B14">
            <w:pPr>
              <w:jc w:val="center"/>
              <w:rPr>
                <w:szCs w:val="22"/>
              </w:rPr>
            </w:pPr>
            <w:r w:rsidRPr="00F42B92">
              <w:rPr>
                <w:szCs w:val="22"/>
              </w:rPr>
              <w:t>MPO</w:t>
            </w:r>
          </w:p>
        </w:tc>
        <w:tc>
          <w:tcPr>
            <w:tcW w:w="1135" w:type="dxa"/>
            <w:tcMar>
              <w:top w:w="0" w:type="dxa"/>
              <w:left w:w="45" w:type="dxa"/>
              <w:bottom w:w="0" w:type="dxa"/>
              <w:right w:w="45" w:type="dxa"/>
            </w:tcMar>
          </w:tcPr>
          <w:p w:rsidR="006D2AE3" w:rsidRPr="00F42B92" w:rsidRDefault="006D2AE3" w:rsidP="00C06B14">
            <w:pPr>
              <w:jc w:val="center"/>
              <w:rPr>
                <w:szCs w:val="22"/>
              </w:rPr>
            </w:pPr>
            <w:r w:rsidRPr="00F42B92">
              <w:rPr>
                <w:szCs w:val="22"/>
              </w:rPr>
              <w:t>Ostatní</w:t>
            </w:r>
          </w:p>
        </w:tc>
        <w:tc>
          <w:tcPr>
            <w:tcW w:w="6379" w:type="dxa"/>
            <w:tcMar>
              <w:top w:w="0" w:type="dxa"/>
              <w:left w:w="45" w:type="dxa"/>
              <w:bottom w:w="0" w:type="dxa"/>
              <w:right w:w="45" w:type="dxa"/>
            </w:tcMar>
          </w:tcPr>
          <w:p w:rsidR="006D2AE3" w:rsidRPr="00F42B92" w:rsidRDefault="006D2AE3" w:rsidP="006D2AE3">
            <w:pPr>
              <w:rPr>
                <w:szCs w:val="22"/>
              </w:rPr>
            </w:pPr>
            <w:r w:rsidRPr="00F42B92">
              <w:rPr>
                <w:bCs/>
                <w:szCs w:val="22"/>
              </w:rPr>
              <w:t xml:space="preserve">Předkládací zpráva uvádí potenciální dopady na státní rozpočet v souvislosti s potřebou spolufinancování realizace Finančních mechanismů na úrovni programů min. ve výši 15 %, tj. cca 658,41 mil. Kč. Zároveň uvádí, že jako připomínková místa jsou uvedena ministerstva a organizace, kterých se tento materiál bezprostředně dotýká, a která se budou na realizaci Finančních mechanismů EHP/Norska 2014-2021 přímo podílet. Jako jedno z takovýchto připomínkových míst je uvedeno také Ministerstvo průmyslu a obchodu, tzn. že se předpokládá, že se bude přímo podílet na spolufinancování programů. Z předkládací zprávy ovšem není zcela jasné, jak a do jaké míry se na spolufinancování MPO bude muset podílet. Uvědomujeme si, že v současnou chvíli se míra spolufinancování nedá příliš specifikovat. Přesto se domníváme, že by k nějaké bližší specifikaci mělo dojít (min. určení toho, kterého </w:t>
            </w:r>
            <w:r w:rsidRPr="00F42B92">
              <w:rPr>
                <w:bCs/>
                <w:szCs w:val="22"/>
              </w:rPr>
              <w:lastRenderedPageBreak/>
              <w:t>programu se spolufinancování bude týkat), jelikož MPO bude muset následně ve svém rozpočtu alokovat dostatečné množství finančních prostředků na toto spolufinancování.</w:t>
            </w:r>
          </w:p>
        </w:tc>
        <w:tc>
          <w:tcPr>
            <w:tcW w:w="4678" w:type="dxa"/>
            <w:tcMar>
              <w:top w:w="0" w:type="dxa"/>
              <w:left w:w="45" w:type="dxa"/>
              <w:bottom w:w="0" w:type="dxa"/>
              <w:right w:w="45" w:type="dxa"/>
            </w:tcMar>
          </w:tcPr>
          <w:p w:rsidR="006D2AE3" w:rsidRPr="00F42B92" w:rsidRDefault="006D2AE3" w:rsidP="006D2AE3">
            <w:pPr>
              <w:rPr>
                <w:b/>
                <w:szCs w:val="22"/>
              </w:rPr>
            </w:pPr>
            <w:r w:rsidRPr="00F42B92">
              <w:rPr>
                <w:b/>
                <w:szCs w:val="22"/>
              </w:rPr>
              <w:lastRenderedPageBreak/>
              <w:t>Připomínka vzata na vědomí a poskytnuto vysvětlení:</w:t>
            </w:r>
          </w:p>
          <w:p w:rsidR="006D2AE3" w:rsidRPr="00F42B92" w:rsidRDefault="006D2AE3" w:rsidP="006D2AE3">
            <w:pPr>
              <w:rPr>
                <w:szCs w:val="22"/>
              </w:rPr>
            </w:pPr>
          </w:p>
          <w:p w:rsidR="006D2AE3" w:rsidRPr="00F42B92" w:rsidRDefault="006D2AE3" w:rsidP="006C03DD">
            <w:pPr>
              <w:rPr>
                <w:szCs w:val="22"/>
              </w:rPr>
            </w:pPr>
            <w:r w:rsidRPr="00F42B92">
              <w:rPr>
                <w:szCs w:val="22"/>
              </w:rPr>
              <w:t>Předkládaný materiál se Ministerstva průmyslu a obchodu týká pouze v</w:t>
            </w:r>
            <w:r w:rsidR="006C03DD" w:rsidRPr="00F42B92">
              <w:rPr>
                <w:szCs w:val="22"/>
              </w:rPr>
              <w:t> programové oblasti</w:t>
            </w:r>
            <w:r w:rsidRPr="00F42B92">
              <w:rPr>
                <w:szCs w:val="22"/>
              </w:rPr>
              <w:t xml:space="preserve"> vědu a výzkum</w:t>
            </w:r>
            <w:r w:rsidR="006C03DD" w:rsidRPr="00F42B92">
              <w:rPr>
                <w:szCs w:val="22"/>
              </w:rPr>
              <w:t xml:space="preserve"> a inovace, která svým zaměřením částečně (inovace a podpora podnikání) spadá do agend MPO. Nebude však</w:t>
            </w:r>
            <w:r w:rsidRPr="00F42B92">
              <w:rPr>
                <w:szCs w:val="22"/>
              </w:rPr>
              <w:t xml:space="preserve"> třeba</w:t>
            </w:r>
            <w:r w:rsidR="006C03DD" w:rsidRPr="00F42B92">
              <w:rPr>
                <w:szCs w:val="22"/>
              </w:rPr>
              <w:t>, aby</w:t>
            </w:r>
            <w:r w:rsidRPr="00F42B92">
              <w:rPr>
                <w:szCs w:val="22"/>
              </w:rPr>
              <w:t xml:space="preserve"> na úrovni MPO</w:t>
            </w:r>
            <w:r w:rsidR="006C03DD" w:rsidRPr="00F42B92">
              <w:rPr>
                <w:szCs w:val="22"/>
              </w:rPr>
              <w:t xml:space="preserve"> bylo</w:t>
            </w:r>
            <w:r w:rsidRPr="00F42B92">
              <w:rPr>
                <w:szCs w:val="22"/>
              </w:rPr>
              <w:t xml:space="preserve"> zajišťo</w:t>
            </w:r>
            <w:r w:rsidR="006C03DD" w:rsidRPr="00F42B92">
              <w:rPr>
                <w:szCs w:val="22"/>
              </w:rPr>
              <w:t>váno</w:t>
            </w:r>
            <w:r w:rsidRPr="00F42B92">
              <w:rPr>
                <w:szCs w:val="22"/>
              </w:rPr>
              <w:t xml:space="preserve"> jakékoli spolufinancování, protože MPO nebude přímo zapojeno do samotné </w:t>
            </w:r>
            <w:r w:rsidR="006C03DD" w:rsidRPr="00F42B92">
              <w:rPr>
                <w:szCs w:val="22"/>
              </w:rPr>
              <w:t xml:space="preserve">administrace a </w:t>
            </w:r>
            <w:r w:rsidRPr="00F42B92">
              <w:rPr>
                <w:szCs w:val="22"/>
              </w:rPr>
              <w:t>implementace Finančních mechanismů EHP/Norska na období 2014-2021</w:t>
            </w:r>
            <w:r w:rsidR="00624E00" w:rsidRPr="00F42B92">
              <w:rPr>
                <w:szCs w:val="22"/>
              </w:rPr>
              <w:t xml:space="preserve"> (ani jako zprostředkovatel programu ani jako partner programu)</w:t>
            </w:r>
            <w:r w:rsidRPr="00F42B92">
              <w:rPr>
                <w:szCs w:val="22"/>
              </w:rPr>
              <w:t xml:space="preserve">. </w:t>
            </w:r>
            <w:r w:rsidR="006C03DD" w:rsidRPr="00F42B92">
              <w:rPr>
                <w:szCs w:val="22"/>
              </w:rPr>
              <w:t xml:space="preserve">Předpokládá se, že MPO bude </w:t>
            </w:r>
            <w:r w:rsidR="006C03DD" w:rsidRPr="00F42B92">
              <w:rPr>
                <w:szCs w:val="22"/>
              </w:rPr>
              <w:lastRenderedPageBreak/>
              <w:t>přizváno v rámci přípravy programu na vědu, výzkum a inovace k jednáním s dalšími zainteresovanými subjekty ve fázi definování zaměření programu.</w:t>
            </w:r>
          </w:p>
          <w:p w:rsidR="00E779E4" w:rsidRPr="00F42B92" w:rsidRDefault="00E779E4" w:rsidP="006C03DD">
            <w:pPr>
              <w:rPr>
                <w:szCs w:val="22"/>
              </w:rPr>
            </w:pPr>
          </w:p>
          <w:p w:rsidR="00E779E4" w:rsidRPr="00F42B92" w:rsidRDefault="00E779E4" w:rsidP="006C03DD">
            <w:pPr>
              <w:rPr>
                <w:i/>
                <w:sz w:val="24"/>
              </w:rPr>
            </w:pPr>
            <w:r w:rsidRPr="00F42B92">
              <w:rPr>
                <w:i/>
                <w:szCs w:val="22"/>
              </w:rPr>
              <w:t>O vypořádání připomínek byl navrhovatel informován e-mailem dne 30.6.2017 a vyslovil s vypořádáním souhlas (e-mail Mgr. Kozárka z 3.7.2017).</w:t>
            </w:r>
          </w:p>
        </w:tc>
        <w:tc>
          <w:tcPr>
            <w:tcW w:w="1700" w:type="dxa"/>
            <w:tcMar>
              <w:top w:w="0" w:type="dxa"/>
              <w:left w:w="45" w:type="dxa"/>
              <w:bottom w:w="0" w:type="dxa"/>
              <w:right w:w="45" w:type="dxa"/>
            </w:tcMar>
          </w:tcPr>
          <w:p w:rsidR="006D2AE3" w:rsidRPr="00F42B92" w:rsidRDefault="006D2AE3" w:rsidP="00C06B14">
            <w:pPr>
              <w:rPr>
                <w:sz w:val="20"/>
                <w:szCs w:val="20"/>
              </w:rPr>
            </w:pPr>
            <w:r w:rsidRPr="00F42B92">
              <w:rPr>
                <w:sz w:val="20"/>
                <w:szCs w:val="20"/>
              </w:rPr>
              <w:lastRenderedPageBreak/>
              <w:t>eKLEPem 28.6.2017 (č.j. MF-16180/2017/5804-9, PID: MFCR7XKFCB)</w:t>
            </w:r>
          </w:p>
        </w:tc>
      </w:tr>
      <w:tr w:rsidR="00F42B92" w:rsidRPr="00F42B92" w:rsidTr="00E779E4">
        <w:tc>
          <w:tcPr>
            <w:tcW w:w="992" w:type="dxa"/>
            <w:tcMar>
              <w:top w:w="0" w:type="dxa"/>
              <w:left w:w="45" w:type="dxa"/>
              <w:bottom w:w="0" w:type="dxa"/>
              <w:right w:w="45" w:type="dxa"/>
            </w:tcMar>
          </w:tcPr>
          <w:p w:rsidR="00A23469" w:rsidRPr="00F42B92" w:rsidRDefault="00A23469" w:rsidP="00C06B14">
            <w:pPr>
              <w:jc w:val="center"/>
              <w:rPr>
                <w:szCs w:val="22"/>
              </w:rPr>
            </w:pPr>
            <w:r w:rsidRPr="00F42B92">
              <w:rPr>
                <w:szCs w:val="22"/>
              </w:rPr>
              <w:lastRenderedPageBreak/>
              <w:t>ÚV</w:t>
            </w:r>
          </w:p>
        </w:tc>
        <w:tc>
          <w:tcPr>
            <w:tcW w:w="1135" w:type="dxa"/>
            <w:tcMar>
              <w:top w:w="0" w:type="dxa"/>
              <w:left w:w="45" w:type="dxa"/>
              <w:bottom w:w="0" w:type="dxa"/>
              <w:right w:w="45" w:type="dxa"/>
            </w:tcMar>
          </w:tcPr>
          <w:p w:rsidR="00A23469" w:rsidRPr="00F42B92" w:rsidRDefault="00A23469" w:rsidP="00C06B14">
            <w:pPr>
              <w:jc w:val="center"/>
              <w:rPr>
                <w:szCs w:val="22"/>
              </w:rPr>
            </w:pPr>
          </w:p>
        </w:tc>
        <w:tc>
          <w:tcPr>
            <w:tcW w:w="6379" w:type="dxa"/>
            <w:tcMar>
              <w:top w:w="0" w:type="dxa"/>
              <w:left w:w="45" w:type="dxa"/>
              <w:bottom w:w="0" w:type="dxa"/>
              <w:right w:w="45" w:type="dxa"/>
            </w:tcMar>
          </w:tcPr>
          <w:p w:rsidR="00A23469" w:rsidRPr="00F42B92" w:rsidRDefault="00711354" w:rsidP="00711354">
            <w:pPr>
              <w:rPr>
                <w:szCs w:val="22"/>
              </w:rPr>
            </w:pPr>
            <w:r w:rsidRPr="00F42B92">
              <w:rPr>
                <w:b/>
                <w:szCs w:val="22"/>
              </w:rPr>
              <w:t>Bez připomínek</w:t>
            </w:r>
            <w:r w:rsidRPr="00F42B92">
              <w:rPr>
                <w:szCs w:val="22"/>
              </w:rPr>
              <w:t xml:space="preserve"> – Připomínka od Úřadu vlády ČR – Vedoucí Úřadu vlády k Návrhu na sjednání Memoranda o porozumění pro implementaci Finančního mechanismu EHP na období 2014-2021 mezi Islandskou republiku, Lichtenštejnským knížectvím, Norským královstvím a Českou republikou a Memoranda o porozumění pro implementaci Finančního mechanismu Norska na období 2014-2021 mezi Norským královstvím a Českou republikou</w:t>
            </w:r>
          </w:p>
        </w:tc>
        <w:tc>
          <w:tcPr>
            <w:tcW w:w="4678" w:type="dxa"/>
            <w:tcMar>
              <w:top w:w="0" w:type="dxa"/>
              <w:left w:w="45" w:type="dxa"/>
              <w:bottom w:w="0" w:type="dxa"/>
              <w:right w:w="45" w:type="dxa"/>
            </w:tcMar>
          </w:tcPr>
          <w:p w:rsidR="00A23469" w:rsidRPr="00F42B92" w:rsidRDefault="00711354" w:rsidP="00C06B14">
            <w:pPr>
              <w:rPr>
                <w:szCs w:val="22"/>
              </w:rPr>
            </w:pPr>
            <w:r w:rsidRPr="00F42B92">
              <w:rPr>
                <w:szCs w:val="22"/>
              </w:rPr>
              <w:t>---</w:t>
            </w:r>
          </w:p>
        </w:tc>
        <w:tc>
          <w:tcPr>
            <w:tcW w:w="1700" w:type="dxa"/>
            <w:tcMar>
              <w:top w:w="0" w:type="dxa"/>
              <w:left w:w="45" w:type="dxa"/>
              <w:bottom w:w="0" w:type="dxa"/>
              <w:right w:w="45" w:type="dxa"/>
            </w:tcMar>
          </w:tcPr>
          <w:p w:rsidR="00A23469" w:rsidRPr="00F42B92" w:rsidRDefault="00711354" w:rsidP="00711354">
            <w:pPr>
              <w:rPr>
                <w:sz w:val="20"/>
                <w:szCs w:val="20"/>
              </w:rPr>
            </w:pPr>
            <w:r w:rsidRPr="00F42B92">
              <w:rPr>
                <w:sz w:val="20"/>
                <w:szCs w:val="20"/>
              </w:rPr>
              <w:t>eKLEPem 28.6.2017 (č.j. MF-16180/2017/5804-10, PID: MFCR7XKFQV)</w:t>
            </w:r>
          </w:p>
        </w:tc>
      </w:tr>
      <w:tr w:rsidR="00F42B92" w:rsidRPr="00F42B92" w:rsidTr="00E779E4">
        <w:tc>
          <w:tcPr>
            <w:tcW w:w="992" w:type="dxa"/>
            <w:tcMar>
              <w:top w:w="0" w:type="dxa"/>
              <w:left w:w="45" w:type="dxa"/>
              <w:bottom w:w="0" w:type="dxa"/>
              <w:right w:w="45" w:type="dxa"/>
            </w:tcMar>
          </w:tcPr>
          <w:p w:rsidR="00A23469" w:rsidRPr="00F42B92" w:rsidRDefault="00835915" w:rsidP="00C06B14">
            <w:pPr>
              <w:jc w:val="center"/>
              <w:rPr>
                <w:szCs w:val="22"/>
              </w:rPr>
            </w:pPr>
            <w:r w:rsidRPr="00F42B92">
              <w:rPr>
                <w:szCs w:val="22"/>
              </w:rPr>
              <w:t>ÚV</w:t>
            </w:r>
          </w:p>
        </w:tc>
        <w:tc>
          <w:tcPr>
            <w:tcW w:w="1135" w:type="dxa"/>
            <w:tcMar>
              <w:top w:w="0" w:type="dxa"/>
              <w:left w:w="45" w:type="dxa"/>
              <w:bottom w:w="0" w:type="dxa"/>
              <w:right w:w="45" w:type="dxa"/>
            </w:tcMar>
          </w:tcPr>
          <w:p w:rsidR="00A23469" w:rsidRPr="00F42B92" w:rsidRDefault="00A23469" w:rsidP="00C06B14">
            <w:pPr>
              <w:jc w:val="center"/>
              <w:rPr>
                <w:szCs w:val="22"/>
              </w:rPr>
            </w:pPr>
          </w:p>
        </w:tc>
        <w:tc>
          <w:tcPr>
            <w:tcW w:w="6379" w:type="dxa"/>
            <w:tcMar>
              <w:top w:w="0" w:type="dxa"/>
              <w:left w:w="45" w:type="dxa"/>
              <w:bottom w:w="0" w:type="dxa"/>
              <w:right w:w="45" w:type="dxa"/>
            </w:tcMar>
          </w:tcPr>
          <w:p w:rsidR="00A23469" w:rsidRPr="00F42B92" w:rsidRDefault="00E14CB9" w:rsidP="00E14CB9">
            <w:pPr>
              <w:rPr>
                <w:szCs w:val="22"/>
              </w:rPr>
            </w:pPr>
            <w:r w:rsidRPr="00F42B92">
              <w:rPr>
                <w:szCs w:val="22"/>
              </w:rPr>
              <w:t xml:space="preserve">Sekce pro lidská práva, rovné příležitosti a legislativu: k Vaší žádosti o stanovisko k návrhu na sjednání Memoranda o porozumění pro implementaci Finančního mechanismu EHP na období 2014-2021 mezi Islandskou republikou, Lichtenštejnským knížectvím, Norským královstvím a Českou republikou a Memoranda o porozumění pro implementaci Finančního mechanismu Norska na období 2014-2021 mezi Norským královstvím a Českou republikou sděluji, že k předmětnému materiálu </w:t>
            </w:r>
            <w:r w:rsidRPr="00F42B92">
              <w:rPr>
                <w:b/>
                <w:szCs w:val="22"/>
              </w:rPr>
              <w:t>nemám připomínky</w:t>
            </w:r>
            <w:r w:rsidRPr="00F42B92">
              <w:rPr>
                <w:szCs w:val="22"/>
              </w:rPr>
              <w:t>.</w:t>
            </w:r>
          </w:p>
        </w:tc>
        <w:tc>
          <w:tcPr>
            <w:tcW w:w="4678" w:type="dxa"/>
            <w:tcMar>
              <w:top w:w="0" w:type="dxa"/>
              <w:left w:w="45" w:type="dxa"/>
              <w:bottom w:w="0" w:type="dxa"/>
              <w:right w:w="45" w:type="dxa"/>
            </w:tcMar>
          </w:tcPr>
          <w:p w:rsidR="00A23469" w:rsidRPr="00F42B92" w:rsidRDefault="00E14CB9" w:rsidP="00C06B14">
            <w:pPr>
              <w:rPr>
                <w:szCs w:val="22"/>
              </w:rPr>
            </w:pPr>
            <w:r w:rsidRPr="00F42B92">
              <w:rPr>
                <w:szCs w:val="22"/>
              </w:rPr>
              <w:t>---</w:t>
            </w:r>
          </w:p>
        </w:tc>
        <w:tc>
          <w:tcPr>
            <w:tcW w:w="1700" w:type="dxa"/>
            <w:tcMar>
              <w:top w:w="0" w:type="dxa"/>
              <w:left w:w="45" w:type="dxa"/>
              <w:bottom w:w="0" w:type="dxa"/>
              <w:right w:w="45" w:type="dxa"/>
            </w:tcMar>
          </w:tcPr>
          <w:p w:rsidR="00A23469" w:rsidRPr="00F42B92" w:rsidRDefault="00E14CB9" w:rsidP="00E14CB9">
            <w:pPr>
              <w:rPr>
                <w:i/>
                <w:sz w:val="20"/>
                <w:szCs w:val="20"/>
              </w:rPr>
            </w:pPr>
            <w:r w:rsidRPr="00F42B92">
              <w:rPr>
                <w:sz w:val="20"/>
                <w:szCs w:val="20"/>
              </w:rPr>
              <w:t>eKLEPem 29.6.2017 (č.j. MF-16180/2017/5804-11, PID: MFCR7XKGAE)</w:t>
            </w:r>
          </w:p>
        </w:tc>
      </w:tr>
      <w:tr w:rsidR="00F42B92" w:rsidRPr="00F42B92" w:rsidTr="00E779E4">
        <w:tc>
          <w:tcPr>
            <w:tcW w:w="992" w:type="dxa"/>
            <w:tcMar>
              <w:top w:w="0" w:type="dxa"/>
              <w:left w:w="45" w:type="dxa"/>
              <w:bottom w:w="0" w:type="dxa"/>
              <w:right w:w="45" w:type="dxa"/>
            </w:tcMar>
          </w:tcPr>
          <w:p w:rsidR="00AC02D7" w:rsidRPr="00F42B92" w:rsidRDefault="00AC02D7" w:rsidP="00AE4214">
            <w:pPr>
              <w:jc w:val="center"/>
              <w:rPr>
                <w:szCs w:val="22"/>
              </w:rPr>
            </w:pPr>
            <w:r w:rsidRPr="00F42B92">
              <w:rPr>
                <w:szCs w:val="22"/>
              </w:rPr>
              <w:t>MŠMT</w:t>
            </w:r>
          </w:p>
        </w:tc>
        <w:tc>
          <w:tcPr>
            <w:tcW w:w="1135" w:type="dxa"/>
            <w:tcMar>
              <w:top w:w="0" w:type="dxa"/>
              <w:left w:w="45" w:type="dxa"/>
              <w:bottom w:w="0" w:type="dxa"/>
              <w:right w:w="45" w:type="dxa"/>
            </w:tcMar>
          </w:tcPr>
          <w:p w:rsidR="00AC02D7" w:rsidRPr="00F42B92" w:rsidRDefault="0022018F" w:rsidP="00AE4214">
            <w:pPr>
              <w:jc w:val="center"/>
              <w:rPr>
                <w:b/>
                <w:szCs w:val="22"/>
              </w:rPr>
            </w:pPr>
            <w:r w:rsidRPr="00F42B92">
              <w:rPr>
                <w:b/>
                <w:szCs w:val="22"/>
              </w:rPr>
              <w:t>Zásadní</w:t>
            </w:r>
          </w:p>
        </w:tc>
        <w:tc>
          <w:tcPr>
            <w:tcW w:w="6379" w:type="dxa"/>
            <w:tcMar>
              <w:top w:w="0" w:type="dxa"/>
              <w:left w:w="45" w:type="dxa"/>
              <w:bottom w:w="0" w:type="dxa"/>
              <w:right w:w="45" w:type="dxa"/>
            </w:tcMar>
          </w:tcPr>
          <w:p w:rsidR="0022018F" w:rsidRPr="00F42B92" w:rsidRDefault="0022018F" w:rsidP="00DC3400">
            <w:pPr>
              <w:widowControl w:val="0"/>
              <w:autoSpaceDE w:val="0"/>
              <w:autoSpaceDN w:val="0"/>
              <w:adjustRightInd w:val="0"/>
              <w:jc w:val="both"/>
              <w:rPr>
                <w:bCs/>
                <w:noProof/>
                <w:szCs w:val="22"/>
              </w:rPr>
            </w:pPr>
            <w:r w:rsidRPr="00F42B92">
              <w:rPr>
                <w:b/>
                <w:bCs/>
                <w:noProof/>
                <w:szCs w:val="22"/>
              </w:rPr>
              <w:t>K materiálu obecně:</w:t>
            </w:r>
            <w:r w:rsidRPr="00F42B92">
              <w:rPr>
                <w:bCs/>
                <w:noProof/>
                <w:szCs w:val="22"/>
              </w:rPr>
              <w:t xml:space="preserve"> MŠMT v rámci dohodovacího řízení s MF ČR k implementaci priority „Inovace, výzkum, vzdělávání a konkurenceschopnost“ opakovaně z pozice náměstka sekce vysokého školství, vědy a výzkumu Ing. Roberta Plagy, Ph.D. upozorňovalo na fakt, že Ministerstvo financí ČR (MF) ani TA ČR nemohou být dle zákona č. 130/2002 Sb. v pozici zprostředkovatele programu, neboť ze zákona č. 130/2002 Sb. neplyne, že by tyto instituce v daném případě institucionální podporu mohly poskytovat. Poskytování podpory na vědu, výzkum a inovace z veřejných prostředků se řídí právě speciální úpravou zákona č. 130/2002 Sb. Uvedení MF  jako zprostředkovatele programu je tedy v rozporu s výše uvedenou legislativou, navíc v materiálu není ani popsán vztah MF a TA ČR k oblasti VaV. </w:t>
            </w:r>
            <w:r w:rsidRPr="00F42B92">
              <w:rPr>
                <w:bCs/>
                <w:noProof/>
                <w:szCs w:val="22"/>
              </w:rPr>
              <w:lastRenderedPageBreak/>
              <w:t xml:space="preserve">V předkládací zprávě se uvádí, že připomínkovými místy jsou jen instituce, které se budou přímo podílet na realizaci Finančních mechanismů EHP/Norska 2014-2021. Mezi zmíněnými připomínkovými místy je i MŠMT, ačkoliv dle předloženého materiálu neplní žádnou roli. </w:t>
            </w:r>
          </w:p>
          <w:p w:rsidR="00AC02D7" w:rsidRPr="00F42B92" w:rsidRDefault="0022018F" w:rsidP="00DC3400">
            <w:pPr>
              <w:widowControl w:val="0"/>
              <w:autoSpaceDE w:val="0"/>
              <w:autoSpaceDN w:val="0"/>
              <w:adjustRightInd w:val="0"/>
              <w:jc w:val="both"/>
              <w:rPr>
                <w:bCs/>
                <w:noProof/>
                <w:szCs w:val="22"/>
              </w:rPr>
            </w:pPr>
            <w:r w:rsidRPr="00F42B92">
              <w:rPr>
                <w:bCs/>
                <w:noProof/>
                <w:szCs w:val="22"/>
              </w:rPr>
              <w:t>S ohledem na výše uvedené vyjadřujeme s návrhem zásadní nesouhlas a požadujeme jeho přepracování tak, aby byl uveden do souladu s národní legislativou.</w:t>
            </w:r>
          </w:p>
        </w:tc>
        <w:tc>
          <w:tcPr>
            <w:tcW w:w="4678" w:type="dxa"/>
            <w:tcMar>
              <w:top w:w="0" w:type="dxa"/>
              <w:left w:w="45" w:type="dxa"/>
              <w:bottom w:w="0" w:type="dxa"/>
              <w:right w:w="45" w:type="dxa"/>
            </w:tcMar>
          </w:tcPr>
          <w:p w:rsidR="00AC02D7" w:rsidRPr="00F42B92" w:rsidRDefault="00404F72" w:rsidP="00AE4214">
            <w:pPr>
              <w:rPr>
                <w:b/>
                <w:szCs w:val="22"/>
              </w:rPr>
            </w:pPr>
            <w:r w:rsidRPr="00F42B92">
              <w:rPr>
                <w:b/>
                <w:szCs w:val="22"/>
              </w:rPr>
              <w:lastRenderedPageBreak/>
              <w:t>Zásadní připomínka nebyla akceptována</w:t>
            </w:r>
          </w:p>
          <w:p w:rsidR="00404F72" w:rsidRPr="00F42B92" w:rsidRDefault="00404F72" w:rsidP="00404F72">
            <w:pPr>
              <w:pStyle w:val="Odstavecseseznamem"/>
              <w:ind w:left="0"/>
              <w:jc w:val="both"/>
              <w:rPr>
                <w:szCs w:val="22"/>
              </w:rPr>
            </w:pPr>
            <w:r w:rsidRPr="00F42B92">
              <w:rPr>
                <w:szCs w:val="22"/>
              </w:rPr>
              <w:t xml:space="preserve">Zástupci Národního kontaktního místa pro EHP a Norské fondy v ČR (NKM) spolu se zástupci donorských států v rámci vyjednávání o zprostředkovateli programu na vědu, výzkum a inovace pro EHP a Norské fondy 2014 -2021 opakovaně na jednáních za účasti náměstka Plagy, či tehdejšího náměstka Štecha, zdůrazňovali, že na základě negativních zkušenosti s MŠMT jakožto zprostředkovatelem (administrátorem) programu na vědu a výzkum pro EHP a Norské fondy 2009-2014 je pro donory neakceptovatelné, aby bylo MŠMT </w:t>
            </w:r>
            <w:r w:rsidRPr="00F42B92">
              <w:rPr>
                <w:szCs w:val="22"/>
              </w:rPr>
              <w:lastRenderedPageBreak/>
              <w:t xml:space="preserve">nadále zprostředkovatelem obdobného programu, a ze strany donorů bylo navrženo, aby pro nové období program na vědu, výzkum a inovace administrovala Technologická agentura ČR. Zapojení obdobných agentur do administrace programů EHP a Norských fondů je donory upřednostňováno, a stejně tak pro program životního prostředí bylo donory požadováno, aby příslušný program administroval Státní fond životního prostředí (SFŽP), nikoli příslušné liniové ministerstvo. </w:t>
            </w:r>
          </w:p>
          <w:p w:rsidR="00404F72" w:rsidRPr="00F42B92" w:rsidRDefault="00404F72" w:rsidP="00404F72">
            <w:pPr>
              <w:pStyle w:val="Odstavecseseznamem"/>
              <w:ind w:left="0"/>
              <w:jc w:val="both"/>
              <w:rPr>
                <w:szCs w:val="22"/>
              </w:rPr>
            </w:pPr>
            <w:r w:rsidRPr="00F42B92">
              <w:rPr>
                <w:szCs w:val="22"/>
              </w:rPr>
              <w:t>S ohledem na výhrady MŠMT vůči TAČRu jakožto zprostředkovateli programu, bylo navrženo alternativní řešení (z pohledu MF ČR a donorů však zbytečně komplikovanější řešení), a sice že roli zprostředkovatele programu na vědu, výzkum a inovace bude plnit (tak jako u několika jiných programů) Národní kontaktní místo – tedy MFČR a většina činností a odpovědností bude delegována na TAČR. Tato varianta byla projednána a stvrzena i na jedn</w:t>
            </w:r>
            <w:r w:rsidR="00EA0671" w:rsidRPr="00F42B92">
              <w:rPr>
                <w:szCs w:val="22"/>
              </w:rPr>
              <w:t>ání mezi ministrem financí Babi</w:t>
            </w:r>
            <w:r w:rsidRPr="00F42B92">
              <w:rPr>
                <w:szCs w:val="22"/>
              </w:rPr>
              <w:t xml:space="preserve">šem a norským ministrem pro evropské záležitosti F. Bakke-Jensenem dne 31. března 2017, o čemž bylo MŠMT informováno dopisem ministra Babiše na ministryni Valachovou dne 6. dubna 2017. Ve zmíněném dopise bylo mj. uvedeno, že MF ČR nesdílí s MŠMT výklad dotčené legislativy. </w:t>
            </w:r>
          </w:p>
          <w:p w:rsidR="00404F72" w:rsidRPr="00F42B92" w:rsidRDefault="00404F72" w:rsidP="00404F72">
            <w:pPr>
              <w:pStyle w:val="Odstavecseseznamem"/>
              <w:ind w:left="0"/>
              <w:jc w:val="both"/>
              <w:rPr>
                <w:szCs w:val="22"/>
              </w:rPr>
            </w:pPr>
            <w:r w:rsidRPr="00F42B92">
              <w:rPr>
                <w:szCs w:val="22"/>
              </w:rPr>
              <w:t xml:space="preserve">MFČR je dle kompetenčního zákona zodpovědné za koordinaci příjmu zahraniční pomoci v ČR. Prostředky z programu na vědu, výzkum a inovace budou poskytovány prostřednictvím TAČR na projekty v aplikovaném výzkumu formou účelové podpory, tedy plně v kompetenci se statutem TAČR a příslušnou legislativou. Varianta, že by bylo zprostředkovatelem MŠMT, je pro donory naprosto neakceptovatelná a Národnímu kontaktnímu místu </w:t>
            </w:r>
            <w:r w:rsidRPr="00F42B92">
              <w:rPr>
                <w:szCs w:val="22"/>
              </w:rPr>
              <w:lastRenderedPageBreak/>
              <w:t>bylo sděleno, že by mohlo dojít k pozastavení poskytnutí všech prostředků určených pro ČR.</w:t>
            </w:r>
          </w:p>
          <w:p w:rsidR="00404F72" w:rsidRPr="00F42B92" w:rsidRDefault="00404F72" w:rsidP="00404F72">
            <w:pPr>
              <w:pStyle w:val="Odstavecseseznamem"/>
              <w:ind w:left="0"/>
              <w:jc w:val="both"/>
              <w:rPr>
                <w:szCs w:val="22"/>
              </w:rPr>
            </w:pPr>
            <w:r w:rsidRPr="00F42B92">
              <w:rPr>
                <w:szCs w:val="22"/>
              </w:rPr>
              <w:t>Prostředky EHP a Norských fondů jsou poskytovány z donorských států, a jsou tedy i respektovány požadavky donorských států, zejména pokud opakovaně zmiňují, že pro ně není přijatelné, aby MŠMT nadále administrovalo program na vědu, výzkum a inovace.</w:t>
            </w:r>
          </w:p>
          <w:p w:rsidR="00404F72" w:rsidRPr="00F42B92" w:rsidRDefault="00404F72" w:rsidP="00404F72">
            <w:pPr>
              <w:jc w:val="both"/>
              <w:rPr>
                <w:szCs w:val="22"/>
              </w:rPr>
            </w:pPr>
            <w:r w:rsidRPr="00F42B92">
              <w:rPr>
                <w:szCs w:val="22"/>
              </w:rPr>
              <w:t>Připomínkovými místy jsou myšleny i instituce, které nejsou sice v roli zprostředkovatele či partnera programu, ale jichž se zaměření programů podporovaných v ČR alespoň částečně dotýká. V případě MŠMT je to zejména program na vzdělávání, kde je zprostředkovatelem Dům zahraniční spolupráce, tedy příspěvková organizace MŠMT, a kde se jednoznačně počítá se zapojením MŠMT, a to nejen při definování zaměření programu. Dále pak, stejně jako např. Úřadu vlády ČR se MŠMT dotýká agenda vědy, výzkumu a inovací, kde se rovněž předpokládá, že zástupci obou institucí budou přizvání k jednáním s dalšími zainteresovanými subjekty k definování zaměření příslušného programu.</w:t>
            </w:r>
          </w:p>
          <w:p w:rsidR="0029169C" w:rsidRPr="00F42B92" w:rsidRDefault="0029169C" w:rsidP="00404F72">
            <w:pPr>
              <w:jc w:val="both"/>
              <w:rPr>
                <w:b/>
                <w:szCs w:val="22"/>
              </w:rPr>
            </w:pPr>
            <w:r w:rsidRPr="00F42B92">
              <w:rPr>
                <w:b/>
                <w:szCs w:val="22"/>
              </w:rPr>
              <w:t>Materiál je předkládán s rozporem.</w:t>
            </w:r>
          </w:p>
          <w:p w:rsidR="00851A75" w:rsidRPr="00F42B92" w:rsidRDefault="00851A75" w:rsidP="00404F72">
            <w:pPr>
              <w:jc w:val="both"/>
              <w:rPr>
                <w:b/>
                <w:szCs w:val="22"/>
              </w:rPr>
            </w:pPr>
          </w:p>
          <w:p w:rsidR="00851A75" w:rsidRPr="00F42B92" w:rsidRDefault="00851A75" w:rsidP="00851A75">
            <w:pPr>
              <w:rPr>
                <w:i/>
                <w:szCs w:val="22"/>
              </w:rPr>
            </w:pPr>
            <w:r w:rsidRPr="00F42B92">
              <w:rPr>
                <w:i/>
                <w:szCs w:val="22"/>
              </w:rPr>
              <w:t xml:space="preserve">O vypořádání připomínek byl navrhovatel informován e-mailem dne 12.7.2017 (adresováno na </w:t>
            </w:r>
            <w:hyperlink r:id="rId8" w:history="1">
              <w:r w:rsidRPr="00F42B92">
                <w:rPr>
                  <w:rStyle w:val="Hypertextovodkaz"/>
                  <w:i/>
                  <w:color w:val="auto"/>
                  <w:szCs w:val="22"/>
                </w:rPr>
                <w:t>robert.plaga@msmt.cz</w:t>
              </w:r>
            </w:hyperlink>
            <w:r w:rsidRPr="00F42B92">
              <w:rPr>
                <w:i/>
                <w:szCs w:val="22"/>
              </w:rPr>
              <w:t xml:space="preserve">, </w:t>
            </w:r>
            <w:hyperlink r:id="rId9" w:history="1">
              <w:r w:rsidRPr="00F42B92">
                <w:rPr>
                  <w:rStyle w:val="Hypertextovodkaz"/>
                  <w:i/>
                  <w:color w:val="auto"/>
                  <w:szCs w:val="22"/>
                </w:rPr>
                <w:t>jiri.burgstaller@msmt.cz</w:t>
              </w:r>
            </w:hyperlink>
            <w:r w:rsidRPr="00F42B92">
              <w:rPr>
                <w:i/>
                <w:szCs w:val="22"/>
              </w:rPr>
              <w:t xml:space="preserve"> a </w:t>
            </w:r>
            <w:hyperlink r:id="rId10" w:history="1">
              <w:r w:rsidRPr="00F42B92">
                <w:rPr>
                  <w:rStyle w:val="Hypertextovodkaz"/>
                  <w:i/>
                  <w:color w:val="auto"/>
                  <w:szCs w:val="22"/>
                </w:rPr>
                <w:t>iva.vackova@msmt.cz</w:t>
              </w:r>
            </w:hyperlink>
            <w:r w:rsidRPr="00F42B92">
              <w:rPr>
                <w:i/>
                <w:szCs w:val="22"/>
              </w:rPr>
              <w:t>).</w:t>
            </w:r>
          </w:p>
          <w:p w:rsidR="00851A75" w:rsidRPr="00F42B92" w:rsidRDefault="00851A75" w:rsidP="00851A75">
            <w:pPr>
              <w:rPr>
                <w:b/>
                <w:szCs w:val="22"/>
              </w:rPr>
            </w:pPr>
            <w:r w:rsidRPr="00F42B92">
              <w:rPr>
                <w:i/>
                <w:szCs w:val="22"/>
              </w:rPr>
              <w:t>K vypořádání připomínek proběhla dne 13.7.2017 schůzka na úrovni náměstků obou ministerstev (Mgr. Milena Hrdinková a Ing. Robert Plaga, Ph.D.)</w:t>
            </w:r>
          </w:p>
        </w:tc>
        <w:tc>
          <w:tcPr>
            <w:tcW w:w="1700" w:type="dxa"/>
            <w:tcMar>
              <w:top w:w="0" w:type="dxa"/>
              <w:left w:w="45" w:type="dxa"/>
              <w:bottom w:w="0" w:type="dxa"/>
              <w:right w:w="45" w:type="dxa"/>
            </w:tcMar>
          </w:tcPr>
          <w:p w:rsidR="00AC02D7" w:rsidRPr="00F42B92" w:rsidRDefault="00DC3400" w:rsidP="00DC3400">
            <w:pPr>
              <w:rPr>
                <w:sz w:val="20"/>
                <w:szCs w:val="20"/>
              </w:rPr>
            </w:pPr>
            <w:r w:rsidRPr="00F42B92">
              <w:rPr>
                <w:sz w:val="20"/>
                <w:szCs w:val="20"/>
              </w:rPr>
              <w:lastRenderedPageBreak/>
              <w:t>eKLEPem 29.6.2017 (č.j. MF-16180/2017/5804-12, PID: MFCR7XKGFM)</w:t>
            </w:r>
          </w:p>
        </w:tc>
      </w:tr>
      <w:tr w:rsidR="00F42B92" w:rsidRPr="00F42B92" w:rsidTr="00E779E4">
        <w:tc>
          <w:tcPr>
            <w:tcW w:w="992" w:type="dxa"/>
            <w:tcMar>
              <w:top w:w="0" w:type="dxa"/>
              <w:left w:w="45" w:type="dxa"/>
              <w:bottom w:w="0" w:type="dxa"/>
              <w:right w:w="45" w:type="dxa"/>
            </w:tcMar>
          </w:tcPr>
          <w:p w:rsidR="0022018F" w:rsidRPr="00F42B92" w:rsidRDefault="0022018F" w:rsidP="00AE4214">
            <w:pPr>
              <w:jc w:val="center"/>
              <w:rPr>
                <w:szCs w:val="22"/>
              </w:rPr>
            </w:pPr>
            <w:r w:rsidRPr="00F42B92">
              <w:rPr>
                <w:szCs w:val="22"/>
              </w:rPr>
              <w:lastRenderedPageBreak/>
              <w:t>MŠMT</w:t>
            </w:r>
          </w:p>
        </w:tc>
        <w:tc>
          <w:tcPr>
            <w:tcW w:w="1135" w:type="dxa"/>
            <w:tcMar>
              <w:top w:w="0" w:type="dxa"/>
              <w:left w:w="45" w:type="dxa"/>
              <w:bottom w:w="0" w:type="dxa"/>
              <w:right w:w="45" w:type="dxa"/>
            </w:tcMar>
          </w:tcPr>
          <w:p w:rsidR="0022018F" w:rsidRPr="00F42B92" w:rsidRDefault="0022018F" w:rsidP="00AE4214">
            <w:pPr>
              <w:jc w:val="center"/>
              <w:rPr>
                <w:b/>
                <w:szCs w:val="22"/>
              </w:rPr>
            </w:pPr>
            <w:r w:rsidRPr="00F42B92">
              <w:rPr>
                <w:b/>
                <w:szCs w:val="22"/>
              </w:rPr>
              <w:t>Zásadní</w:t>
            </w:r>
          </w:p>
        </w:tc>
        <w:tc>
          <w:tcPr>
            <w:tcW w:w="6379" w:type="dxa"/>
            <w:tcMar>
              <w:top w:w="0" w:type="dxa"/>
              <w:left w:w="45" w:type="dxa"/>
              <w:bottom w:w="0" w:type="dxa"/>
              <w:right w:w="45" w:type="dxa"/>
            </w:tcMar>
          </w:tcPr>
          <w:p w:rsidR="0022018F" w:rsidRPr="00F42B92" w:rsidRDefault="0022018F" w:rsidP="00DC3400">
            <w:pPr>
              <w:widowControl w:val="0"/>
              <w:autoSpaceDE w:val="0"/>
              <w:autoSpaceDN w:val="0"/>
              <w:adjustRightInd w:val="0"/>
              <w:jc w:val="both"/>
              <w:rPr>
                <w:bCs/>
                <w:noProof/>
                <w:szCs w:val="22"/>
              </w:rPr>
            </w:pPr>
            <w:r w:rsidRPr="00F42B92">
              <w:rPr>
                <w:b/>
                <w:bCs/>
                <w:noProof/>
                <w:szCs w:val="22"/>
              </w:rPr>
              <w:t>K materiálu obecně:</w:t>
            </w:r>
            <w:r w:rsidRPr="00F42B92">
              <w:rPr>
                <w:bCs/>
                <w:noProof/>
                <w:szCs w:val="22"/>
              </w:rPr>
              <w:t xml:space="preserve"> MŠMT dále v rámci dohodovacího řízení k implementaci této priority upozorňovalo na fakt, že podle budoucích pravidel finančních mechanismů (zejména Regulation on the implementation of the Norwegian Financial Mechanism 2014-2021, Guideline for research programmes) vyhlašuje výzvy, shromažďuje návrhy atd. pouze zprostředkovatel programu (podle návrhu tedy MF, což je však v rozporu s národní legislativou, jak již bylo uvedeno výše), jak se například uvádí v bodě 8.3 Guideline „Calls for proposals shall reflect and promote the objectives of the research programme and be organised by the Programme Operator in consultation with the Programme Committee and Donor Programme Partner(s).“ (dále body 8.4, 8.5 a 8.6 Guideline), a nikoliv partner programu či subjekt v jakékoliv jiné roli nedefinované v pravidlech (podle návrhu má být Technologická agentura ČR). Pravidla finančních mechanismů vůbec nedefinují partnera programu (TAČR) jako implementační útvar. Tím již vzniká riziko, že systém programu bude od začátku nastaven chybně, což může napadnout budoucí audit nebo NKÚ.</w:t>
            </w:r>
          </w:p>
          <w:p w:rsidR="0022018F" w:rsidRPr="00F42B92" w:rsidRDefault="0022018F" w:rsidP="00DC3400">
            <w:r w:rsidRPr="00F42B92">
              <w:rPr>
                <w:bCs/>
                <w:noProof/>
                <w:szCs w:val="22"/>
              </w:rPr>
              <w:t>Požadujeme materiál přepracovat tak, aby byl uveden do souladu s výše uvedenými finančními mechanismy.</w:t>
            </w:r>
          </w:p>
        </w:tc>
        <w:tc>
          <w:tcPr>
            <w:tcW w:w="4678" w:type="dxa"/>
            <w:tcMar>
              <w:top w:w="0" w:type="dxa"/>
              <w:left w:w="45" w:type="dxa"/>
              <w:bottom w:w="0" w:type="dxa"/>
              <w:right w:w="45" w:type="dxa"/>
            </w:tcMar>
          </w:tcPr>
          <w:p w:rsidR="0022018F" w:rsidRPr="00F42B92" w:rsidRDefault="00404F72" w:rsidP="00AE4214">
            <w:pPr>
              <w:rPr>
                <w:b/>
                <w:szCs w:val="22"/>
              </w:rPr>
            </w:pPr>
            <w:r w:rsidRPr="00F42B92">
              <w:rPr>
                <w:b/>
                <w:szCs w:val="22"/>
              </w:rPr>
              <w:t>Zásadní připomínka nebyla akceptována</w:t>
            </w:r>
          </w:p>
          <w:p w:rsidR="00404F72" w:rsidRPr="00F42B92" w:rsidRDefault="00404F72" w:rsidP="008E4391">
            <w:pPr>
              <w:jc w:val="both"/>
              <w:rPr>
                <w:szCs w:val="22"/>
              </w:rPr>
            </w:pPr>
            <w:r w:rsidRPr="00F42B92">
              <w:rPr>
                <w:szCs w:val="22"/>
              </w:rPr>
              <w:t>Zde se jedná o mylný výklad uvedených dokumentů ze strany MŠMT. Nikde není uvedeno, že by nemohl zprostředkovatel programu delegovat některé činnosti na jiný subjekt, a již se tak stalo v rámci současného období EHP a Norských fondů, a je to obvyklé i u jiných zemí (např. delegovat verifikaci plateb na jiný subjekt apod.). Pokud by to bylo v rozporu s dotčenými dokumenty, pak by to samozřejmě sami donoři nenavrhovali. Navíc Regulation a ostatní Guidelines jsou obecné a společné pro všechny přijímající státy, a pokud jsou tyto dokumenty v něčem pro příslušný stát nevyhovující, je prostor právě v Memorandech o porozumění, definovat případné výjimky, se kterými musí souhlasit obě strany (tedy daný přijímající stát i donoři). TAČR není v Memorandech uveden jako partner programu, ale je tam zmíněno, že bude aktivně zapojena a bude účinně přispívat k vývoji a implementaci programu</w:t>
            </w:r>
            <w:r w:rsidR="008E4391" w:rsidRPr="00F42B92">
              <w:rPr>
                <w:szCs w:val="22"/>
              </w:rPr>
              <w:t>.</w:t>
            </w:r>
            <w:r w:rsidRPr="00F42B92">
              <w:rPr>
                <w:szCs w:val="22"/>
              </w:rPr>
              <w:t xml:space="preserve"> Toto vše je plně v souladu s Regulation a dalšími dokumenty vydanými zástupci donorských států.</w:t>
            </w:r>
          </w:p>
          <w:p w:rsidR="0029169C" w:rsidRPr="00F42B92" w:rsidRDefault="0029169C" w:rsidP="008E4391">
            <w:pPr>
              <w:jc w:val="both"/>
              <w:rPr>
                <w:b/>
                <w:szCs w:val="22"/>
              </w:rPr>
            </w:pPr>
            <w:r w:rsidRPr="00F42B92">
              <w:rPr>
                <w:b/>
                <w:szCs w:val="22"/>
              </w:rPr>
              <w:t>Materiál je předkládán s rozporem.</w:t>
            </w:r>
          </w:p>
          <w:p w:rsidR="008639F1" w:rsidRPr="00F42B92" w:rsidRDefault="008639F1" w:rsidP="008E4391">
            <w:pPr>
              <w:jc w:val="both"/>
              <w:rPr>
                <w:b/>
                <w:szCs w:val="22"/>
              </w:rPr>
            </w:pPr>
          </w:p>
          <w:p w:rsidR="008639F1" w:rsidRPr="00F42B92" w:rsidRDefault="008639F1" w:rsidP="008639F1">
            <w:pPr>
              <w:rPr>
                <w:i/>
                <w:szCs w:val="22"/>
              </w:rPr>
            </w:pPr>
            <w:r w:rsidRPr="00F42B92">
              <w:rPr>
                <w:i/>
                <w:szCs w:val="22"/>
              </w:rPr>
              <w:t xml:space="preserve">O vypořádání připomínek byl navrhovatel informován e-mailem dne 12.7.2017 (adresováno na </w:t>
            </w:r>
            <w:hyperlink r:id="rId11" w:history="1">
              <w:r w:rsidRPr="00F42B92">
                <w:rPr>
                  <w:rStyle w:val="Hypertextovodkaz"/>
                  <w:i/>
                  <w:color w:val="auto"/>
                  <w:szCs w:val="22"/>
                </w:rPr>
                <w:t>robert.plaga@msmt.cz</w:t>
              </w:r>
            </w:hyperlink>
            <w:r w:rsidRPr="00F42B92">
              <w:rPr>
                <w:i/>
                <w:szCs w:val="22"/>
              </w:rPr>
              <w:t xml:space="preserve">, </w:t>
            </w:r>
            <w:hyperlink r:id="rId12" w:history="1">
              <w:r w:rsidRPr="00F42B92">
                <w:rPr>
                  <w:rStyle w:val="Hypertextovodkaz"/>
                  <w:i/>
                  <w:color w:val="auto"/>
                  <w:szCs w:val="22"/>
                </w:rPr>
                <w:t>jiri.burgstaller@msmt.cz</w:t>
              </w:r>
            </w:hyperlink>
            <w:r w:rsidRPr="00F42B92">
              <w:rPr>
                <w:i/>
                <w:szCs w:val="22"/>
              </w:rPr>
              <w:t xml:space="preserve"> a </w:t>
            </w:r>
            <w:hyperlink r:id="rId13" w:history="1">
              <w:r w:rsidRPr="00F42B92">
                <w:rPr>
                  <w:rStyle w:val="Hypertextovodkaz"/>
                  <w:i/>
                  <w:color w:val="auto"/>
                  <w:szCs w:val="22"/>
                </w:rPr>
                <w:t>iva.vackova@msmt.cz</w:t>
              </w:r>
            </w:hyperlink>
            <w:r w:rsidRPr="00F42B92">
              <w:rPr>
                <w:i/>
                <w:szCs w:val="22"/>
              </w:rPr>
              <w:t>).</w:t>
            </w:r>
          </w:p>
          <w:p w:rsidR="008639F1" w:rsidRPr="00F42B92" w:rsidRDefault="008639F1" w:rsidP="008639F1">
            <w:pPr>
              <w:jc w:val="both"/>
              <w:rPr>
                <w:b/>
                <w:szCs w:val="22"/>
              </w:rPr>
            </w:pPr>
            <w:r w:rsidRPr="00F42B92">
              <w:rPr>
                <w:i/>
                <w:szCs w:val="22"/>
              </w:rPr>
              <w:t>K vypořádání připomínek proběhla dne 13.7.2017 schůzka na úrovni náměstků obou ministerstev (Mgr. Milena Hrdinková a Ing. Robert Plaga, Ph.D.)</w:t>
            </w:r>
          </w:p>
        </w:tc>
        <w:tc>
          <w:tcPr>
            <w:tcW w:w="1700" w:type="dxa"/>
            <w:tcMar>
              <w:top w:w="0" w:type="dxa"/>
              <w:left w:w="45" w:type="dxa"/>
              <w:bottom w:w="0" w:type="dxa"/>
              <w:right w:w="45" w:type="dxa"/>
            </w:tcMar>
          </w:tcPr>
          <w:p w:rsidR="0022018F" w:rsidRPr="00F42B92" w:rsidRDefault="00DC3400" w:rsidP="00AE4214">
            <w:pPr>
              <w:rPr>
                <w:sz w:val="20"/>
                <w:szCs w:val="20"/>
              </w:rPr>
            </w:pPr>
            <w:r w:rsidRPr="00F42B92">
              <w:rPr>
                <w:sz w:val="20"/>
                <w:szCs w:val="20"/>
              </w:rPr>
              <w:t>eKLEPem 29.6.2017 (č.j. MF-16180/2017/5804-12, PID: MFCR7XKGFM)</w:t>
            </w:r>
          </w:p>
        </w:tc>
      </w:tr>
      <w:tr w:rsidR="00F42B92" w:rsidRPr="00F42B92" w:rsidTr="00E779E4">
        <w:tc>
          <w:tcPr>
            <w:tcW w:w="992" w:type="dxa"/>
            <w:tcMar>
              <w:top w:w="0" w:type="dxa"/>
              <w:left w:w="45" w:type="dxa"/>
              <w:bottom w:w="0" w:type="dxa"/>
              <w:right w:w="45" w:type="dxa"/>
            </w:tcMar>
          </w:tcPr>
          <w:p w:rsidR="00D946B8" w:rsidRPr="00F42B92" w:rsidRDefault="00DB6DDF" w:rsidP="00AE4214">
            <w:pPr>
              <w:jc w:val="center"/>
              <w:rPr>
                <w:szCs w:val="22"/>
              </w:rPr>
            </w:pPr>
            <w:r w:rsidRPr="00F42B92">
              <w:rPr>
                <w:szCs w:val="22"/>
              </w:rPr>
              <w:t>MŠMT</w:t>
            </w:r>
          </w:p>
        </w:tc>
        <w:tc>
          <w:tcPr>
            <w:tcW w:w="1135" w:type="dxa"/>
            <w:tcMar>
              <w:top w:w="0" w:type="dxa"/>
              <w:left w:w="45" w:type="dxa"/>
              <w:bottom w:w="0" w:type="dxa"/>
              <w:right w:w="45" w:type="dxa"/>
            </w:tcMar>
          </w:tcPr>
          <w:p w:rsidR="00D946B8" w:rsidRPr="00F42B92" w:rsidRDefault="00DB6DDF" w:rsidP="00AE4214">
            <w:pPr>
              <w:jc w:val="center"/>
              <w:rPr>
                <w:szCs w:val="22"/>
              </w:rPr>
            </w:pPr>
            <w:r w:rsidRPr="00F42B92">
              <w:rPr>
                <w:szCs w:val="22"/>
              </w:rPr>
              <w:t>Ostatní</w:t>
            </w:r>
          </w:p>
        </w:tc>
        <w:tc>
          <w:tcPr>
            <w:tcW w:w="6379" w:type="dxa"/>
            <w:tcMar>
              <w:top w:w="0" w:type="dxa"/>
              <w:left w:w="45" w:type="dxa"/>
              <w:bottom w:w="0" w:type="dxa"/>
              <w:right w:w="45" w:type="dxa"/>
            </w:tcMar>
          </w:tcPr>
          <w:p w:rsidR="008F543F" w:rsidRPr="00F42B92" w:rsidRDefault="008F543F" w:rsidP="008F543F">
            <w:pPr>
              <w:widowControl w:val="0"/>
              <w:autoSpaceDE w:val="0"/>
              <w:autoSpaceDN w:val="0"/>
              <w:adjustRightInd w:val="0"/>
              <w:jc w:val="both"/>
              <w:rPr>
                <w:bCs/>
                <w:noProof/>
                <w:szCs w:val="22"/>
              </w:rPr>
            </w:pPr>
            <w:r w:rsidRPr="00F42B92">
              <w:rPr>
                <w:b/>
                <w:szCs w:val="22"/>
              </w:rPr>
              <w:t xml:space="preserve">K příloze B Memoranda o porozumění pro implementaci Finančního mechanismu EHP, k části B. Program: Vzdělávání: </w:t>
            </w:r>
            <w:r w:rsidRPr="00F42B92">
              <w:rPr>
                <w:szCs w:val="22"/>
              </w:rPr>
              <w:t xml:space="preserve">Uplatňujeme </w:t>
            </w:r>
            <w:r w:rsidRPr="00F42B92">
              <w:rPr>
                <w:bCs/>
                <w:noProof/>
                <w:szCs w:val="22"/>
              </w:rPr>
              <w:t>připomínky k českému překladu, které se týkají  běžně užívané terminologie ve vzdělávání a také stylistických úprav v českém jazyce. Doporučujeme následující text překladu:</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„Cíl programu: Zvýšená úroveň lidského kapitálu a vzdělanostní základny"</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„Programová oblast/oblasti: Vzdělávání, stipendia, odborné vzdělávání a příprava a podnikavost mladých lidí"</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„Specifické zájmy: Program bude otevřený spolupráci na všech úrovních vzdělávání.</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Bude cílit na institucionální spolupráci i na mobilitu pracovníků a studentů na všech úrovních vzdělávání, včetně praktických stáží v oblasti odborného vzdělávání a přípravy.</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Dále bude zahrnovat podporu inkluzivního vzdělávání a přispívat ke zlepšování situace znevýhodněných skupin včetně romské populace.</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Program se bude též zabývat vzděláváním k demokratickým hodnotám a aktivnímu občanství a souvisejícími tématy."</w:t>
            </w:r>
          </w:p>
          <w:p w:rsidR="008F543F" w:rsidRPr="00F42B92" w:rsidRDefault="008F543F" w:rsidP="008F543F">
            <w:pPr>
              <w:widowControl w:val="0"/>
              <w:autoSpaceDE w:val="0"/>
              <w:autoSpaceDN w:val="0"/>
              <w:adjustRightInd w:val="0"/>
              <w:spacing w:after="120"/>
              <w:ind w:left="97"/>
              <w:jc w:val="both"/>
              <w:rPr>
                <w:bCs/>
                <w:noProof/>
                <w:szCs w:val="22"/>
              </w:rPr>
            </w:pPr>
            <w:r w:rsidRPr="00F42B92">
              <w:rPr>
                <w:bCs/>
                <w:noProof/>
                <w:szCs w:val="22"/>
              </w:rPr>
              <w:t>"Bilaterální aspekty: 75000 EUR bude do tohoto programu alokováno z Fondu pro bilaterální spolupráci. Současně bude možné, aby Společný výbor pro bilaterální fondy převedl do tohoto programu další finanční prostředky."</w:t>
            </w:r>
          </w:p>
          <w:p w:rsidR="00B71E6D" w:rsidRPr="00F42B92" w:rsidRDefault="008F543F" w:rsidP="00AE4214">
            <w:pPr>
              <w:rPr>
                <w:bCs/>
                <w:noProof/>
                <w:szCs w:val="22"/>
              </w:rPr>
            </w:pPr>
            <w:r w:rsidRPr="00F42B92">
              <w:rPr>
                <w:bCs/>
                <w:noProof/>
                <w:szCs w:val="22"/>
              </w:rPr>
              <w:t>Stylistickou úpravu v části „bilaterální aspekty" doporučujeme uplatnit ve všech částech materiálu.</w:t>
            </w:r>
          </w:p>
        </w:tc>
        <w:tc>
          <w:tcPr>
            <w:tcW w:w="4678" w:type="dxa"/>
            <w:tcMar>
              <w:top w:w="0" w:type="dxa"/>
              <w:left w:w="45" w:type="dxa"/>
              <w:bottom w:w="0" w:type="dxa"/>
              <w:right w:w="45" w:type="dxa"/>
            </w:tcMar>
          </w:tcPr>
          <w:p w:rsidR="00D946B8" w:rsidRPr="00F42B92" w:rsidRDefault="0026731B" w:rsidP="00AE4214">
            <w:pPr>
              <w:rPr>
                <w:b/>
                <w:szCs w:val="22"/>
              </w:rPr>
            </w:pPr>
            <w:r w:rsidRPr="00F42B92">
              <w:rPr>
                <w:b/>
                <w:szCs w:val="22"/>
              </w:rPr>
              <w:t>P</w:t>
            </w:r>
            <w:r w:rsidR="005C1710" w:rsidRPr="00F42B92">
              <w:rPr>
                <w:b/>
                <w:szCs w:val="22"/>
              </w:rPr>
              <w:t xml:space="preserve">řipomínka </w:t>
            </w:r>
            <w:r w:rsidRPr="00F42B92">
              <w:rPr>
                <w:b/>
                <w:szCs w:val="22"/>
              </w:rPr>
              <w:t>byla zapracována částečně</w:t>
            </w:r>
          </w:p>
          <w:p w:rsidR="005C1710" w:rsidRPr="00F42B92" w:rsidRDefault="005C1710" w:rsidP="00AE4214">
            <w:pPr>
              <w:rPr>
                <w:szCs w:val="22"/>
              </w:rPr>
            </w:pPr>
          </w:p>
          <w:p w:rsidR="00EE708F" w:rsidRPr="00F42B92" w:rsidRDefault="005C1710" w:rsidP="00AE4214">
            <w:pPr>
              <w:rPr>
                <w:szCs w:val="22"/>
              </w:rPr>
            </w:pPr>
            <w:r w:rsidRPr="00F42B92">
              <w:rPr>
                <w:szCs w:val="22"/>
              </w:rPr>
              <w:t xml:space="preserve">Navržené úpravy překladu </w:t>
            </w:r>
            <w:r w:rsidR="00B86D93" w:rsidRPr="00F42B92">
              <w:rPr>
                <w:szCs w:val="22"/>
              </w:rPr>
              <w:t xml:space="preserve">obsahové části programu Vzdělávání </w:t>
            </w:r>
            <w:r w:rsidRPr="00F42B92">
              <w:rPr>
                <w:szCs w:val="22"/>
              </w:rPr>
              <w:t>byly zapracovány do části III.a – překlad MoU EHP (str. 10-11, B. Program: Vzdělávání</w:t>
            </w:r>
            <w:r w:rsidR="00484593" w:rsidRPr="00F42B92">
              <w:rPr>
                <w:szCs w:val="22"/>
              </w:rPr>
              <w:t>)</w:t>
            </w:r>
            <w:r w:rsidR="00EE708F" w:rsidRPr="00F42B92">
              <w:rPr>
                <w:szCs w:val="22"/>
              </w:rPr>
              <w:t>.</w:t>
            </w:r>
          </w:p>
          <w:p w:rsidR="00EE708F" w:rsidRPr="00F42B92" w:rsidRDefault="00EE708F" w:rsidP="00AE4214">
            <w:pPr>
              <w:rPr>
                <w:szCs w:val="22"/>
              </w:rPr>
            </w:pPr>
          </w:p>
          <w:p w:rsidR="00B86D93" w:rsidRPr="00F42B92" w:rsidRDefault="00EE708F" w:rsidP="00EE708F">
            <w:pPr>
              <w:rPr>
                <w:szCs w:val="22"/>
              </w:rPr>
            </w:pPr>
            <w:r w:rsidRPr="00F42B92">
              <w:rPr>
                <w:szCs w:val="22"/>
              </w:rPr>
              <w:t xml:space="preserve">Navržená úprava v části „Bilaterální aspekty“ nebyla zapracována: </w:t>
            </w:r>
            <w:r w:rsidR="00A86645" w:rsidRPr="00F42B92">
              <w:rPr>
                <w:szCs w:val="22"/>
              </w:rPr>
              <w:t>původní text je podle našeho názoru přesným doslovným překladem anglického textu</w:t>
            </w:r>
            <w:r w:rsidR="0026731B" w:rsidRPr="00F42B92">
              <w:rPr>
                <w:szCs w:val="22"/>
              </w:rPr>
              <w:t>, zatímco navržená úprava je jiným vyjádřením textu, i když se stejným významem.</w:t>
            </w:r>
          </w:p>
          <w:p w:rsidR="00A86645" w:rsidRPr="00F42B92" w:rsidRDefault="00A86645" w:rsidP="00EE708F">
            <w:pPr>
              <w:rPr>
                <w:szCs w:val="22"/>
              </w:rPr>
            </w:pPr>
            <w:r w:rsidRPr="00F42B92">
              <w:t>Ve FM 2014-2021 je BF skutečně „Fond pro bilaterální vztahy“ (Fund for bilateral relations)</w:t>
            </w:r>
            <w:r w:rsidR="00FA1366" w:rsidRPr="00F42B92">
              <w:t xml:space="preserve"> nikoli „Fond pro bilaterální spolupráci“</w:t>
            </w:r>
            <w:r w:rsidR="0026731B" w:rsidRPr="00F42B92">
              <w:t xml:space="preserve"> (Fund for bilateral cooperation).</w:t>
            </w:r>
          </w:p>
          <w:p w:rsidR="005C1710" w:rsidRPr="00F42B92" w:rsidRDefault="00FE28D1" w:rsidP="00AE4214">
            <w:pPr>
              <w:rPr>
                <w:szCs w:val="22"/>
              </w:rPr>
            </w:pPr>
            <w:r w:rsidRPr="00F42B92">
              <w:rPr>
                <w:szCs w:val="22"/>
              </w:rPr>
              <w:t>Vzhledem k tomu, že se jedná pouze o pracovní překlad Memorand, kdy závazná je pouze anglický verze, nepovažujeme za nutné provádět takto detailní opravy.</w:t>
            </w:r>
          </w:p>
          <w:p w:rsidR="005C1710" w:rsidRPr="00F42B92" w:rsidRDefault="005C1710" w:rsidP="00AE4214">
            <w:pPr>
              <w:rPr>
                <w:szCs w:val="22"/>
              </w:rPr>
            </w:pPr>
          </w:p>
          <w:p w:rsidR="005C1710" w:rsidRPr="00F42B92" w:rsidRDefault="008639F1" w:rsidP="008639F1">
            <w:pPr>
              <w:rPr>
                <w:szCs w:val="22"/>
              </w:rPr>
            </w:pPr>
            <w:r w:rsidRPr="00F42B92">
              <w:rPr>
                <w:i/>
                <w:szCs w:val="22"/>
              </w:rPr>
              <w:t xml:space="preserve">O vypořádání připomínek byl navrhovatel informován e-mailem dne 30.6.2017 a vyslovil s vypořádáním </w:t>
            </w:r>
            <w:r w:rsidRPr="00A84DCD">
              <w:rPr>
                <w:i/>
                <w:szCs w:val="22"/>
              </w:rPr>
              <w:t>souhlas (e-mail Mgr. Michala Bernkopfová, Ph.D. ze 13.7.2017).</w:t>
            </w:r>
          </w:p>
        </w:tc>
        <w:tc>
          <w:tcPr>
            <w:tcW w:w="1700" w:type="dxa"/>
            <w:tcMar>
              <w:top w:w="0" w:type="dxa"/>
              <w:left w:w="45" w:type="dxa"/>
              <w:bottom w:w="0" w:type="dxa"/>
              <w:right w:w="45" w:type="dxa"/>
            </w:tcMar>
          </w:tcPr>
          <w:p w:rsidR="00DB6DDF" w:rsidRPr="00F42B92" w:rsidRDefault="00DC3400" w:rsidP="00AE4214">
            <w:pPr>
              <w:rPr>
                <w:sz w:val="20"/>
                <w:szCs w:val="20"/>
              </w:rPr>
            </w:pPr>
            <w:r w:rsidRPr="00F42B92">
              <w:rPr>
                <w:sz w:val="20"/>
                <w:szCs w:val="20"/>
              </w:rPr>
              <w:t>eKLEPem 29.6.2017 (č.j. MF-16180/2017/5804-12, PID: MFCR7XKGFM)</w:t>
            </w:r>
          </w:p>
          <w:p w:rsidR="00D946B8" w:rsidRPr="00F42B92" w:rsidRDefault="00DB6DDF" w:rsidP="00AE4214">
            <w:pPr>
              <w:rPr>
                <w:i/>
                <w:sz w:val="20"/>
                <w:szCs w:val="20"/>
              </w:rPr>
            </w:pPr>
            <w:r w:rsidRPr="00F42B92">
              <w:rPr>
                <w:i/>
                <w:sz w:val="20"/>
                <w:szCs w:val="20"/>
              </w:rPr>
              <w:t>+ e-mailem 26.6.2017</w:t>
            </w:r>
          </w:p>
        </w:tc>
      </w:tr>
      <w:tr w:rsidR="00F42B92" w:rsidRPr="00F42B92" w:rsidTr="00E779E4">
        <w:tc>
          <w:tcPr>
            <w:tcW w:w="992" w:type="dxa"/>
            <w:tcMar>
              <w:top w:w="0" w:type="dxa"/>
              <w:left w:w="45" w:type="dxa"/>
              <w:bottom w:w="0" w:type="dxa"/>
              <w:right w:w="45" w:type="dxa"/>
            </w:tcMar>
          </w:tcPr>
          <w:p w:rsidR="00D946B8" w:rsidRPr="00F42B92" w:rsidRDefault="00B07BB6" w:rsidP="00AE4214">
            <w:pPr>
              <w:jc w:val="center"/>
              <w:rPr>
                <w:szCs w:val="22"/>
              </w:rPr>
            </w:pPr>
            <w:r w:rsidRPr="00F42B92">
              <w:rPr>
                <w:szCs w:val="22"/>
              </w:rPr>
              <w:t>MZd</w:t>
            </w:r>
          </w:p>
        </w:tc>
        <w:tc>
          <w:tcPr>
            <w:tcW w:w="1135" w:type="dxa"/>
            <w:tcMar>
              <w:top w:w="0" w:type="dxa"/>
              <w:left w:w="45" w:type="dxa"/>
              <w:bottom w:w="0" w:type="dxa"/>
              <w:right w:w="45" w:type="dxa"/>
            </w:tcMar>
          </w:tcPr>
          <w:p w:rsidR="00D946B8" w:rsidRPr="00F42B92" w:rsidRDefault="00B07BB6" w:rsidP="00AE4214">
            <w:pPr>
              <w:jc w:val="center"/>
              <w:rPr>
                <w:b/>
                <w:szCs w:val="22"/>
              </w:rPr>
            </w:pPr>
            <w:r w:rsidRPr="00F42B92">
              <w:rPr>
                <w:b/>
                <w:szCs w:val="22"/>
              </w:rPr>
              <w:t>Zásadní</w:t>
            </w:r>
          </w:p>
        </w:tc>
        <w:tc>
          <w:tcPr>
            <w:tcW w:w="6379" w:type="dxa"/>
            <w:tcMar>
              <w:top w:w="0" w:type="dxa"/>
              <w:left w:w="45" w:type="dxa"/>
              <w:bottom w:w="0" w:type="dxa"/>
              <w:right w:w="45" w:type="dxa"/>
            </w:tcMar>
          </w:tcPr>
          <w:p w:rsidR="00D946B8" w:rsidRPr="00F42B92" w:rsidRDefault="00B07BB6" w:rsidP="00B07BB6">
            <w:pPr>
              <w:widowControl w:val="0"/>
              <w:autoSpaceDE w:val="0"/>
              <w:autoSpaceDN w:val="0"/>
              <w:adjustRightInd w:val="0"/>
              <w:jc w:val="both"/>
              <w:rPr>
                <w:szCs w:val="22"/>
              </w:rPr>
            </w:pPr>
            <w:r w:rsidRPr="00F42B92">
              <w:t xml:space="preserve">S ohledem na výši přiřazené alokace Programu Zdraví a z důvodu zajištění účelnosti a efektivnosti vynakládaných prostředků, požadujeme v části B materiálu III.a) </w:t>
            </w:r>
            <w:r w:rsidRPr="00F42B92">
              <w:rPr>
                <w:b/>
              </w:rPr>
              <w:t>snížit počet oblastí podpory na 3,  a to vyřazením oblasti s nejnižší absorpční kapacitou nazvané Zdravé a aktivní stárnutí</w:t>
            </w:r>
            <w:r w:rsidRPr="00F42B92">
              <w:t xml:space="preserve"> „The programme shall include measures promoting an active lifestyle of the ageing population“. Prostřdeky budou využity do zbývajících tří oblastí podpory, čímž dojde ke zvýšení dopadu realizovaných opatření v rámci každé oblasti.</w:t>
            </w:r>
          </w:p>
        </w:tc>
        <w:tc>
          <w:tcPr>
            <w:tcW w:w="4678" w:type="dxa"/>
            <w:tcMar>
              <w:top w:w="0" w:type="dxa"/>
              <w:left w:w="45" w:type="dxa"/>
              <w:bottom w:w="0" w:type="dxa"/>
              <w:right w:w="45" w:type="dxa"/>
            </w:tcMar>
          </w:tcPr>
          <w:p w:rsidR="009623A0" w:rsidRPr="00F42B92" w:rsidRDefault="009623A0" w:rsidP="009623A0">
            <w:pPr>
              <w:rPr>
                <w:b/>
                <w:szCs w:val="22"/>
              </w:rPr>
            </w:pPr>
            <w:r w:rsidRPr="00F42B92">
              <w:rPr>
                <w:b/>
                <w:szCs w:val="22"/>
              </w:rPr>
              <w:t>Zásadní připomínka zapracována</w:t>
            </w:r>
          </w:p>
          <w:p w:rsidR="00D946B8" w:rsidRPr="00F42B92" w:rsidRDefault="00D946B8" w:rsidP="00AE4214">
            <w:pPr>
              <w:rPr>
                <w:szCs w:val="22"/>
              </w:rPr>
            </w:pPr>
          </w:p>
          <w:p w:rsidR="009623A0" w:rsidRPr="00F42B92" w:rsidRDefault="009623A0" w:rsidP="00915FB1">
            <w:pPr>
              <w:rPr>
                <w:szCs w:val="22"/>
              </w:rPr>
            </w:pPr>
            <w:r w:rsidRPr="00F42B92">
              <w:rPr>
                <w:szCs w:val="22"/>
              </w:rPr>
              <w:t>Po konzultaci s donory, kteří s návrhem na snížení počtu oblastí podpory a vyškrtnutím oblasti „Zdravé a aktivní stárnutí“ souhlasili</w:t>
            </w:r>
            <w:r w:rsidR="00484593" w:rsidRPr="00F42B92">
              <w:rPr>
                <w:szCs w:val="22"/>
              </w:rPr>
              <w:t xml:space="preserve"> (e-mail z KFM ze dne </w:t>
            </w:r>
            <w:r w:rsidR="00915FB1" w:rsidRPr="00F42B92">
              <w:rPr>
                <w:szCs w:val="22"/>
              </w:rPr>
              <w:t>30.6.2017</w:t>
            </w:r>
            <w:r w:rsidR="00484593" w:rsidRPr="00F42B92">
              <w:rPr>
                <w:szCs w:val="22"/>
              </w:rPr>
              <w:t>)</w:t>
            </w:r>
            <w:r w:rsidRPr="00F42B92">
              <w:rPr>
                <w:szCs w:val="22"/>
              </w:rPr>
              <w:t>, byla tato oblast z Memoranda pro FM EHP vypuštěna (část III a., str. 10-11, C. Program: Zdraví)</w:t>
            </w:r>
            <w:r w:rsidR="00915FB1" w:rsidRPr="00F42B92">
              <w:rPr>
                <w:szCs w:val="22"/>
              </w:rPr>
              <w:t>.</w:t>
            </w:r>
          </w:p>
          <w:p w:rsidR="00443E53" w:rsidRPr="00F42B92" w:rsidRDefault="00443E53" w:rsidP="00915FB1">
            <w:pPr>
              <w:rPr>
                <w:szCs w:val="22"/>
              </w:rPr>
            </w:pPr>
          </w:p>
          <w:p w:rsidR="00443E53" w:rsidRPr="00F42B92" w:rsidRDefault="00443E53" w:rsidP="00915FB1">
            <w:pPr>
              <w:rPr>
                <w:i/>
                <w:sz w:val="24"/>
              </w:rPr>
            </w:pPr>
            <w:r w:rsidRPr="00F42B92">
              <w:rPr>
                <w:i/>
                <w:szCs w:val="22"/>
              </w:rPr>
              <w:t xml:space="preserve">O vypořádání připomínek byl navrhovatel informován e-mailem dne </w:t>
            </w:r>
            <w:r w:rsidR="000F097F" w:rsidRPr="00F42B92">
              <w:rPr>
                <w:i/>
                <w:szCs w:val="22"/>
              </w:rPr>
              <w:t>3.7.2017</w:t>
            </w:r>
            <w:r w:rsidRPr="00F42B92">
              <w:rPr>
                <w:i/>
                <w:szCs w:val="22"/>
              </w:rPr>
              <w:t xml:space="preserve"> a vyslovil s vypořádáním souhlas (e-mail </w:t>
            </w:r>
            <w:r w:rsidR="000F097F" w:rsidRPr="00F42B92">
              <w:rPr>
                <w:i/>
                <w:szCs w:val="22"/>
              </w:rPr>
              <w:t>Mgr. Hrůzy z 3.7.2017</w:t>
            </w:r>
            <w:r w:rsidRPr="00F42B92">
              <w:rPr>
                <w:i/>
                <w:szCs w:val="22"/>
              </w:rPr>
              <w:t>).</w:t>
            </w:r>
          </w:p>
        </w:tc>
        <w:tc>
          <w:tcPr>
            <w:tcW w:w="1700" w:type="dxa"/>
            <w:tcMar>
              <w:top w:w="0" w:type="dxa"/>
              <w:left w:w="45" w:type="dxa"/>
              <w:bottom w:w="0" w:type="dxa"/>
              <w:right w:w="45" w:type="dxa"/>
            </w:tcMar>
          </w:tcPr>
          <w:p w:rsidR="00D946B8" w:rsidRPr="00F42B92" w:rsidRDefault="00F0545D" w:rsidP="00AE4214">
            <w:pPr>
              <w:rPr>
                <w:sz w:val="20"/>
                <w:szCs w:val="20"/>
              </w:rPr>
            </w:pPr>
            <w:r w:rsidRPr="00F42B92">
              <w:rPr>
                <w:sz w:val="20"/>
                <w:szCs w:val="20"/>
              </w:rPr>
              <w:t>eKLEPem 29.6.2017 (č.j. MF-16180/2017/5804-13, PID: MFCR7XKGAF)</w:t>
            </w:r>
          </w:p>
          <w:p w:rsidR="009623A0" w:rsidRPr="00F42B92" w:rsidRDefault="009623A0" w:rsidP="00AE4214">
            <w:pPr>
              <w:rPr>
                <w:i/>
                <w:sz w:val="20"/>
                <w:szCs w:val="20"/>
              </w:rPr>
            </w:pPr>
            <w:r w:rsidRPr="00F42B92">
              <w:rPr>
                <w:i/>
                <w:sz w:val="20"/>
                <w:szCs w:val="20"/>
              </w:rPr>
              <w:t>+ e-mailem 28.6.2017</w:t>
            </w:r>
          </w:p>
        </w:tc>
      </w:tr>
      <w:tr w:rsidR="00F42B92" w:rsidRPr="00F42B92" w:rsidTr="00E779E4">
        <w:tc>
          <w:tcPr>
            <w:tcW w:w="992" w:type="dxa"/>
            <w:tcMar>
              <w:top w:w="0" w:type="dxa"/>
              <w:left w:w="45" w:type="dxa"/>
              <w:bottom w:w="0" w:type="dxa"/>
              <w:right w:w="45" w:type="dxa"/>
            </w:tcMar>
          </w:tcPr>
          <w:p w:rsidR="00D946B8" w:rsidRPr="00F42B92" w:rsidRDefault="00547E77" w:rsidP="00AE4214">
            <w:pPr>
              <w:jc w:val="center"/>
              <w:rPr>
                <w:szCs w:val="22"/>
              </w:rPr>
            </w:pPr>
            <w:r w:rsidRPr="00F42B92">
              <w:rPr>
                <w:szCs w:val="22"/>
              </w:rPr>
              <w:t>MZV</w:t>
            </w:r>
          </w:p>
        </w:tc>
        <w:tc>
          <w:tcPr>
            <w:tcW w:w="1135" w:type="dxa"/>
            <w:tcMar>
              <w:top w:w="0" w:type="dxa"/>
              <w:left w:w="45" w:type="dxa"/>
              <w:bottom w:w="0" w:type="dxa"/>
              <w:right w:w="45" w:type="dxa"/>
            </w:tcMar>
          </w:tcPr>
          <w:p w:rsidR="00D946B8" w:rsidRPr="00F42B92" w:rsidRDefault="00547E77" w:rsidP="00AE4214">
            <w:pPr>
              <w:jc w:val="center"/>
              <w:rPr>
                <w:b/>
                <w:szCs w:val="22"/>
              </w:rPr>
            </w:pPr>
            <w:r w:rsidRPr="00F42B92">
              <w:rPr>
                <w:b/>
                <w:szCs w:val="22"/>
              </w:rPr>
              <w:t>Zásadní</w:t>
            </w:r>
          </w:p>
        </w:tc>
        <w:tc>
          <w:tcPr>
            <w:tcW w:w="6379" w:type="dxa"/>
            <w:tcMar>
              <w:top w:w="0" w:type="dxa"/>
              <w:left w:w="45" w:type="dxa"/>
              <w:bottom w:w="0" w:type="dxa"/>
              <w:right w:w="45" w:type="dxa"/>
            </w:tcMar>
          </w:tcPr>
          <w:p w:rsidR="00547E77" w:rsidRPr="00F42B92" w:rsidRDefault="00547E77" w:rsidP="00547E77">
            <w:pPr>
              <w:rPr>
                <w:b/>
                <w:u w:val="single"/>
              </w:rPr>
            </w:pPr>
            <w:r w:rsidRPr="00F42B92">
              <w:rPr>
                <w:b/>
                <w:u w:val="single"/>
              </w:rPr>
              <w:t>Rámec mezirezortního připomínkového řízení</w:t>
            </w:r>
          </w:p>
          <w:p w:rsidR="00547E77" w:rsidRPr="00F42B92" w:rsidRDefault="00547E77" w:rsidP="00547E77">
            <w:r w:rsidRPr="00F42B92">
              <w:t>1. Lhůtu pro uplatnění připomínek návrhům na sjednání mezinárodních smluv upravuje čl. 11 odst. 2 Směrnice vlády pro sjednávání, vnitrostátní projednávání, provádění a ukončování platnosti mezinárodních smluv, která je přílohou usnesení vlády z 11. 2. 2004 č. 131. Zkrácení této lhůty z 15 na 5 pracovních dnů není možné.</w:t>
            </w:r>
          </w:p>
          <w:p w:rsidR="00547E77" w:rsidRPr="00F42B92" w:rsidRDefault="00547E77" w:rsidP="00547E77">
            <w:r w:rsidRPr="00F42B92">
              <w:t>Pro úplnost lze dodat, že výjimka na zúžení výčtu připomínkových míst nebyla ani zapotřebí, neboť návrhy na sjednání tzv. vládních smluv jsou v meziresortním připomínkovém řízení vždy projednávány pouze se zúčastněnými členy vlády.</w:t>
            </w:r>
          </w:p>
          <w:p w:rsidR="00D946B8" w:rsidRPr="00F42B92" w:rsidRDefault="00547E77" w:rsidP="00547E77">
            <w:r w:rsidRPr="00F42B92">
              <w:t>2. Materiál je v systému eKLEP vložen chybně jako „Nelegislativní materiál“, a nikoli jako „Návrh na sjednání smlouvy vládní“, přestože z předkládací zprávy jednoznačně vyplývá, že se o mezinárodní smlouvy jedná, a to zřejmě tzv. vládní kategorie (přičemž tato kategorizace by v návrhu předkládací zprávy měla být blíže odůvodněna).</w:t>
            </w:r>
          </w:p>
        </w:tc>
        <w:tc>
          <w:tcPr>
            <w:tcW w:w="4678" w:type="dxa"/>
            <w:tcMar>
              <w:top w:w="0" w:type="dxa"/>
              <w:left w:w="45" w:type="dxa"/>
              <w:bottom w:w="0" w:type="dxa"/>
              <w:right w:w="45" w:type="dxa"/>
            </w:tcMar>
          </w:tcPr>
          <w:p w:rsidR="00D946B8" w:rsidRPr="00F42B92" w:rsidRDefault="00547E77" w:rsidP="00AE4214">
            <w:pPr>
              <w:rPr>
                <w:b/>
                <w:szCs w:val="22"/>
              </w:rPr>
            </w:pPr>
            <w:r w:rsidRPr="00F42B92">
              <w:rPr>
                <w:b/>
                <w:szCs w:val="22"/>
              </w:rPr>
              <w:t>Zásadní připomínka vypořádána</w:t>
            </w:r>
          </w:p>
          <w:p w:rsidR="00547E77" w:rsidRPr="00F42B92" w:rsidRDefault="00547E77" w:rsidP="00772A38">
            <w:pPr>
              <w:pStyle w:val="Odstavecseseznamem"/>
              <w:numPr>
                <w:ilvl w:val="0"/>
                <w:numId w:val="16"/>
              </w:numPr>
              <w:ind w:left="239" w:hanging="218"/>
              <w:rPr>
                <w:szCs w:val="22"/>
              </w:rPr>
            </w:pPr>
            <w:r w:rsidRPr="00F42B92">
              <w:rPr>
                <w:szCs w:val="22"/>
              </w:rPr>
              <w:t>Zkrácení lhůty bylo povole</w:t>
            </w:r>
            <w:r w:rsidR="00772A38" w:rsidRPr="00F42B92">
              <w:rPr>
                <w:szCs w:val="22"/>
              </w:rPr>
              <w:t>no předsedou vlády dopisem č.j.</w:t>
            </w:r>
            <w:r w:rsidRPr="00F42B92">
              <w:rPr>
                <w:szCs w:val="22"/>
              </w:rPr>
              <w:t xml:space="preserve"> 17175/2017-OVA ze dne31.5.2017. Všechny oslovené rezorty uplatnily své připomínky </w:t>
            </w:r>
            <w:r w:rsidR="00484593" w:rsidRPr="00F42B92">
              <w:rPr>
                <w:szCs w:val="22"/>
              </w:rPr>
              <w:t xml:space="preserve">i </w:t>
            </w:r>
            <w:r w:rsidRPr="00F42B92">
              <w:rPr>
                <w:szCs w:val="22"/>
              </w:rPr>
              <w:t>ve zkrácené lhůtě</w:t>
            </w:r>
            <w:r w:rsidR="00772A38" w:rsidRPr="00F42B92">
              <w:rPr>
                <w:szCs w:val="22"/>
              </w:rPr>
              <w:t xml:space="preserve">. </w:t>
            </w:r>
          </w:p>
          <w:p w:rsidR="00772A38" w:rsidRPr="00F42B92" w:rsidRDefault="00484593" w:rsidP="00772A38">
            <w:pPr>
              <w:ind w:left="239"/>
              <w:rPr>
                <w:szCs w:val="22"/>
              </w:rPr>
            </w:pPr>
            <w:r w:rsidRPr="00F42B92">
              <w:rPr>
                <w:szCs w:val="22"/>
              </w:rPr>
              <w:t>P</w:t>
            </w:r>
            <w:r w:rsidR="00772A38" w:rsidRPr="00F42B92">
              <w:rPr>
                <w:szCs w:val="22"/>
              </w:rPr>
              <w:t>ro jakékoli příští návrhy na sjednání mezinárodních smluv budeme tuto zásadní připomínku MZV respektovat.</w:t>
            </w:r>
          </w:p>
          <w:p w:rsidR="00772A38" w:rsidRPr="00F42B92" w:rsidRDefault="00772A38" w:rsidP="00772A38">
            <w:pPr>
              <w:rPr>
                <w:szCs w:val="22"/>
              </w:rPr>
            </w:pPr>
          </w:p>
          <w:p w:rsidR="0002680E" w:rsidRPr="00F42B92" w:rsidRDefault="00772A38" w:rsidP="00CB1FBE">
            <w:pPr>
              <w:pStyle w:val="Odstavecseseznamem"/>
              <w:numPr>
                <w:ilvl w:val="0"/>
                <w:numId w:val="16"/>
              </w:numPr>
              <w:ind w:left="239" w:hanging="239"/>
              <w:rPr>
                <w:szCs w:val="22"/>
              </w:rPr>
            </w:pPr>
            <w:r w:rsidRPr="00F42B92">
              <w:rPr>
                <w:szCs w:val="22"/>
              </w:rPr>
              <w:t>Omlouváme se za chybné označení materiálu</w:t>
            </w:r>
            <w:r w:rsidR="0002680E" w:rsidRPr="00F42B92">
              <w:rPr>
                <w:szCs w:val="22"/>
              </w:rPr>
              <w:t xml:space="preserve"> </w:t>
            </w:r>
            <w:r w:rsidR="00FA2046" w:rsidRPr="00F42B92">
              <w:rPr>
                <w:szCs w:val="22"/>
              </w:rPr>
              <w:t>– opravdu se jedná o materiál „Návrh na sjednání smlouvy vládní“</w:t>
            </w:r>
            <w:r w:rsidR="00484593" w:rsidRPr="00F42B92">
              <w:rPr>
                <w:szCs w:val="22"/>
              </w:rPr>
              <w:t xml:space="preserve"> a v eKLEP jsme provedli příslušnou opravu</w:t>
            </w:r>
            <w:r w:rsidR="00FA2046" w:rsidRPr="00F42B92">
              <w:rPr>
                <w:szCs w:val="22"/>
              </w:rPr>
              <w:t xml:space="preserve">. </w:t>
            </w:r>
          </w:p>
          <w:p w:rsidR="00772A38" w:rsidRPr="00F42B92" w:rsidRDefault="00FA2046" w:rsidP="0002680E">
            <w:pPr>
              <w:pStyle w:val="Odstavecseseznamem"/>
              <w:ind w:left="239"/>
              <w:rPr>
                <w:szCs w:val="22"/>
              </w:rPr>
            </w:pPr>
            <w:r w:rsidRPr="00F42B92">
              <w:rPr>
                <w:szCs w:val="22"/>
              </w:rPr>
              <w:t>I přes tuto chybu ale budeme postupovat v souladu se Směrnicí vlády pro sjedná</w:t>
            </w:r>
            <w:r w:rsidR="0002680E" w:rsidRPr="00F42B92">
              <w:rPr>
                <w:szCs w:val="22"/>
              </w:rPr>
              <w:t>vá</w:t>
            </w:r>
            <w:r w:rsidRPr="00F42B92">
              <w:rPr>
                <w:szCs w:val="22"/>
              </w:rPr>
              <w:t>ní, vnitrostátní projednávání, provádění a ukončování platnosti mezinárodních smluv (usnesení vlád</w:t>
            </w:r>
            <w:r w:rsidR="0002680E" w:rsidRPr="00F42B92">
              <w:rPr>
                <w:szCs w:val="22"/>
              </w:rPr>
              <w:t>y č. 131 ze dne 11. února 2004)</w:t>
            </w:r>
            <w:r w:rsidR="00CB1FBE" w:rsidRPr="00F42B92">
              <w:rPr>
                <w:szCs w:val="22"/>
              </w:rPr>
              <w:t>.</w:t>
            </w:r>
          </w:p>
          <w:p w:rsidR="003B4E85" w:rsidRPr="00F42B92" w:rsidRDefault="003B4E85" w:rsidP="003B4E85">
            <w:pPr>
              <w:pStyle w:val="Odstavecseseznamem"/>
              <w:ind w:left="239"/>
              <w:rPr>
                <w:szCs w:val="22"/>
              </w:rPr>
            </w:pPr>
            <w:r w:rsidRPr="00F42B92">
              <w:rPr>
                <w:szCs w:val="22"/>
              </w:rPr>
              <w:t>Odůvodnění kategorizace smlouvy jako mezinárodní smlouvy tzv. vládní kategorie bylo doplněno do předkládací zprávy.</w:t>
            </w:r>
          </w:p>
          <w:p w:rsidR="001C2CE9" w:rsidRPr="00F42B92" w:rsidRDefault="001C2CE9" w:rsidP="003B4E85">
            <w:pPr>
              <w:pStyle w:val="Odstavecseseznamem"/>
              <w:ind w:left="239"/>
              <w:rPr>
                <w:szCs w:val="22"/>
              </w:rPr>
            </w:pPr>
          </w:p>
          <w:p w:rsidR="001C2CE9" w:rsidRPr="00F42B92" w:rsidRDefault="001C2CE9" w:rsidP="001C2CE9">
            <w:pPr>
              <w:rPr>
                <w:szCs w:val="22"/>
              </w:rPr>
            </w:pPr>
            <w:r w:rsidRPr="00F42B92">
              <w:rPr>
                <w:i/>
                <w:szCs w:val="22"/>
              </w:rPr>
              <w:t>O vypořádání připomínek byl navrhovatel informován e-mailem dne 3.7.2017 a vyslovil s vypořádáním souhlas (e-mail Mgr. Kubíčka z 3.7.2017).</w:t>
            </w:r>
          </w:p>
        </w:tc>
        <w:tc>
          <w:tcPr>
            <w:tcW w:w="1700" w:type="dxa"/>
            <w:tcMar>
              <w:top w:w="0" w:type="dxa"/>
              <w:left w:w="45" w:type="dxa"/>
              <w:bottom w:w="0" w:type="dxa"/>
              <w:right w:w="45" w:type="dxa"/>
            </w:tcMar>
          </w:tcPr>
          <w:p w:rsidR="00547E77" w:rsidRPr="00F42B92" w:rsidRDefault="00547E77" w:rsidP="00547E77">
            <w:pPr>
              <w:rPr>
                <w:sz w:val="20"/>
                <w:szCs w:val="20"/>
              </w:rPr>
            </w:pPr>
            <w:r w:rsidRPr="00F42B92">
              <w:rPr>
                <w:sz w:val="20"/>
                <w:szCs w:val="20"/>
              </w:rPr>
              <w:t>eKLEPem 29.6.2017 (č.j. MF-16180/2017/5804-14, PID: MFCR7XKGYJ)</w:t>
            </w:r>
          </w:p>
          <w:p w:rsidR="00D946B8" w:rsidRPr="00F42B92" w:rsidRDefault="00D946B8" w:rsidP="00AE4214">
            <w:pPr>
              <w:rPr>
                <w:sz w:val="20"/>
                <w:szCs w:val="20"/>
              </w:rPr>
            </w:pPr>
          </w:p>
        </w:tc>
      </w:tr>
      <w:tr w:rsidR="00F42B92" w:rsidRPr="00F42B92" w:rsidTr="00E779E4">
        <w:tc>
          <w:tcPr>
            <w:tcW w:w="992" w:type="dxa"/>
            <w:tcMar>
              <w:top w:w="0" w:type="dxa"/>
              <w:left w:w="45" w:type="dxa"/>
              <w:bottom w:w="0" w:type="dxa"/>
              <w:right w:w="45" w:type="dxa"/>
            </w:tcMar>
          </w:tcPr>
          <w:p w:rsidR="00D946B8" w:rsidRPr="00F42B92" w:rsidRDefault="00547E77" w:rsidP="00AE4214">
            <w:pPr>
              <w:jc w:val="center"/>
              <w:rPr>
                <w:szCs w:val="22"/>
              </w:rPr>
            </w:pPr>
            <w:r w:rsidRPr="00F42B92">
              <w:rPr>
                <w:szCs w:val="22"/>
              </w:rPr>
              <w:t>MZV</w:t>
            </w:r>
          </w:p>
        </w:tc>
        <w:tc>
          <w:tcPr>
            <w:tcW w:w="1135" w:type="dxa"/>
            <w:tcMar>
              <w:top w:w="0" w:type="dxa"/>
              <w:left w:w="45" w:type="dxa"/>
              <w:bottom w:w="0" w:type="dxa"/>
              <w:right w:w="45" w:type="dxa"/>
            </w:tcMar>
          </w:tcPr>
          <w:p w:rsidR="00D946B8" w:rsidRPr="00F42B92" w:rsidRDefault="00547E77" w:rsidP="00AE4214">
            <w:pPr>
              <w:jc w:val="center"/>
              <w:rPr>
                <w:b/>
                <w:szCs w:val="22"/>
              </w:rPr>
            </w:pPr>
            <w:r w:rsidRPr="00F42B92">
              <w:rPr>
                <w:b/>
                <w:szCs w:val="22"/>
              </w:rPr>
              <w:t>Zásadní</w:t>
            </w:r>
          </w:p>
        </w:tc>
        <w:tc>
          <w:tcPr>
            <w:tcW w:w="6379" w:type="dxa"/>
            <w:tcMar>
              <w:top w:w="0" w:type="dxa"/>
              <w:left w:w="45" w:type="dxa"/>
              <w:bottom w:w="0" w:type="dxa"/>
              <w:right w:w="45" w:type="dxa"/>
            </w:tcMar>
          </w:tcPr>
          <w:p w:rsidR="00547E77" w:rsidRPr="00F42B92" w:rsidRDefault="00547E77" w:rsidP="00547E77">
            <w:pPr>
              <w:pStyle w:val="Textkomente"/>
              <w:spacing w:after="0"/>
              <w:rPr>
                <w:rFonts w:ascii="Times New Roman" w:hAnsi="Times New Roman"/>
                <w:b/>
                <w:sz w:val="24"/>
                <w:szCs w:val="24"/>
                <w:u w:val="single"/>
              </w:rPr>
            </w:pPr>
            <w:r w:rsidRPr="00F42B92">
              <w:rPr>
                <w:rFonts w:ascii="Times New Roman" w:hAnsi="Times New Roman"/>
                <w:b/>
                <w:sz w:val="24"/>
                <w:szCs w:val="24"/>
                <w:u w:val="single"/>
              </w:rPr>
              <w:t>Návrh usnesení vlády</w:t>
            </w:r>
          </w:p>
          <w:p w:rsidR="00D946B8" w:rsidRPr="00F42B92" w:rsidRDefault="00547E77" w:rsidP="00547E77">
            <w:r w:rsidRPr="00F42B92">
              <w:t xml:space="preserve">V návrhu usnesení vlády je nutno buď vypustit bod II.2, neboť takovéto zmocnění je podle </w:t>
            </w:r>
            <w:r w:rsidR="00CB1FBE" w:rsidRPr="00F42B92">
              <w:t>č</w:t>
            </w:r>
            <w:r w:rsidRPr="00F42B92">
              <w:t xml:space="preserve">l. 14 odst. 2 výše uvedené Směrnice možné pouze v případě, že se jedná o prováděcí smluvní dokumenty k rámcovým smlouvám a na podkladě znalosti obsahu takových prováděcích smluv. To však není případ změn příloh smlouvy, a proto takové zmocnění není možné. Jinak by tomu bylo v případě, že by přílohy nebyly součástí smlouvy, nic takového však z textu jednotlivých memorand ani z předkládací zprávy nevyplývá. </w:t>
            </w:r>
          </w:p>
        </w:tc>
        <w:tc>
          <w:tcPr>
            <w:tcW w:w="4678" w:type="dxa"/>
            <w:tcMar>
              <w:top w:w="0" w:type="dxa"/>
              <w:left w:w="45" w:type="dxa"/>
              <w:bottom w:w="0" w:type="dxa"/>
              <w:right w:w="45" w:type="dxa"/>
            </w:tcMar>
          </w:tcPr>
          <w:p w:rsidR="00D946B8" w:rsidRPr="00F42B92" w:rsidRDefault="003B4E85" w:rsidP="00AE4214">
            <w:pPr>
              <w:rPr>
                <w:b/>
                <w:szCs w:val="22"/>
              </w:rPr>
            </w:pPr>
            <w:r w:rsidRPr="00F42B92">
              <w:rPr>
                <w:b/>
                <w:szCs w:val="22"/>
              </w:rPr>
              <w:t>Zásadní připomínka zapracována</w:t>
            </w:r>
          </w:p>
          <w:p w:rsidR="003B4E85" w:rsidRPr="00F42B92" w:rsidRDefault="00B017F7" w:rsidP="00AD2A0A">
            <w:pPr>
              <w:rPr>
                <w:szCs w:val="22"/>
              </w:rPr>
            </w:pPr>
            <w:r w:rsidRPr="00F42B92">
              <w:rPr>
                <w:szCs w:val="22"/>
              </w:rPr>
              <w:t xml:space="preserve">Do textu předkládací zprávy bylo doplněno, že přílohy A a B </w:t>
            </w:r>
            <w:r w:rsidR="00AD2A0A" w:rsidRPr="00F42B92">
              <w:rPr>
                <w:szCs w:val="22"/>
              </w:rPr>
              <w:t xml:space="preserve">se nepovažují za </w:t>
            </w:r>
            <w:r w:rsidRPr="00F42B92">
              <w:rPr>
                <w:szCs w:val="22"/>
              </w:rPr>
              <w:t xml:space="preserve">nedílnou součástí </w:t>
            </w:r>
            <w:r w:rsidR="00AD2A0A" w:rsidRPr="00F42B92">
              <w:rPr>
                <w:szCs w:val="22"/>
              </w:rPr>
              <w:t xml:space="preserve">textu </w:t>
            </w:r>
            <w:r w:rsidRPr="00F42B92">
              <w:rPr>
                <w:szCs w:val="22"/>
              </w:rPr>
              <w:t xml:space="preserve">Memorand o porozumění. </w:t>
            </w:r>
            <w:r w:rsidR="003B4E85" w:rsidRPr="00F42B92">
              <w:rPr>
                <w:szCs w:val="22"/>
              </w:rPr>
              <w:t>V návrhu usnesení vlády byl</w:t>
            </w:r>
            <w:r w:rsidR="00AD2A0A" w:rsidRPr="00F42B92">
              <w:rPr>
                <w:szCs w:val="22"/>
              </w:rPr>
              <w:t xml:space="preserve"> proto</w:t>
            </w:r>
            <w:r w:rsidR="003B4E85" w:rsidRPr="00F42B92">
              <w:rPr>
                <w:szCs w:val="22"/>
              </w:rPr>
              <w:t xml:space="preserve"> vypuštěn bod II.2 „zmocňuje ministra financí ke sjednávání dodatků k přílohám A a/nebo B Memorand“</w:t>
            </w:r>
            <w:r w:rsidR="001C2CE9" w:rsidRPr="00F42B92">
              <w:rPr>
                <w:szCs w:val="22"/>
              </w:rPr>
              <w:t xml:space="preserve"> a provedeny drobné stylistické úpravy dle návrhu MZV</w:t>
            </w:r>
            <w:r w:rsidR="003B4E85" w:rsidRPr="00F42B92">
              <w:rPr>
                <w:szCs w:val="22"/>
              </w:rPr>
              <w:t>.</w:t>
            </w:r>
          </w:p>
          <w:p w:rsidR="001C2CE9" w:rsidRPr="00F42B92" w:rsidRDefault="001C2CE9" w:rsidP="00AD2A0A">
            <w:pPr>
              <w:rPr>
                <w:szCs w:val="22"/>
              </w:rPr>
            </w:pPr>
          </w:p>
          <w:p w:rsidR="001C2CE9" w:rsidRPr="00F42B92" w:rsidRDefault="001C2CE9" w:rsidP="00AD2A0A">
            <w:pPr>
              <w:rPr>
                <w:szCs w:val="22"/>
              </w:rPr>
            </w:pPr>
            <w:r w:rsidRPr="00F42B92">
              <w:rPr>
                <w:i/>
                <w:szCs w:val="22"/>
              </w:rPr>
              <w:t>O vypořádání připomínek byl navrhovatel informován e-mailem dne 3.7.2017 a vyslovil s vypořádáním souhlas (e-mail Mgr. Kubíčka z 3.7.2017).</w:t>
            </w:r>
          </w:p>
        </w:tc>
        <w:tc>
          <w:tcPr>
            <w:tcW w:w="1700" w:type="dxa"/>
            <w:tcMar>
              <w:top w:w="0" w:type="dxa"/>
              <w:left w:w="45" w:type="dxa"/>
              <w:bottom w:w="0" w:type="dxa"/>
              <w:right w:w="45" w:type="dxa"/>
            </w:tcMar>
          </w:tcPr>
          <w:p w:rsidR="00547E77" w:rsidRPr="00F42B92" w:rsidRDefault="00547E77" w:rsidP="00547E77">
            <w:pPr>
              <w:rPr>
                <w:sz w:val="20"/>
                <w:szCs w:val="20"/>
              </w:rPr>
            </w:pPr>
            <w:r w:rsidRPr="00F42B92">
              <w:rPr>
                <w:sz w:val="20"/>
                <w:szCs w:val="20"/>
              </w:rPr>
              <w:t>eKLEPem 29.6.2017 (č.j. MF-16180/2017/5804-14, PID: MFCR7XKGYJ)</w:t>
            </w:r>
          </w:p>
          <w:p w:rsidR="00D946B8" w:rsidRPr="00F42B92" w:rsidRDefault="00D946B8" w:rsidP="00AE4214">
            <w:pPr>
              <w:rPr>
                <w:i/>
                <w:sz w:val="20"/>
                <w:szCs w:val="20"/>
              </w:rPr>
            </w:pPr>
          </w:p>
        </w:tc>
      </w:tr>
      <w:tr w:rsidR="00F42B92" w:rsidRPr="00F42B92" w:rsidTr="00E779E4">
        <w:tc>
          <w:tcPr>
            <w:tcW w:w="992" w:type="dxa"/>
            <w:tcMar>
              <w:top w:w="0" w:type="dxa"/>
              <w:left w:w="45" w:type="dxa"/>
              <w:bottom w:w="0" w:type="dxa"/>
              <w:right w:w="45" w:type="dxa"/>
            </w:tcMar>
          </w:tcPr>
          <w:p w:rsidR="00D946B8" w:rsidRPr="00F42B92" w:rsidRDefault="00547E77" w:rsidP="00AE4214">
            <w:pPr>
              <w:jc w:val="center"/>
              <w:rPr>
                <w:szCs w:val="22"/>
              </w:rPr>
            </w:pPr>
            <w:r w:rsidRPr="00F42B92">
              <w:rPr>
                <w:szCs w:val="22"/>
              </w:rPr>
              <w:t>MZV</w:t>
            </w:r>
          </w:p>
        </w:tc>
        <w:tc>
          <w:tcPr>
            <w:tcW w:w="1135" w:type="dxa"/>
            <w:tcMar>
              <w:top w:w="0" w:type="dxa"/>
              <w:left w:w="45" w:type="dxa"/>
              <w:bottom w:w="0" w:type="dxa"/>
              <w:right w:w="45" w:type="dxa"/>
            </w:tcMar>
          </w:tcPr>
          <w:p w:rsidR="00D946B8" w:rsidRPr="00F42B92" w:rsidRDefault="00547E77" w:rsidP="00AE4214">
            <w:pPr>
              <w:jc w:val="center"/>
              <w:rPr>
                <w:szCs w:val="22"/>
              </w:rPr>
            </w:pPr>
            <w:r w:rsidRPr="00F42B92">
              <w:rPr>
                <w:szCs w:val="22"/>
              </w:rPr>
              <w:t>Ostatní</w:t>
            </w:r>
          </w:p>
        </w:tc>
        <w:tc>
          <w:tcPr>
            <w:tcW w:w="6379" w:type="dxa"/>
            <w:tcMar>
              <w:top w:w="0" w:type="dxa"/>
              <w:left w:w="45" w:type="dxa"/>
              <w:bottom w:w="0" w:type="dxa"/>
              <w:right w:w="45" w:type="dxa"/>
            </w:tcMar>
          </w:tcPr>
          <w:p w:rsidR="00547E77" w:rsidRPr="00F42B92" w:rsidRDefault="00547E77" w:rsidP="00547E77">
            <w:pPr>
              <w:rPr>
                <w:rStyle w:val="xsptextcomputedfield"/>
                <w:b/>
                <w:u w:val="single"/>
              </w:rPr>
            </w:pPr>
            <w:r w:rsidRPr="00F42B92">
              <w:rPr>
                <w:rStyle w:val="xsptextcomputedfield"/>
                <w:b/>
                <w:u w:val="single"/>
              </w:rPr>
              <w:t>Obsah předkládací zprávy</w:t>
            </w:r>
          </w:p>
          <w:p w:rsidR="00547E77" w:rsidRPr="00F42B92" w:rsidRDefault="00547E77" w:rsidP="00547E77">
            <w:pPr>
              <w:rPr>
                <w:rStyle w:val="xsptextcomputedfield"/>
              </w:rPr>
            </w:pPr>
            <w:r w:rsidRPr="00F42B92">
              <w:rPr>
                <w:rStyle w:val="xsptextcomputedfield"/>
              </w:rPr>
              <w:t>1. Z materiálu vyplývá, že funkce národního kontaktního místa, certifikačního orgánu, orgánu pro nesrovnalosti, auditního orgánu a v drtivé většině případů i zprostředkovatele programů budou plnit jednotlivé odbory Ministerstva financí. V této souvislosti se předkladateli doporučuje v materiálu blíže vysvětlit, jakým způsobem bude zajištěn soulad s požadavky na rozdělení pravomocí a vzájemnou nezávislost některých z výše uvedených orgánů ve smyslu čl. 1.6 písm. a), čl. 1.6 písm. b), čl. 5.1 odst. 2 písm. b) a čl. 5.2 odst. 2 až 5 Nařízení o implementaci finančního mechanismu EHP na roky 2014-2021, resp. Nařízení pro implementaci finančního mechanismu Norska na roky 2014-2021.</w:t>
            </w:r>
          </w:p>
          <w:p w:rsidR="00D946B8" w:rsidRPr="00F42B92" w:rsidRDefault="00547E77" w:rsidP="00547E77">
            <w:r w:rsidRPr="00F42B92">
              <w:rPr>
                <w:rStyle w:val="xsptextcomputedfield"/>
              </w:rPr>
              <w:t>2. Navrhovateli se dále doporučuje v materiálu vysvětlit, z jakého důvodu je u většiny programů uvedeno Ministerstvo financí jako zprostředkovatel programu, ačkoliv čl. 5.2 odst. 3 a 4 výše uvedených nařízení počítají s tím, že až na výjimky má být zprostředkovatelem programu subjekt se silnou vazbou na sektor, kterého se program týká.</w:t>
            </w:r>
          </w:p>
        </w:tc>
        <w:tc>
          <w:tcPr>
            <w:tcW w:w="4678" w:type="dxa"/>
            <w:tcMar>
              <w:top w:w="0" w:type="dxa"/>
              <w:left w:w="45" w:type="dxa"/>
              <w:bottom w:w="0" w:type="dxa"/>
              <w:right w:w="45" w:type="dxa"/>
            </w:tcMar>
          </w:tcPr>
          <w:p w:rsidR="00D946B8" w:rsidRPr="00F42B92" w:rsidRDefault="003B4E85" w:rsidP="00AE4214">
            <w:pPr>
              <w:rPr>
                <w:b/>
                <w:szCs w:val="22"/>
              </w:rPr>
            </w:pPr>
            <w:r w:rsidRPr="00F42B92">
              <w:rPr>
                <w:b/>
                <w:szCs w:val="22"/>
              </w:rPr>
              <w:t>Doporučující připomínky zapracovány</w:t>
            </w:r>
          </w:p>
          <w:p w:rsidR="003B4E85" w:rsidRPr="00F42B92" w:rsidRDefault="003B4E85" w:rsidP="00AE4214">
            <w:pPr>
              <w:rPr>
                <w:szCs w:val="22"/>
              </w:rPr>
            </w:pPr>
          </w:p>
          <w:p w:rsidR="003B4E85" w:rsidRPr="00F42B92" w:rsidRDefault="003B4E85" w:rsidP="00AE4214">
            <w:pPr>
              <w:rPr>
                <w:szCs w:val="22"/>
              </w:rPr>
            </w:pPr>
            <w:r w:rsidRPr="00F42B92">
              <w:rPr>
                <w:szCs w:val="22"/>
              </w:rPr>
              <w:t xml:space="preserve">Do předkládací zprávy bylo doplněno vysvětlení k zajištění rozdělení pravomocí a vzájemné nezávislosti </w:t>
            </w:r>
            <w:r w:rsidR="00A34764" w:rsidRPr="00F42B92">
              <w:rPr>
                <w:szCs w:val="22"/>
              </w:rPr>
              <w:t>Národního kontaktního místa, Certifikačního orgánu a Orgánu pro nesrovnalosti, Auditního orgánu i zprostředkovatele programu v rámci Ministerstva financí</w:t>
            </w:r>
            <w:r w:rsidRPr="00F42B92">
              <w:rPr>
                <w:szCs w:val="22"/>
              </w:rPr>
              <w:t>.</w:t>
            </w:r>
          </w:p>
          <w:p w:rsidR="003B4E85" w:rsidRPr="00F42B92" w:rsidRDefault="003B4E85" w:rsidP="00AE4214">
            <w:pPr>
              <w:rPr>
                <w:szCs w:val="22"/>
              </w:rPr>
            </w:pPr>
          </w:p>
          <w:p w:rsidR="003B4E85" w:rsidRPr="00F42B92" w:rsidRDefault="003B4E85" w:rsidP="00AE4214">
            <w:pPr>
              <w:rPr>
                <w:szCs w:val="22"/>
              </w:rPr>
            </w:pPr>
            <w:r w:rsidRPr="00F42B92">
              <w:rPr>
                <w:szCs w:val="22"/>
              </w:rPr>
              <w:t xml:space="preserve">Do předkládací zprávy bylo doplněno vysvětlení k ustanovení MF zprostředkovatelem </w:t>
            </w:r>
            <w:r w:rsidR="00A34764" w:rsidRPr="00F42B92">
              <w:rPr>
                <w:szCs w:val="22"/>
              </w:rPr>
              <w:t>velké části</w:t>
            </w:r>
            <w:r w:rsidRPr="00F42B92">
              <w:rPr>
                <w:szCs w:val="22"/>
              </w:rPr>
              <w:t xml:space="preserve"> programů.</w:t>
            </w:r>
          </w:p>
          <w:p w:rsidR="003B4E85" w:rsidRPr="00F42B92" w:rsidRDefault="003B4E85" w:rsidP="00AE4214">
            <w:pPr>
              <w:rPr>
                <w:szCs w:val="22"/>
              </w:rPr>
            </w:pPr>
          </w:p>
          <w:p w:rsidR="001C2CE9" w:rsidRPr="00F42B92" w:rsidRDefault="00D51416" w:rsidP="00AE4214">
            <w:pPr>
              <w:rPr>
                <w:szCs w:val="22"/>
              </w:rPr>
            </w:pPr>
            <w:r w:rsidRPr="00F42B92">
              <w:rPr>
                <w:i/>
                <w:szCs w:val="22"/>
              </w:rPr>
              <w:t>O vypořádání připomínek byl navrhovatel informován e-mailem dne 3.7.2017 a vyslovil s vypořádáním souhlas (e-mail p. Serduly z 3.7.2017).</w:t>
            </w:r>
          </w:p>
        </w:tc>
        <w:tc>
          <w:tcPr>
            <w:tcW w:w="1700" w:type="dxa"/>
            <w:tcMar>
              <w:top w:w="0" w:type="dxa"/>
              <w:left w:w="45" w:type="dxa"/>
              <w:bottom w:w="0" w:type="dxa"/>
              <w:right w:w="45" w:type="dxa"/>
            </w:tcMar>
          </w:tcPr>
          <w:p w:rsidR="00547E77" w:rsidRPr="00F42B92" w:rsidRDefault="00547E77" w:rsidP="00547E77">
            <w:pPr>
              <w:rPr>
                <w:sz w:val="20"/>
                <w:szCs w:val="20"/>
              </w:rPr>
            </w:pPr>
            <w:r w:rsidRPr="00F42B92">
              <w:rPr>
                <w:sz w:val="20"/>
                <w:szCs w:val="20"/>
              </w:rPr>
              <w:t>eKLEPem 29.6.2017 (č.j. MF-16180/2017/5804-14, PID: MFCR7XKGYJ)</w:t>
            </w:r>
          </w:p>
          <w:p w:rsidR="00D946B8" w:rsidRPr="00F42B92" w:rsidRDefault="00D946B8" w:rsidP="00AE4214">
            <w:pPr>
              <w:rPr>
                <w:i/>
                <w:sz w:val="20"/>
                <w:szCs w:val="20"/>
              </w:rPr>
            </w:pPr>
          </w:p>
        </w:tc>
      </w:tr>
      <w:tr w:rsidR="00F42B92" w:rsidRPr="00F42B92" w:rsidTr="00E779E4">
        <w:tc>
          <w:tcPr>
            <w:tcW w:w="992" w:type="dxa"/>
            <w:tcMar>
              <w:top w:w="0" w:type="dxa"/>
              <w:left w:w="45" w:type="dxa"/>
              <w:bottom w:w="0" w:type="dxa"/>
              <w:right w:w="45" w:type="dxa"/>
            </w:tcMar>
          </w:tcPr>
          <w:p w:rsidR="00E51631" w:rsidRPr="00F42B92" w:rsidRDefault="007704E2" w:rsidP="00003374">
            <w:pPr>
              <w:jc w:val="center"/>
              <w:rPr>
                <w:szCs w:val="22"/>
              </w:rPr>
            </w:pPr>
            <w:r w:rsidRPr="00F42B92">
              <w:rPr>
                <w:szCs w:val="22"/>
              </w:rPr>
              <w:t xml:space="preserve">MŽP </w:t>
            </w:r>
          </w:p>
          <w:p w:rsidR="00E51631" w:rsidRPr="00F42B92" w:rsidRDefault="007704E2" w:rsidP="00003374">
            <w:pPr>
              <w:jc w:val="center"/>
              <w:rPr>
                <w:szCs w:val="22"/>
              </w:rPr>
            </w:pPr>
            <w:r w:rsidRPr="00F42B92">
              <w:rPr>
                <w:szCs w:val="22"/>
              </w:rPr>
              <w:t xml:space="preserve">+ </w:t>
            </w:r>
          </w:p>
          <w:p w:rsidR="007704E2" w:rsidRPr="00F42B92" w:rsidRDefault="007704E2" w:rsidP="00003374">
            <w:pPr>
              <w:jc w:val="center"/>
              <w:rPr>
                <w:szCs w:val="22"/>
              </w:rPr>
            </w:pPr>
            <w:r w:rsidRPr="00F42B92">
              <w:rPr>
                <w:szCs w:val="22"/>
              </w:rPr>
              <w:t>SFŽP</w:t>
            </w:r>
          </w:p>
        </w:tc>
        <w:tc>
          <w:tcPr>
            <w:tcW w:w="1135" w:type="dxa"/>
            <w:tcMar>
              <w:top w:w="0" w:type="dxa"/>
              <w:left w:w="45" w:type="dxa"/>
              <w:bottom w:w="0" w:type="dxa"/>
              <w:right w:w="45" w:type="dxa"/>
            </w:tcMar>
          </w:tcPr>
          <w:p w:rsidR="007704E2" w:rsidRPr="00F42B92" w:rsidRDefault="007704E2" w:rsidP="00003374">
            <w:pPr>
              <w:jc w:val="center"/>
              <w:rPr>
                <w:szCs w:val="22"/>
              </w:rPr>
            </w:pPr>
          </w:p>
        </w:tc>
        <w:tc>
          <w:tcPr>
            <w:tcW w:w="6379" w:type="dxa"/>
            <w:tcMar>
              <w:top w:w="0" w:type="dxa"/>
              <w:left w:w="45" w:type="dxa"/>
              <w:bottom w:w="0" w:type="dxa"/>
              <w:right w:w="45" w:type="dxa"/>
            </w:tcMar>
          </w:tcPr>
          <w:p w:rsidR="007704E2" w:rsidRPr="00F42B92" w:rsidRDefault="007704E2" w:rsidP="00003374">
            <w:pPr>
              <w:rPr>
                <w:szCs w:val="22"/>
              </w:rPr>
            </w:pPr>
            <w:r w:rsidRPr="00F42B92">
              <w:rPr>
                <w:b/>
                <w:szCs w:val="22"/>
              </w:rPr>
              <w:t>Bez připomínek</w:t>
            </w:r>
            <w:r w:rsidRPr="00F42B92">
              <w:rPr>
                <w:szCs w:val="22"/>
              </w:rPr>
              <w:t xml:space="preserve"> – Připomínka od Ministerstvo životního prostředí k Návrh na sjednání Memoranda o porozumění pro implementaci Finančního mechanismu EHP na období 2014-2021 mezi Islandskou republiku, Lichtenštejnským knížectvím, Norským královstvím a Českou republikou a Memoranda o porozumění pro implementaci Finančního mechanismu Norska na období 2014-2021 mezi Norským královstvím a Českou republikou</w:t>
            </w:r>
          </w:p>
          <w:p w:rsidR="007704E2" w:rsidRPr="00F42B92" w:rsidRDefault="007704E2" w:rsidP="002D49BF">
            <w:pPr>
              <w:rPr>
                <w:i/>
                <w:szCs w:val="22"/>
              </w:rPr>
            </w:pPr>
            <w:r w:rsidRPr="00F42B92">
              <w:rPr>
                <w:i/>
                <w:szCs w:val="22"/>
              </w:rPr>
              <w:t xml:space="preserve">Dle sdělení </w:t>
            </w:r>
            <w:r w:rsidR="002D49BF" w:rsidRPr="00F42B92">
              <w:rPr>
                <w:i/>
                <w:szCs w:val="22"/>
              </w:rPr>
              <w:t>p. Tomáše Fajfra ze SFŽP</w:t>
            </w:r>
            <w:r w:rsidRPr="00F42B92">
              <w:rPr>
                <w:i/>
                <w:szCs w:val="22"/>
              </w:rPr>
              <w:t xml:space="preserve"> </w:t>
            </w:r>
            <w:r w:rsidR="002D49BF" w:rsidRPr="00F42B92">
              <w:rPr>
                <w:i/>
                <w:szCs w:val="22"/>
              </w:rPr>
              <w:t xml:space="preserve">(e-mail 30.6.2017) </w:t>
            </w:r>
            <w:r w:rsidRPr="00F42B92">
              <w:rPr>
                <w:i/>
                <w:szCs w:val="22"/>
              </w:rPr>
              <w:t>se jedná o společnou odpověď MŽP a SFŽP</w:t>
            </w:r>
            <w:r w:rsidR="002D49BF" w:rsidRPr="00F42B92">
              <w:rPr>
                <w:i/>
                <w:szCs w:val="22"/>
              </w:rPr>
              <w:t>.</w:t>
            </w:r>
          </w:p>
        </w:tc>
        <w:tc>
          <w:tcPr>
            <w:tcW w:w="4678" w:type="dxa"/>
            <w:tcMar>
              <w:top w:w="0" w:type="dxa"/>
              <w:left w:w="45" w:type="dxa"/>
              <w:bottom w:w="0" w:type="dxa"/>
              <w:right w:w="45" w:type="dxa"/>
            </w:tcMar>
          </w:tcPr>
          <w:p w:rsidR="007704E2" w:rsidRPr="00F42B92" w:rsidRDefault="007704E2" w:rsidP="00003374">
            <w:pPr>
              <w:rPr>
                <w:szCs w:val="22"/>
              </w:rPr>
            </w:pPr>
            <w:r w:rsidRPr="00F42B92">
              <w:rPr>
                <w:szCs w:val="22"/>
              </w:rPr>
              <w:t>---</w:t>
            </w:r>
          </w:p>
        </w:tc>
        <w:tc>
          <w:tcPr>
            <w:tcW w:w="1700" w:type="dxa"/>
            <w:tcMar>
              <w:top w:w="0" w:type="dxa"/>
              <w:left w:w="45" w:type="dxa"/>
              <w:bottom w:w="0" w:type="dxa"/>
              <w:right w:w="45" w:type="dxa"/>
            </w:tcMar>
          </w:tcPr>
          <w:p w:rsidR="007704E2" w:rsidRPr="00F42B92" w:rsidRDefault="007704E2" w:rsidP="00003374">
            <w:pPr>
              <w:rPr>
                <w:sz w:val="20"/>
                <w:szCs w:val="20"/>
              </w:rPr>
            </w:pPr>
            <w:r w:rsidRPr="00F42B92">
              <w:rPr>
                <w:sz w:val="20"/>
                <w:szCs w:val="20"/>
              </w:rPr>
              <w:t>eKLEPem 29.6.2017 (č.j. MF-16180/2017/5804-15, PID: MFCR7XKHHF)</w:t>
            </w:r>
          </w:p>
          <w:p w:rsidR="007704E2" w:rsidRPr="00F42B92" w:rsidRDefault="007704E2" w:rsidP="00003374">
            <w:pPr>
              <w:rPr>
                <w:sz w:val="20"/>
                <w:szCs w:val="20"/>
              </w:rPr>
            </w:pPr>
          </w:p>
        </w:tc>
      </w:tr>
      <w:tr w:rsidR="00F42B92" w:rsidRPr="00F42B92" w:rsidTr="00E779E4">
        <w:tc>
          <w:tcPr>
            <w:tcW w:w="992" w:type="dxa"/>
            <w:tcMar>
              <w:top w:w="0" w:type="dxa"/>
              <w:left w:w="45" w:type="dxa"/>
              <w:bottom w:w="0" w:type="dxa"/>
              <w:right w:w="45" w:type="dxa"/>
            </w:tcMar>
          </w:tcPr>
          <w:p w:rsidR="007704E2" w:rsidRPr="00F42B92" w:rsidRDefault="007704E2" w:rsidP="00003374">
            <w:pPr>
              <w:jc w:val="center"/>
              <w:rPr>
                <w:szCs w:val="22"/>
              </w:rPr>
            </w:pPr>
            <w:r w:rsidRPr="00F42B92">
              <w:rPr>
                <w:szCs w:val="22"/>
              </w:rPr>
              <w:t>MK</w:t>
            </w:r>
          </w:p>
        </w:tc>
        <w:tc>
          <w:tcPr>
            <w:tcW w:w="1135" w:type="dxa"/>
            <w:tcMar>
              <w:top w:w="0" w:type="dxa"/>
              <w:left w:w="45" w:type="dxa"/>
              <w:bottom w:w="0" w:type="dxa"/>
              <w:right w:w="45" w:type="dxa"/>
            </w:tcMar>
          </w:tcPr>
          <w:p w:rsidR="007704E2" w:rsidRPr="00F42B92" w:rsidRDefault="007704E2" w:rsidP="00003374">
            <w:pPr>
              <w:jc w:val="center"/>
              <w:rPr>
                <w:szCs w:val="22"/>
              </w:rPr>
            </w:pPr>
          </w:p>
        </w:tc>
        <w:tc>
          <w:tcPr>
            <w:tcW w:w="6379" w:type="dxa"/>
            <w:tcMar>
              <w:top w:w="0" w:type="dxa"/>
              <w:left w:w="45" w:type="dxa"/>
              <w:bottom w:w="0" w:type="dxa"/>
              <w:right w:w="45" w:type="dxa"/>
            </w:tcMar>
          </w:tcPr>
          <w:p w:rsidR="007704E2" w:rsidRPr="00F42B92" w:rsidRDefault="00BB56DD" w:rsidP="00003374">
            <w:pPr>
              <w:rPr>
                <w:szCs w:val="22"/>
              </w:rPr>
            </w:pPr>
            <w:r w:rsidRPr="00F42B92">
              <w:rPr>
                <w:szCs w:val="22"/>
              </w:rPr>
              <w:t xml:space="preserve">V rámci meziresortního připomínkového řízení k „Návrhu na sjednání Memoranda o porozumění pro implementaci Finančního mechanismu EHP na období 2014-2021 mezi Islandskou republikou, Lichtenštejnským knížectvím, Norským královstvím a Českou republikou a Memoranda o porozumění pro implementaci Finančního mechanismu Norska na období 2014-2021 mezi Norským královstvím a Českou republikou“, zpracované Ministerstvem financí, </w:t>
            </w:r>
            <w:r w:rsidRPr="00F42B92">
              <w:rPr>
                <w:b/>
                <w:szCs w:val="22"/>
              </w:rPr>
              <w:t>neuplatňuje Ministerstvo kultury žádné připomínky</w:t>
            </w:r>
            <w:r w:rsidRPr="00F42B92">
              <w:rPr>
                <w:szCs w:val="22"/>
              </w:rPr>
              <w:t>.</w:t>
            </w:r>
          </w:p>
        </w:tc>
        <w:tc>
          <w:tcPr>
            <w:tcW w:w="4678" w:type="dxa"/>
            <w:tcMar>
              <w:top w:w="0" w:type="dxa"/>
              <w:left w:w="45" w:type="dxa"/>
              <w:bottom w:w="0" w:type="dxa"/>
              <w:right w:w="45" w:type="dxa"/>
            </w:tcMar>
          </w:tcPr>
          <w:p w:rsidR="007704E2" w:rsidRPr="00F42B92" w:rsidRDefault="00BB56DD" w:rsidP="00003374">
            <w:pPr>
              <w:rPr>
                <w:szCs w:val="22"/>
              </w:rPr>
            </w:pPr>
            <w:r w:rsidRPr="00F42B92">
              <w:rPr>
                <w:szCs w:val="22"/>
              </w:rPr>
              <w:t>---</w:t>
            </w:r>
          </w:p>
        </w:tc>
        <w:tc>
          <w:tcPr>
            <w:tcW w:w="1700" w:type="dxa"/>
            <w:tcMar>
              <w:top w:w="0" w:type="dxa"/>
              <w:left w:w="45" w:type="dxa"/>
              <w:bottom w:w="0" w:type="dxa"/>
              <w:right w:w="45" w:type="dxa"/>
            </w:tcMar>
          </w:tcPr>
          <w:p w:rsidR="00BB56DD" w:rsidRPr="00F42B92" w:rsidRDefault="00BB56DD" w:rsidP="00BB56DD">
            <w:pPr>
              <w:rPr>
                <w:sz w:val="20"/>
                <w:szCs w:val="20"/>
              </w:rPr>
            </w:pPr>
            <w:r w:rsidRPr="00F42B92">
              <w:rPr>
                <w:sz w:val="20"/>
                <w:szCs w:val="20"/>
              </w:rPr>
              <w:t>eKLEPem 29.6.2017 (č.j. MF-16180/2017/5804-1</w:t>
            </w:r>
            <w:r w:rsidR="00740A77" w:rsidRPr="00F42B92">
              <w:rPr>
                <w:sz w:val="20"/>
                <w:szCs w:val="20"/>
              </w:rPr>
              <w:t>6</w:t>
            </w:r>
            <w:r w:rsidRPr="00F42B92">
              <w:rPr>
                <w:sz w:val="20"/>
                <w:szCs w:val="20"/>
              </w:rPr>
              <w:t>, PID: MFCR7XKHDU)</w:t>
            </w:r>
          </w:p>
          <w:p w:rsidR="007704E2" w:rsidRPr="00F42B92" w:rsidRDefault="007704E2" w:rsidP="00003374">
            <w:pPr>
              <w:rPr>
                <w:sz w:val="20"/>
                <w:szCs w:val="20"/>
              </w:rPr>
            </w:pPr>
          </w:p>
        </w:tc>
      </w:tr>
      <w:tr w:rsidR="00F42B92" w:rsidRPr="00F42B92" w:rsidTr="00E779E4">
        <w:tc>
          <w:tcPr>
            <w:tcW w:w="992" w:type="dxa"/>
            <w:tcMar>
              <w:top w:w="0" w:type="dxa"/>
              <w:left w:w="45" w:type="dxa"/>
              <w:bottom w:w="0" w:type="dxa"/>
              <w:right w:w="45" w:type="dxa"/>
            </w:tcMar>
          </w:tcPr>
          <w:p w:rsidR="00D946B8" w:rsidRPr="00F42B92" w:rsidRDefault="003B4E85" w:rsidP="00AE4214">
            <w:pPr>
              <w:jc w:val="center"/>
              <w:rPr>
                <w:szCs w:val="22"/>
              </w:rPr>
            </w:pPr>
            <w:r w:rsidRPr="00F42B92">
              <w:rPr>
                <w:szCs w:val="22"/>
              </w:rPr>
              <w:t>TAČR</w:t>
            </w:r>
          </w:p>
        </w:tc>
        <w:tc>
          <w:tcPr>
            <w:tcW w:w="1135" w:type="dxa"/>
            <w:tcMar>
              <w:top w:w="0" w:type="dxa"/>
              <w:left w:w="45" w:type="dxa"/>
              <w:bottom w:w="0" w:type="dxa"/>
              <w:right w:w="45" w:type="dxa"/>
            </w:tcMar>
          </w:tcPr>
          <w:p w:rsidR="00D946B8" w:rsidRPr="00F42B92" w:rsidRDefault="00D946B8" w:rsidP="00AE4214">
            <w:pPr>
              <w:jc w:val="center"/>
              <w:rPr>
                <w:szCs w:val="22"/>
              </w:rPr>
            </w:pPr>
          </w:p>
        </w:tc>
        <w:tc>
          <w:tcPr>
            <w:tcW w:w="6379" w:type="dxa"/>
            <w:tcMar>
              <w:top w:w="0" w:type="dxa"/>
              <w:left w:w="45" w:type="dxa"/>
              <w:bottom w:w="0" w:type="dxa"/>
              <w:right w:w="45" w:type="dxa"/>
            </w:tcMar>
          </w:tcPr>
          <w:p w:rsidR="00D946B8" w:rsidRPr="00F42B92" w:rsidRDefault="0032438C" w:rsidP="0032438C">
            <w:pPr>
              <w:rPr>
                <w:szCs w:val="22"/>
              </w:rPr>
            </w:pPr>
            <w:r w:rsidRPr="00F42B92">
              <w:rPr>
                <w:szCs w:val="22"/>
              </w:rPr>
              <w:t xml:space="preserve">Sděluji vám, že k materiálu „Návrh na sjednání Memoranda o porozumění pro implementaci Finančního mechanismu EHP na období 2014-2021 mezi Islandskou republikou, Lichtenštejnským knížectvím, Norským královstvím a Českou republikou a Memoranda o porozumění pro implementaci Finančního mechanismu Norska na období 2014-2021 mezi Norským královstvím a Českou republikou“, který byl vložen do systému eKLEP dne 22.6.2017 pod č.j. MF-16180/2017/5804-6, z hlediska působnosti Technologické agentury ČR </w:t>
            </w:r>
            <w:r w:rsidRPr="00F42B92">
              <w:rPr>
                <w:b/>
                <w:szCs w:val="22"/>
              </w:rPr>
              <w:t>neuplatňuji připomínky</w:t>
            </w:r>
            <w:r w:rsidRPr="00F42B92">
              <w:rPr>
                <w:szCs w:val="22"/>
              </w:rPr>
              <w:t>.</w:t>
            </w:r>
          </w:p>
        </w:tc>
        <w:tc>
          <w:tcPr>
            <w:tcW w:w="4678" w:type="dxa"/>
            <w:tcMar>
              <w:top w:w="0" w:type="dxa"/>
              <w:left w:w="45" w:type="dxa"/>
              <w:bottom w:w="0" w:type="dxa"/>
              <w:right w:w="45" w:type="dxa"/>
            </w:tcMar>
          </w:tcPr>
          <w:p w:rsidR="00D946B8" w:rsidRPr="00F42B92" w:rsidRDefault="0032438C" w:rsidP="00AE4214">
            <w:pPr>
              <w:tabs>
                <w:tab w:val="left" w:pos="851"/>
              </w:tabs>
              <w:autoSpaceDE w:val="0"/>
              <w:autoSpaceDN w:val="0"/>
              <w:adjustRightInd w:val="0"/>
              <w:jc w:val="both"/>
              <w:rPr>
                <w:szCs w:val="22"/>
              </w:rPr>
            </w:pPr>
            <w:r w:rsidRPr="00F42B92">
              <w:rPr>
                <w:szCs w:val="22"/>
              </w:rPr>
              <w:t>---</w:t>
            </w:r>
          </w:p>
        </w:tc>
        <w:tc>
          <w:tcPr>
            <w:tcW w:w="1700" w:type="dxa"/>
            <w:tcMar>
              <w:top w:w="0" w:type="dxa"/>
              <w:left w:w="45" w:type="dxa"/>
              <w:bottom w:w="0" w:type="dxa"/>
              <w:right w:w="45" w:type="dxa"/>
            </w:tcMar>
          </w:tcPr>
          <w:p w:rsidR="00740A77" w:rsidRPr="00F42B92" w:rsidRDefault="00740A77" w:rsidP="00740A77">
            <w:pPr>
              <w:rPr>
                <w:sz w:val="20"/>
                <w:szCs w:val="20"/>
              </w:rPr>
            </w:pPr>
            <w:r w:rsidRPr="00F42B92">
              <w:rPr>
                <w:sz w:val="20"/>
                <w:szCs w:val="20"/>
              </w:rPr>
              <w:t>eKLEPem 29.6.2017 (č.j. MF-16180/2017/5804-17, PID: MFCR7XKHDW)</w:t>
            </w:r>
          </w:p>
          <w:p w:rsidR="00D946B8" w:rsidRPr="00F42B92" w:rsidRDefault="00D946B8" w:rsidP="00AE4214">
            <w:pPr>
              <w:rPr>
                <w:sz w:val="20"/>
                <w:szCs w:val="20"/>
              </w:rPr>
            </w:pPr>
          </w:p>
          <w:p w:rsidR="001847CB" w:rsidRPr="00F42B92" w:rsidRDefault="001847CB" w:rsidP="00AE4214">
            <w:pPr>
              <w:rPr>
                <w:i/>
                <w:sz w:val="20"/>
                <w:szCs w:val="20"/>
              </w:rPr>
            </w:pPr>
            <w:r w:rsidRPr="00F42B92">
              <w:rPr>
                <w:i/>
                <w:sz w:val="20"/>
                <w:szCs w:val="20"/>
              </w:rPr>
              <w:t>+ e-mailem 29.6.2017</w:t>
            </w:r>
          </w:p>
        </w:tc>
      </w:tr>
      <w:tr w:rsidR="00F42B92" w:rsidRPr="00F42B92" w:rsidTr="00E779E4">
        <w:tc>
          <w:tcPr>
            <w:tcW w:w="992" w:type="dxa"/>
            <w:tcMar>
              <w:top w:w="0" w:type="dxa"/>
              <w:left w:w="45" w:type="dxa"/>
              <w:bottom w:w="0" w:type="dxa"/>
              <w:right w:w="45" w:type="dxa"/>
            </w:tcMar>
          </w:tcPr>
          <w:p w:rsidR="00D946B8" w:rsidRPr="00F42B92" w:rsidRDefault="002D49BF" w:rsidP="00AE4214">
            <w:pPr>
              <w:jc w:val="center"/>
              <w:rPr>
                <w:szCs w:val="22"/>
              </w:rPr>
            </w:pPr>
            <w:r w:rsidRPr="00F42B92">
              <w:rPr>
                <w:szCs w:val="22"/>
              </w:rPr>
              <w:t>MV</w:t>
            </w:r>
          </w:p>
        </w:tc>
        <w:tc>
          <w:tcPr>
            <w:tcW w:w="1135" w:type="dxa"/>
            <w:tcMar>
              <w:top w:w="0" w:type="dxa"/>
              <w:left w:w="45" w:type="dxa"/>
              <w:bottom w:w="0" w:type="dxa"/>
              <w:right w:w="45" w:type="dxa"/>
            </w:tcMar>
          </w:tcPr>
          <w:p w:rsidR="00D946B8" w:rsidRPr="00F42B92" w:rsidRDefault="00D946B8" w:rsidP="00AE4214">
            <w:pPr>
              <w:jc w:val="center"/>
              <w:rPr>
                <w:szCs w:val="22"/>
              </w:rPr>
            </w:pPr>
          </w:p>
        </w:tc>
        <w:tc>
          <w:tcPr>
            <w:tcW w:w="6379" w:type="dxa"/>
            <w:tcMar>
              <w:top w:w="0" w:type="dxa"/>
              <w:left w:w="45" w:type="dxa"/>
              <w:bottom w:w="0" w:type="dxa"/>
              <w:right w:w="45" w:type="dxa"/>
            </w:tcMar>
          </w:tcPr>
          <w:p w:rsidR="00D946B8" w:rsidRPr="00F42B92" w:rsidRDefault="002D49BF" w:rsidP="000019D2">
            <w:pPr>
              <w:rPr>
                <w:szCs w:val="22"/>
              </w:rPr>
            </w:pPr>
            <w:r w:rsidRPr="00F42B92">
              <w:rPr>
                <w:b/>
                <w:szCs w:val="22"/>
              </w:rPr>
              <w:t>Bez připomínek</w:t>
            </w:r>
            <w:r w:rsidRPr="00F42B92">
              <w:rPr>
                <w:szCs w:val="22"/>
              </w:rPr>
              <w:t xml:space="preserve"> – Připomínka od Ministerstv</w:t>
            </w:r>
            <w:r w:rsidR="000019D2">
              <w:rPr>
                <w:szCs w:val="22"/>
              </w:rPr>
              <w:t>a</w:t>
            </w:r>
            <w:r w:rsidRPr="00F42B92">
              <w:rPr>
                <w:szCs w:val="22"/>
              </w:rPr>
              <w:t xml:space="preserve"> vnitra k Návrh na sjednání Memoranda o porozumění pro implementaci Finančního mechanismu EHP na období 2014-2021 mezi Islandskou republiku, Lichtenštejnským knížectvím, Norským královstvím a Českou republikou a Memoranda o porozumění pro implementaci Finančního mechanismu Norska na období 2014-2021 mezi Norským královstvím a Českou republikou</w:t>
            </w:r>
          </w:p>
        </w:tc>
        <w:tc>
          <w:tcPr>
            <w:tcW w:w="4678" w:type="dxa"/>
            <w:tcMar>
              <w:top w:w="0" w:type="dxa"/>
              <w:left w:w="45" w:type="dxa"/>
              <w:bottom w:w="0" w:type="dxa"/>
              <w:right w:w="45" w:type="dxa"/>
            </w:tcMar>
          </w:tcPr>
          <w:p w:rsidR="00D946B8" w:rsidRPr="00F42B92" w:rsidRDefault="002D49BF" w:rsidP="00AE4214">
            <w:pPr>
              <w:rPr>
                <w:szCs w:val="22"/>
              </w:rPr>
            </w:pPr>
            <w:r w:rsidRPr="00F42B92">
              <w:rPr>
                <w:szCs w:val="22"/>
              </w:rPr>
              <w:t>---</w:t>
            </w:r>
          </w:p>
        </w:tc>
        <w:tc>
          <w:tcPr>
            <w:tcW w:w="1700" w:type="dxa"/>
            <w:tcMar>
              <w:top w:w="0" w:type="dxa"/>
              <w:left w:w="45" w:type="dxa"/>
              <w:bottom w:w="0" w:type="dxa"/>
              <w:right w:w="45" w:type="dxa"/>
            </w:tcMar>
          </w:tcPr>
          <w:p w:rsidR="002D49BF" w:rsidRPr="00F42B92" w:rsidRDefault="002D49BF" w:rsidP="002D49BF">
            <w:pPr>
              <w:rPr>
                <w:sz w:val="20"/>
                <w:szCs w:val="20"/>
              </w:rPr>
            </w:pPr>
            <w:r w:rsidRPr="00F42B92">
              <w:rPr>
                <w:sz w:val="20"/>
                <w:szCs w:val="20"/>
              </w:rPr>
              <w:t>eKLEPem 30.6.2017 (č.j. MF-16180/2017/5804-18, PID: MFCR7XKHPK)</w:t>
            </w:r>
          </w:p>
          <w:p w:rsidR="00D946B8" w:rsidRPr="00F42B92" w:rsidRDefault="00D946B8" w:rsidP="00AE4214">
            <w:pPr>
              <w:rPr>
                <w:sz w:val="20"/>
                <w:szCs w:val="20"/>
              </w:rPr>
            </w:pPr>
          </w:p>
        </w:tc>
      </w:tr>
    </w:tbl>
    <w:p w:rsidR="00D946B8" w:rsidRPr="00F42B92" w:rsidRDefault="00D946B8" w:rsidP="00BD24C8">
      <w:pPr>
        <w:rPr>
          <w:sz w:val="24"/>
        </w:rPr>
      </w:pPr>
    </w:p>
    <w:sectPr w:rsidR="00D946B8" w:rsidRPr="00F42B92" w:rsidSect="00AB21E5">
      <w:footerReference w:type="even" r:id="rId14"/>
      <w:footerReference w:type="default" r:id="rId15"/>
      <w:footerReference w:type="first" r:id="rId16"/>
      <w:pgSz w:w="16838" w:h="11906" w:orient="landscape" w:code="9"/>
      <w:pgMar w:top="85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874" w:rsidRDefault="001A0874">
      <w:r>
        <w:separator/>
      </w:r>
    </w:p>
  </w:endnote>
  <w:endnote w:type="continuationSeparator" w:id="0">
    <w:p w:rsidR="001A0874" w:rsidRDefault="001A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5B1" w:rsidRDefault="002C75B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2C75B1" w:rsidRDefault="002C75B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170257"/>
      <w:docPartObj>
        <w:docPartGallery w:val="Page Numbers (Bottom of Page)"/>
        <w:docPartUnique/>
      </w:docPartObj>
    </w:sdtPr>
    <w:sdtEndPr/>
    <w:sdtContent>
      <w:p w:rsidR="009C65EA" w:rsidRDefault="009C65EA">
        <w:pPr>
          <w:pStyle w:val="Zpat"/>
          <w:jc w:val="right"/>
        </w:pPr>
        <w:r>
          <w:fldChar w:fldCharType="begin"/>
        </w:r>
        <w:r>
          <w:instrText>PAGE   \* MERGEFORMAT</w:instrText>
        </w:r>
        <w:r>
          <w:fldChar w:fldCharType="separate"/>
        </w:r>
        <w:r w:rsidR="007C5326">
          <w:rPr>
            <w:noProof/>
          </w:rPr>
          <w:t>2</w:t>
        </w:r>
        <w:r>
          <w:fldChar w:fldCharType="end"/>
        </w:r>
      </w:p>
    </w:sdtContent>
  </w:sdt>
  <w:p w:rsidR="002C75B1" w:rsidRDefault="002C75B1">
    <w:pPr>
      <w:pStyle w:val="Zpat"/>
      <w:ind w:right="36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079739"/>
      <w:docPartObj>
        <w:docPartGallery w:val="Page Numbers (Bottom of Page)"/>
        <w:docPartUnique/>
      </w:docPartObj>
    </w:sdtPr>
    <w:sdtEndPr/>
    <w:sdtContent>
      <w:p w:rsidR="009F046F" w:rsidRDefault="009F046F">
        <w:pPr>
          <w:pStyle w:val="Zpat"/>
          <w:jc w:val="right"/>
        </w:pPr>
        <w:r>
          <w:fldChar w:fldCharType="begin"/>
        </w:r>
        <w:r>
          <w:instrText>PAGE   \* MERGEFORMAT</w:instrText>
        </w:r>
        <w:r>
          <w:fldChar w:fldCharType="separate"/>
        </w:r>
        <w:r w:rsidR="007C5326">
          <w:rPr>
            <w:noProof/>
          </w:rPr>
          <w:t>1</w:t>
        </w:r>
        <w:r>
          <w:fldChar w:fldCharType="end"/>
        </w:r>
      </w:p>
    </w:sdtContent>
  </w:sdt>
  <w:p w:rsidR="009F046F" w:rsidRDefault="009F046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874" w:rsidRDefault="001A0874">
      <w:r>
        <w:separator/>
      </w:r>
    </w:p>
  </w:footnote>
  <w:footnote w:type="continuationSeparator" w:id="0">
    <w:p w:rsidR="001A0874" w:rsidRDefault="001A08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872"/>
    <w:multiLevelType w:val="hybridMultilevel"/>
    <w:tmpl w:val="26223C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
    <w:nsid w:val="143206A8"/>
    <w:multiLevelType w:val="hybridMultilevel"/>
    <w:tmpl w:val="CFB4DDA4"/>
    <w:lvl w:ilvl="0" w:tplc="2020B8AE">
      <w:start w:val="2"/>
      <w:numFmt w:val="decimal"/>
      <w:lvlText w:val="%1."/>
      <w:lvlJc w:val="left"/>
      <w:pPr>
        <w:tabs>
          <w:tab w:val="num" w:pos="768"/>
        </w:tabs>
        <w:ind w:left="768" w:hanging="708"/>
      </w:pPr>
      <w:rPr>
        <w:rFonts w:hint="default"/>
      </w:rPr>
    </w:lvl>
    <w:lvl w:ilvl="1" w:tplc="6F405D0C">
      <w:start w:val="1"/>
      <w:numFmt w:val="upperLetter"/>
      <w:pStyle w:val="Nadpis9"/>
      <w:lvlText w:val="%2."/>
      <w:lvlJc w:val="left"/>
      <w:pPr>
        <w:tabs>
          <w:tab w:val="num" w:pos="1140"/>
        </w:tabs>
        <w:ind w:left="1140" w:hanging="360"/>
      </w:pPr>
      <w:rPr>
        <w:rFonts w:hint="default"/>
      </w:r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2">
    <w:nsid w:val="148317C6"/>
    <w:multiLevelType w:val="hybridMultilevel"/>
    <w:tmpl w:val="BA72293E"/>
    <w:lvl w:ilvl="0" w:tplc="A72E17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925BBE"/>
    <w:multiLevelType w:val="hybridMultilevel"/>
    <w:tmpl w:val="9482E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A166B9"/>
    <w:multiLevelType w:val="hybridMultilevel"/>
    <w:tmpl w:val="4022EE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53371C"/>
    <w:multiLevelType w:val="hybridMultilevel"/>
    <w:tmpl w:val="04988744"/>
    <w:lvl w:ilvl="0" w:tplc="DD3CE66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FD950BF"/>
    <w:multiLevelType w:val="hybridMultilevel"/>
    <w:tmpl w:val="E09C7744"/>
    <w:lvl w:ilvl="0" w:tplc="CBE6B728">
      <w:start w:val="1"/>
      <w:numFmt w:val="upperLetter"/>
      <w:pStyle w:val="Nadpis4"/>
      <w:lvlText w:val="%1."/>
      <w:lvlJc w:val="left"/>
      <w:pPr>
        <w:tabs>
          <w:tab w:val="num" w:pos="420"/>
        </w:tabs>
        <w:ind w:left="420" w:hanging="360"/>
      </w:pPr>
      <w:rPr>
        <w:rFonts w:hint="default"/>
      </w:rPr>
    </w:lvl>
    <w:lvl w:ilvl="1" w:tplc="B6F0B4B4">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3C5580C"/>
    <w:multiLevelType w:val="hybridMultilevel"/>
    <w:tmpl w:val="B5EEE1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6797A7A"/>
    <w:multiLevelType w:val="hybridMultilevel"/>
    <w:tmpl w:val="3028DBD0"/>
    <w:lvl w:ilvl="0" w:tplc="A14C5604">
      <w:start w:val="4"/>
      <w:numFmt w:val="upperRoman"/>
      <w:lvlText w:val="%1."/>
      <w:lvlJc w:val="left"/>
      <w:pPr>
        <w:tabs>
          <w:tab w:val="num" w:pos="7800"/>
        </w:tabs>
        <w:ind w:left="7800" w:hanging="720"/>
      </w:pPr>
      <w:rPr>
        <w:rFonts w:hint="default"/>
      </w:rPr>
    </w:lvl>
    <w:lvl w:ilvl="1" w:tplc="04050019" w:tentative="1">
      <w:start w:val="1"/>
      <w:numFmt w:val="lowerLetter"/>
      <w:lvlText w:val="%2."/>
      <w:lvlJc w:val="left"/>
      <w:pPr>
        <w:tabs>
          <w:tab w:val="num" w:pos="8160"/>
        </w:tabs>
        <w:ind w:left="8160" w:hanging="360"/>
      </w:pPr>
    </w:lvl>
    <w:lvl w:ilvl="2" w:tplc="0405001B" w:tentative="1">
      <w:start w:val="1"/>
      <w:numFmt w:val="lowerRoman"/>
      <w:lvlText w:val="%3."/>
      <w:lvlJc w:val="right"/>
      <w:pPr>
        <w:tabs>
          <w:tab w:val="num" w:pos="8880"/>
        </w:tabs>
        <w:ind w:left="8880" w:hanging="180"/>
      </w:pPr>
    </w:lvl>
    <w:lvl w:ilvl="3" w:tplc="0405000F" w:tentative="1">
      <w:start w:val="1"/>
      <w:numFmt w:val="decimal"/>
      <w:lvlText w:val="%4."/>
      <w:lvlJc w:val="left"/>
      <w:pPr>
        <w:tabs>
          <w:tab w:val="num" w:pos="9600"/>
        </w:tabs>
        <w:ind w:left="9600" w:hanging="360"/>
      </w:pPr>
    </w:lvl>
    <w:lvl w:ilvl="4" w:tplc="04050019" w:tentative="1">
      <w:start w:val="1"/>
      <w:numFmt w:val="lowerLetter"/>
      <w:lvlText w:val="%5."/>
      <w:lvlJc w:val="left"/>
      <w:pPr>
        <w:tabs>
          <w:tab w:val="num" w:pos="10320"/>
        </w:tabs>
        <w:ind w:left="10320" w:hanging="360"/>
      </w:pPr>
    </w:lvl>
    <w:lvl w:ilvl="5" w:tplc="0405001B" w:tentative="1">
      <w:start w:val="1"/>
      <w:numFmt w:val="lowerRoman"/>
      <w:lvlText w:val="%6."/>
      <w:lvlJc w:val="right"/>
      <w:pPr>
        <w:tabs>
          <w:tab w:val="num" w:pos="11040"/>
        </w:tabs>
        <w:ind w:left="11040" w:hanging="180"/>
      </w:pPr>
    </w:lvl>
    <w:lvl w:ilvl="6" w:tplc="0405000F" w:tentative="1">
      <w:start w:val="1"/>
      <w:numFmt w:val="decimal"/>
      <w:lvlText w:val="%7."/>
      <w:lvlJc w:val="left"/>
      <w:pPr>
        <w:tabs>
          <w:tab w:val="num" w:pos="11760"/>
        </w:tabs>
        <w:ind w:left="11760" w:hanging="360"/>
      </w:pPr>
    </w:lvl>
    <w:lvl w:ilvl="7" w:tplc="04050019" w:tentative="1">
      <w:start w:val="1"/>
      <w:numFmt w:val="lowerLetter"/>
      <w:lvlText w:val="%8."/>
      <w:lvlJc w:val="left"/>
      <w:pPr>
        <w:tabs>
          <w:tab w:val="num" w:pos="12480"/>
        </w:tabs>
        <w:ind w:left="12480" w:hanging="360"/>
      </w:pPr>
    </w:lvl>
    <w:lvl w:ilvl="8" w:tplc="0405001B" w:tentative="1">
      <w:start w:val="1"/>
      <w:numFmt w:val="lowerRoman"/>
      <w:lvlText w:val="%9."/>
      <w:lvlJc w:val="right"/>
      <w:pPr>
        <w:tabs>
          <w:tab w:val="num" w:pos="13200"/>
        </w:tabs>
        <w:ind w:left="13200" w:hanging="180"/>
      </w:pPr>
    </w:lvl>
  </w:abstractNum>
  <w:abstractNum w:abstractNumId="9">
    <w:nsid w:val="38C815C8"/>
    <w:multiLevelType w:val="hybridMultilevel"/>
    <w:tmpl w:val="2F180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9165093"/>
    <w:multiLevelType w:val="hybridMultilevel"/>
    <w:tmpl w:val="927E7DAE"/>
    <w:lvl w:ilvl="0" w:tplc="CBC8635E">
      <w:start w:val="4"/>
      <w:numFmt w:val="upperRoman"/>
      <w:lvlText w:val="%1."/>
      <w:lvlJc w:val="left"/>
      <w:pPr>
        <w:tabs>
          <w:tab w:val="num" w:pos="7800"/>
        </w:tabs>
        <w:ind w:left="7800" w:hanging="720"/>
      </w:pPr>
      <w:rPr>
        <w:rFonts w:hint="default"/>
      </w:rPr>
    </w:lvl>
    <w:lvl w:ilvl="1" w:tplc="04050019" w:tentative="1">
      <w:start w:val="1"/>
      <w:numFmt w:val="lowerLetter"/>
      <w:lvlText w:val="%2."/>
      <w:lvlJc w:val="left"/>
      <w:pPr>
        <w:tabs>
          <w:tab w:val="num" w:pos="8160"/>
        </w:tabs>
        <w:ind w:left="8160" w:hanging="360"/>
      </w:pPr>
    </w:lvl>
    <w:lvl w:ilvl="2" w:tplc="0405001B" w:tentative="1">
      <w:start w:val="1"/>
      <w:numFmt w:val="lowerRoman"/>
      <w:lvlText w:val="%3."/>
      <w:lvlJc w:val="right"/>
      <w:pPr>
        <w:tabs>
          <w:tab w:val="num" w:pos="8880"/>
        </w:tabs>
        <w:ind w:left="8880" w:hanging="180"/>
      </w:pPr>
    </w:lvl>
    <w:lvl w:ilvl="3" w:tplc="0405000F" w:tentative="1">
      <w:start w:val="1"/>
      <w:numFmt w:val="decimal"/>
      <w:lvlText w:val="%4."/>
      <w:lvlJc w:val="left"/>
      <w:pPr>
        <w:tabs>
          <w:tab w:val="num" w:pos="9600"/>
        </w:tabs>
        <w:ind w:left="9600" w:hanging="360"/>
      </w:pPr>
    </w:lvl>
    <w:lvl w:ilvl="4" w:tplc="04050019" w:tentative="1">
      <w:start w:val="1"/>
      <w:numFmt w:val="lowerLetter"/>
      <w:lvlText w:val="%5."/>
      <w:lvlJc w:val="left"/>
      <w:pPr>
        <w:tabs>
          <w:tab w:val="num" w:pos="10320"/>
        </w:tabs>
        <w:ind w:left="10320" w:hanging="360"/>
      </w:pPr>
    </w:lvl>
    <w:lvl w:ilvl="5" w:tplc="0405001B" w:tentative="1">
      <w:start w:val="1"/>
      <w:numFmt w:val="lowerRoman"/>
      <w:lvlText w:val="%6."/>
      <w:lvlJc w:val="right"/>
      <w:pPr>
        <w:tabs>
          <w:tab w:val="num" w:pos="11040"/>
        </w:tabs>
        <w:ind w:left="11040" w:hanging="180"/>
      </w:pPr>
    </w:lvl>
    <w:lvl w:ilvl="6" w:tplc="0405000F" w:tentative="1">
      <w:start w:val="1"/>
      <w:numFmt w:val="decimal"/>
      <w:lvlText w:val="%7."/>
      <w:lvlJc w:val="left"/>
      <w:pPr>
        <w:tabs>
          <w:tab w:val="num" w:pos="11760"/>
        </w:tabs>
        <w:ind w:left="11760" w:hanging="360"/>
      </w:pPr>
    </w:lvl>
    <w:lvl w:ilvl="7" w:tplc="04050019" w:tentative="1">
      <w:start w:val="1"/>
      <w:numFmt w:val="lowerLetter"/>
      <w:lvlText w:val="%8."/>
      <w:lvlJc w:val="left"/>
      <w:pPr>
        <w:tabs>
          <w:tab w:val="num" w:pos="12480"/>
        </w:tabs>
        <w:ind w:left="12480" w:hanging="360"/>
      </w:pPr>
    </w:lvl>
    <w:lvl w:ilvl="8" w:tplc="0405001B" w:tentative="1">
      <w:start w:val="1"/>
      <w:numFmt w:val="lowerRoman"/>
      <w:lvlText w:val="%9."/>
      <w:lvlJc w:val="right"/>
      <w:pPr>
        <w:tabs>
          <w:tab w:val="num" w:pos="13200"/>
        </w:tabs>
        <w:ind w:left="13200" w:hanging="180"/>
      </w:pPr>
    </w:lvl>
  </w:abstractNum>
  <w:abstractNum w:abstractNumId="11">
    <w:nsid w:val="68AB3370"/>
    <w:multiLevelType w:val="hybridMultilevel"/>
    <w:tmpl w:val="230E3D62"/>
    <w:lvl w:ilvl="0" w:tplc="0405000F">
      <w:start w:val="1"/>
      <w:numFmt w:val="decimal"/>
      <w:lvlText w:val="%1."/>
      <w:lvlJc w:val="left"/>
      <w:pPr>
        <w:tabs>
          <w:tab w:val="num" w:pos="780"/>
        </w:tabs>
        <w:ind w:left="780"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12">
    <w:nsid w:val="69314EFD"/>
    <w:multiLevelType w:val="hybridMultilevel"/>
    <w:tmpl w:val="14984F74"/>
    <w:lvl w:ilvl="0" w:tplc="0405000F">
      <w:start w:val="1"/>
      <w:numFmt w:val="decimal"/>
      <w:lvlText w:val="%1."/>
      <w:lvlJc w:val="left"/>
      <w:pPr>
        <w:tabs>
          <w:tab w:val="num" w:pos="911"/>
        </w:tabs>
        <w:ind w:left="911" w:hanging="360"/>
      </w:pPr>
    </w:lvl>
    <w:lvl w:ilvl="1" w:tplc="04050019" w:tentative="1">
      <w:start w:val="1"/>
      <w:numFmt w:val="lowerLetter"/>
      <w:lvlText w:val="%2."/>
      <w:lvlJc w:val="left"/>
      <w:pPr>
        <w:tabs>
          <w:tab w:val="num" w:pos="1631"/>
        </w:tabs>
        <w:ind w:left="1631" w:hanging="360"/>
      </w:pPr>
    </w:lvl>
    <w:lvl w:ilvl="2" w:tplc="0405001B" w:tentative="1">
      <w:start w:val="1"/>
      <w:numFmt w:val="lowerRoman"/>
      <w:lvlText w:val="%3."/>
      <w:lvlJc w:val="right"/>
      <w:pPr>
        <w:tabs>
          <w:tab w:val="num" w:pos="2351"/>
        </w:tabs>
        <w:ind w:left="2351" w:hanging="180"/>
      </w:pPr>
    </w:lvl>
    <w:lvl w:ilvl="3" w:tplc="0405000F" w:tentative="1">
      <w:start w:val="1"/>
      <w:numFmt w:val="decimal"/>
      <w:lvlText w:val="%4."/>
      <w:lvlJc w:val="left"/>
      <w:pPr>
        <w:tabs>
          <w:tab w:val="num" w:pos="3071"/>
        </w:tabs>
        <w:ind w:left="3071" w:hanging="360"/>
      </w:pPr>
    </w:lvl>
    <w:lvl w:ilvl="4" w:tplc="04050019" w:tentative="1">
      <w:start w:val="1"/>
      <w:numFmt w:val="lowerLetter"/>
      <w:lvlText w:val="%5."/>
      <w:lvlJc w:val="left"/>
      <w:pPr>
        <w:tabs>
          <w:tab w:val="num" w:pos="3791"/>
        </w:tabs>
        <w:ind w:left="3791" w:hanging="360"/>
      </w:pPr>
    </w:lvl>
    <w:lvl w:ilvl="5" w:tplc="0405001B" w:tentative="1">
      <w:start w:val="1"/>
      <w:numFmt w:val="lowerRoman"/>
      <w:lvlText w:val="%6."/>
      <w:lvlJc w:val="right"/>
      <w:pPr>
        <w:tabs>
          <w:tab w:val="num" w:pos="4511"/>
        </w:tabs>
        <w:ind w:left="4511" w:hanging="180"/>
      </w:pPr>
    </w:lvl>
    <w:lvl w:ilvl="6" w:tplc="0405000F" w:tentative="1">
      <w:start w:val="1"/>
      <w:numFmt w:val="decimal"/>
      <w:lvlText w:val="%7."/>
      <w:lvlJc w:val="left"/>
      <w:pPr>
        <w:tabs>
          <w:tab w:val="num" w:pos="5231"/>
        </w:tabs>
        <w:ind w:left="5231" w:hanging="360"/>
      </w:pPr>
    </w:lvl>
    <w:lvl w:ilvl="7" w:tplc="04050019" w:tentative="1">
      <w:start w:val="1"/>
      <w:numFmt w:val="lowerLetter"/>
      <w:lvlText w:val="%8."/>
      <w:lvlJc w:val="left"/>
      <w:pPr>
        <w:tabs>
          <w:tab w:val="num" w:pos="5951"/>
        </w:tabs>
        <w:ind w:left="5951" w:hanging="360"/>
      </w:pPr>
    </w:lvl>
    <w:lvl w:ilvl="8" w:tplc="0405001B" w:tentative="1">
      <w:start w:val="1"/>
      <w:numFmt w:val="lowerRoman"/>
      <w:lvlText w:val="%9."/>
      <w:lvlJc w:val="right"/>
      <w:pPr>
        <w:tabs>
          <w:tab w:val="num" w:pos="6671"/>
        </w:tabs>
        <w:ind w:left="6671" w:hanging="180"/>
      </w:pPr>
    </w:lvl>
  </w:abstractNum>
  <w:abstractNum w:abstractNumId="13">
    <w:nsid w:val="71355DAD"/>
    <w:multiLevelType w:val="hybridMultilevel"/>
    <w:tmpl w:val="23E8C1E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B35573"/>
    <w:multiLevelType w:val="hybridMultilevel"/>
    <w:tmpl w:val="AD94A69A"/>
    <w:lvl w:ilvl="0" w:tplc="4A54E618">
      <w:start w:val="3"/>
      <w:numFmt w:val="upperRoman"/>
      <w:lvlText w:val="%1."/>
      <w:lvlJc w:val="left"/>
      <w:pPr>
        <w:tabs>
          <w:tab w:val="num" w:pos="7800"/>
        </w:tabs>
        <w:ind w:left="7800" w:hanging="720"/>
      </w:pPr>
      <w:rPr>
        <w:rFonts w:hint="default"/>
      </w:rPr>
    </w:lvl>
    <w:lvl w:ilvl="1" w:tplc="04050019" w:tentative="1">
      <w:start w:val="1"/>
      <w:numFmt w:val="lowerLetter"/>
      <w:lvlText w:val="%2."/>
      <w:lvlJc w:val="left"/>
      <w:pPr>
        <w:tabs>
          <w:tab w:val="num" w:pos="8160"/>
        </w:tabs>
        <w:ind w:left="8160" w:hanging="360"/>
      </w:pPr>
    </w:lvl>
    <w:lvl w:ilvl="2" w:tplc="0405001B" w:tentative="1">
      <w:start w:val="1"/>
      <w:numFmt w:val="lowerRoman"/>
      <w:lvlText w:val="%3."/>
      <w:lvlJc w:val="right"/>
      <w:pPr>
        <w:tabs>
          <w:tab w:val="num" w:pos="8880"/>
        </w:tabs>
        <w:ind w:left="8880" w:hanging="180"/>
      </w:pPr>
    </w:lvl>
    <w:lvl w:ilvl="3" w:tplc="0405000F" w:tentative="1">
      <w:start w:val="1"/>
      <w:numFmt w:val="decimal"/>
      <w:lvlText w:val="%4."/>
      <w:lvlJc w:val="left"/>
      <w:pPr>
        <w:tabs>
          <w:tab w:val="num" w:pos="9600"/>
        </w:tabs>
        <w:ind w:left="9600" w:hanging="360"/>
      </w:pPr>
    </w:lvl>
    <w:lvl w:ilvl="4" w:tplc="04050019" w:tentative="1">
      <w:start w:val="1"/>
      <w:numFmt w:val="lowerLetter"/>
      <w:lvlText w:val="%5."/>
      <w:lvlJc w:val="left"/>
      <w:pPr>
        <w:tabs>
          <w:tab w:val="num" w:pos="10320"/>
        </w:tabs>
        <w:ind w:left="10320" w:hanging="360"/>
      </w:pPr>
    </w:lvl>
    <w:lvl w:ilvl="5" w:tplc="0405001B" w:tentative="1">
      <w:start w:val="1"/>
      <w:numFmt w:val="lowerRoman"/>
      <w:lvlText w:val="%6."/>
      <w:lvlJc w:val="right"/>
      <w:pPr>
        <w:tabs>
          <w:tab w:val="num" w:pos="11040"/>
        </w:tabs>
        <w:ind w:left="11040" w:hanging="180"/>
      </w:pPr>
    </w:lvl>
    <w:lvl w:ilvl="6" w:tplc="0405000F" w:tentative="1">
      <w:start w:val="1"/>
      <w:numFmt w:val="decimal"/>
      <w:lvlText w:val="%7."/>
      <w:lvlJc w:val="left"/>
      <w:pPr>
        <w:tabs>
          <w:tab w:val="num" w:pos="11760"/>
        </w:tabs>
        <w:ind w:left="11760" w:hanging="360"/>
      </w:pPr>
    </w:lvl>
    <w:lvl w:ilvl="7" w:tplc="04050019" w:tentative="1">
      <w:start w:val="1"/>
      <w:numFmt w:val="lowerLetter"/>
      <w:lvlText w:val="%8."/>
      <w:lvlJc w:val="left"/>
      <w:pPr>
        <w:tabs>
          <w:tab w:val="num" w:pos="12480"/>
        </w:tabs>
        <w:ind w:left="12480" w:hanging="360"/>
      </w:pPr>
    </w:lvl>
    <w:lvl w:ilvl="8" w:tplc="0405001B" w:tentative="1">
      <w:start w:val="1"/>
      <w:numFmt w:val="lowerRoman"/>
      <w:lvlText w:val="%9."/>
      <w:lvlJc w:val="right"/>
      <w:pPr>
        <w:tabs>
          <w:tab w:val="num" w:pos="13200"/>
        </w:tabs>
        <w:ind w:left="13200" w:hanging="180"/>
      </w:pPr>
    </w:lvl>
  </w:abstractNum>
  <w:abstractNum w:abstractNumId="15">
    <w:nsid w:val="7EA5495A"/>
    <w:multiLevelType w:val="hybridMultilevel"/>
    <w:tmpl w:val="79146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EAE1C3C"/>
    <w:multiLevelType w:val="hybridMultilevel"/>
    <w:tmpl w:val="067C2338"/>
    <w:lvl w:ilvl="0" w:tplc="B5EEFB58">
      <w:start w:val="1"/>
      <w:numFmt w:val="decimal"/>
      <w:lvlText w:val="%1."/>
      <w:lvlJc w:val="left"/>
      <w:pPr>
        <w:tabs>
          <w:tab w:val="num" w:pos="941"/>
        </w:tabs>
        <w:ind w:left="941" w:hanging="420"/>
      </w:pPr>
      <w:rPr>
        <w:rFonts w:hint="default"/>
      </w:rPr>
    </w:lvl>
    <w:lvl w:ilvl="1" w:tplc="04050019" w:tentative="1">
      <w:start w:val="1"/>
      <w:numFmt w:val="lowerLetter"/>
      <w:lvlText w:val="%2."/>
      <w:lvlJc w:val="left"/>
      <w:pPr>
        <w:tabs>
          <w:tab w:val="num" w:pos="1601"/>
        </w:tabs>
        <w:ind w:left="1601" w:hanging="360"/>
      </w:pPr>
    </w:lvl>
    <w:lvl w:ilvl="2" w:tplc="0405001B" w:tentative="1">
      <w:start w:val="1"/>
      <w:numFmt w:val="lowerRoman"/>
      <w:lvlText w:val="%3."/>
      <w:lvlJc w:val="right"/>
      <w:pPr>
        <w:tabs>
          <w:tab w:val="num" w:pos="2321"/>
        </w:tabs>
        <w:ind w:left="2321" w:hanging="180"/>
      </w:pPr>
    </w:lvl>
    <w:lvl w:ilvl="3" w:tplc="0405000F" w:tentative="1">
      <w:start w:val="1"/>
      <w:numFmt w:val="decimal"/>
      <w:lvlText w:val="%4."/>
      <w:lvlJc w:val="left"/>
      <w:pPr>
        <w:tabs>
          <w:tab w:val="num" w:pos="3041"/>
        </w:tabs>
        <w:ind w:left="3041" w:hanging="360"/>
      </w:pPr>
    </w:lvl>
    <w:lvl w:ilvl="4" w:tplc="04050019" w:tentative="1">
      <w:start w:val="1"/>
      <w:numFmt w:val="lowerLetter"/>
      <w:lvlText w:val="%5."/>
      <w:lvlJc w:val="left"/>
      <w:pPr>
        <w:tabs>
          <w:tab w:val="num" w:pos="3761"/>
        </w:tabs>
        <w:ind w:left="3761" w:hanging="360"/>
      </w:pPr>
    </w:lvl>
    <w:lvl w:ilvl="5" w:tplc="0405001B" w:tentative="1">
      <w:start w:val="1"/>
      <w:numFmt w:val="lowerRoman"/>
      <w:lvlText w:val="%6."/>
      <w:lvlJc w:val="right"/>
      <w:pPr>
        <w:tabs>
          <w:tab w:val="num" w:pos="4481"/>
        </w:tabs>
        <w:ind w:left="4481" w:hanging="180"/>
      </w:pPr>
    </w:lvl>
    <w:lvl w:ilvl="6" w:tplc="0405000F" w:tentative="1">
      <w:start w:val="1"/>
      <w:numFmt w:val="decimal"/>
      <w:lvlText w:val="%7."/>
      <w:lvlJc w:val="left"/>
      <w:pPr>
        <w:tabs>
          <w:tab w:val="num" w:pos="5201"/>
        </w:tabs>
        <w:ind w:left="5201" w:hanging="360"/>
      </w:pPr>
    </w:lvl>
    <w:lvl w:ilvl="7" w:tplc="04050019" w:tentative="1">
      <w:start w:val="1"/>
      <w:numFmt w:val="lowerLetter"/>
      <w:lvlText w:val="%8."/>
      <w:lvlJc w:val="left"/>
      <w:pPr>
        <w:tabs>
          <w:tab w:val="num" w:pos="5921"/>
        </w:tabs>
        <w:ind w:left="5921" w:hanging="360"/>
      </w:pPr>
    </w:lvl>
    <w:lvl w:ilvl="8" w:tplc="0405001B" w:tentative="1">
      <w:start w:val="1"/>
      <w:numFmt w:val="lowerRoman"/>
      <w:lvlText w:val="%9."/>
      <w:lvlJc w:val="right"/>
      <w:pPr>
        <w:tabs>
          <w:tab w:val="num" w:pos="6641"/>
        </w:tabs>
        <w:ind w:left="6641" w:hanging="180"/>
      </w:pPr>
    </w:lvl>
  </w:abstractNum>
  <w:num w:numId="1">
    <w:abstractNumId w:val="1"/>
  </w:num>
  <w:num w:numId="2">
    <w:abstractNumId w:val="6"/>
  </w:num>
  <w:num w:numId="3">
    <w:abstractNumId w:val="12"/>
  </w:num>
  <w:num w:numId="4">
    <w:abstractNumId w:val="14"/>
  </w:num>
  <w:num w:numId="5">
    <w:abstractNumId w:val="16"/>
  </w:num>
  <w:num w:numId="6">
    <w:abstractNumId w:val="8"/>
  </w:num>
  <w:num w:numId="7">
    <w:abstractNumId w:val="10"/>
  </w:num>
  <w:num w:numId="8">
    <w:abstractNumId w:val="4"/>
  </w:num>
  <w:num w:numId="9">
    <w:abstractNumId w:val="13"/>
  </w:num>
  <w:num w:numId="10">
    <w:abstractNumId w:val="3"/>
  </w:num>
  <w:num w:numId="11">
    <w:abstractNumId w:val="0"/>
  </w:num>
  <w:num w:numId="12">
    <w:abstractNumId w:val="11"/>
  </w:num>
  <w:num w:numId="13">
    <w:abstractNumId w:val="15"/>
  </w:num>
  <w:num w:numId="14">
    <w:abstractNumId w:val="5"/>
  </w:num>
  <w:num w:numId="15">
    <w:abstractNumId w:val="2"/>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81"/>
    <w:rsid w:val="000019D2"/>
    <w:rsid w:val="000038B9"/>
    <w:rsid w:val="0001780A"/>
    <w:rsid w:val="0002680E"/>
    <w:rsid w:val="00041ABB"/>
    <w:rsid w:val="00061FEA"/>
    <w:rsid w:val="00067AD1"/>
    <w:rsid w:val="00067EB9"/>
    <w:rsid w:val="00096C8D"/>
    <w:rsid w:val="000A5D1A"/>
    <w:rsid w:val="000A60E7"/>
    <w:rsid w:val="000B3549"/>
    <w:rsid w:val="000B3B2F"/>
    <w:rsid w:val="000F097F"/>
    <w:rsid w:val="0010768D"/>
    <w:rsid w:val="00130CD5"/>
    <w:rsid w:val="0015001C"/>
    <w:rsid w:val="001507D9"/>
    <w:rsid w:val="001509F1"/>
    <w:rsid w:val="0016752C"/>
    <w:rsid w:val="0017496E"/>
    <w:rsid w:val="00175585"/>
    <w:rsid w:val="001847CB"/>
    <w:rsid w:val="001A0874"/>
    <w:rsid w:val="001A0B94"/>
    <w:rsid w:val="001B713C"/>
    <w:rsid w:val="001C2CE9"/>
    <w:rsid w:val="001D18C3"/>
    <w:rsid w:val="001D4A45"/>
    <w:rsid w:val="001D7C95"/>
    <w:rsid w:val="001E317C"/>
    <w:rsid w:val="0022018F"/>
    <w:rsid w:val="002378EC"/>
    <w:rsid w:val="00237997"/>
    <w:rsid w:val="002417AE"/>
    <w:rsid w:val="00244E1A"/>
    <w:rsid w:val="002525A2"/>
    <w:rsid w:val="0025710A"/>
    <w:rsid w:val="0026731B"/>
    <w:rsid w:val="00270641"/>
    <w:rsid w:val="00275C53"/>
    <w:rsid w:val="00285B1F"/>
    <w:rsid w:val="002906E9"/>
    <w:rsid w:val="0029169C"/>
    <w:rsid w:val="002A412A"/>
    <w:rsid w:val="002A7060"/>
    <w:rsid w:val="002C7322"/>
    <w:rsid w:val="002C75B1"/>
    <w:rsid w:val="002D49BF"/>
    <w:rsid w:val="002E7956"/>
    <w:rsid w:val="002F70ED"/>
    <w:rsid w:val="003015E0"/>
    <w:rsid w:val="00317E8A"/>
    <w:rsid w:val="0032438C"/>
    <w:rsid w:val="00341AC9"/>
    <w:rsid w:val="00346013"/>
    <w:rsid w:val="003546AE"/>
    <w:rsid w:val="003669B0"/>
    <w:rsid w:val="003A02AB"/>
    <w:rsid w:val="003B4E85"/>
    <w:rsid w:val="003B6AAA"/>
    <w:rsid w:val="003D04CF"/>
    <w:rsid w:val="00402621"/>
    <w:rsid w:val="00404F72"/>
    <w:rsid w:val="00415C78"/>
    <w:rsid w:val="004203BC"/>
    <w:rsid w:val="004233A1"/>
    <w:rsid w:val="00431C24"/>
    <w:rsid w:val="00440985"/>
    <w:rsid w:val="00443E53"/>
    <w:rsid w:val="0044543E"/>
    <w:rsid w:val="00446BBB"/>
    <w:rsid w:val="00467F94"/>
    <w:rsid w:val="004725C4"/>
    <w:rsid w:val="00484593"/>
    <w:rsid w:val="00492962"/>
    <w:rsid w:val="004947CB"/>
    <w:rsid w:val="004956F3"/>
    <w:rsid w:val="004A790A"/>
    <w:rsid w:val="004D0127"/>
    <w:rsid w:val="004F1135"/>
    <w:rsid w:val="00547E77"/>
    <w:rsid w:val="00554ACF"/>
    <w:rsid w:val="0058231F"/>
    <w:rsid w:val="00586464"/>
    <w:rsid w:val="00587E2D"/>
    <w:rsid w:val="0059096E"/>
    <w:rsid w:val="005922B5"/>
    <w:rsid w:val="00594D81"/>
    <w:rsid w:val="005A09E5"/>
    <w:rsid w:val="005B09CA"/>
    <w:rsid w:val="005B0ED8"/>
    <w:rsid w:val="005C1710"/>
    <w:rsid w:val="005C5D59"/>
    <w:rsid w:val="005C6407"/>
    <w:rsid w:val="005D7BC4"/>
    <w:rsid w:val="005F00AE"/>
    <w:rsid w:val="00600308"/>
    <w:rsid w:val="00607138"/>
    <w:rsid w:val="006106EA"/>
    <w:rsid w:val="00624E00"/>
    <w:rsid w:val="006254AA"/>
    <w:rsid w:val="00626888"/>
    <w:rsid w:val="006325DD"/>
    <w:rsid w:val="006449DF"/>
    <w:rsid w:val="006475F2"/>
    <w:rsid w:val="0066478C"/>
    <w:rsid w:val="00676640"/>
    <w:rsid w:val="006B7D6F"/>
    <w:rsid w:val="006C03DD"/>
    <w:rsid w:val="006D08C6"/>
    <w:rsid w:val="006D2AE3"/>
    <w:rsid w:val="006E1BA7"/>
    <w:rsid w:val="0070033E"/>
    <w:rsid w:val="00702AAC"/>
    <w:rsid w:val="00706264"/>
    <w:rsid w:val="0071098D"/>
    <w:rsid w:val="00711354"/>
    <w:rsid w:val="00720B60"/>
    <w:rsid w:val="00727632"/>
    <w:rsid w:val="00734F92"/>
    <w:rsid w:val="00740A77"/>
    <w:rsid w:val="00753F03"/>
    <w:rsid w:val="007704E2"/>
    <w:rsid w:val="007720AD"/>
    <w:rsid w:val="00772A38"/>
    <w:rsid w:val="00792088"/>
    <w:rsid w:val="007C5326"/>
    <w:rsid w:val="007C79AB"/>
    <w:rsid w:val="007D275F"/>
    <w:rsid w:val="007D6B03"/>
    <w:rsid w:val="0081042F"/>
    <w:rsid w:val="00814D62"/>
    <w:rsid w:val="00832E1A"/>
    <w:rsid w:val="00835915"/>
    <w:rsid w:val="00840A8F"/>
    <w:rsid w:val="0084379E"/>
    <w:rsid w:val="0085148A"/>
    <w:rsid w:val="00851A75"/>
    <w:rsid w:val="0085754A"/>
    <w:rsid w:val="008639F1"/>
    <w:rsid w:val="008929D2"/>
    <w:rsid w:val="008A0CD7"/>
    <w:rsid w:val="008C0BDC"/>
    <w:rsid w:val="008D5AC2"/>
    <w:rsid w:val="008E4391"/>
    <w:rsid w:val="008E5104"/>
    <w:rsid w:val="008E556D"/>
    <w:rsid w:val="008F4638"/>
    <w:rsid w:val="008F543F"/>
    <w:rsid w:val="009019AA"/>
    <w:rsid w:val="009019D5"/>
    <w:rsid w:val="00915FB1"/>
    <w:rsid w:val="009623A0"/>
    <w:rsid w:val="009675C4"/>
    <w:rsid w:val="00971E2D"/>
    <w:rsid w:val="00977DF7"/>
    <w:rsid w:val="009803AD"/>
    <w:rsid w:val="00980CB4"/>
    <w:rsid w:val="00997A66"/>
    <w:rsid w:val="009B23CE"/>
    <w:rsid w:val="009B63BD"/>
    <w:rsid w:val="009C3DD3"/>
    <w:rsid w:val="009C4993"/>
    <w:rsid w:val="009C65EA"/>
    <w:rsid w:val="009C6718"/>
    <w:rsid w:val="009C714F"/>
    <w:rsid w:val="009D0D1F"/>
    <w:rsid w:val="009F046F"/>
    <w:rsid w:val="009F48D2"/>
    <w:rsid w:val="00A05F51"/>
    <w:rsid w:val="00A06E90"/>
    <w:rsid w:val="00A13F21"/>
    <w:rsid w:val="00A204F0"/>
    <w:rsid w:val="00A23469"/>
    <w:rsid w:val="00A304D8"/>
    <w:rsid w:val="00A32D3F"/>
    <w:rsid w:val="00A34764"/>
    <w:rsid w:val="00A36DF8"/>
    <w:rsid w:val="00A60D8D"/>
    <w:rsid w:val="00A70008"/>
    <w:rsid w:val="00A84DCD"/>
    <w:rsid w:val="00A86645"/>
    <w:rsid w:val="00A91143"/>
    <w:rsid w:val="00AB164C"/>
    <w:rsid w:val="00AB21E5"/>
    <w:rsid w:val="00AC02D7"/>
    <w:rsid w:val="00AC67A0"/>
    <w:rsid w:val="00AD2A0A"/>
    <w:rsid w:val="00AD7652"/>
    <w:rsid w:val="00AE03CA"/>
    <w:rsid w:val="00AE0571"/>
    <w:rsid w:val="00B017F7"/>
    <w:rsid w:val="00B058FC"/>
    <w:rsid w:val="00B07BB6"/>
    <w:rsid w:val="00B11D58"/>
    <w:rsid w:val="00B2241D"/>
    <w:rsid w:val="00B329E7"/>
    <w:rsid w:val="00B47335"/>
    <w:rsid w:val="00B71E6D"/>
    <w:rsid w:val="00B735B5"/>
    <w:rsid w:val="00B737E6"/>
    <w:rsid w:val="00B74E0E"/>
    <w:rsid w:val="00B86D93"/>
    <w:rsid w:val="00B93F22"/>
    <w:rsid w:val="00BB56DD"/>
    <w:rsid w:val="00BD00F1"/>
    <w:rsid w:val="00BD24C8"/>
    <w:rsid w:val="00BF0427"/>
    <w:rsid w:val="00C67964"/>
    <w:rsid w:val="00C7717E"/>
    <w:rsid w:val="00C81EAB"/>
    <w:rsid w:val="00C914B7"/>
    <w:rsid w:val="00CA25EF"/>
    <w:rsid w:val="00CA3BCA"/>
    <w:rsid w:val="00CB1FBE"/>
    <w:rsid w:val="00CB6ADE"/>
    <w:rsid w:val="00CE1D9A"/>
    <w:rsid w:val="00CF219A"/>
    <w:rsid w:val="00CF6F18"/>
    <w:rsid w:val="00CF7542"/>
    <w:rsid w:val="00D20709"/>
    <w:rsid w:val="00D23445"/>
    <w:rsid w:val="00D2658A"/>
    <w:rsid w:val="00D51416"/>
    <w:rsid w:val="00D65F88"/>
    <w:rsid w:val="00D73277"/>
    <w:rsid w:val="00D84A0B"/>
    <w:rsid w:val="00D90698"/>
    <w:rsid w:val="00D946B8"/>
    <w:rsid w:val="00DB6DDF"/>
    <w:rsid w:val="00DC3400"/>
    <w:rsid w:val="00DD06A7"/>
    <w:rsid w:val="00DE44B1"/>
    <w:rsid w:val="00DF0AB0"/>
    <w:rsid w:val="00E06425"/>
    <w:rsid w:val="00E14CB9"/>
    <w:rsid w:val="00E166C2"/>
    <w:rsid w:val="00E23429"/>
    <w:rsid w:val="00E2547F"/>
    <w:rsid w:val="00E32740"/>
    <w:rsid w:val="00E374A8"/>
    <w:rsid w:val="00E41040"/>
    <w:rsid w:val="00E51631"/>
    <w:rsid w:val="00E66779"/>
    <w:rsid w:val="00E71E3B"/>
    <w:rsid w:val="00E779E4"/>
    <w:rsid w:val="00E853C4"/>
    <w:rsid w:val="00E92D0B"/>
    <w:rsid w:val="00E95603"/>
    <w:rsid w:val="00EA05F7"/>
    <w:rsid w:val="00EA0671"/>
    <w:rsid w:val="00EB5B11"/>
    <w:rsid w:val="00EC4AC9"/>
    <w:rsid w:val="00EC50AC"/>
    <w:rsid w:val="00EC78DE"/>
    <w:rsid w:val="00ED107F"/>
    <w:rsid w:val="00EE4857"/>
    <w:rsid w:val="00EE708F"/>
    <w:rsid w:val="00EE7E33"/>
    <w:rsid w:val="00F0545D"/>
    <w:rsid w:val="00F11EF7"/>
    <w:rsid w:val="00F37FDC"/>
    <w:rsid w:val="00F42B92"/>
    <w:rsid w:val="00F50BE9"/>
    <w:rsid w:val="00F5508D"/>
    <w:rsid w:val="00F6064B"/>
    <w:rsid w:val="00F83BBD"/>
    <w:rsid w:val="00F854A3"/>
    <w:rsid w:val="00F85581"/>
    <w:rsid w:val="00F902DA"/>
    <w:rsid w:val="00F927D7"/>
    <w:rsid w:val="00FA1366"/>
    <w:rsid w:val="00FA2046"/>
    <w:rsid w:val="00FA645D"/>
    <w:rsid w:val="00FB0163"/>
    <w:rsid w:val="00FC37F2"/>
    <w:rsid w:val="00FD1D60"/>
    <w:rsid w:val="00FD7F8B"/>
    <w:rsid w:val="00FE28D1"/>
    <w:rsid w:val="00FF0389"/>
    <w:rsid w:val="00FF4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2"/>
      <w:szCs w:val="24"/>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outlineLvl w:val="2"/>
    </w:pPr>
    <w:rPr>
      <w:b/>
      <w:bCs/>
    </w:rPr>
  </w:style>
  <w:style w:type="paragraph" w:styleId="Nadpis4">
    <w:name w:val="heading 4"/>
    <w:basedOn w:val="Normln"/>
    <w:next w:val="Normln"/>
    <w:qFormat/>
    <w:pPr>
      <w:keepNext/>
      <w:numPr>
        <w:numId w:val="2"/>
      </w:numPr>
      <w:tabs>
        <w:tab w:val="clear" w:pos="420"/>
      </w:tabs>
      <w:ind w:left="770"/>
      <w:jc w:val="both"/>
      <w:outlineLvl w:val="3"/>
    </w:pPr>
    <w:rPr>
      <w:b/>
      <w:bCs/>
    </w:rPr>
  </w:style>
  <w:style w:type="paragraph" w:styleId="Nadpis5">
    <w:name w:val="heading 5"/>
    <w:basedOn w:val="Normln"/>
    <w:next w:val="Normln"/>
    <w:qFormat/>
    <w:pPr>
      <w:keepNext/>
      <w:snapToGrid w:val="0"/>
      <w:outlineLvl w:val="4"/>
    </w:pPr>
    <w:rPr>
      <w:rFonts w:cs="Arial"/>
      <w:b/>
      <w:bCs/>
      <w:sz w:val="20"/>
      <w:szCs w:val="20"/>
      <w:lang w:eastAsia="ar-SA"/>
    </w:rPr>
  </w:style>
  <w:style w:type="paragraph" w:styleId="Nadpis6">
    <w:name w:val="heading 6"/>
    <w:basedOn w:val="Normln"/>
    <w:next w:val="Normln"/>
    <w:qFormat/>
    <w:pPr>
      <w:keepNext/>
      <w:snapToGrid w:val="0"/>
      <w:ind w:left="310"/>
      <w:outlineLvl w:val="5"/>
    </w:pPr>
    <w:rPr>
      <w:rFonts w:cs="Arial"/>
      <w:b/>
      <w:sz w:val="20"/>
      <w:szCs w:val="20"/>
      <w:lang w:eastAsia="ar-SA"/>
    </w:rPr>
  </w:style>
  <w:style w:type="paragraph" w:styleId="Nadpis7">
    <w:name w:val="heading 7"/>
    <w:basedOn w:val="Normln"/>
    <w:next w:val="Normln"/>
    <w:qFormat/>
    <w:pPr>
      <w:keepNext/>
      <w:snapToGrid w:val="0"/>
      <w:spacing w:before="60" w:after="60"/>
      <w:jc w:val="center"/>
      <w:outlineLvl w:val="6"/>
    </w:pPr>
    <w:rPr>
      <w:rFonts w:cs="Arial"/>
      <w:b/>
      <w:lang w:eastAsia="ar-SA"/>
    </w:rPr>
  </w:style>
  <w:style w:type="paragraph" w:styleId="Nadpis8">
    <w:name w:val="heading 8"/>
    <w:basedOn w:val="Normln"/>
    <w:next w:val="Normln"/>
    <w:qFormat/>
    <w:pPr>
      <w:keepNext/>
      <w:tabs>
        <w:tab w:val="num" w:pos="1140"/>
      </w:tabs>
      <w:ind w:left="1140" w:hanging="360"/>
      <w:jc w:val="both"/>
      <w:outlineLvl w:val="7"/>
    </w:pPr>
    <w:rPr>
      <w:b/>
      <w:bCs/>
    </w:rPr>
  </w:style>
  <w:style w:type="paragraph" w:styleId="Nadpis9">
    <w:name w:val="heading 9"/>
    <w:basedOn w:val="Normln"/>
    <w:next w:val="Normln"/>
    <w:qFormat/>
    <w:pPr>
      <w:keepNext/>
      <w:numPr>
        <w:ilvl w:val="1"/>
        <w:numId w:val="1"/>
      </w:numPr>
      <w:tabs>
        <w:tab w:val="clear" w:pos="1140"/>
        <w:tab w:val="num" w:pos="-990"/>
      </w:tabs>
      <w:ind w:left="33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b/>
      <w:bCs/>
    </w:rPr>
  </w:style>
  <w:style w:type="paragraph" w:styleId="Zkladntext2">
    <w:name w:val="Body Text 2"/>
    <w:basedOn w:val="Normln"/>
    <w:pPr>
      <w:spacing w:before="60" w:after="60"/>
      <w:jc w:val="both"/>
    </w:pPr>
  </w:style>
  <w:style w:type="paragraph" w:customStyle="1" w:styleId="Point0">
    <w:name w:val="Point 0"/>
    <w:basedOn w:val="Normln"/>
    <w:pPr>
      <w:spacing w:before="120" w:after="120"/>
      <w:ind w:left="851" w:hanging="851"/>
      <w:jc w:val="both"/>
    </w:pPr>
    <w:rPr>
      <w:sz w:val="24"/>
      <w:szCs w:val="20"/>
      <w:lang w:eastAsia="fr-BE"/>
    </w:rPr>
  </w:style>
  <w:style w:type="paragraph" w:styleId="Zkladntextodsazen">
    <w:name w:val="Body Text Indent"/>
    <w:basedOn w:val="Normln"/>
    <w:pPr>
      <w:spacing w:before="60" w:after="60"/>
      <w:ind w:left="880" w:hanging="88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customStyle="1" w:styleId="Tiret0">
    <w:name w:val="Tiret 0"/>
    <w:basedOn w:val="Point0"/>
  </w:style>
  <w:style w:type="paragraph" w:styleId="Zkladntextodsazen2">
    <w:name w:val="Body Text Indent 2"/>
    <w:basedOn w:val="Normln"/>
    <w:pPr>
      <w:snapToGrid w:val="0"/>
      <w:ind w:left="640" w:hanging="330"/>
    </w:pPr>
    <w:rPr>
      <w:sz w:val="20"/>
    </w:rPr>
  </w:style>
  <w:style w:type="character" w:customStyle="1" w:styleId="Znakypropoznmkupodarou">
    <w:name w:val="Znaky pro poznámku pod čarou"/>
    <w:rPr>
      <w:vertAlign w:val="superscript"/>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Textvbloku">
    <w:name w:val="Block Text"/>
    <w:basedOn w:val="Normln"/>
    <w:pPr>
      <w:ind w:left="110" w:right="-170"/>
      <w:jc w:val="center"/>
    </w:pPr>
    <w:rPr>
      <w:b/>
      <w:bCs/>
      <w:sz w:val="28"/>
    </w:rPr>
  </w:style>
  <w:style w:type="paragraph" w:styleId="Odstavecseseznamem">
    <w:name w:val="List Paragraph"/>
    <w:basedOn w:val="Normln"/>
    <w:uiPriority w:val="34"/>
    <w:qFormat/>
    <w:rsid w:val="00FF0389"/>
    <w:pPr>
      <w:ind w:left="720"/>
      <w:contextualSpacing/>
    </w:pPr>
  </w:style>
  <w:style w:type="table" w:styleId="Mkatabulky">
    <w:name w:val="Table Grid"/>
    <w:basedOn w:val="Normlntabulka"/>
    <w:uiPriority w:val="59"/>
    <w:rsid w:val="004D0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nhideWhenUsed/>
    <w:rsid w:val="004D0127"/>
    <w:pPr>
      <w:spacing w:after="200"/>
    </w:pPr>
    <w:rPr>
      <w:rFonts w:ascii="Calibri" w:eastAsia="Calibri" w:hAnsi="Calibri"/>
      <w:sz w:val="20"/>
      <w:szCs w:val="20"/>
      <w:lang w:bidi="cs-CZ"/>
    </w:rPr>
  </w:style>
  <w:style w:type="character" w:customStyle="1" w:styleId="TextkomenteChar">
    <w:name w:val="Text komentáře Char"/>
    <w:basedOn w:val="Standardnpsmoodstavce"/>
    <w:link w:val="Textkomente"/>
    <w:rsid w:val="004D0127"/>
    <w:rPr>
      <w:rFonts w:ascii="Calibri" w:eastAsia="Calibri" w:hAnsi="Calibri"/>
      <w:lang w:bidi="cs-CZ"/>
    </w:rPr>
  </w:style>
  <w:style w:type="character" w:styleId="Odkaznakoment">
    <w:name w:val="annotation reference"/>
    <w:basedOn w:val="Standardnpsmoodstavce"/>
    <w:unhideWhenUsed/>
    <w:rsid w:val="004D0127"/>
    <w:rPr>
      <w:sz w:val="16"/>
      <w:szCs w:val="16"/>
    </w:rPr>
  </w:style>
  <w:style w:type="paragraph" w:styleId="Textbubliny">
    <w:name w:val="Balloon Text"/>
    <w:basedOn w:val="Normln"/>
    <w:link w:val="TextbublinyChar"/>
    <w:rsid w:val="004D0127"/>
    <w:rPr>
      <w:rFonts w:ascii="Tahoma" w:hAnsi="Tahoma" w:cs="Tahoma"/>
      <w:sz w:val="16"/>
      <w:szCs w:val="16"/>
    </w:rPr>
  </w:style>
  <w:style w:type="character" w:customStyle="1" w:styleId="TextbublinyChar">
    <w:name w:val="Text bubliny Char"/>
    <w:basedOn w:val="Standardnpsmoodstavce"/>
    <w:link w:val="Textbubliny"/>
    <w:rsid w:val="004D0127"/>
    <w:rPr>
      <w:rFonts w:ascii="Tahoma" w:hAnsi="Tahoma" w:cs="Tahoma"/>
      <w:sz w:val="16"/>
      <w:szCs w:val="16"/>
    </w:rPr>
  </w:style>
  <w:style w:type="character" w:styleId="Hypertextovodkaz">
    <w:name w:val="Hyperlink"/>
    <w:basedOn w:val="Standardnpsmoodstavce"/>
    <w:uiPriority w:val="99"/>
    <w:unhideWhenUsed/>
    <w:rsid w:val="00FC37F2"/>
    <w:rPr>
      <w:strike w:val="0"/>
      <w:dstrike w:val="0"/>
      <w:color w:val="000000"/>
      <w:u w:val="none"/>
      <w:effect w:val="none"/>
    </w:rPr>
  </w:style>
  <w:style w:type="paragraph" w:styleId="Pedmtkomente">
    <w:name w:val="annotation subject"/>
    <w:basedOn w:val="Textkomente"/>
    <w:next w:val="Textkomente"/>
    <w:link w:val="PedmtkomenteChar"/>
    <w:rsid w:val="00CA3BCA"/>
    <w:pPr>
      <w:spacing w:after="0"/>
    </w:pPr>
    <w:rPr>
      <w:rFonts w:ascii="Times New Roman" w:eastAsia="Times New Roman" w:hAnsi="Times New Roman"/>
      <w:b/>
      <w:bCs/>
      <w:lang w:bidi="ar-SA"/>
    </w:rPr>
  </w:style>
  <w:style w:type="character" w:customStyle="1" w:styleId="PedmtkomenteChar">
    <w:name w:val="Předmět komentáře Char"/>
    <w:basedOn w:val="TextkomenteChar"/>
    <w:link w:val="Pedmtkomente"/>
    <w:rsid w:val="00CA3BCA"/>
    <w:rPr>
      <w:rFonts w:ascii="Calibri" w:eastAsia="Calibri" w:hAnsi="Calibri"/>
      <w:b/>
      <w:bCs/>
      <w:lang w:bidi="cs-CZ"/>
    </w:rPr>
  </w:style>
  <w:style w:type="character" w:customStyle="1" w:styleId="ZpatChar">
    <w:name w:val="Zápatí Char"/>
    <w:basedOn w:val="Standardnpsmoodstavce"/>
    <w:link w:val="Zpat"/>
    <w:uiPriority w:val="99"/>
    <w:rsid w:val="00AB21E5"/>
    <w:rPr>
      <w:sz w:val="22"/>
      <w:szCs w:val="24"/>
    </w:rPr>
  </w:style>
  <w:style w:type="paragraph" w:customStyle="1" w:styleId="Default">
    <w:name w:val="Default"/>
    <w:rsid w:val="00DB6DDF"/>
    <w:pPr>
      <w:autoSpaceDE w:val="0"/>
      <w:autoSpaceDN w:val="0"/>
      <w:adjustRightInd w:val="0"/>
    </w:pPr>
    <w:rPr>
      <w:color w:val="000000"/>
      <w:sz w:val="24"/>
      <w:szCs w:val="24"/>
      <w:lang w:val="nb-NO"/>
    </w:rPr>
  </w:style>
  <w:style w:type="paragraph" w:customStyle="1" w:styleId="MoUparagraphs">
    <w:name w:val="MoU paragraphs"/>
    <w:basedOn w:val="Normln"/>
    <w:link w:val="MoUparagraphsChar"/>
    <w:rsid w:val="00DB6DDF"/>
    <w:pPr>
      <w:spacing w:before="80" w:after="60" w:line="280" w:lineRule="exact"/>
      <w:jc w:val="both"/>
    </w:pPr>
    <w:rPr>
      <w:rFonts w:ascii="Calibri" w:eastAsia="Calibri" w:hAnsi="Calibri"/>
      <w:szCs w:val="22"/>
      <w:lang w:val="en-GB" w:eastAsia="en-US"/>
    </w:rPr>
  </w:style>
  <w:style w:type="character" w:customStyle="1" w:styleId="MoUparagraphsChar">
    <w:name w:val="MoU paragraphs Char"/>
    <w:link w:val="MoUparagraphs"/>
    <w:locked/>
    <w:rsid w:val="00DB6DDF"/>
    <w:rPr>
      <w:rFonts w:ascii="Calibri" w:eastAsia="Calibri" w:hAnsi="Calibri"/>
      <w:sz w:val="22"/>
      <w:szCs w:val="22"/>
      <w:lang w:val="en-GB" w:eastAsia="en-US"/>
    </w:rPr>
  </w:style>
  <w:style w:type="character" w:customStyle="1" w:styleId="xsptextcomputedfield">
    <w:name w:val="xsptextcomputedfield"/>
    <w:rsid w:val="00547E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2"/>
      <w:szCs w:val="24"/>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outlineLvl w:val="2"/>
    </w:pPr>
    <w:rPr>
      <w:b/>
      <w:bCs/>
    </w:rPr>
  </w:style>
  <w:style w:type="paragraph" w:styleId="Nadpis4">
    <w:name w:val="heading 4"/>
    <w:basedOn w:val="Normln"/>
    <w:next w:val="Normln"/>
    <w:qFormat/>
    <w:pPr>
      <w:keepNext/>
      <w:numPr>
        <w:numId w:val="2"/>
      </w:numPr>
      <w:tabs>
        <w:tab w:val="clear" w:pos="420"/>
      </w:tabs>
      <w:ind w:left="770"/>
      <w:jc w:val="both"/>
      <w:outlineLvl w:val="3"/>
    </w:pPr>
    <w:rPr>
      <w:b/>
      <w:bCs/>
    </w:rPr>
  </w:style>
  <w:style w:type="paragraph" w:styleId="Nadpis5">
    <w:name w:val="heading 5"/>
    <w:basedOn w:val="Normln"/>
    <w:next w:val="Normln"/>
    <w:qFormat/>
    <w:pPr>
      <w:keepNext/>
      <w:snapToGrid w:val="0"/>
      <w:outlineLvl w:val="4"/>
    </w:pPr>
    <w:rPr>
      <w:rFonts w:cs="Arial"/>
      <w:b/>
      <w:bCs/>
      <w:sz w:val="20"/>
      <w:szCs w:val="20"/>
      <w:lang w:eastAsia="ar-SA"/>
    </w:rPr>
  </w:style>
  <w:style w:type="paragraph" w:styleId="Nadpis6">
    <w:name w:val="heading 6"/>
    <w:basedOn w:val="Normln"/>
    <w:next w:val="Normln"/>
    <w:qFormat/>
    <w:pPr>
      <w:keepNext/>
      <w:snapToGrid w:val="0"/>
      <w:ind w:left="310"/>
      <w:outlineLvl w:val="5"/>
    </w:pPr>
    <w:rPr>
      <w:rFonts w:cs="Arial"/>
      <w:b/>
      <w:sz w:val="20"/>
      <w:szCs w:val="20"/>
      <w:lang w:eastAsia="ar-SA"/>
    </w:rPr>
  </w:style>
  <w:style w:type="paragraph" w:styleId="Nadpis7">
    <w:name w:val="heading 7"/>
    <w:basedOn w:val="Normln"/>
    <w:next w:val="Normln"/>
    <w:qFormat/>
    <w:pPr>
      <w:keepNext/>
      <w:snapToGrid w:val="0"/>
      <w:spacing w:before="60" w:after="60"/>
      <w:jc w:val="center"/>
      <w:outlineLvl w:val="6"/>
    </w:pPr>
    <w:rPr>
      <w:rFonts w:cs="Arial"/>
      <w:b/>
      <w:lang w:eastAsia="ar-SA"/>
    </w:rPr>
  </w:style>
  <w:style w:type="paragraph" w:styleId="Nadpis8">
    <w:name w:val="heading 8"/>
    <w:basedOn w:val="Normln"/>
    <w:next w:val="Normln"/>
    <w:qFormat/>
    <w:pPr>
      <w:keepNext/>
      <w:tabs>
        <w:tab w:val="num" w:pos="1140"/>
      </w:tabs>
      <w:ind w:left="1140" w:hanging="360"/>
      <w:jc w:val="both"/>
      <w:outlineLvl w:val="7"/>
    </w:pPr>
    <w:rPr>
      <w:b/>
      <w:bCs/>
    </w:rPr>
  </w:style>
  <w:style w:type="paragraph" w:styleId="Nadpis9">
    <w:name w:val="heading 9"/>
    <w:basedOn w:val="Normln"/>
    <w:next w:val="Normln"/>
    <w:qFormat/>
    <w:pPr>
      <w:keepNext/>
      <w:numPr>
        <w:ilvl w:val="1"/>
        <w:numId w:val="1"/>
      </w:numPr>
      <w:tabs>
        <w:tab w:val="clear" w:pos="1140"/>
        <w:tab w:val="num" w:pos="-990"/>
      </w:tabs>
      <w:ind w:left="33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b/>
      <w:bCs/>
    </w:rPr>
  </w:style>
  <w:style w:type="paragraph" w:styleId="Zkladntext2">
    <w:name w:val="Body Text 2"/>
    <w:basedOn w:val="Normln"/>
    <w:pPr>
      <w:spacing w:before="60" w:after="60"/>
      <w:jc w:val="both"/>
    </w:pPr>
  </w:style>
  <w:style w:type="paragraph" w:customStyle="1" w:styleId="Point0">
    <w:name w:val="Point 0"/>
    <w:basedOn w:val="Normln"/>
    <w:pPr>
      <w:spacing w:before="120" w:after="120"/>
      <w:ind w:left="851" w:hanging="851"/>
      <w:jc w:val="both"/>
    </w:pPr>
    <w:rPr>
      <w:sz w:val="24"/>
      <w:szCs w:val="20"/>
      <w:lang w:eastAsia="fr-BE"/>
    </w:rPr>
  </w:style>
  <w:style w:type="paragraph" w:styleId="Zkladntextodsazen">
    <w:name w:val="Body Text Indent"/>
    <w:basedOn w:val="Normln"/>
    <w:pPr>
      <w:spacing w:before="60" w:after="60"/>
      <w:ind w:left="880" w:hanging="88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customStyle="1" w:styleId="Tiret0">
    <w:name w:val="Tiret 0"/>
    <w:basedOn w:val="Point0"/>
  </w:style>
  <w:style w:type="paragraph" w:styleId="Zkladntextodsazen2">
    <w:name w:val="Body Text Indent 2"/>
    <w:basedOn w:val="Normln"/>
    <w:pPr>
      <w:snapToGrid w:val="0"/>
      <w:ind w:left="640" w:hanging="330"/>
    </w:pPr>
    <w:rPr>
      <w:sz w:val="20"/>
    </w:rPr>
  </w:style>
  <w:style w:type="character" w:customStyle="1" w:styleId="Znakypropoznmkupodarou">
    <w:name w:val="Znaky pro poznámku pod čarou"/>
    <w:rPr>
      <w:vertAlign w:val="superscript"/>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Textvbloku">
    <w:name w:val="Block Text"/>
    <w:basedOn w:val="Normln"/>
    <w:pPr>
      <w:ind w:left="110" w:right="-170"/>
      <w:jc w:val="center"/>
    </w:pPr>
    <w:rPr>
      <w:b/>
      <w:bCs/>
      <w:sz w:val="28"/>
    </w:rPr>
  </w:style>
  <w:style w:type="paragraph" w:styleId="Odstavecseseznamem">
    <w:name w:val="List Paragraph"/>
    <w:basedOn w:val="Normln"/>
    <w:uiPriority w:val="34"/>
    <w:qFormat/>
    <w:rsid w:val="00FF0389"/>
    <w:pPr>
      <w:ind w:left="720"/>
      <w:contextualSpacing/>
    </w:pPr>
  </w:style>
  <w:style w:type="table" w:styleId="Mkatabulky">
    <w:name w:val="Table Grid"/>
    <w:basedOn w:val="Normlntabulka"/>
    <w:uiPriority w:val="59"/>
    <w:rsid w:val="004D0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nhideWhenUsed/>
    <w:rsid w:val="004D0127"/>
    <w:pPr>
      <w:spacing w:after="200"/>
    </w:pPr>
    <w:rPr>
      <w:rFonts w:ascii="Calibri" w:eastAsia="Calibri" w:hAnsi="Calibri"/>
      <w:sz w:val="20"/>
      <w:szCs w:val="20"/>
      <w:lang w:bidi="cs-CZ"/>
    </w:rPr>
  </w:style>
  <w:style w:type="character" w:customStyle="1" w:styleId="TextkomenteChar">
    <w:name w:val="Text komentáře Char"/>
    <w:basedOn w:val="Standardnpsmoodstavce"/>
    <w:link w:val="Textkomente"/>
    <w:rsid w:val="004D0127"/>
    <w:rPr>
      <w:rFonts w:ascii="Calibri" w:eastAsia="Calibri" w:hAnsi="Calibri"/>
      <w:lang w:bidi="cs-CZ"/>
    </w:rPr>
  </w:style>
  <w:style w:type="character" w:styleId="Odkaznakoment">
    <w:name w:val="annotation reference"/>
    <w:basedOn w:val="Standardnpsmoodstavce"/>
    <w:unhideWhenUsed/>
    <w:rsid w:val="004D0127"/>
    <w:rPr>
      <w:sz w:val="16"/>
      <w:szCs w:val="16"/>
    </w:rPr>
  </w:style>
  <w:style w:type="paragraph" w:styleId="Textbubliny">
    <w:name w:val="Balloon Text"/>
    <w:basedOn w:val="Normln"/>
    <w:link w:val="TextbublinyChar"/>
    <w:rsid w:val="004D0127"/>
    <w:rPr>
      <w:rFonts w:ascii="Tahoma" w:hAnsi="Tahoma" w:cs="Tahoma"/>
      <w:sz w:val="16"/>
      <w:szCs w:val="16"/>
    </w:rPr>
  </w:style>
  <w:style w:type="character" w:customStyle="1" w:styleId="TextbublinyChar">
    <w:name w:val="Text bubliny Char"/>
    <w:basedOn w:val="Standardnpsmoodstavce"/>
    <w:link w:val="Textbubliny"/>
    <w:rsid w:val="004D0127"/>
    <w:rPr>
      <w:rFonts w:ascii="Tahoma" w:hAnsi="Tahoma" w:cs="Tahoma"/>
      <w:sz w:val="16"/>
      <w:szCs w:val="16"/>
    </w:rPr>
  </w:style>
  <w:style w:type="character" w:styleId="Hypertextovodkaz">
    <w:name w:val="Hyperlink"/>
    <w:basedOn w:val="Standardnpsmoodstavce"/>
    <w:uiPriority w:val="99"/>
    <w:unhideWhenUsed/>
    <w:rsid w:val="00FC37F2"/>
    <w:rPr>
      <w:strike w:val="0"/>
      <w:dstrike w:val="0"/>
      <w:color w:val="000000"/>
      <w:u w:val="none"/>
      <w:effect w:val="none"/>
    </w:rPr>
  </w:style>
  <w:style w:type="paragraph" w:styleId="Pedmtkomente">
    <w:name w:val="annotation subject"/>
    <w:basedOn w:val="Textkomente"/>
    <w:next w:val="Textkomente"/>
    <w:link w:val="PedmtkomenteChar"/>
    <w:rsid w:val="00CA3BCA"/>
    <w:pPr>
      <w:spacing w:after="0"/>
    </w:pPr>
    <w:rPr>
      <w:rFonts w:ascii="Times New Roman" w:eastAsia="Times New Roman" w:hAnsi="Times New Roman"/>
      <w:b/>
      <w:bCs/>
      <w:lang w:bidi="ar-SA"/>
    </w:rPr>
  </w:style>
  <w:style w:type="character" w:customStyle="1" w:styleId="PedmtkomenteChar">
    <w:name w:val="Předmět komentáře Char"/>
    <w:basedOn w:val="TextkomenteChar"/>
    <w:link w:val="Pedmtkomente"/>
    <w:rsid w:val="00CA3BCA"/>
    <w:rPr>
      <w:rFonts w:ascii="Calibri" w:eastAsia="Calibri" w:hAnsi="Calibri"/>
      <w:b/>
      <w:bCs/>
      <w:lang w:bidi="cs-CZ"/>
    </w:rPr>
  </w:style>
  <w:style w:type="character" w:customStyle="1" w:styleId="ZpatChar">
    <w:name w:val="Zápatí Char"/>
    <w:basedOn w:val="Standardnpsmoodstavce"/>
    <w:link w:val="Zpat"/>
    <w:uiPriority w:val="99"/>
    <w:rsid w:val="00AB21E5"/>
    <w:rPr>
      <w:sz w:val="22"/>
      <w:szCs w:val="24"/>
    </w:rPr>
  </w:style>
  <w:style w:type="paragraph" w:customStyle="1" w:styleId="Default">
    <w:name w:val="Default"/>
    <w:rsid w:val="00DB6DDF"/>
    <w:pPr>
      <w:autoSpaceDE w:val="0"/>
      <w:autoSpaceDN w:val="0"/>
      <w:adjustRightInd w:val="0"/>
    </w:pPr>
    <w:rPr>
      <w:color w:val="000000"/>
      <w:sz w:val="24"/>
      <w:szCs w:val="24"/>
      <w:lang w:val="nb-NO"/>
    </w:rPr>
  </w:style>
  <w:style w:type="paragraph" w:customStyle="1" w:styleId="MoUparagraphs">
    <w:name w:val="MoU paragraphs"/>
    <w:basedOn w:val="Normln"/>
    <w:link w:val="MoUparagraphsChar"/>
    <w:rsid w:val="00DB6DDF"/>
    <w:pPr>
      <w:spacing w:before="80" w:after="60" w:line="280" w:lineRule="exact"/>
      <w:jc w:val="both"/>
    </w:pPr>
    <w:rPr>
      <w:rFonts w:ascii="Calibri" w:eastAsia="Calibri" w:hAnsi="Calibri"/>
      <w:szCs w:val="22"/>
      <w:lang w:val="en-GB" w:eastAsia="en-US"/>
    </w:rPr>
  </w:style>
  <w:style w:type="character" w:customStyle="1" w:styleId="MoUparagraphsChar">
    <w:name w:val="MoU paragraphs Char"/>
    <w:link w:val="MoUparagraphs"/>
    <w:locked/>
    <w:rsid w:val="00DB6DDF"/>
    <w:rPr>
      <w:rFonts w:ascii="Calibri" w:eastAsia="Calibri" w:hAnsi="Calibri"/>
      <w:sz w:val="22"/>
      <w:szCs w:val="22"/>
      <w:lang w:val="en-GB" w:eastAsia="en-US"/>
    </w:rPr>
  </w:style>
  <w:style w:type="character" w:customStyle="1" w:styleId="xsptextcomputedfield">
    <w:name w:val="xsptextcomputedfield"/>
    <w:rsid w:val="00547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62676">
      <w:bodyDiv w:val="1"/>
      <w:marLeft w:val="0"/>
      <w:marRight w:val="0"/>
      <w:marTop w:val="0"/>
      <w:marBottom w:val="0"/>
      <w:divBdr>
        <w:top w:val="none" w:sz="0" w:space="0" w:color="auto"/>
        <w:left w:val="none" w:sz="0" w:space="0" w:color="auto"/>
        <w:bottom w:val="none" w:sz="0" w:space="0" w:color="auto"/>
        <w:right w:val="none" w:sz="0" w:space="0" w:color="auto"/>
      </w:divBdr>
    </w:div>
    <w:div w:id="783614694">
      <w:bodyDiv w:val="1"/>
      <w:marLeft w:val="0"/>
      <w:marRight w:val="0"/>
      <w:marTop w:val="0"/>
      <w:marBottom w:val="0"/>
      <w:divBdr>
        <w:top w:val="none" w:sz="0" w:space="0" w:color="auto"/>
        <w:left w:val="none" w:sz="0" w:space="0" w:color="auto"/>
        <w:bottom w:val="none" w:sz="0" w:space="0" w:color="auto"/>
        <w:right w:val="none" w:sz="0" w:space="0" w:color="auto"/>
      </w:divBdr>
    </w:div>
    <w:div w:id="1346395703">
      <w:bodyDiv w:val="1"/>
      <w:marLeft w:val="0"/>
      <w:marRight w:val="0"/>
      <w:marTop w:val="0"/>
      <w:marBottom w:val="0"/>
      <w:divBdr>
        <w:top w:val="none" w:sz="0" w:space="0" w:color="auto"/>
        <w:left w:val="none" w:sz="0" w:space="0" w:color="auto"/>
        <w:bottom w:val="none" w:sz="0" w:space="0" w:color="auto"/>
        <w:right w:val="none" w:sz="0" w:space="0" w:color="auto"/>
      </w:divBdr>
    </w:div>
    <w:div w:id="162211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plaga@msmt.cz" TargetMode="External"/><Relationship Id="rId13" Type="http://schemas.openxmlformats.org/officeDocument/2006/relationships/hyperlink" Target="mailto:iva.vackova@msmt.cz"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jiri.burgstaller@msmt.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obert.plaga@msmt.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va.vackova@msmt.cz" TargetMode="External"/><Relationship Id="rId4" Type="http://schemas.openxmlformats.org/officeDocument/2006/relationships/settings" Target="settings.xml"/><Relationship Id="rId9" Type="http://schemas.openxmlformats.org/officeDocument/2006/relationships/hyperlink" Target="mailto:jiri.burgstaller@msmt.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3204</Words>
  <Characters>18904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Informace o  finančním příspěvku Švýcarska  České republice  - Návrh Směrnice pro expertní jednání</vt:lpstr>
    </vt:vector>
  </TitlesOfParts>
  <Company>MF ČR</Company>
  <LinksUpToDate>false</LinksUpToDate>
  <CharactersWithSpaces>22064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Informace o  finančním příspěvku Švýcarska  České republice  - Návrh Směrnice pro expertní jednání</dc:title>
  <dc:creator>LEFNEROVL</dc:creator>
  <cp:lastModifiedBy>Špičková Hana</cp:lastModifiedBy>
  <cp:revision>2</cp:revision>
  <cp:lastPrinted>2016-08-04T08:08:00Z</cp:lastPrinted>
  <dcterms:created xsi:type="dcterms:W3CDTF">2017-08-23T09:17:00Z</dcterms:created>
  <dcterms:modified xsi:type="dcterms:W3CDTF">2017-08-23T09:17:00Z</dcterms:modified>
</cp:coreProperties>
</file>