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Pr="00563C0F" w:rsidRDefault="004272F9" w:rsidP="004272F9">
      <w:pPr>
        <w:jc w:val="center"/>
        <w:rPr>
          <w:rFonts w:ascii="Arial" w:hAnsi="Arial" w:cs="Arial"/>
        </w:rPr>
      </w:pPr>
      <w:r w:rsidRPr="00563C0F">
        <w:rPr>
          <w:rFonts w:ascii="Arial" w:hAnsi="Arial" w:cs="Arial"/>
          <w:noProof/>
          <w:lang w:eastAsia="cs-CZ"/>
        </w:rPr>
        <w:drawing>
          <wp:inline distT="0" distB="0" distL="0" distR="0" wp14:anchorId="34A7360E" wp14:editId="0DD18A1C">
            <wp:extent cx="6124575" cy="24003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96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2071"/>
        <w:gridCol w:w="777"/>
        <w:gridCol w:w="778"/>
        <w:gridCol w:w="778"/>
        <w:gridCol w:w="778"/>
        <w:gridCol w:w="778"/>
        <w:gridCol w:w="778"/>
        <w:gridCol w:w="778"/>
        <w:gridCol w:w="1022"/>
      </w:tblGrid>
      <w:tr w:rsidR="005630C7" w:rsidRPr="00563C0F" w:rsidTr="001230F6">
        <w:trPr>
          <w:trHeight w:val="387"/>
        </w:trPr>
        <w:tc>
          <w:tcPr>
            <w:tcW w:w="1097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5630C7" w:rsidRPr="00563C0F" w:rsidRDefault="00CE1C75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mil. Kč</w:t>
            </w:r>
          </w:p>
        </w:tc>
        <w:tc>
          <w:tcPr>
            <w:tcW w:w="206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5630C7" w:rsidRPr="00563C0F" w:rsidRDefault="005630C7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2015</w:t>
            </w: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2016</w:t>
            </w: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2018</w:t>
            </w:r>
            <w:r w:rsidRPr="00CF6A4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1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5630C7" w:rsidRPr="00CF6A4F" w:rsidRDefault="005630C7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2021</w:t>
            </w:r>
          </w:p>
        </w:tc>
      </w:tr>
      <w:tr w:rsidR="004272F9" w:rsidRPr="00563C0F" w:rsidTr="001230F6">
        <w:trPr>
          <w:trHeight w:val="270"/>
        </w:trPr>
        <w:tc>
          <w:tcPr>
            <w:tcW w:w="1097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Institut</w:t>
            </w:r>
          </w:p>
        </w:tc>
        <w:tc>
          <w:tcPr>
            <w:tcW w:w="206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Pořádání veř. </w:t>
            </w:r>
            <w:proofErr w:type="gramStart"/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soutěží</w:t>
            </w:r>
            <w:proofErr w:type="gramEnd"/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hodnocení projektů atd.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01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</w:tr>
      <w:tr w:rsidR="004272F9" w:rsidRPr="00563C0F" w:rsidTr="001230F6">
        <w:trPr>
          <w:trHeight w:val="270"/>
        </w:trPr>
        <w:tc>
          <w:tcPr>
            <w:tcW w:w="1097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06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4272F9" w:rsidRPr="00563C0F" w:rsidRDefault="005630C7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RVO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101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93</w:t>
            </w:r>
          </w:p>
        </w:tc>
      </w:tr>
      <w:tr w:rsidR="004272F9" w:rsidRPr="00563C0F" w:rsidTr="001230F6">
        <w:trPr>
          <w:trHeight w:val="270"/>
        </w:trPr>
        <w:tc>
          <w:tcPr>
            <w:tcW w:w="315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Institut Celkem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126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96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101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100</w:t>
            </w:r>
          </w:p>
        </w:tc>
      </w:tr>
      <w:tr w:rsidR="004272F9" w:rsidRPr="00563C0F" w:rsidTr="001230F6">
        <w:trPr>
          <w:trHeight w:val="92"/>
        </w:trPr>
        <w:tc>
          <w:tcPr>
            <w:tcW w:w="315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272F9" w:rsidRPr="00563C0F" w:rsidTr="001230F6">
        <w:trPr>
          <w:trHeight w:val="270"/>
        </w:trPr>
        <w:tc>
          <w:tcPr>
            <w:tcW w:w="1097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  <w:t>účelová</w:t>
            </w:r>
          </w:p>
        </w:tc>
        <w:tc>
          <w:tcPr>
            <w:tcW w:w="206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NAKI 2011-2017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406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374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272F9" w:rsidRPr="00563C0F" w:rsidTr="001230F6">
        <w:trPr>
          <w:trHeight w:val="270"/>
        </w:trPr>
        <w:tc>
          <w:tcPr>
            <w:tcW w:w="1097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cs-CZ"/>
              </w:rPr>
            </w:pPr>
          </w:p>
        </w:tc>
        <w:tc>
          <w:tcPr>
            <w:tcW w:w="206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NAKI II 2016-2022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358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374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101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425</w:t>
            </w:r>
          </w:p>
        </w:tc>
      </w:tr>
      <w:tr w:rsidR="004272F9" w:rsidRPr="00563C0F" w:rsidTr="001230F6">
        <w:trPr>
          <w:trHeight w:val="270"/>
        </w:trPr>
        <w:tc>
          <w:tcPr>
            <w:tcW w:w="315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účelová Celkem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406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374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77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425</w:t>
            </w:r>
          </w:p>
        </w:tc>
        <w:tc>
          <w:tcPr>
            <w:tcW w:w="101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cs-CZ"/>
              </w:rPr>
              <w:t>425</w:t>
            </w:r>
          </w:p>
        </w:tc>
      </w:tr>
      <w:tr w:rsidR="004272F9" w:rsidRPr="00563C0F" w:rsidTr="001230F6">
        <w:trPr>
          <w:trHeight w:val="74"/>
        </w:trPr>
        <w:tc>
          <w:tcPr>
            <w:tcW w:w="3159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7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1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272F9" w:rsidRPr="00563C0F" w:rsidTr="001230F6">
        <w:trPr>
          <w:trHeight w:val="270"/>
        </w:trPr>
        <w:tc>
          <w:tcPr>
            <w:tcW w:w="3159" w:type="dxa"/>
            <w:gridSpan w:val="2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Celkový součet</w:t>
            </w:r>
          </w:p>
        </w:tc>
        <w:tc>
          <w:tcPr>
            <w:tcW w:w="77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481</w:t>
            </w:r>
          </w:p>
        </w:tc>
        <w:tc>
          <w:tcPr>
            <w:tcW w:w="77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500</w:t>
            </w:r>
          </w:p>
        </w:tc>
        <w:tc>
          <w:tcPr>
            <w:tcW w:w="77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512</w:t>
            </w:r>
          </w:p>
        </w:tc>
        <w:tc>
          <w:tcPr>
            <w:tcW w:w="77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518</w:t>
            </w:r>
          </w:p>
        </w:tc>
        <w:tc>
          <w:tcPr>
            <w:tcW w:w="77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521</w:t>
            </w:r>
          </w:p>
        </w:tc>
        <w:tc>
          <w:tcPr>
            <w:tcW w:w="77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525</w:t>
            </w:r>
          </w:p>
        </w:tc>
        <w:tc>
          <w:tcPr>
            <w:tcW w:w="77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525</w:t>
            </w:r>
          </w:p>
        </w:tc>
        <w:tc>
          <w:tcPr>
            <w:tcW w:w="1017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4272F9" w:rsidRPr="00563C0F" w:rsidRDefault="004272F9" w:rsidP="00427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563C0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525</w:t>
            </w:r>
          </w:p>
        </w:tc>
      </w:tr>
    </w:tbl>
    <w:p w:rsidR="004272F9" w:rsidRPr="00563C0F" w:rsidRDefault="004272F9" w:rsidP="005630C7">
      <w:pPr>
        <w:spacing w:before="240"/>
        <w:rPr>
          <w:rFonts w:ascii="Arial" w:hAnsi="Arial" w:cs="Arial"/>
        </w:rPr>
      </w:pPr>
      <w:r w:rsidRPr="00563C0F">
        <w:rPr>
          <w:rFonts w:ascii="Arial" w:hAnsi="Arial" w:cs="Arial"/>
          <w:b/>
        </w:rPr>
        <w:t>Výdaje navrhované nad rámec střednědobého výhledu</w:t>
      </w:r>
      <w:r w:rsidR="005630C7">
        <w:rPr>
          <w:rFonts w:ascii="Arial" w:hAnsi="Arial" w:cs="Arial"/>
          <w:b/>
        </w:rPr>
        <w:t xml:space="preserve">: </w:t>
      </w:r>
      <w:r w:rsidRPr="00563C0F">
        <w:rPr>
          <w:rFonts w:ascii="Arial" w:hAnsi="Arial" w:cs="Arial"/>
        </w:rPr>
        <w:t>Bez nadpožadavků.</w:t>
      </w:r>
    </w:p>
    <w:p w:rsidR="00E161A0" w:rsidRPr="00563C0F" w:rsidRDefault="00E161A0" w:rsidP="00E161A0">
      <w:pPr>
        <w:rPr>
          <w:rFonts w:ascii="Arial" w:hAnsi="Arial" w:cs="Arial"/>
          <w:b/>
        </w:rPr>
      </w:pPr>
      <w:r w:rsidRPr="00563C0F">
        <w:rPr>
          <w:rFonts w:ascii="Arial" w:hAnsi="Arial" w:cs="Arial"/>
          <w:b/>
        </w:rPr>
        <w:t>Nároky z nespotřebovaných výdajů</w:t>
      </w:r>
      <w:r w:rsidR="00CE1C75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417"/>
        <w:gridCol w:w="1418"/>
        <w:gridCol w:w="1417"/>
        <w:gridCol w:w="1418"/>
        <w:gridCol w:w="1417"/>
      </w:tblGrid>
      <w:tr w:rsidR="00E161A0" w:rsidRPr="005630C7" w:rsidTr="001230F6">
        <w:tc>
          <w:tcPr>
            <w:tcW w:w="1276" w:type="dxa"/>
            <w:vMerge w:val="restart"/>
            <w:shd w:val="clear" w:color="auto" w:fill="auto"/>
          </w:tcPr>
          <w:p w:rsidR="00E161A0" w:rsidRPr="005630C7" w:rsidRDefault="00E161A0" w:rsidP="008B63A5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Rozpočtová kapitola</w:t>
            </w:r>
          </w:p>
        </w:tc>
        <w:tc>
          <w:tcPr>
            <w:tcW w:w="4111" w:type="dxa"/>
            <w:gridSpan w:val="3"/>
            <w:shd w:val="clear" w:color="auto" w:fill="D9D9D9"/>
          </w:tcPr>
          <w:p w:rsidR="00E161A0" w:rsidRPr="005630C7" w:rsidRDefault="00E161A0" w:rsidP="008B63A5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4252" w:type="dxa"/>
            <w:gridSpan w:val="3"/>
            <w:shd w:val="clear" w:color="auto" w:fill="D9D9D9"/>
          </w:tcPr>
          <w:p w:rsidR="00E161A0" w:rsidRPr="005630C7" w:rsidRDefault="00E161A0" w:rsidP="008B63A5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</w:t>
            </w:r>
          </w:p>
        </w:tc>
      </w:tr>
      <w:tr w:rsidR="00E161A0" w:rsidRPr="005630C7" w:rsidTr="001230F6">
        <w:tc>
          <w:tcPr>
            <w:tcW w:w="1276" w:type="dxa"/>
            <w:vMerge/>
            <w:shd w:val="clear" w:color="auto" w:fill="auto"/>
          </w:tcPr>
          <w:p w:rsidR="00E161A0" w:rsidRPr="005630C7" w:rsidRDefault="00E161A0" w:rsidP="008B63A5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6" w:type="dxa"/>
            <w:shd w:val="clear" w:color="auto" w:fill="D9D9D9"/>
          </w:tcPr>
          <w:p w:rsidR="00E161A0" w:rsidRPr="005630C7" w:rsidRDefault="00E161A0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5630C7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5630C7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17" w:type="dxa"/>
            <w:shd w:val="clear" w:color="auto" w:fill="D9D9D9"/>
          </w:tcPr>
          <w:p w:rsidR="00E161A0" w:rsidRPr="005630C7" w:rsidRDefault="00E161A0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E161A0" w:rsidRPr="005630C7" w:rsidRDefault="00E161A0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630C7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E161A0" w:rsidRPr="005630C7" w:rsidRDefault="00E161A0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5630C7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5630C7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418" w:type="dxa"/>
            <w:shd w:val="clear" w:color="auto" w:fill="D9D9D9"/>
          </w:tcPr>
          <w:p w:rsidR="00E161A0" w:rsidRPr="005630C7" w:rsidRDefault="00E161A0" w:rsidP="008B63A5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E161A0" w:rsidRPr="005630C7" w:rsidRDefault="00E161A0" w:rsidP="008B63A5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630C7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E161A0" w:rsidRPr="005630C7" w:rsidTr="001230F6">
        <w:tc>
          <w:tcPr>
            <w:tcW w:w="1276" w:type="dxa"/>
            <w:shd w:val="clear" w:color="auto" w:fill="auto"/>
          </w:tcPr>
          <w:p w:rsidR="00E161A0" w:rsidRPr="005630C7" w:rsidRDefault="00E161A0" w:rsidP="008B63A5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5630C7">
              <w:rPr>
                <w:rFonts w:ascii="Arial" w:hAnsi="Arial" w:cs="Arial"/>
                <w:color w:val="000000"/>
                <w:sz w:val="17"/>
                <w:szCs w:val="17"/>
              </w:rPr>
              <w:t>MK</w:t>
            </w:r>
          </w:p>
        </w:tc>
        <w:tc>
          <w:tcPr>
            <w:tcW w:w="1276" w:type="dxa"/>
            <w:shd w:val="clear" w:color="auto" w:fill="auto"/>
          </w:tcPr>
          <w:p w:rsidR="00E161A0" w:rsidRPr="005630C7" w:rsidRDefault="00E161A0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21 026 650</w:t>
            </w:r>
          </w:p>
        </w:tc>
        <w:tc>
          <w:tcPr>
            <w:tcW w:w="1417" w:type="dxa"/>
            <w:shd w:val="clear" w:color="auto" w:fill="auto"/>
          </w:tcPr>
          <w:p w:rsidR="00E161A0" w:rsidRPr="005630C7" w:rsidRDefault="00E161A0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147 983 087</w:t>
            </w:r>
          </w:p>
        </w:tc>
        <w:tc>
          <w:tcPr>
            <w:tcW w:w="1418" w:type="dxa"/>
            <w:shd w:val="clear" w:color="auto" w:fill="auto"/>
          </w:tcPr>
          <w:p w:rsidR="00E161A0" w:rsidRPr="005630C7" w:rsidRDefault="00E161A0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169 009 737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161A0" w:rsidRPr="005630C7" w:rsidRDefault="00E161A0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7 563 174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161A0" w:rsidRPr="005630C7" w:rsidRDefault="00E161A0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290 846 000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161A0" w:rsidRPr="005630C7" w:rsidRDefault="00E161A0" w:rsidP="008B63A5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5630C7">
              <w:rPr>
                <w:rFonts w:ascii="Arial" w:hAnsi="Arial" w:cs="Arial"/>
                <w:sz w:val="17"/>
                <w:szCs w:val="17"/>
              </w:rPr>
              <w:t>298 409 174</w:t>
            </w:r>
          </w:p>
        </w:tc>
      </w:tr>
    </w:tbl>
    <w:p w:rsidR="00E161A0" w:rsidRPr="005630C7" w:rsidRDefault="00563C0F" w:rsidP="005630C7">
      <w:pPr>
        <w:spacing w:before="120"/>
        <w:rPr>
          <w:rFonts w:ascii="Arial" w:hAnsi="Arial" w:cs="Arial"/>
          <w:b/>
          <w:sz w:val="21"/>
          <w:szCs w:val="21"/>
        </w:rPr>
      </w:pPr>
      <w:r w:rsidRPr="005630C7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5630C7">
        <w:rPr>
          <w:rFonts w:ascii="Arial" w:hAnsi="Arial" w:cs="Arial"/>
          <w:b/>
          <w:sz w:val="21"/>
          <w:szCs w:val="21"/>
        </w:rPr>
        <w:t>VO</w:t>
      </w:r>
      <w:r w:rsidRPr="005630C7">
        <w:rPr>
          <w:rFonts w:ascii="Arial" w:hAnsi="Arial" w:cs="Arial"/>
          <w:b/>
          <w:sz w:val="21"/>
          <w:szCs w:val="21"/>
        </w:rPr>
        <w:t xml:space="preserve"> v roce 2017</w:t>
      </w:r>
      <w:r w:rsidR="0005474A">
        <w:rPr>
          <w:rFonts w:ascii="Arial" w:hAnsi="Arial" w:cs="Arial"/>
          <w:b/>
          <w:sz w:val="21"/>
          <w:szCs w:val="21"/>
        </w:rPr>
        <w:t xml:space="preserve"> (mil. Kč)</w:t>
      </w:r>
    </w:p>
    <w:tbl>
      <w:tblPr>
        <w:tblW w:w="963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851"/>
        <w:gridCol w:w="851"/>
        <w:gridCol w:w="3118"/>
        <w:gridCol w:w="851"/>
        <w:gridCol w:w="851"/>
      </w:tblGrid>
      <w:tr w:rsidR="001230F6" w:rsidRPr="001230F6" w:rsidTr="001230F6">
        <w:trPr>
          <w:trHeight w:val="244"/>
        </w:trPr>
        <w:tc>
          <w:tcPr>
            <w:tcW w:w="3119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8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  <w:tc>
          <w:tcPr>
            <w:tcW w:w="3119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Calibri" w:eastAsia="Times New Roman" w:hAnsi="Calibri" w:cs="Times New Roman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8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muzeum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29.2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27.67%</w:t>
            </w:r>
          </w:p>
        </w:tc>
        <w:tc>
          <w:tcPr>
            <w:tcW w:w="3119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 umění - Divadelní ústav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3.3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3.12%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památkový ústav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19.06%</w:t>
            </w:r>
          </w:p>
        </w:tc>
        <w:tc>
          <w:tcPr>
            <w:tcW w:w="3119" w:type="dxa"/>
            <w:tcBorders>
              <w:top w:val="nil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ústav lidové kultury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3.10%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Moravské zemské muzeum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12.6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11.95%</w:t>
            </w:r>
          </w:p>
        </w:tc>
        <w:tc>
          <w:tcPr>
            <w:tcW w:w="3119" w:type="dxa"/>
            <w:tcBorders>
              <w:top w:val="nil"/>
              <w:left w:val="single" w:sz="8" w:space="0" w:color="95B3D7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Moravská galerie v Brně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2.90%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knihovna České republiky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7.79%</w:t>
            </w:r>
          </w:p>
        </w:tc>
        <w:tc>
          <w:tcPr>
            <w:tcW w:w="3119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filmový archiv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1.5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1.45%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technické museum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6.64%</w:t>
            </w:r>
          </w:p>
        </w:tc>
        <w:tc>
          <w:tcPr>
            <w:tcW w:w="3119" w:type="dxa"/>
            <w:tcBorders>
              <w:top w:val="nil"/>
              <w:left w:val="single" w:sz="8" w:space="0" w:color="95B3D7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Památník národního písemnictví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0.87%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Uměleckoprůmyslové museum v Praze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4.20%</w:t>
            </w:r>
          </w:p>
        </w:tc>
        <w:tc>
          <w:tcPr>
            <w:tcW w:w="3119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Technické muzeum v Brně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0.2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0.21%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Národní galerie v Praze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4.1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3.88%</w:t>
            </w:r>
          </w:p>
        </w:tc>
        <w:tc>
          <w:tcPr>
            <w:tcW w:w="3119" w:type="dxa"/>
            <w:tcBorders>
              <w:top w:val="nil"/>
              <w:left w:val="single" w:sz="8" w:space="0" w:color="95B3D7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Husitské muzeum v Táboře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0.08%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Moravská zemská knihovna v Brně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3.66%</w:t>
            </w:r>
          </w:p>
        </w:tc>
        <w:tc>
          <w:tcPr>
            <w:tcW w:w="3119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Valašské muzeum v přírodě v Rožnově pod Radhoštěm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0.1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0.08%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Slezské zemské muzeum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3.5</w:t>
            </w:r>
          </w:p>
        </w:tc>
        <w:tc>
          <w:tcPr>
            <w:tcW w:w="8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3.34%</w:t>
            </w:r>
          </w:p>
        </w:tc>
        <w:tc>
          <w:tcPr>
            <w:tcW w:w="3119" w:type="dxa"/>
            <w:tcBorders>
              <w:top w:val="nil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 </w:t>
            </w:r>
          </w:p>
        </w:tc>
      </w:tr>
      <w:tr w:rsidR="001230F6" w:rsidRPr="001230F6" w:rsidTr="001230F6">
        <w:trPr>
          <w:trHeight w:val="244"/>
        </w:trPr>
        <w:tc>
          <w:tcPr>
            <w:tcW w:w="3119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1230F6" w:rsidRPr="001230F6" w:rsidRDefault="001230F6" w:rsidP="001230F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1230F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563C0F" w:rsidRPr="005630C7" w:rsidRDefault="00563C0F" w:rsidP="005630C7">
      <w:pPr>
        <w:rPr>
          <w:rFonts w:ascii="Arial" w:hAnsi="Arial" w:cs="Arial"/>
          <w:i/>
          <w:sz w:val="16"/>
          <w:szCs w:val="16"/>
        </w:rPr>
      </w:pPr>
      <w:r w:rsidRPr="005630C7">
        <w:rPr>
          <w:rFonts w:ascii="Arial" w:hAnsi="Arial" w:cs="Arial"/>
          <w:i/>
          <w:sz w:val="16"/>
          <w:szCs w:val="16"/>
        </w:rPr>
        <w:t>Zdroj: IS VaVaI</w:t>
      </w:r>
    </w:p>
    <w:p w:rsidR="00E161A0" w:rsidRPr="00563C0F" w:rsidRDefault="00E161A0" w:rsidP="00E161A0">
      <w:pPr>
        <w:rPr>
          <w:rFonts w:ascii="Arial" w:hAnsi="Arial" w:cs="Arial"/>
          <w:b/>
        </w:rPr>
      </w:pPr>
      <w:r w:rsidRPr="00563C0F">
        <w:rPr>
          <w:rFonts w:ascii="Arial" w:hAnsi="Arial" w:cs="Arial"/>
          <w:b/>
        </w:rPr>
        <w:t>Závěry jednání</w:t>
      </w:r>
    </w:p>
    <w:p w:rsidR="00E161A0" w:rsidRPr="00563C0F" w:rsidRDefault="006519DD" w:rsidP="00E161A0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 w:rsidRPr="00563C0F">
        <w:rPr>
          <w:rFonts w:ascii="Arial" w:hAnsi="Arial" w:cs="Arial"/>
        </w:rPr>
        <w:t>MK</w:t>
      </w:r>
      <w:r w:rsidR="00E161A0" w:rsidRPr="00563C0F">
        <w:rPr>
          <w:rFonts w:ascii="Arial" w:hAnsi="Arial" w:cs="Arial"/>
        </w:rPr>
        <w:t xml:space="preserve"> předpokládá úplné d</w:t>
      </w:r>
      <w:r w:rsidRPr="00563C0F">
        <w:rPr>
          <w:rFonts w:ascii="Arial" w:hAnsi="Arial" w:cs="Arial"/>
        </w:rPr>
        <w:t>očerpání NNV do konce r</w:t>
      </w:r>
      <w:r w:rsidR="007E09B9">
        <w:rPr>
          <w:rFonts w:ascii="Arial" w:hAnsi="Arial" w:cs="Arial"/>
        </w:rPr>
        <w:t>.</w:t>
      </w:r>
      <w:r w:rsidRPr="00563C0F">
        <w:rPr>
          <w:rFonts w:ascii="Arial" w:hAnsi="Arial" w:cs="Arial"/>
        </w:rPr>
        <w:t xml:space="preserve"> 2018 – NAKI II (již </w:t>
      </w:r>
      <w:proofErr w:type="spellStart"/>
      <w:r w:rsidRPr="00563C0F">
        <w:rPr>
          <w:rFonts w:ascii="Arial" w:hAnsi="Arial" w:cs="Arial"/>
        </w:rPr>
        <w:t>zazávazkováno</w:t>
      </w:r>
      <w:proofErr w:type="spellEnd"/>
      <w:r w:rsidRPr="00563C0F">
        <w:rPr>
          <w:rFonts w:ascii="Arial" w:hAnsi="Arial" w:cs="Arial"/>
        </w:rPr>
        <w:t xml:space="preserve"> v</w:t>
      </w:r>
      <w:r w:rsidR="00563C0F">
        <w:rPr>
          <w:rFonts w:ascii="Arial" w:hAnsi="Arial" w:cs="Arial"/>
        </w:rPr>
        <w:t>iz </w:t>
      </w:r>
      <w:r w:rsidRPr="00563C0F">
        <w:rPr>
          <w:rFonts w:ascii="Arial" w:hAnsi="Arial" w:cs="Arial"/>
        </w:rPr>
        <w:t>IS</w:t>
      </w:r>
      <w:r w:rsidR="00563C0F">
        <w:rPr>
          <w:rFonts w:ascii="Arial" w:hAnsi="Arial" w:cs="Arial"/>
        </w:rPr>
        <w:t> </w:t>
      </w:r>
      <w:r w:rsidRPr="00563C0F">
        <w:rPr>
          <w:rFonts w:ascii="Arial" w:hAnsi="Arial" w:cs="Arial"/>
        </w:rPr>
        <w:t>VaVaI)</w:t>
      </w:r>
    </w:p>
    <w:p w:rsidR="005630C7" w:rsidRDefault="006519DD" w:rsidP="006519DD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 w:rsidRPr="00563C0F">
        <w:rPr>
          <w:rFonts w:ascii="Arial" w:hAnsi="Arial" w:cs="Arial"/>
        </w:rPr>
        <w:t>MK provede v letošním roce hodnocení výzkumných organizací dle Metodik</w:t>
      </w:r>
      <w:bookmarkStart w:id="0" w:name="_GoBack"/>
      <w:bookmarkEnd w:id="0"/>
      <w:r w:rsidRPr="00563C0F">
        <w:rPr>
          <w:rFonts w:ascii="Arial" w:hAnsi="Arial" w:cs="Arial"/>
        </w:rPr>
        <w:t>y</w:t>
      </w:r>
      <w:r w:rsidR="003A2E9A" w:rsidRPr="00563C0F">
        <w:rPr>
          <w:rFonts w:ascii="Arial" w:hAnsi="Arial" w:cs="Arial"/>
        </w:rPr>
        <w:t xml:space="preserve"> </w:t>
      </w:r>
      <w:r w:rsidRPr="00563C0F">
        <w:rPr>
          <w:rFonts w:ascii="Arial" w:hAnsi="Arial" w:cs="Arial"/>
        </w:rPr>
        <w:t>17</w:t>
      </w:r>
      <w:r w:rsidR="003A2E9A" w:rsidRPr="00563C0F">
        <w:rPr>
          <w:rFonts w:ascii="Arial" w:hAnsi="Arial" w:cs="Arial"/>
        </w:rPr>
        <w:t>+</w:t>
      </w:r>
    </w:p>
    <w:p w:rsidR="006519DD" w:rsidRPr="00563C0F" w:rsidRDefault="006519DD" w:rsidP="007E09B9">
      <w:pPr>
        <w:pStyle w:val="Odstavecseseznamem"/>
        <w:numPr>
          <w:ilvl w:val="1"/>
          <w:numId w:val="2"/>
        </w:numPr>
        <w:spacing w:before="120" w:line="288" w:lineRule="auto"/>
        <w:jc w:val="both"/>
        <w:rPr>
          <w:rFonts w:ascii="Arial" w:hAnsi="Arial" w:cs="Arial"/>
        </w:rPr>
      </w:pPr>
      <w:r w:rsidRPr="00563C0F">
        <w:rPr>
          <w:rFonts w:ascii="Arial" w:hAnsi="Arial" w:cs="Arial"/>
        </w:rPr>
        <w:t>Výstupy hodnocení budou k dispozici na konci roku 2018.</w:t>
      </w:r>
    </w:p>
    <w:p w:rsidR="00E161A0" w:rsidRPr="007E09B9" w:rsidRDefault="007E09B9" w:rsidP="007E09B9">
      <w:pPr>
        <w:pStyle w:val="Odstavecseseznamem"/>
        <w:numPr>
          <w:ilvl w:val="1"/>
          <w:numId w:val="2"/>
        </w:numPr>
        <w:ind w:left="709" w:hanging="283"/>
        <w:rPr>
          <w:rFonts w:ascii="Arial" w:hAnsi="Arial" w:cs="Arial"/>
        </w:rPr>
      </w:pPr>
      <w:r w:rsidRPr="007E09B9">
        <w:rPr>
          <w:rFonts w:ascii="Arial" w:hAnsi="Arial" w:cs="Arial"/>
        </w:rPr>
        <w:t>MK předloží podklad k hodnocení přínosů programů účelové podpory, zdůvodnění efektivity vynaložených prostředků v rámci účelové podpory</w:t>
      </w:r>
      <w:r>
        <w:rPr>
          <w:rFonts w:ascii="Arial" w:hAnsi="Arial" w:cs="Arial"/>
        </w:rPr>
        <w:t>.</w:t>
      </w:r>
    </w:p>
    <w:sectPr w:rsidR="00E161A0" w:rsidRPr="007E09B9" w:rsidSect="004272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C2AAA"/>
    <w:multiLevelType w:val="hybridMultilevel"/>
    <w:tmpl w:val="B7EEC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13E9F"/>
    <w:multiLevelType w:val="hybridMultilevel"/>
    <w:tmpl w:val="8EF00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F9"/>
    <w:rsid w:val="0005474A"/>
    <w:rsid w:val="001230F6"/>
    <w:rsid w:val="00286E19"/>
    <w:rsid w:val="002B2170"/>
    <w:rsid w:val="0036450D"/>
    <w:rsid w:val="003A2E9A"/>
    <w:rsid w:val="004272F9"/>
    <w:rsid w:val="005630C7"/>
    <w:rsid w:val="00563C0F"/>
    <w:rsid w:val="006519DD"/>
    <w:rsid w:val="007E09B9"/>
    <w:rsid w:val="00994B67"/>
    <w:rsid w:val="00A20F5B"/>
    <w:rsid w:val="00BC2054"/>
    <w:rsid w:val="00C07AEC"/>
    <w:rsid w:val="00CE1C75"/>
    <w:rsid w:val="00E1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7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2F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161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7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2F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16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2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'MK ČR'!$L$1</c:f>
          <c:strCache>
            <c:ptCount val="1"/>
            <c:pt idx="0">
              <c:v>MK ČR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'MK ČR'!$M$1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'MK ČR'!$C$4:$J$4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'MK ČR'!$C$7:$J$7</c:f>
              <c:numCache>
                <c:formatCode>#,###,,</c:formatCode>
                <c:ptCount val="8"/>
                <c:pt idx="0">
                  <c:v>74901000</c:v>
                </c:pt>
                <c:pt idx="1">
                  <c:v>125559000</c:v>
                </c:pt>
                <c:pt idx="2">
                  <c:v>87223000</c:v>
                </c:pt>
                <c:pt idx="3">
                  <c:v>93042000</c:v>
                </c:pt>
                <c:pt idx="4">
                  <c:v>96382000</c:v>
                </c:pt>
                <c:pt idx="5">
                  <c:v>99697000</c:v>
                </c:pt>
                <c:pt idx="6">
                  <c:v>99697000</c:v>
                </c:pt>
                <c:pt idx="7">
                  <c:v>99697000</c:v>
                </c:pt>
              </c:numCache>
            </c:numRef>
          </c:val>
        </c:ser>
        <c:ser>
          <c:idx val="1"/>
          <c:order val="1"/>
          <c:tx>
            <c:strRef>
              <c:f>'MK ČR'!$N$1</c:f>
              <c:strCache>
                <c:ptCount val="1"/>
                <c:pt idx="0">
                  <c:v>účelová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'MK ČR'!$C$4:$J$4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'MK ČR'!$C$11:$J$11</c:f>
              <c:numCache>
                <c:formatCode>#,###,,</c:formatCode>
                <c:ptCount val="8"/>
                <c:pt idx="0">
                  <c:v>406079000</c:v>
                </c:pt>
                <c:pt idx="1">
                  <c:v>374342000</c:v>
                </c:pt>
                <c:pt idx="2">
                  <c:v>425000000</c:v>
                </c:pt>
                <c:pt idx="3">
                  <c:v>425000000</c:v>
                </c:pt>
                <c:pt idx="4">
                  <c:v>425000000</c:v>
                </c:pt>
                <c:pt idx="5">
                  <c:v>425000000</c:v>
                </c:pt>
                <c:pt idx="6">
                  <c:v>425000000</c:v>
                </c:pt>
                <c:pt idx="7">
                  <c:v>425000000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92370432"/>
        <c:axId val="92372352"/>
      </c:barChart>
      <c:catAx>
        <c:axId val="9237043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92372352"/>
        <c:crosses val="autoZero"/>
        <c:auto val="1"/>
        <c:lblAlgn val="ctr"/>
        <c:lblOffset val="100"/>
        <c:noMultiLvlLbl val="0"/>
      </c:catAx>
      <c:valAx>
        <c:axId val="92372352"/>
        <c:scaling>
          <c:orientation val="minMax"/>
        </c:scaling>
        <c:delete val="0"/>
        <c:axPos val="l"/>
        <c:majorGridlines/>
        <c:title>
          <c:tx>
            <c:strRef>
              <c:f>'MK ČR'!$K$1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9237043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12</cp:revision>
  <cp:lastPrinted>2018-02-08T09:00:00Z</cp:lastPrinted>
  <dcterms:created xsi:type="dcterms:W3CDTF">2018-02-07T15:14:00Z</dcterms:created>
  <dcterms:modified xsi:type="dcterms:W3CDTF">2018-02-15T09:54:00Z</dcterms:modified>
</cp:coreProperties>
</file>