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BBD" w:rsidRPr="00D84BBD" w:rsidRDefault="00D84BBD" w:rsidP="00D84BB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cs-CZ"/>
        </w:rPr>
      </w:pPr>
      <w:r w:rsidRPr="00D84BBD">
        <w:rPr>
          <w:rFonts w:ascii="Arial" w:eastAsia="Times New Roman" w:hAnsi="Arial" w:cs="Arial"/>
          <w:vanish/>
          <w:sz w:val="16"/>
          <w:szCs w:val="16"/>
          <w:lang w:eastAsia="cs-CZ"/>
        </w:rPr>
        <w:t>Začátek formuláře</w:t>
      </w:r>
    </w:p>
    <w:p w:rsidR="0019339F" w:rsidRDefault="0019339F" w:rsidP="0019339F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  <w:lang w:eastAsia="cs-CZ"/>
        </w:rPr>
      </w:pPr>
    </w:p>
    <w:p w:rsidR="0019339F" w:rsidRDefault="0019339F" w:rsidP="0019339F">
      <w:pPr>
        <w:spacing w:after="0" w:line="240" w:lineRule="auto"/>
        <w:jc w:val="center"/>
      </w:pPr>
      <w:r>
        <w:rPr>
          <w:rFonts w:ascii="Verdana" w:hAnsi="Verdana"/>
          <w:color w:val="000000"/>
          <w:sz w:val="24"/>
          <w:szCs w:val="24"/>
          <w:bdr w:val="none" w:sz="0" w:space="0" w:color="auto" w:frame="1"/>
        </w:rPr>
        <w:t>Části stránky:</w:t>
      </w:r>
      <w:r>
        <w:rPr>
          <w:rFonts w:ascii="Verdana" w:hAnsi="Verdana"/>
          <w:color w:val="000000"/>
          <w:sz w:val="24"/>
          <w:szCs w:val="24"/>
        </w:rPr>
        <w:t xml:space="preserve"> </w:t>
      </w:r>
    </w:p>
    <w:p w:rsidR="0019339F" w:rsidRDefault="0019339F" w:rsidP="0019339F">
      <w:pPr>
        <w:spacing w:after="0" w:line="230" w:lineRule="atLeast"/>
        <w:ind w:left="2597" w:hanging="360"/>
      </w:pPr>
      <w:r>
        <w:rPr>
          <w:rFonts w:ascii="Symbol" w:hAnsi="Symbol"/>
          <w:color w:val="000000"/>
          <w:sz w:val="20"/>
          <w:szCs w:val="20"/>
        </w:rPr>
        <w:t></w:t>
      </w:r>
      <w:r>
        <w:rPr>
          <w:rFonts w:ascii="Times New Roman" w:hAnsi="Times New Roman"/>
          <w:color w:val="000000"/>
          <w:sz w:val="14"/>
          <w:szCs w:val="14"/>
        </w:rPr>
        <w:t xml:space="preserve">         </w:t>
      </w:r>
      <w:hyperlink r:id="rId9" w:tgtFrame="_top" w:history="1">
        <w:r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>Obsah (</w:t>
        </w:r>
        <w:r w:rsidRPr="0019339F"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>Přístupová klávesa</w:t>
        </w:r>
        <w:r>
          <w:rPr>
            <w:rStyle w:val="Hypertextovodkaz"/>
          </w:rPr>
          <w:t xml:space="preserve"> </w:t>
        </w:r>
        <w:r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>0)</w:t>
        </w:r>
      </w:hyperlink>
      <w:r>
        <w:rPr>
          <w:rFonts w:ascii="Verdana" w:hAnsi="Verdana"/>
          <w:color w:val="000000"/>
          <w:sz w:val="19"/>
          <w:szCs w:val="19"/>
        </w:rPr>
        <w:t xml:space="preserve"> </w:t>
      </w:r>
    </w:p>
    <w:p w:rsidR="0019339F" w:rsidRDefault="0019339F" w:rsidP="0019339F">
      <w:pPr>
        <w:spacing w:after="0" w:line="230" w:lineRule="atLeast"/>
        <w:ind w:left="2597" w:hanging="360"/>
      </w:pPr>
      <w:r>
        <w:rPr>
          <w:rFonts w:ascii="Symbol" w:hAnsi="Symbol"/>
          <w:color w:val="000000"/>
          <w:sz w:val="20"/>
          <w:szCs w:val="20"/>
        </w:rPr>
        <w:t></w:t>
      </w:r>
      <w:r>
        <w:rPr>
          <w:rFonts w:ascii="Times New Roman" w:hAnsi="Times New Roman"/>
          <w:color w:val="000000"/>
          <w:sz w:val="14"/>
          <w:szCs w:val="14"/>
        </w:rPr>
        <w:t xml:space="preserve">         </w:t>
      </w:r>
      <w:hyperlink r:id="rId10" w:tgtFrame="_top" w:history="1">
        <w:r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>K navigačnímu panelu (</w:t>
        </w:r>
        <w:r w:rsidRPr="0019339F"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>Přístupová klávesa</w:t>
        </w:r>
        <w:r>
          <w:rPr>
            <w:rStyle w:val="Hypertextovodkaz"/>
          </w:rPr>
          <w:t xml:space="preserve"> </w:t>
        </w:r>
        <w:r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>1)</w:t>
        </w:r>
      </w:hyperlink>
      <w:r>
        <w:rPr>
          <w:rFonts w:ascii="Verdana" w:hAnsi="Verdana"/>
          <w:color w:val="000000"/>
          <w:sz w:val="19"/>
          <w:szCs w:val="19"/>
        </w:rPr>
        <w:t xml:space="preserve"> </w:t>
      </w:r>
    </w:p>
    <w:p w:rsidR="0019339F" w:rsidRDefault="0019339F" w:rsidP="0019339F">
      <w:pPr>
        <w:spacing w:after="0" w:line="230" w:lineRule="atLeast"/>
        <w:ind w:left="2597" w:hanging="360"/>
      </w:pPr>
      <w:r>
        <w:rPr>
          <w:rFonts w:ascii="Symbol" w:hAnsi="Symbol"/>
          <w:color w:val="000000"/>
          <w:sz w:val="20"/>
          <w:szCs w:val="20"/>
        </w:rPr>
        <w:t></w:t>
      </w:r>
      <w:r>
        <w:rPr>
          <w:rFonts w:ascii="Times New Roman" w:hAnsi="Times New Roman"/>
          <w:color w:val="000000"/>
          <w:sz w:val="14"/>
          <w:szCs w:val="14"/>
        </w:rPr>
        <w:t xml:space="preserve">         </w:t>
      </w:r>
      <w:hyperlink r:id="rId11" w:tgtFrame="_top" w:history="1">
        <w:r w:rsidRPr="0019339F"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>Hlavní stránka</w:t>
        </w:r>
        <w:r>
          <w:rPr>
            <w:rStyle w:val="Hypertextovodkaz"/>
          </w:rPr>
          <w:t xml:space="preserve"> </w:t>
        </w:r>
        <w:r w:rsidRPr="0019339F"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 xml:space="preserve">(Přístupová klávesa 5) </w:t>
        </w:r>
      </w:hyperlink>
    </w:p>
    <w:p w:rsidR="0019339F" w:rsidRDefault="0019339F" w:rsidP="0019339F">
      <w:pPr>
        <w:spacing w:after="0" w:line="230" w:lineRule="atLeast"/>
        <w:ind w:left="2597" w:hanging="360"/>
      </w:pPr>
      <w:r>
        <w:rPr>
          <w:rFonts w:ascii="Symbol" w:hAnsi="Symbol"/>
          <w:color w:val="000000"/>
          <w:sz w:val="20"/>
          <w:szCs w:val="20"/>
        </w:rPr>
        <w:t></w:t>
      </w:r>
      <w:r>
        <w:rPr>
          <w:rFonts w:ascii="Times New Roman" w:hAnsi="Times New Roman"/>
          <w:color w:val="000000"/>
          <w:sz w:val="14"/>
          <w:szCs w:val="14"/>
        </w:rPr>
        <w:t xml:space="preserve">         </w:t>
      </w:r>
      <w:hyperlink r:id="rId12" w:tgtFrame="_top" w:history="1">
        <w:r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>K</w:t>
        </w:r>
        <w:r w:rsidRPr="0019339F"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>ontakt</w:t>
        </w:r>
        <w:r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 xml:space="preserve"> (</w:t>
        </w:r>
        <w:r w:rsidRPr="0019339F"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>Přístupová klávesa</w:t>
        </w:r>
        <w:r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 xml:space="preserve"> </w:t>
        </w:r>
        <w:r>
          <w:rPr>
            <w:rStyle w:val="Hypertextovodkaz"/>
          </w:rPr>
          <w:t xml:space="preserve"> </w:t>
        </w:r>
        <w:r w:rsidRPr="0019339F"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 xml:space="preserve">6) </w:t>
        </w:r>
      </w:hyperlink>
    </w:p>
    <w:p w:rsidR="0019339F" w:rsidRDefault="0019339F" w:rsidP="0019339F">
      <w:pPr>
        <w:spacing w:after="0" w:line="230" w:lineRule="atLeast"/>
        <w:ind w:left="2597" w:hanging="360"/>
      </w:pPr>
      <w:r>
        <w:rPr>
          <w:rFonts w:ascii="Symbol" w:hAnsi="Symbol"/>
          <w:color w:val="000000"/>
          <w:sz w:val="20"/>
          <w:szCs w:val="20"/>
        </w:rPr>
        <w:t></w:t>
      </w:r>
      <w:r>
        <w:rPr>
          <w:rFonts w:ascii="Times New Roman" w:hAnsi="Times New Roman"/>
          <w:color w:val="000000"/>
          <w:sz w:val="14"/>
          <w:szCs w:val="14"/>
        </w:rPr>
        <w:t xml:space="preserve">         </w:t>
      </w:r>
      <w:hyperlink r:id="rId13" w:tgtFrame="_top" w:history="1">
        <w:r w:rsidRPr="0019339F"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>Mapa stránek</w:t>
        </w:r>
        <w:r>
          <w:rPr>
            <w:rStyle w:val="Hypertextovodkaz"/>
          </w:rPr>
          <w:t xml:space="preserve"> </w:t>
        </w:r>
        <w:r w:rsidRPr="0019339F"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 xml:space="preserve">(Přístupová klávesa 7) </w:t>
        </w:r>
      </w:hyperlink>
    </w:p>
    <w:p w:rsidR="0019339F" w:rsidRDefault="0019339F" w:rsidP="0019339F">
      <w:pPr>
        <w:spacing w:after="0" w:line="230" w:lineRule="atLeast"/>
        <w:ind w:left="2597" w:hanging="360"/>
      </w:pPr>
      <w:r>
        <w:rPr>
          <w:rFonts w:ascii="Symbol" w:hAnsi="Symbol"/>
          <w:color w:val="000000"/>
          <w:sz w:val="20"/>
          <w:szCs w:val="20"/>
        </w:rPr>
        <w:t></w:t>
      </w:r>
      <w:r>
        <w:rPr>
          <w:rFonts w:ascii="Times New Roman" w:hAnsi="Times New Roman"/>
          <w:color w:val="000000"/>
          <w:sz w:val="14"/>
          <w:szCs w:val="14"/>
        </w:rPr>
        <w:t xml:space="preserve">         </w:t>
      </w:r>
      <w:hyperlink r:id="rId14" w:tgtFrame="_top" w:history="1">
        <w:r w:rsidRPr="0019339F"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>Tiráž</w:t>
        </w:r>
        <w:r>
          <w:rPr>
            <w:rStyle w:val="Hypertextovodkaz"/>
          </w:rPr>
          <w:t xml:space="preserve"> </w:t>
        </w:r>
        <w:r w:rsidRPr="0019339F"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>(Přístupová klávesa</w:t>
        </w:r>
        <w:r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 xml:space="preserve"> </w:t>
        </w:r>
        <w:r>
          <w:rPr>
            <w:rStyle w:val="Hypertextovodkaz"/>
          </w:rPr>
          <w:t xml:space="preserve"> </w:t>
        </w:r>
        <w:r w:rsidRPr="0019339F"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 xml:space="preserve">8) </w:t>
        </w:r>
      </w:hyperlink>
    </w:p>
    <w:p w:rsidR="0019339F" w:rsidRDefault="0019339F" w:rsidP="0019339F">
      <w:pPr>
        <w:spacing w:after="0" w:line="230" w:lineRule="atLeast"/>
        <w:ind w:left="2597" w:hanging="360"/>
      </w:pPr>
      <w:r>
        <w:rPr>
          <w:rFonts w:ascii="Symbol" w:hAnsi="Symbol"/>
          <w:color w:val="000000"/>
          <w:sz w:val="20"/>
          <w:szCs w:val="20"/>
        </w:rPr>
        <w:t></w:t>
      </w:r>
      <w:r>
        <w:rPr>
          <w:rFonts w:ascii="Times New Roman" w:hAnsi="Times New Roman"/>
          <w:color w:val="000000"/>
          <w:sz w:val="14"/>
          <w:szCs w:val="14"/>
        </w:rPr>
        <w:t xml:space="preserve">         </w:t>
      </w:r>
      <w:hyperlink r:id="rId15" w:tgtFrame="_top" w:history="1">
        <w:r w:rsidRPr="0019339F"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>Angličtina</w:t>
        </w:r>
        <w:r>
          <w:rPr>
            <w:rStyle w:val="Hypertextovodkaz"/>
          </w:rPr>
          <w:t xml:space="preserve"> </w:t>
        </w:r>
      </w:hyperlink>
      <w:r>
        <w:rPr>
          <w:rFonts w:ascii="Verdana" w:hAnsi="Verdana"/>
          <w:color w:val="000000"/>
          <w:sz w:val="19"/>
          <w:szCs w:val="19"/>
          <w:bdr w:val="none" w:sz="0" w:space="0" w:color="auto" w:frame="1"/>
        </w:rPr>
        <w:t xml:space="preserve"> (</w:t>
      </w:r>
      <w:r w:rsidRPr="0019339F">
        <w:rPr>
          <w:rFonts w:ascii="Verdana" w:hAnsi="Verdana"/>
          <w:color w:val="000000"/>
          <w:sz w:val="19"/>
          <w:szCs w:val="19"/>
          <w:bdr w:val="none" w:sz="0" w:space="0" w:color="auto" w:frame="1"/>
        </w:rPr>
        <w:t xml:space="preserve">Přístupová klávesa </w:t>
      </w:r>
      <w:r>
        <w:rPr>
          <w:rFonts w:ascii="Verdana" w:hAnsi="Verdana"/>
          <w:color w:val="000000"/>
          <w:sz w:val="19"/>
          <w:szCs w:val="19"/>
          <w:bdr w:val="none" w:sz="0" w:space="0" w:color="auto" w:frame="1"/>
        </w:rPr>
        <w:t>9)</w:t>
      </w:r>
      <w:r>
        <w:rPr>
          <w:rFonts w:ascii="Verdana" w:hAnsi="Verdana"/>
          <w:color w:val="000000"/>
          <w:sz w:val="19"/>
          <w:szCs w:val="19"/>
        </w:rPr>
        <w:t xml:space="preserve"> </w:t>
      </w:r>
    </w:p>
    <w:p w:rsidR="0019339F" w:rsidRDefault="0019339F" w:rsidP="0019339F">
      <w:pPr>
        <w:spacing w:after="0" w:line="240" w:lineRule="auto"/>
        <w:jc w:val="center"/>
      </w:pPr>
      <w:r>
        <w:rPr>
          <w:rFonts w:ascii="Verdana" w:hAnsi="Verdana"/>
          <w:color w:val="000000"/>
          <w:sz w:val="24"/>
          <w:szCs w:val="24"/>
        </w:rPr>
        <w:t> </w:t>
      </w:r>
    </w:p>
    <w:p w:rsidR="0019339F" w:rsidRDefault="0019339F" w:rsidP="0019339F">
      <w:pPr>
        <w:spacing w:after="0" w:line="240" w:lineRule="auto"/>
        <w:jc w:val="center"/>
      </w:pPr>
      <w:r>
        <w:rPr>
          <w:rFonts w:ascii="Verdana" w:hAnsi="Verdana"/>
          <w:color w:val="000000"/>
          <w:sz w:val="24"/>
          <w:szCs w:val="24"/>
          <w:bdr w:val="none" w:sz="0" w:space="0" w:color="auto" w:frame="1"/>
        </w:rPr>
        <w:t>Navigační panel:</w:t>
      </w:r>
      <w:r>
        <w:rPr>
          <w:rFonts w:ascii="Verdana" w:hAnsi="Verdana"/>
          <w:color w:val="000000"/>
          <w:sz w:val="24"/>
          <w:szCs w:val="24"/>
        </w:rPr>
        <w:t xml:space="preserve"> </w:t>
      </w:r>
    </w:p>
    <w:p w:rsidR="0019339F" w:rsidRDefault="0019339F" w:rsidP="0019339F">
      <w:pPr>
        <w:spacing w:after="0" w:line="240" w:lineRule="auto"/>
        <w:ind w:left="2597" w:hanging="360"/>
        <w:jc w:val="center"/>
      </w:pPr>
    </w:p>
    <w:p w:rsidR="0019339F" w:rsidRPr="0019339F" w:rsidRDefault="0019339F" w:rsidP="0019339F">
      <w:pPr>
        <w:spacing w:after="0" w:line="240" w:lineRule="auto"/>
        <w:ind w:left="2597" w:hanging="360"/>
        <w:jc w:val="center"/>
        <w:rPr>
          <w:b/>
        </w:rPr>
      </w:pPr>
      <w:r>
        <w:rPr>
          <w:rFonts w:ascii="Symbol" w:hAnsi="Symbol"/>
          <w:color w:val="000000"/>
          <w:sz w:val="20"/>
          <w:szCs w:val="20"/>
        </w:rPr>
        <w:t></w:t>
      </w:r>
      <w:r>
        <w:rPr>
          <w:rFonts w:ascii="Times New Roman" w:hAnsi="Times New Roman"/>
          <w:color w:val="000000"/>
          <w:sz w:val="14"/>
          <w:szCs w:val="14"/>
        </w:rPr>
        <w:t xml:space="preserve">         </w:t>
      </w:r>
      <w:r w:rsidRPr="0019339F">
        <w:rPr>
          <w:rFonts w:ascii="Verdana" w:hAnsi="Verdana"/>
          <w:b/>
          <w:bCs/>
          <w:sz w:val="19"/>
          <w:szCs w:val="19"/>
          <w:bdr w:val="none" w:sz="0" w:space="0" w:color="auto" w:frame="1"/>
        </w:rPr>
        <w:t>Federální právo</w:t>
      </w:r>
    </w:p>
    <w:p w:rsidR="0019339F" w:rsidRPr="0019339F" w:rsidRDefault="0019339F" w:rsidP="0019339F">
      <w:pPr>
        <w:spacing w:after="0" w:line="240" w:lineRule="auto"/>
        <w:ind w:left="2597" w:hanging="360"/>
        <w:jc w:val="center"/>
        <w:rPr>
          <w:b/>
        </w:rPr>
      </w:pPr>
      <w:r w:rsidRPr="0019339F">
        <w:rPr>
          <w:rFonts w:ascii="Symbol" w:hAnsi="Symbol"/>
          <w:b/>
          <w:color w:val="000000"/>
          <w:sz w:val="20"/>
          <w:szCs w:val="20"/>
        </w:rPr>
        <w:t></w:t>
      </w:r>
      <w:r w:rsidRPr="0019339F">
        <w:rPr>
          <w:rFonts w:ascii="Times New Roman" w:hAnsi="Times New Roman"/>
          <w:b/>
          <w:color w:val="000000"/>
          <w:sz w:val="14"/>
          <w:szCs w:val="14"/>
        </w:rPr>
        <w:t xml:space="preserve">         </w:t>
      </w:r>
      <w:r w:rsidRPr="0019339F">
        <w:rPr>
          <w:rFonts w:ascii="Verdana" w:hAnsi="Verdana"/>
          <w:b/>
          <w:bCs/>
          <w:sz w:val="19"/>
          <w:szCs w:val="19"/>
          <w:bdr w:val="none" w:sz="0" w:space="0" w:color="auto" w:frame="1"/>
        </w:rPr>
        <w:t>Zemské právo</w:t>
      </w:r>
    </w:p>
    <w:p w:rsidR="0019339F" w:rsidRPr="0019339F" w:rsidRDefault="0019339F" w:rsidP="0019339F">
      <w:pPr>
        <w:spacing w:after="0" w:line="240" w:lineRule="auto"/>
        <w:ind w:left="2597" w:hanging="360"/>
        <w:jc w:val="center"/>
        <w:rPr>
          <w:b/>
        </w:rPr>
      </w:pPr>
      <w:r w:rsidRPr="0019339F">
        <w:rPr>
          <w:rFonts w:ascii="Symbol" w:hAnsi="Symbol"/>
          <w:b/>
          <w:color w:val="000000"/>
          <w:sz w:val="20"/>
          <w:szCs w:val="20"/>
        </w:rPr>
        <w:t></w:t>
      </w:r>
      <w:r w:rsidRPr="0019339F">
        <w:rPr>
          <w:rFonts w:ascii="Times New Roman" w:hAnsi="Times New Roman"/>
          <w:b/>
          <w:color w:val="000000"/>
          <w:sz w:val="14"/>
          <w:szCs w:val="14"/>
        </w:rPr>
        <w:t xml:space="preserve">         </w:t>
      </w:r>
      <w:hyperlink r:id="rId16" w:tgtFrame="_top" w:history="1">
        <w:r w:rsidRPr="0019339F">
          <w:rPr>
            <w:rStyle w:val="Hypertextovodkaz"/>
            <w:rFonts w:ascii="Verdana" w:hAnsi="Verdana"/>
            <w:b/>
            <w:bCs/>
            <w:color w:val="000000"/>
            <w:sz w:val="19"/>
            <w:szCs w:val="19"/>
            <w:u w:val="none"/>
            <w:bdr w:val="none" w:sz="0" w:space="0" w:color="auto" w:frame="1"/>
          </w:rPr>
          <w:t>Právní služby obcím</w:t>
        </w:r>
      </w:hyperlink>
    </w:p>
    <w:p w:rsidR="0019339F" w:rsidRPr="0019339F" w:rsidRDefault="0019339F" w:rsidP="0019339F">
      <w:pPr>
        <w:spacing w:after="0" w:line="240" w:lineRule="auto"/>
        <w:ind w:left="2597" w:hanging="360"/>
        <w:jc w:val="center"/>
        <w:rPr>
          <w:b/>
        </w:rPr>
      </w:pPr>
      <w:r w:rsidRPr="0019339F">
        <w:rPr>
          <w:rFonts w:ascii="Symbol" w:hAnsi="Symbol"/>
          <w:b/>
          <w:color w:val="000000"/>
          <w:sz w:val="20"/>
          <w:szCs w:val="20"/>
        </w:rPr>
        <w:t></w:t>
      </w:r>
      <w:r w:rsidRPr="0019339F">
        <w:rPr>
          <w:rFonts w:ascii="Times New Roman" w:hAnsi="Times New Roman"/>
          <w:b/>
          <w:color w:val="000000"/>
          <w:sz w:val="14"/>
          <w:szCs w:val="14"/>
        </w:rPr>
        <w:t xml:space="preserve">         </w:t>
      </w:r>
      <w:r w:rsidRPr="0019339F">
        <w:rPr>
          <w:rFonts w:ascii="Verdana" w:hAnsi="Verdana"/>
          <w:b/>
          <w:bCs/>
          <w:sz w:val="19"/>
          <w:szCs w:val="19"/>
          <w:bdr w:val="none" w:sz="0" w:space="0" w:color="auto" w:frame="1"/>
        </w:rPr>
        <w:t>Legislativa</w:t>
      </w:r>
    </w:p>
    <w:p w:rsidR="0019339F" w:rsidRPr="0019339F" w:rsidRDefault="0019339F" w:rsidP="0019339F">
      <w:pPr>
        <w:spacing w:after="0" w:line="240" w:lineRule="auto"/>
        <w:ind w:left="2597" w:hanging="360"/>
        <w:jc w:val="center"/>
        <w:rPr>
          <w:b/>
        </w:rPr>
      </w:pPr>
      <w:r w:rsidRPr="0019339F">
        <w:rPr>
          <w:rFonts w:ascii="Symbol" w:hAnsi="Symbol"/>
          <w:b/>
          <w:color w:val="000000"/>
          <w:sz w:val="20"/>
          <w:szCs w:val="20"/>
        </w:rPr>
        <w:t></w:t>
      </w:r>
      <w:r w:rsidRPr="0019339F">
        <w:rPr>
          <w:rFonts w:ascii="Times New Roman" w:hAnsi="Times New Roman"/>
          <w:b/>
          <w:color w:val="000000"/>
          <w:sz w:val="14"/>
          <w:szCs w:val="14"/>
        </w:rPr>
        <w:t xml:space="preserve">         </w:t>
      </w:r>
      <w:hyperlink r:id="rId17" w:tgtFrame="_top" w:history="1">
        <w:r w:rsidRPr="0019339F">
          <w:rPr>
            <w:rStyle w:val="Hypertextovodkaz"/>
            <w:rFonts w:ascii="Verdana" w:hAnsi="Verdana"/>
            <w:b/>
            <w:bCs/>
            <w:color w:val="000000"/>
            <w:sz w:val="19"/>
            <w:szCs w:val="19"/>
            <w:u w:val="none"/>
            <w:bdr w:val="none" w:sz="0" w:space="0" w:color="auto" w:frame="1"/>
          </w:rPr>
          <w:t xml:space="preserve">Ostatní </w:t>
        </w:r>
      </w:hyperlink>
    </w:p>
    <w:p w:rsidR="0019339F" w:rsidRPr="0019339F" w:rsidRDefault="0019339F" w:rsidP="0019339F">
      <w:pPr>
        <w:spacing w:after="0" w:line="240" w:lineRule="auto"/>
        <w:ind w:left="2597" w:hanging="360"/>
        <w:jc w:val="center"/>
        <w:rPr>
          <w:b/>
        </w:rPr>
      </w:pPr>
      <w:r w:rsidRPr="0019339F">
        <w:rPr>
          <w:rFonts w:ascii="Symbol" w:hAnsi="Symbol"/>
          <w:b/>
          <w:color w:val="000000"/>
          <w:sz w:val="20"/>
          <w:szCs w:val="20"/>
        </w:rPr>
        <w:t></w:t>
      </w:r>
      <w:r w:rsidRPr="0019339F">
        <w:rPr>
          <w:rFonts w:ascii="Times New Roman" w:hAnsi="Times New Roman"/>
          <w:b/>
          <w:color w:val="000000"/>
          <w:sz w:val="14"/>
          <w:szCs w:val="14"/>
        </w:rPr>
        <w:t xml:space="preserve">         </w:t>
      </w:r>
      <w:hyperlink r:id="rId18" w:tgtFrame="_top" w:history="1">
        <w:r w:rsidRPr="0019339F">
          <w:rPr>
            <w:rStyle w:val="Hypertextovodkaz"/>
            <w:rFonts w:ascii="Verdana" w:hAnsi="Verdana"/>
            <w:b/>
            <w:bCs/>
            <w:color w:val="000000"/>
            <w:sz w:val="19"/>
            <w:szCs w:val="19"/>
            <w:u w:val="none"/>
            <w:bdr w:val="none" w:sz="0" w:space="0" w:color="auto" w:frame="1"/>
          </w:rPr>
          <w:t>Souhrnné dotaz</w:t>
        </w:r>
      </w:hyperlink>
      <w:r w:rsidRPr="0019339F">
        <w:rPr>
          <w:b/>
        </w:rPr>
        <w:t>y</w:t>
      </w:r>
    </w:p>
    <w:p w:rsidR="0019339F" w:rsidRDefault="0019339F" w:rsidP="0019339F">
      <w:pPr>
        <w:spacing w:after="0" w:line="240" w:lineRule="auto"/>
        <w:ind w:right="2818"/>
      </w:pPr>
      <w:r>
        <w:rPr>
          <w:rFonts w:ascii="Verdana" w:hAnsi="Verdana"/>
          <w:b/>
          <w:bCs/>
          <w:color w:val="305886"/>
        </w:rPr>
        <w:t xml:space="preserve">Konsolidovaný federální zákon </w:t>
      </w:r>
    </w:p>
    <w:p w:rsidR="0019339F" w:rsidRPr="00E2163D" w:rsidRDefault="008576F8" w:rsidP="0019339F">
      <w:pPr>
        <w:spacing w:after="0" w:line="240" w:lineRule="auto"/>
      </w:pPr>
      <w:hyperlink r:id="rId19" w:tgtFrame="_top" w:history="1">
        <w:r w:rsidR="0019339F" w:rsidRPr="00E2163D">
          <w:rPr>
            <w:rStyle w:val="Hypertextovodkaz"/>
            <w:rFonts w:ascii="Verdana" w:hAnsi="Verdana"/>
            <w:color w:val="305886"/>
            <w:sz w:val="19"/>
            <w:szCs w:val="19"/>
            <w:bdr w:val="none" w:sz="0" w:space="0" w:color="auto" w:frame="1"/>
          </w:rPr>
          <w:t>Zobrazení při tisku (přístupová klávesa</w:t>
        </w:r>
        <w:r w:rsidR="0019339F" w:rsidRPr="00E2163D">
          <w:rPr>
            <w:rStyle w:val="Hypertextovodkaz"/>
          </w:rPr>
          <w:t xml:space="preserve"> </w:t>
        </w:r>
        <w:r w:rsidR="0019339F" w:rsidRPr="00E2163D">
          <w:rPr>
            <w:rStyle w:val="Hypertextovodkaz"/>
            <w:rFonts w:ascii="Verdana" w:hAnsi="Verdana"/>
            <w:color w:val="305886"/>
            <w:sz w:val="19"/>
            <w:szCs w:val="19"/>
            <w:bdr w:val="none" w:sz="0" w:space="0" w:color="auto" w:frame="1"/>
          </w:rPr>
          <w:t>D)</w:t>
        </w:r>
      </w:hyperlink>
      <w:r w:rsidR="0019339F" w:rsidRPr="00E2163D">
        <w:rPr>
          <w:rFonts w:ascii="Verdana" w:hAnsi="Verdana"/>
          <w:color w:val="000000"/>
          <w:sz w:val="19"/>
          <w:szCs w:val="19"/>
          <w:bdr w:val="none" w:sz="0" w:space="0" w:color="auto" w:frame="1"/>
        </w:rPr>
        <w:t xml:space="preserve">. </w:t>
      </w:r>
    </w:p>
    <w:p w:rsidR="0019339F" w:rsidRPr="00E2163D" w:rsidRDefault="0019339F" w:rsidP="0019339F">
      <w:pPr>
        <w:shd w:val="clear" w:color="auto" w:fill="F9F9F9"/>
        <w:spacing w:before="260" w:after="0" w:line="240" w:lineRule="auto"/>
      </w:pPr>
      <w:r w:rsidRPr="00E2163D">
        <w:rPr>
          <w:rFonts w:ascii="Verdana" w:hAnsi="Verdana"/>
          <w:b/>
          <w:bCs/>
          <w:color w:val="305886"/>
          <w:sz w:val="17"/>
          <w:szCs w:val="17"/>
        </w:rPr>
        <w:t xml:space="preserve">Zákon o daňi z příjmů 988 sekce 108 c. </w:t>
      </w:r>
    </w:p>
    <w:p w:rsidR="0019339F" w:rsidRPr="00E2163D" w:rsidRDefault="0019339F" w:rsidP="0019339F">
      <w:pPr>
        <w:shd w:val="clear" w:color="auto" w:fill="F9F9F9"/>
        <w:spacing w:after="0" w:line="240" w:lineRule="auto"/>
        <w:ind w:left="2597" w:hanging="360"/>
      </w:pPr>
      <w:r w:rsidRPr="00E2163D">
        <w:rPr>
          <w:rFonts w:ascii="Symbol" w:hAnsi="Symbol"/>
          <w:color w:val="000000"/>
          <w:sz w:val="20"/>
          <w:szCs w:val="20"/>
        </w:rPr>
        <w:t></w:t>
      </w:r>
      <w:r w:rsidRPr="00E2163D">
        <w:rPr>
          <w:rFonts w:ascii="Times New Roman" w:hAnsi="Times New Roman"/>
          <w:color w:val="000000"/>
          <w:sz w:val="14"/>
          <w:szCs w:val="14"/>
        </w:rPr>
        <w:t xml:space="preserve">         </w:t>
      </w:r>
      <w:r w:rsidRPr="00E2163D">
        <w:rPr>
          <w:rFonts w:ascii="Verdana" w:hAnsi="Verdana"/>
          <w:color w:val="000000"/>
          <w:sz w:val="19"/>
          <w:szCs w:val="19"/>
        </w:rPr>
        <w:t>Všechny právní předpisy</w:t>
      </w:r>
      <w:r w:rsidRPr="00E2163D">
        <w:t xml:space="preserve"> </w:t>
      </w:r>
      <w:hyperlink r:id="rId20" w:tgtFrame="_top" w:tooltip="Gesamte Rechtsvorschrift in der heutigen Fassung anzeigen" w:history="1">
        <w:r w:rsidRPr="00E2163D">
          <w:rPr>
            <w:rStyle w:val="Hypertextovodkaz"/>
            <w:rFonts w:ascii="Verdana" w:hAnsi="Verdana"/>
            <w:color w:val="305886"/>
            <w:sz w:val="19"/>
            <w:szCs w:val="19"/>
            <w:bdr w:val="none" w:sz="0" w:space="0" w:color="auto" w:frame="1"/>
          </w:rPr>
          <w:t>dnes</w:t>
        </w:r>
        <w:r w:rsidRPr="00E2163D">
          <w:rPr>
            <w:rStyle w:val="Hypertextovodkaz"/>
          </w:rPr>
          <w:t xml:space="preserve"> </w:t>
        </w:r>
      </w:hyperlink>
      <w:r w:rsidRPr="00E2163D">
        <w:rPr>
          <w:rFonts w:ascii="Verdana" w:hAnsi="Verdana"/>
          <w:color w:val="000000"/>
          <w:sz w:val="19"/>
          <w:szCs w:val="19"/>
        </w:rPr>
        <w:t xml:space="preserve">/ </w:t>
      </w:r>
      <w:hyperlink r:id="rId21" w:tgtFrame="_top" w:tooltip="Gesamte Rechtsvorschrift in der Fassung vom 25.04.2017 anzeigen" w:history="1">
        <w:r w:rsidRPr="00E2163D">
          <w:rPr>
            <w:rStyle w:val="Hypertextovodkaz"/>
            <w:rFonts w:ascii="Verdana" w:hAnsi="Verdana"/>
            <w:color w:val="305886"/>
            <w:sz w:val="19"/>
            <w:szCs w:val="19"/>
            <w:bdr w:val="none" w:sz="0" w:space="0" w:color="auto" w:frame="1"/>
          </w:rPr>
          <w:t>znění 25.04.2017</w:t>
        </w:r>
        <w:r w:rsidRPr="00E2163D">
          <w:rPr>
            <w:rStyle w:val="Hypertextovodkaz"/>
          </w:rPr>
          <w:t xml:space="preserve"> </w:t>
        </w:r>
      </w:hyperlink>
    </w:p>
    <w:p w:rsidR="0019339F" w:rsidRPr="00E2163D" w:rsidRDefault="0019339F" w:rsidP="0019339F">
      <w:pPr>
        <w:shd w:val="clear" w:color="auto" w:fill="F9F9F9"/>
        <w:spacing w:after="0" w:line="240" w:lineRule="auto"/>
        <w:ind w:left="2597" w:right="2981" w:hanging="360"/>
      </w:pPr>
      <w:r w:rsidRPr="00E2163D">
        <w:rPr>
          <w:rFonts w:ascii="Symbol" w:hAnsi="Symbol"/>
          <w:color w:val="000000"/>
          <w:sz w:val="20"/>
          <w:szCs w:val="20"/>
        </w:rPr>
        <w:t></w:t>
      </w:r>
      <w:r w:rsidRPr="00E2163D">
        <w:rPr>
          <w:rFonts w:ascii="Times New Roman" w:hAnsi="Times New Roman"/>
          <w:color w:val="000000"/>
          <w:sz w:val="14"/>
          <w:szCs w:val="14"/>
        </w:rPr>
        <w:t xml:space="preserve">         </w:t>
      </w:r>
      <w:hyperlink r:id="rId22" w:tgtFrame="_top" w:tooltip="§ 108b in der Fassung vom 25.04.2017 anzeigen" w:history="1">
        <w:r w:rsidRPr="00E2163D">
          <w:rPr>
            <w:rStyle w:val="Hypertextovodkaz"/>
            <w:rFonts w:ascii="Verdana" w:hAnsi="Verdana"/>
            <w:color w:val="305886"/>
            <w:sz w:val="19"/>
            <w:szCs w:val="19"/>
            <w:bdr w:val="none" w:sz="0" w:space="0" w:color="auto" w:frame="1"/>
          </w:rPr>
          <w:t>§ 108b z 25.04.2017</w:t>
        </w:r>
      </w:hyperlink>
      <w:r w:rsidRPr="00E2163D">
        <w:rPr>
          <w:rFonts w:ascii="Verdana" w:hAnsi="Verdana"/>
          <w:color w:val="000000"/>
          <w:sz w:val="19"/>
          <w:szCs w:val="19"/>
        </w:rPr>
        <w:t xml:space="preserve"> </w:t>
      </w:r>
    </w:p>
    <w:p w:rsidR="0019339F" w:rsidRPr="00E2163D" w:rsidRDefault="0019339F" w:rsidP="0019339F">
      <w:pPr>
        <w:shd w:val="clear" w:color="auto" w:fill="F9F9F9"/>
        <w:spacing w:after="0" w:line="240" w:lineRule="auto"/>
        <w:ind w:left="2597" w:right="2981" w:hanging="360"/>
      </w:pPr>
      <w:r w:rsidRPr="00E2163D">
        <w:rPr>
          <w:rFonts w:ascii="Symbol" w:hAnsi="Symbol"/>
          <w:color w:val="000000"/>
          <w:sz w:val="20"/>
          <w:szCs w:val="20"/>
        </w:rPr>
        <w:t></w:t>
      </w:r>
      <w:r w:rsidRPr="00E2163D">
        <w:rPr>
          <w:rFonts w:ascii="Times New Roman" w:hAnsi="Times New Roman"/>
          <w:color w:val="000000"/>
          <w:sz w:val="14"/>
          <w:szCs w:val="14"/>
        </w:rPr>
        <w:t xml:space="preserve">         </w:t>
      </w:r>
      <w:hyperlink r:id="rId23" w:tgtFrame="_top" w:tooltip="§ 108d in der Fassung vom 25.04.2017 anzeigen" w:history="1">
        <w:r w:rsidRPr="00E2163D">
          <w:rPr>
            <w:rStyle w:val="Hypertextovodkaz"/>
            <w:rFonts w:ascii="Verdana" w:hAnsi="Verdana"/>
            <w:color w:val="305886"/>
            <w:sz w:val="19"/>
            <w:szCs w:val="19"/>
            <w:bdr w:val="none" w:sz="0" w:space="0" w:color="auto" w:frame="1"/>
          </w:rPr>
          <w:t>§ 108d z 25.04.2017</w:t>
        </w:r>
      </w:hyperlink>
      <w:r w:rsidRPr="00E2163D">
        <w:rPr>
          <w:rFonts w:ascii="Verdana" w:hAnsi="Verdana"/>
          <w:color w:val="000000"/>
          <w:sz w:val="19"/>
          <w:szCs w:val="19"/>
        </w:rPr>
        <w:t xml:space="preserve"> </w:t>
      </w:r>
    </w:p>
    <w:p w:rsidR="0019339F" w:rsidRPr="00E2163D" w:rsidRDefault="0019339F" w:rsidP="0019339F">
      <w:pPr>
        <w:shd w:val="clear" w:color="auto" w:fill="F9F9F9"/>
        <w:spacing w:after="0" w:line="240" w:lineRule="auto"/>
        <w:ind w:left="2597" w:hanging="360"/>
      </w:pPr>
      <w:r w:rsidRPr="00E2163D">
        <w:rPr>
          <w:rFonts w:ascii="Symbol" w:hAnsi="Symbol"/>
          <w:color w:val="000000"/>
          <w:sz w:val="20"/>
          <w:szCs w:val="20"/>
        </w:rPr>
        <w:t></w:t>
      </w:r>
      <w:r w:rsidRPr="00E2163D">
        <w:rPr>
          <w:rFonts w:ascii="Times New Roman" w:hAnsi="Times New Roman"/>
          <w:color w:val="000000"/>
          <w:sz w:val="14"/>
          <w:szCs w:val="14"/>
        </w:rPr>
        <w:t xml:space="preserve">         </w:t>
      </w:r>
      <w:hyperlink r:id="rId24" w:tgtFrame="_top" w:tooltip="§ 108c  in der heutigen Fassung anzeigen" w:history="1">
        <w:r w:rsidRPr="00E2163D">
          <w:rPr>
            <w:rStyle w:val="Hypertextovodkaz"/>
            <w:rFonts w:ascii="Verdana" w:hAnsi="Verdana"/>
            <w:color w:val="305886"/>
            <w:sz w:val="19"/>
            <w:szCs w:val="19"/>
            <w:bdr w:val="none" w:sz="0" w:space="0" w:color="auto" w:frame="1"/>
          </w:rPr>
          <w:t>Dnes oddíl 108c</w:t>
        </w:r>
      </w:hyperlink>
      <w:r w:rsidRPr="00E2163D">
        <w:rPr>
          <w:rFonts w:ascii="Verdana" w:hAnsi="Verdana"/>
          <w:color w:val="000000"/>
          <w:sz w:val="19"/>
          <w:szCs w:val="19"/>
        </w:rPr>
        <w:t xml:space="preserve"> </w:t>
      </w:r>
    </w:p>
    <w:p w:rsidR="0019339F" w:rsidRPr="00E2163D" w:rsidRDefault="0019339F" w:rsidP="0019339F">
      <w:pPr>
        <w:shd w:val="clear" w:color="auto" w:fill="F9F9F9"/>
        <w:spacing w:after="192" w:line="240" w:lineRule="auto"/>
      </w:pPr>
      <w:r w:rsidRPr="00E2163D">
        <w:rPr>
          <w:rFonts w:ascii="Verdana" w:hAnsi="Verdana"/>
          <w:b/>
          <w:bCs/>
          <w:color w:val="BC101D"/>
          <w:sz w:val="19"/>
          <w:szCs w:val="19"/>
        </w:rPr>
        <w:t>Tato verze není aktuální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color w:val="000000"/>
          <w:sz w:val="19"/>
          <w:szCs w:val="19"/>
        </w:rPr>
        <w:t xml:space="preserve">Průvodní dokumenty 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t xml:space="preserve">Hlavní dokument </w:t>
      </w:r>
    </w:p>
    <w:p w:rsidR="0019339F" w:rsidRPr="00E2163D" w:rsidRDefault="0019339F" w:rsidP="0019339F">
      <w:pPr>
        <w:shd w:val="clear" w:color="auto" w:fill="F9F9F9"/>
        <w:spacing w:after="0" w:line="240" w:lineRule="auto"/>
        <w:ind w:left="3701"/>
      </w:pPr>
      <w:r w:rsidRPr="00E2163D">
        <w:rPr>
          <w:rFonts w:ascii="Verdana" w:hAnsi="Verdana"/>
          <w:noProof/>
          <w:color w:val="305886"/>
          <w:sz w:val="19"/>
          <w:szCs w:val="19"/>
          <w:lang w:eastAsia="cs-CZ"/>
        </w:rPr>
        <mc:AlternateContent>
          <mc:Choice Requires="wps">
            <w:drawing>
              <wp:inline distT="0" distB="0" distL="0" distR="0" wp14:anchorId="3DAF5B41" wp14:editId="0B4C9C1E">
                <wp:extent cx="152400" cy="152400"/>
                <wp:effectExtent l="0" t="0" r="0" b="0"/>
                <wp:docPr id="6" name="Rectangle 6" descr="Web-Sei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" o:spid="_x0000_s1026" alt="Web-Seite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4G6vQIAAMkFAAAOAAAAZHJzL2Uyb0RvYy54bWysVE2P0zAQvSPxHyzfs0lK+pFo09Vu0yCk&#10;BVYsiLNrO41FYgfbbVoQ/52x03bb3QsCcojsGfvNzJvnub7ZtQ3acm2EkjmOryKMuKSKCbnO8ZfP&#10;ZTDDyFgiGWmU5Dnec4Nv5q9fXfddxkeqVg3jGgGINFnf5bi2tsvC0NCat8RcqY5LcFZKt8TCVq9D&#10;pkkP6G0TjqJoEvZKs04ryo0BazE48dzjVxWn9mNVGW5Rk2PIzfq/9v+V+4fza5KtNelqQQ9pkL/I&#10;oiVCQtATVEEsQRstXkC1gmplVGWvqGpDVVWCcl8DVBNHz6p5rEnHfS1AjulONJn/B0s/bB80EizH&#10;E4wkaaFFn4A0ItcNR2Bi3FCg6ytfBY9cWO4I6zuTwb3H7kG7kk13r+g3g6Ra1HCP35oOEEAMAHg0&#10;aa36mhMGmccOIrzAcBsDaGjVv1cMUiAbqzydu0q3LgYQhXa+a/tT1/jOIgrGeDxKIugtBddh7SKQ&#10;7Hi508a+5apFbpFjDdl5cLK9N3Y4ejziYklViqYBO8kaeWEAzMECoeGq87kkfJ9/plG6nC1nSZCM&#10;JssgiYoiuC0XSTAp4+m4eFMsFkX8y8WNk6wWjHHpwhw1Fyd/1tOD+ge1nFRnVCOYg3MpGb1eLRqN&#10;tgQ0X/rPUw6ep2PhZRqeL6jlWUkxMHs3SoNyMpsGSZmMg3QazYIoTu/SSZSkSVFelnQvJP/3klCf&#10;43Q8GvsunSX9rLbIfy9rI1kLStWoEW2OZ6dDJHMKXErmW2uJaIb1GRUu/ScqoN3HRnu9OokO6l8p&#10;tge5agVyAuXB/INFrfQPjHqYJTk23zdEc4yadxIkn8ZJ4oaP3yTj6Qg2+tyzOvcQSQEqxxajYbmw&#10;w8DadFqsa4gUe2KkuoVnUgkvYfeEhqwOjwvmha/kMNvcQDrf+1NPE3j+GwAA//8DAFBLAwQUAAYA&#10;CAAAACEAZFT7k9gAAAADAQAADwAAAGRycy9kb3ducmV2LnhtbEyPQUvDQBCF74L/YRnBi9iNRUTS&#10;bIoUxCJCMdWep9lpEszOptltEv+9ox70MsPjDW++ly0n16qB+tB4NnAzS0ARl942XBl42z5e34MK&#10;Edli65kMfFKAZX5+lmFq/civNBSxUhLCIUUDdYxdqnUoa3IYZr4jFu/ge4dRZF9p2+Mo4a7V8yS5&#10;0w4blg81drSqqfwoTs7AWG6G3fblSW+udmvPx/VxVbw/G3N5MT0sQEWa4t8xfOMLOuTCtPcntkG1&#10;BqRI/JnizW9F7X+3zjP9nz3/AgAA//8DAFBLAQItABQABgAIAAAAIQC2gziS/gAAAOEBAAATAAAA&#10;AAAAAAAAAAAAAAAAAABbQ29udGVudF9UeXBlc10ueG1sUEsBAi0AFAAGAAgAAAAhADj9If/WAAAA&#10;lAEAAAsAAAAAAAAAAAAAAAAALwEAAF9yZWxzLy5yZWxzUEsBAi0AFAAGAAgAAAAhALvbgbq9AgAA&#10;yQUAAA4AAAAAAAAAAAAAAAAALgIAAGRycy9lMm9Eb2MueG1sUEsBAi0AFAAGAAgAAAAhAGRU+5PY&#10;AAAAAwEAAA8AAAAAAAAAAAAAAAAAFwUAAGRycy9kb3ducmV2LnhtbFBLBQYAAAAABAAEAPMAAAAc&#10;BgAAAAA=&#10;" filled="f" stroked="f">
                <o:lock v:ext="edit" aspectratio="t"/>
                <w10:anchorlock/>
              </v:rect>
            </w:pict>
          </mc:Fallback>
        </mc:AlternateContent>
      </w:r>
    </w:p>
    <w:p w:rsidR="0019339F" w:rsidRPr="00E2163D" w:rsidRDefault="0019339F" w:rsidP="0019339F">
      <w:pPr>
        <w:shd w:val="clear" w:color="auto" w:fill="F9F9F9"/>
        <w:spacing w:after="0" w:line="240" w:lineRule="auto"/>
        <w:ind w:left="3701"/>
      </w:pPr>
      <w:r w:rsidRPr="00E2163D">
        <w:rPr>
          <w:rFonts w:ascii="Verdana" w:hAnsi="Verdana"/>
          <w:noProof/>
          <w:color w:val="305886"/>
          <w:sz w:val="19"/>
          <w:szCs w:val="19"/>
          <w:lang w:eastAsia="cs-CZ"/>
        </w:rPr>
        <mc:AlternateContent>
          <mc:Choice Requires="wps">
            <w:drawing>
              <wp:inline distT="0" distB="0" distL="0" distR="0" wp14:anchorId="150DD3AA" wp14:editId="4E7DCD0A">
                <wp:extent cx="152400" cy="152400"/>
                <wp:effectExtent l="0" t="0" r="0" b="0"/>
                <wp:docPr id="5" name="Rectangle 5" descr="PDF-Doku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" o:spid="_x0000_s1026" alt="PDF-Dokument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tiowAIAAMwFAAAOAAAAZHJzL2Uyb0RvYy54bWysVG1v0zAQ/o7Ef7D8PcsLSdtES6etaRDS&#10;gInBD3ATp7Hm2MF2mw7Ef+fstF3bfUFAPkT2nf3c3XOP7/pm13G0pUozKXIcXgUYUVHJmol1jr99&#10;Lb0ZRtoQURMuBc3xM9X4Zv72zfXQZzSSreQ1VQhAhM6GPsetMX3m+7pqaUf0leypAGcjVUcMbNXa&#10;rxUZAL3jfhQEE3+Qqu6VrKjWYC1GJ547/KahlfncNJoaxHMMuRn3V+6/sn9/fk2ytSJ9y6p9GuQv&#10;sugIExD0CFUQQ9BGsVdQHauU1LIxV5XsfNk0rKKuBqgmDC6qeWxJT10tQI7ujzTp/wdbfdo+KMTq&#10;HCcYCdJBi74AaUSsOUVgqqmugK6HovQK+bTpqDCWs6HXGVx97B+UrVr397J60kjIRQtX6a3uAQT0&#10;AJgHk1JyaCmpIfnQQvhnGHajAQ2tho+yhizIxkjH6K5RnY0BXKGda9zzsXF0Z1AFxjCJ4gDaW4Fr&#10;v7YRSHa43Ctt3lPZIbvIsYLsHDjZ3mszHj0csbGELBnnYCcZF2cGwBwtEBquWp9NwrX6Zxqky9ly&#10;FntxNFl6cVAU3m25iL1JGU6T4l2xWBThLxs3jLOW1TUVNsxBdmH8Z23dP4BRMEfhaclZbeFsSlqt&#10;Vwuu0JaA7Ev3OcrB83LMP0/D8QW1XJQUArN3UeqVk9nUi8s48dJpMPOCML1LJ0GcxkV5XtI9E/Tf&#10;S0JDjtMkSlyXTpK+qC1w3+vaSNYxA4OFsy7Hs+MhklkFLkXtWmsI4+P6hAqb/gsV0O5Do51erURH&#10;9a9k/QxyVRLkBMqDEQiLVqofGA0wTnKsv2+IohjxDwIkn4ZxbOeP28TJNIKNOvWsTj1EVACVY4PR&#10;uFyYcWZtesXWLUQKHTFC3sIzaZiTsH1CY1b7xwUjw1WyH292Jp3u3amXITz/DQAA//8DAFBLAwQU&#10;AAYACAAAACEAZFT7k9gAAAADAQAADwAAAGRycy9kb3ducmV2LnhtbEyPQUvDQBCF74L/YRnBi9iN&#10;RUTSbIoUxCJCMdWep9lpEszOptltEv+9ox70MsPjDW++ly0n16qB+tB4NnAzS0ARl942XBl42z5e&#10;34MKEdli65kMfFKAZX5+lmFq/civNBSxUhLCIUUDdYxdqnUoa3IYZr4jFu/ge4dRZF9p2+Mo4a7V&#10;8yS50w4blg81drSqqfwoTs7AWG6G3fblSW+udmvPx/VxVbw/G3N5MT0sQEWa4t8xfOMLOuTCtPcn&#10;tkG1BqRI/JnizW9F7X+3zjP9nz3/AgAA//8DAFBLAQItABQABgAIAAAAIQC2gziS/gAAAOEBAAAT&#10;AAAAAAAAAAAAAAAAAAAAAABbQ29udGVudF9UeXBlc10ueG1sUEsBAi0AFAAGAAgAAAAhADj9If/W&#10;AAAAlAEAAAsAAAAAAAAAAAAAAAAALwEAAF9yZWxzLy5yZWxzUEsBAi0AFAAGAAgAAAAhAP/a2KjA&#10;AgAAzAUAAA4AAAAAAAAAAAAAAAAALgIAAGRycy9lMm9Eb2MueG1sUEsBAi0AFAAGAAgAAAAhAGRU&#10;+5PYAAAAAwEAAA8AAAAAAAAAAAAAAAAAGgUAAGRycy9kb3ducmV2LnhtbFBLBQYAAAAABAAEAPMA&#10;AAAfBgAAAAA=&#10;" filled="f" stroked="f">
                <o:lock v:ext="edit" aspectratio="t"/>
                <w10:anchorlock/>
              </v:rect>
            </w:pict>
          </mc:Fallback>
        </mc:AlternateContent>
      </w:r>
    </w:p>
    <w:p w:rsidR="0019339F" w:rsidRPr="00E2163D" w:rsidRDefault="0019339F" w:rsidP="0019339F">
      <w:pPr>
        <w:shd w:val="clear" w:color="auto" w:fill="F9F9F9"/>
        <w:spacing w:line="240" w:lineRule="auto"/>
        <w:ind w:left="3701"/>
      </w:pPr>
      <w:r w:rsidRPr="00E2163D">
        <w:rPr>
          <w:rFonts w:ascii="Verdana" w:hAnsi="Verdana"/>
          <w:noProof/>
          <w:color w:val="305886"/>
          <w:sz w:val="19"/>
          <w:szCs w:val="19"/>
          <w:lang w:eastAsia="cs-CZ"/>
        </w:rPr>
        <mc:AlternateContent>
          <mc:Choice Requires="wps">
            <w:drawing>
              <wp:inline distT="0" distB="0" distL="0" distR="0" wp14:anchorId="4B2FDFE2" wp14:editId="06ACC67C">
                <wp:extent cx="152400" cy="152400"/>
                <wp:effectExtent l="0" t="0" r="0" b="0"/>
                <wp:docPr id="4" name="Rectangle 4" descr="RTF-Doku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6" alt="RTF-Dokument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t/vwAIAAMwFAAAOAAAAZHJzL2Uyb0RvYy54bWysVNtu2zAMfR+wfxD07trOlIuNOkUbx8OA&#10;biva7QMUWY6F2pInKXHaYf8+Sk7SpH0ZtvnBkEjpkDw84uXVrm3QlmsjlMxwfBFhxCVTpZDrDH//&#10;VgQzjIylsqSNkjzDT9zgq/n7d5d9l/KRqlVTco0ARJq07zJcW9ulYWhYzVtqLlTHJTgrpVtqYavX&#10;YalpD+htE46iaBL2SpedVowbA9Z8cOK5x68qzuzXqjLcoibDkJv1f+3/K/cP55c0XWva1YLt06B/&#10;kUVLhYSgR6icWoo2WryBagXTyqjKXjDVhqqqBOO+Bqgmjl5V81DTjvtagBzTHWky/w+WfdneaSTK&#10;DBOMJG2hRfdAGpXrhiMwldwwoOseOpmrx03LpXWc9Z1J4epDd6dd1aa7VezRIKkWNVzl16YDENAD&#10;YB5MWqu+5rSE5GMHEZ5huI0BNLTqP6sSsqAbqzyju0q3LgZwhXa+cU/HxvGdRQyM8XhEImgvA9d+&#10;7SLQ9HC508Z+5KpFbpFhDdl5cLq9NXY4ejjiYklViKYBO00beWYAzMECoeGq87kkfKt/JlGynC1n&#10;JCCjyTIgUZ4H18WCBJMino7zD/likce/XNyYpLUoSy5dmIPsYvJnbd0/gEEwR+EZ1YjSwbmUjF6v&#10;Fo1GWwqyL/znKQfPy7HwPA3PF9TyqqQYmL0ZJUExmU0DUpBxkEyjWRDFyU0yiUhC8uK8pFsh+b+X&#10;hPoMJ+PR2HfpJOlXtUX+e1sbTVthYbA0os3w7HiIpk6BS1n61loqmmF9QoVL/4UKaPeh0V6vTqKD&#10;+leqfAK5agVyAuXBCIRFrfQzRj2MkwybHxuqOUbNJwmST2JC3PzxGzKejmCjTz2rUw+VDKAybDEa&#10;lgs7zKxNp8W6hkixJ0aqa3gmlfASdk9oyGr/uGBk+Er2483NpNO9P/UyhOe/AQAA//8DAFBLAwQU&#10;AAYACAAAACEAZFT7k9gAAAADAQAADwAAAGRycy9kb3ducmV2LnhtbEyPQUvDQBCF74L/YRnBi9iN&#10;RUTSbIoUxCJCMdWep9lpEszOptltEv+9ox70MsPjDW++ly0n16qB+tB4NnAzS0ARl942XBl42z5e&#10;34MKEdli65kMfFKAZX5+lmFq/civNBSxUhLCIUUDdYxdqnUoa3IYZr4jFu/ge4dRZF9p2+Mo4a7V&#10;8yS50w4blg81drSqqfwoTs7AWG6G3fblSW+udmvPx/VxVbw/G3N5MT0sQEWa4t8xfOMLOuTCtPcn&#10;tkG1BqRI/JnizW9F7X+3zjP9nz3/AgAA//8DAFBLAQItABQABgAIAAAAIQC2gziS/gAAAOEBAAAT&#10;AAAAAAAAAAAAAAAAAAAAAABbQ29udGVudF9UeXBlc10ueG1sUEsBAi0AFAAGAAgAAAAhADj9If/W&#10;AAAAlAEAAAsAAAAAAAAAAAAAAAAALwEAAF9yZWxzLy5yZWxzUEsBAi0AFAAGAAgAAAAhAD0a3+/A&#10;AgAAzAUAAA4AAAAAAAAAAAAAAAAALgIAAGRycy9lMm9Eb2MueG1sUEsBAi0AFAAGAAgAAAAhAGRU&#10;+5PYAAAAAwEAAA8AAAAAAAAAAAAAAAAAGgUAAGRycy9kb3ducmV2LnhtbFBLBQYAAAAABAAEAPMA&#10;AAAfBgAAAAA=&#10;" filled="f" stroked="f">
                <o:lock v:ext="edit" aspectratio="t"/>
                <w10:anchorlock/>
              </v:rect>
            </w:pict>
          </mc:Fallback>
        </mc:AlternateConten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t>Zkrácený název</w:t>
      </w:r>
    </w:p>
    <w:p w:rsidR="0019339F" w:rsidRPr="00E2163D" w:rsidRDefault="004071E4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color w:val="000000"/>
          <w:sz w:val="19"/>
          <w:szCs w:val="19"/>
        </w:rPr>
        <w:t>Zákon o d</w:t>
      </w:r>
      <w:r w:rsidR="0019339F" w:rsidRPr="00E2163D">
        <w:rPr>
          <w:rFonts w:ascii="Verdana" w:hAnsi="Verdana"/>
          <w:color w:val="000000"/>
          <w:sz w:val="19"/>
          <w:szCs w:val="19"/>
        </w:rPr>
        <w:t>aň</w:t>
      </w:r>
      <w:r w:rsidRPr="00E2163D">
        <w:rPr>
          <w:rFonts w:ascii="Verdana" w:hAnsi="Verdana"/>
          <w:color w:val="000000"/>
          <w:sz w:val="19"/>
          <w:szCs w:val="19"/>
        </w:rPr>
        <w:t>i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z příjmů 1988 </w:t>
      </w:r>
    </w:p>
    <w:p w:rsidR="0019339F" w:rsidRPr="00E2163D" w:rsidRDefault="004071E4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t>Zveřejněno</w:t>
      </w:r>
    </w:p>
    <w:p w:rsidR="0019339F" w:rsidRPr="00E2163D" w:rsidRDefault="008576F8" w:rsidP="0019339F">
      <w:pPr>
        <w:shd w:val="clear" w:color="auto" w:fill="F9F9F9"/>
        <w:spacing w:after="0" w:line="240" w:lineRule="auto"/>
      </w:pPr>
      <w:hyperlink r:id="rId25" w:tgtFrame="_top" w:history="1">
        <w:r w:rsidR="0019339F" w:rsidRPr="00E2163D">
          <w:rPr>
            <w:rStyle w:val="Hypertextovodkaz"/>
            <w:rFonts w:ascii="Verdana" w:hAnsi="Verdana"/>
            <w:color w:val="305886"/>
            <w:sz w:val="19"/>
            <w:szCs w:val="19"/>
            <w:bdr w:val="none" w:sz="0" w:space="0" w:color="auto" w:frame="1"/>
          </w:rPr>
          <w:t>BGBl. č. 400/1988</w:t>
        </w:r>
        <w:r w:rsidR="0019339F" w:rsidRPr="00E2163D">
          <w:rPr>
            <w:rStyle w:val="Hypertextovodkaz"/>
          </w:rPr>
          <w:t xml:space="preserve"> </w:t>
        </w:r>
      </w:hyperlink>
      <w:r w:rsidR="0019339F" w:rsidRPr="00E2163D">
        <w:rPr>
          <w:rFonts w:ascii="Verdana" w:hAnsi="Verdana"/>
          <w:color w:val="000000"/>
          <w:sz w:val="19"/>
          <w:szCs w:val="19"/>
        </w:rPr>
        <w:t>Naposledy upravil</w:t>
      </w:r>
      <w:r w:rsidR="0019339F" w:rsidRPr="00E2163D">
        <w:t xml:space="preserve"> </w:t>
      </w:r>
      <w:hyperlink r:id="rId26" w:tgtFrame="_top" w:history="1">
        <w:r w:rsidR="004071E4" w:rsidRPr="00E2163D">
          <w:rPr>
            <w:rStyle w:val="Hypertextovodkaz"/>
            <w:rFonts w:ascii="Verdana" w:hAnsi="Verdana"/>
            <w:color w:val="305886"/>
            <w:sz w:val="19"/>
            <w:szCs w:val="19"/>
            <w:bdr w:val="none" w:sz="0" w:space="0" w:color="auto" w:frame="1"/>
          </w:rPr>
          <w:t>BGBI</w:t>
        </w:r>
        <w:r w:rsidR="0019339F" w:rsidRPr="00E2163D">
          <w:rPr>
            <w:rStyle w:val="Hypertextovodkaz"/>
            <w:rFonts w:ascii="Verdana" w:hAnsi="Verdana"/>
            <w:color w:val="305886"/>
            <w:sz w:val="19"/>
            <w:szCs w:val="19"/>
            <w:bdr w:val="none" w:sz="0" w:space="0" w:color="auto" w:frame="1"/>
          </w:rPr>
          <w:t xml:space="preserve"> I č. 118/2015</w:t>
        </w:r>
        <w:r w:rsidR="0019339F" w:rsidRPr="00E2163D">
          <w:rPr>
            <w:rStyle w:val="Hypertextovodkaz"/>
          </w:rPr>
          <w:t xml:space="preserve"> </w:t>
        </w:r>
      </w:hyperlink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t>Typ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color w:val="000000"/>
          <w:sz w:val="19"/>
          <w:szCs w:val="19"/>
        </w:rPr>
        <w:t xml:space="preserve">BG </w:t>
      </w:r>
    </w:p>
    <w:p w:rsidR="0019339F" w:rsidRPr="00E2163D" w:rsidRDefault="004071E4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t>Paragraf/článek/příloha</w:t>
      </w:r>
    </w:p>
    <w:p w:rsidR="0019339F" w:rsidRPr="00E2163D" w:rsidRDefault="004071E4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color w:val="000000"/>
          <w:sz w:val="19"/>
          <w:szCs w:val="19"/>
        </w:rPr>
        <w:t xml:space="preserve">§ 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108c 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t>Datum vstupu v platnost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color w:val="000000"/>
          <w:sz w:val="19"/>
          <w:szCs w:val="19"/>
        </w:rPr>
        <w:t xml:space="preserve">15.08.2015 </w:t>
      </w:r>
    </w:p>
    <w:p w:rsidR="004071E4" w:rsidRPr="00E2163D" w:rsidRDefault="004071E4" w:rsidP="0019339F">
      <w:pPr>
        <w:shd w:val="clear" w:color="auto" w:fill="F9F9F9"/>
        <w:spacing w:after="0" w:line="240" w:lineRule="auto"/>
        <w:rPr>
          <w:rFonts w:ascii="Verdana" w:hAnsi="Verdana"/>
          <w:b/>
          <w:bCs/>
          <w:color w:val="000000"/>
          <w:sz w:val="19"/>
          <w:szCs w:val="19"/>
        </w:rPr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t xml:space="preserve">Konec platnosti 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color w:val="000000"/>
          <w:sz w:val="19"/>
          <w:szCs w:val="19"/>
        </w:rPr>
        <w:t xml:space="preserve">14.07.2017 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t>Zkratka</w:t>
      </w:r>
    </w:p>
    <w:p w:rsidR="0019339F" w:rsidRPr="00E2163D" w:rsidRDefault="004071E4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color w:val="000000"/>
          <w:sz w:val="19"/>
          <w:szCs w:val="19"/>
        </w:rPr>
        <w:t xml:space="preserve">EstG </w:t>
      </w:r>
      <w:r w:rsidR="0019339F" w:rsidRPr="00E2163D">
        <w:rPr>
          <w:rFonts w:ascii="Verdana" w:hAnsi="Verdana"/>
          <w:color w:val="000000"/>
          <w:sz w:val="19"/>
          <w:szCs w:val="19"/>
        </w:rPr>
        <w:t>1988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t>Rejstřík</w:t>
      </w:r>
    </w:p>
    <w:p w:rsidR="0019339F" w:rsidRPr="00E2163D" w:rsidRDefault="004071E4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color w:val="000000"/>
          <w:sz w:val="19"/>
          <w:szCs w:val="19"/>
        </w:rPr>
        <w:t>32/02 daně z příjmů a výnosu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t>Poznámka: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color w:val="000000"/>
          <w:sz w:val="19"/>
          <w:szCs w:val="19"/>
        </w:rPr>
        <w:t>Sledované období:</w:t>
      </w:r>
      <w:r w:rsidR="004071E4" w:rsidRPr="00E2163D">
        <w:rPr>
          <w:rFonts w:ascii="Verdana" w:hAnsi="Verdana"/>
          <w:color w:val="000000"/>
          <w:sz w:val="19"/>
          <w:szCs w:val="19"/>
        </w:rPr>
        <w:br/>
        <w:t>od 1.1.2016 srov.</w:t>
      </w:r>
      <w:r w:rsidRPr="00E2163D">
        <w:rPr>
          <w:rFonts w:ascii="Verdana" w:hAnsi="Verdana"/>
          <w:color w:val="000000"/>
          <w:sz w:val="19"/>
          <w:szCs w:val="19"/>
        </w:rPr>
        <w:t xml:space="preserve"> § 124b Z 277 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t>Text</w:t>
      </w:r>
    </w:p>
    <w:p w:rsidR="0019339F" w:rsidRPr="00E2163D" w:rsidRDefault="004071E4" w:rsidP="0019339F">
      <w:pPr>
        <w:keepNext/>
        <w:shd w:val="clear" w:color="auto" w:fill="F9F9F9"/>
        <w:spacing w:before="80" w:after="0" w:line="240" w:lineRule="auto"/>
        <w:jc w:val="center"/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lastRenderedPageBreak/>
        <w:t xml:space="preserve">Prémie za </w:t>
      </w:r>
      <w:r w:rsidR="0019339F" w:rsidRPr="00E2163D">
        <w:rPr>
          <w:rFonts w:ascii="Verdana" w:hAnsi="Verdana"/>
          <w:b/>
          <w:bCs/>
          <w:color w:val="000000"/>
          <w:sz w:val="19"/>
          <w:szCs w:val="19"/>
        </w:rPr>
        <w:t>výzkum</w:t>
      </w:r>
    </w:p>
    <w:p w:rsidR="0019339F" w:rsidRPr="00E2163D" w:rsidRDefault="0019339F" w:rsidP="0019339F">
      <w:pPr>
        <w:shd w:val="clear" w:color="auto" w:fill="F9F9F9"/>
        <w:spacing w:after="0" w:line="240" w:lineRule="auto"/>
        <w:ind w:firstLine="397"/>
      </w:pPr>
      <w:r w:rsidRPr="00E2163D">
        <w:rPr>
          <w:rFonts w:ascii="Verdana" w:hAnsi="Verdana"/>
          <w:b/>
          <w:bCs/>
          <w:color w:val="000000"/>
          <w:sz w:val="19"/>
          <w:szCs w:val="19"/>
          <w:bdr w:val="none" w:sz="0" w:space="0" w:color="auto" w:frame="1"/>
        </w:rPr>
        <w:t>§ 108 c.</w:t>
      </w:r>
      <w:r w:rsidRPr="00E2163D">
        <w:rPr>
          <w:b/>
          <w:bCs/>
        </w:rPr>
        <w:t xml:space="preserve"> </w:t>
      </w:r>
      <w:r w:rsidR="004071E4" w:rsidRPr="00E2163D">
        <w:rPr>
          <w:rFonts w:ascii="Verdana" w:hAnsi="Verdana"/>
          <w:color w:val="000000"/>
          <w:sz w:val="19"/>
          <w:szCs w:val="19"/>
        </w:rPr>
        <w:t>(1) Daňoví plátci</w:t>
      </w:r>
      <w:r w:rsidRPr="00E2163D">
        <w:rPr>
          <w:rFonts w:ascii="Verdana" w:hAnsi="Verdana"/>
          <w:color w:val="000000"/>
          <w:sz w:val="19"/>
          <w:szCs w:val="19"/>
        </w:rPr>
        <w:t xml:space="preserve">, </w:t>
      </w:r>
      <w:r w:rsidR="004071E4" w:rsidRPr="00E2163D">
        <w:rPr>
          <w:rFonts w:ascii="Verdana" w:hAnsi="Verdana"/>
          <w:color w:val="000000"/>
          <w:sz w:val="19"/>
          <w:szCs w:val="19"/>
        </w:rPr>
        <w:t xml:space="preserve">pokud nejsou </w:t>
      </w:r>
      <w:commentRangeStart w:id="0"/>
      <w:r w:rsidR="004071E4" w:rsidRPr="00E2163D">
        <w:rPr>
          <w:rFonts w:ascii="Verdana" w:hAnsi="Verdana"/>
          <w:color w:val="000000"/>
          <w:sz w:val="19"/>
          <w:szCs w:val="19"/>
        </w:rPr>
        <w:t>spolu</w:t>
      </w:r>
      <w:r w:rsidRPr="00E2163D">
        <w:rPr>
          <w:rFonts w:ascii="Verdana" w:hAnsi="Verdana"/>
          <w:color w:val="000000"/>
          <w:sz w:val="19"/>
          <w:szCs w:val="19"/>
        </w:rPr>
        <w:t>podnikatel</w:t>
      </w:r>
      <w:commentRangeEnd w:id="0"/>
      <w:r w:rsidR="00AD4291" w:rsidRPr="00E2163D">
        <w:rPr>
          <w:rFonts w:ascii="Verdana" w:hAnsi="Verdana"/>
          <w:color w:val="000000"/>
          <w:sz w:val="19"/>
          <w:szCs w:val="19"/>
        </w:rPr>
        <w:t>i</w:t>
      </w:r>
      <w:r w:rsidR="00AD4291" w:rsidRPr="00E2163D">
        <w:rPr>
          <w:rStyle w:val="Odkaznakoment"/>
        </w:rPr>
        <w:commentReference w:id="0"/>
      </w:r>
      <w:r w:rsidR="004071E4" w:rsidRPr="00E2163D">
        <w:rPr>
          <w:rFonts w:ascii="Verdana" w:hAnsi="Verdana"/>
          <w:color w:val="000000"/>
          <w:sz w:val="19"/>
          <w:szCs w:val="19"/>
        </w:rPr>
        <w:t>,</w:t>
      </w:r>
      <w:r w:rsidRPr="00E2163D">
        <w:rPr>
          <w:rFonts w:ascii="Verdana" w:hAnsi="Verdana"/>
          <w:color w:val="000000"/>
          <w:sz w:val="19"/>
          <w:szCs w:val="19"/>
        </w:rPr>
        <w:t xml:space="preserve"> a společnosti, </w:t>
      </w:r>
      <w:r w:rsidR="00AD4291" w:rsidRPr="00E2163D">
        <w:rPr>
          <w:rFonts w:ascii="Verdana" w:hAnsi="Verdana"/>
          <w:color w:val="000000"/>
          <w:sz w:val="19"/>
          <w:szCs w:val="19"/>
        </w:rPr>
        <w:t>jejichž společníci</w:t>
      </w:r>
      <w:r w:rsidR="00E2163D">
        <w:rPr>
          <w:rFonts w:ascii="Verdana" w:hAnsi="Verdana"/>
          <w:color w:val="000000"/>
          <w:sz w:val="19"/>
          <w:szCs w:val="19"/>
        </w:rPr>
        <w:t xml:space="preserve"> jsou </w:t>
      </w:r>
      <w:r w:rsidR="004071E4" w:rsidRPr="00E2163D">
        <w:rPr>
          <w:rFonts w:ascii="Verdana" w:hAnsi="Verdana"/>
          <w:color w:val="000000"/>
          <w:sz w:val="19"/>
          <w:szCs w:val="19"/>
        </w:rPr>
        <w:t>považováni za spolupodnikatele, mohou uplatnit prémii z</w:t>
      </w:r>
      <w:r w:rsidRPr="00E2163D">
        <w:rPr>
          <w:rFonts w:ascii="Verdana" w:hAnsi="Verdana"/>
          <w:color w:val="000000"/>
          <w:sz w:val="19"/>
          <w:szCs w:val="19"/>
        </w:rPr>
        <w:t xml:space="preserve">a </w:t>
      </w:r>
      <w:r w:rsidR="004071E4" w:rsidRPr="00E2163D">
        <w:rPr>
          <w:rFonts w:ascii="Verdana" w:hAnsi="Verdana"/>
          <w:color w:val="000000"/>
          <w:sz w:val="19"/>
          <w:szCs w:val="19"/>
        </w:rPr>
        <w:t xml:space="preserve">vlastní </w:t>
      </w:r>
      <w:r w:rsidR="00AD4291" w:rsidRPr="00E2163D">
        <w:rPr>
          <w:rFonts w:ascii="Verdana" w:hAnsi="Verdana"/>
          <w:color w:val="000000"/>
          <w:sz w:val="19"/>
          <w:szCs w:val="19"/>
        </w:rPr>
        <w:t>firemní</w:t>
      </w:r>
      <w:r w:rsidR="004071E4" w:rsidRPr="00E2163D">
        <w:rPr>
          <w:rFonts w:ascii="Verdana" w:hAnsi="Verdana"/>
          <w:color w:val="000000"/>
          <w:sz w:val="19"/>
          <w:szCs w:val="19"/>
        </w:rPr>
        <w:t xml:space="preserve"> </w:t>
      </w:r>
      <w:r w:rsidR="00D57A99" w:rsidRPr="00E2163D">
        <w:rPr>
          <w:rFonts w:ascii="Verdana" w:hAnsi="Verdana"/>
          <w:color w:val="000000"/>
          <w:sz w:val="19"/>
          <w:szCs w:val="19"/>
        </w:rPr>
        <w:t>výzkum a prémii</w:t>
      </w:r>
      <w:r w:rsidR="004071E4" w:rsidRPr="00E2163D">
        <w:rPr>
          <w:rFonts w:ascii="Verdana" w:hAnsi="Verdana"/>
          <w:color w:val="000000"/>
          <w:sz w:val="19"/>
          <w:szCs w:val="19"/>
        </w:rPr>
        <w:t xml:space="preserve"> za smluvní výzkum ve výši</w:t>
      </w:r>
      <w:r w:rsidRPr="00E2163D">
        <w:rPr>
          <w:rFonts w:ascii="Verdana" w:hAnsi="Verdana"/>
          <w:color w:val="000000"/>
          <w:sz w:val="19"/>
          <w:szCs w:val="19"/>
        </w:rPr>
        <w:t xml:space="preserve"> 12 % výdajů </w:t>
      </w:r>
      <w:r w:rsidR="00D57A99" w:rsidRPr="00E2163D">
        <w:rPr>
          <w:rFonts w:ascii="Verdana" w:hAnsi="Verdana"/>
          <w:color w:val="000000"/>
          <w:sz w:val="19"/>
          <w:szCs w:val="19"/>
        </w:rPr>
        <w:t>prémií</w:t>
      </w:r>
      <w:r w:rsidR="00E2163D">
        <w:rPr>
          <w:rFonts w:ascii="Verdana" w:hAnsi="Verdana"/>
          <w:color w:val="000000"/>
          <w:sz w:val="19"/>
          <w:szCs w:val="19"/>
        </w:rPr>
        <w:t xml:space="preserve"> </w:t>
      </w:r>
      <w:r w:rsidR="004071E4" w:rsidRPr="00E2163D">
        <w:rPr>
          <w:rFonts w:ascii="Verdana" w:hAnsi="Verdana"/>
          <w:color w:val="000000"/>
          <w:sz w:val="19"/>
          <w:szCs w:val="19"/>
        </w:rPr>
        <w:t>zvýhodněných výzkumných nákladů (-výdajů</w:t>
      </w:r>
      <w:r w:rsidRPr="00E2163D">
        <w:rPr>
          <w:rFonts w:ascii="Verdana" w:hAnsi="Verdana"/>
          <w:color w:val="000000"/>
          <w:sz w:val="19"/>
          <w:szCs w:val="19"/>
        </w:rPr>
        <w:t>)</w:t>
      </w:r>
      <w:r w:rsidR="004071E4" w:rsidRPr="00E2163D">
        <w:rPr>
          <w:rFonts w:ascii="Verdana" w:hAnsi="Verdana"/>
          <w:color w:val="000000"/>
          <w:sz w:val="19"/>
          <w:szCs w:val="19"/>
        </w:rPr>
        <w:t xml:space="preserve">. </w:t>
      </w:r>
      <w:r w:rsidR="00D57A99" w:rsidRPr="00E2163D">
        <w:rPr>
          <w:rFonts w:ascii="Verdana" w:hAnsi="Verdana"/>
          <w:color w:val="000000"/>
          <w:sz w:val="19"/>
          <w:szCs w:val="19"/>
        </w:rPr>
        <w:t>Prémie ne</w:t>
      </w:r>
      <w:r w:rsidR="00E2163D">
        <w:rPr>
          <w:rFonts w:ascii="Verdana" w:hAnsi="Verdana"/>
          <w:color w:val="000000"/>
          <w:sz w:val="19"/>
          <w:szCs w:val="19"/>
        </w:rPr>
        <w:t>představuje</w:t>
      </w:r>
      <w:r w:rsidRPr="00E2163D">
        <w:rPr>
          <w:rFonts w:ascii="Verdana" w:hAnsi="Verdana"/>
          <w:color w:val="000000"/>
          <w:sz w:val="19"/>
          <w:szCs w:val="19"/>
        </w:rPr>
        <w:t xml:space="preserve"> provozní výnosy; </w:t>
      </w:r>
      <w:r w:rsidR="00D57A99" w:rsidRPr="00E2163D">
        <w:rPr>
          <w:rFonts w:ascii="Verdana" w:hAnsi="Verdana"/>
          <w:color w:val="000000"/>
          <w:sz w:val="19"/>
          <w:szCs w:val="19"/>
        </w:rPr>
        <w:t>§ 6 Z</w:t>
      </w:r>
      <w:r w:rsidRPr="00E2163D">
        <w:rPr>
          <w:rFonts w:ascii="Verdana" w:hAnsi="Verdana"/>
          <w:color w:val="000000"/>
          <w:sz w:val="19"/>
          <w:szCs w:val="19"/>
        </w:rPr>
        <w:t xml:space="preserve"> 10 a § 20 ods</w:t>
      </w:r>
      <w:r w:rsidR="00D57A99" w:rsidRPr="00E2163D">
        <w:rPr>
          <w:rFonts w:ascii="Verdana" w:hAnsi="Verdana"/>
          <w:color w:val="000000"/>
          <w:sz w:val="19"/>
          <w:szCs w:val="19"/>
        </w:rPr>
        <w:t>.</w:t>
      </w:r>
      <w:r w:rsidRPr="00E2163D">
        <w:rPr>
          <w:rFonts w:ascii="Verdana" w:hAnsi="Verdana"/>
          <w:color w:val="000000"/>
          <w:sz w:val="19"/>
          <w:szCs w:val="19"/>
        </w:rPr>
        <w:t xml:space="preserve"> 2 </w:t>
      </w:r>
      <w:r w:rsidR="00D57A99" w:rsidRPr="00E2163D">
        <w:rPr>
          <w:rFonts w:ascii="Verdana" w:hAnsi="Verdana"/>
          <w:color w:val="000000"/>
          <w:sz w:val="19"/>
          <w:szCs w:val="19"/>
        </w:rPr>
        <w:t xml:space="preserve">se </w:t>
      </w:r>
      <w:r w:rsidRPr="00E2163D">
        <w:rPr>
          <w:rFonts w:ascii="Verdana" w:hAnsi="Verdana"/>
          <w:color w:val="000000"/>
          <w:sz w:val="19"/>
          <w:szCs w:val="19"/>
        </w:rPr>
        <w:t>nepoužij</w:t>
      </w:r>
      <w:r w:rsidR="00D57A99" w:rsidRPr="00E2163D">
        <w:rPr>
          <w:rFonts w:ascii="Verdana" w:hAnsi="Verdana"/>
          <w:color w:val="000000"/>
          <w:sz w:val="19"/>
          <w:szCs w:val="19"/>
        </w:rPr>
        <w:t xml:space="preserve">í. </w:t>
      </w:r>
    </w:p>
    <w:p w:rsidR="0019339F" w:rsidRPr="00E2163D" w:rsidRDefault="0019339F" w:rsidP="0019339F">
      <w:pPr>
        <w:shd w:val="clear" w:color="auto" w:fill="F9F9F9"/>
        <w:spacing w:before="80" w:after="192" w:line="240" w:lineRule="auto"/>
        <w:ind w:firstLine="397"/>
      </w:pPr>
      <w:r w:rsidRPr="00E2163D">
        <w:rPr>
          <w:rFonts w:ascii="Verdana" w:hAnsi="Verdana"/>
          <w:color w:val="000000"/>
          <w:sz w:val="19"/>
          <w:szCs w:val="19"/>
        </w:rPr>
        <w:t xml:space="preserve">(2) </w:t>
      </w:r>
      <w:r w:rsidR="001F1F74" w:rsidRPr="00E2163D">
        <w:rPr>
          <w:rFonts w:ascii="Verdana" w:hAnsi="Verdana"/>
          <w:color w:val="000000"/>
          <w:sz w:val="19"/>
          <w:szCs w:val="19"/>
        </w:rPr>
        <w:t>Zvýhodněni</w:t>
      </w:r>
      <w:r w:rsidR="00D57A99" w:rsidRPr="00E2163D">
        <w:rPr>
          <w:rFonts w:ascii="Verdana" w:hAnsi="Verdana"/>
          <w:color w:val="000000"/>
          <w:sz w:val="19"/>
          <w:szCs w:val="19"/>
        </w:rPr>
        <w:t xml:space="preserve"> prémií jsou</w:t>
      </w:r>
      <w:r w:rsidRPr="00E2163D">
        <w:rPr>
          <w:rFonts w:ascii="Verdana" w:hAnsi="Verdana"/>
          <w:color w:val="000000"/>
          <w:sz w:val="19"/>
          <w:szCs w:val="19"/>
        </w:rPr>
        <w:t>:</w:t>
      </w:r>
    </w:p>
    <w:tbl>
      <w:tblPr>
        <w:tblW w:w="104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"/>
        <w:gridCol w:w="114"/>
        <w:gridCol w:w="809"/>
        <w:gridCol w:w="1392"/>
        <w:gridCol w:w="1339"/>
        <w:gridCol w:w="1296"/>
        <w:gridCol w:w="1260"/>
        <w:gridCol w:w="1233"/>
        <w:gridCol w:w="1457"/>
        <w:gridCol w:w="1299"/>
        <w:gridCol w:w="50"/>
      </w:tblGrid>
      <w:tr w:rsidR="0019339F" w:rsidRPr="00E2163D" w:rsidTr="0019339F">
        <w:tc>
          <w:tcPr>
            <w:tcW w:w="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39F" w:rsidRPr="00E2163D" w:rsidTr="0019339F"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1.</w:t>
            </w:r>
          </w:p>
        </w:tc>
        <w:tc>
          <w:tcPr>
            <w:tcW w:w="8787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AD4291" w:rsidP="00222668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Vlastní firemní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výzkum a experimentální vývoj,</w:t>
            </w:r>
            <w:r w:rsidR="00222668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který se provádí systematicky s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pomocí v</w:t>
            </w:r>
            <w:r w:rsidR="00222668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ědeckých metod. Cíl musí být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zvýšení stavu znalostí a </w:t>
            </w:r>
            <w:r w:rsidR="00222668" w:rsidRPr="00E2163D">
              <w:rPr>
                <w:rFonts w:ascii="Verdana" w:hAnsi="Verdana"/>
                <w:color w:val="000000"/>
                <w:sz w:val="19"/>
                <w:szCs w:val="19"/>
              </w:rPr>
              <w:t>využití t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>ěchto zna</w:t>
            </w:r>
            <w:r w:rsidR="00222668" w:rsidRPr="00E2163D">
              <w:rPr>
                <w:rFonts w:ascii="Verdana" w:hAnsi="Verdana"/>
                <w:color w:val="000000"/>
                <w:sz w:val="19"/>
                <w:szCs w:val="19"/>
              </w:rPr>
              <w:t>lostí. Výzkum musí být proveden v tuzemském provozu nebo provozovně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>. Spolkov</w:t>
            </w:r>
            <w:r w:rsidR="00222668" w:rsidRPr="00E2163D">
              <w:rPr>
                <w:rFonts w:ascii="Verdana" w:hAnsi="Verdana"/>
                <w:color w:val="000000"/>
                <w:sz w:val="19"/>
                <w:szCs w:val="19"/>
              </w:rPr>
              <w:t>ý ministr financí má pravomoc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, </w:t>
            </w:r>
            <w:r w:rsidR="001F1F74" w:rsidRPr="00E2163D">
              <w:rPr>
                <w:rFonts w:ascii="Verdana" w:hAnsi="Verdana"/>
                <w:color w:val="000000"/>
                <w:sz w:val="19"/>
                <w:szCs w:val="19"/>
              </w:rPr>
              <w:t>stanovit s</w:t>
            </w:r>
            <w:r w:rsidR="00222668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krze nařízení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kritéria </w:t>
            </w:r>
            <w:r w:rsidR="00222668" w:rsidRPr="00E2163D">
              <w:rPr>
                <w:rFonts w:ascii="Verdana" w:hAnsi="Verdana"/>
                <w:color w:val="000000"/>
                <w:sz w:val="19"/>
                <w:szCs w:val="19"/>
              </w:rPr>
              <w:t>pro prémií podpořené výzkumné náklady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</w:t>
            </w:r>
            <w:r w:rsidR="00222668" w:rsidRPr="00E2163D">
              <w:rPr>
                <w:rFonts w:ascii="Verdana" w:hAnsi="Verdana"/>
                <w:color w:val="000000"/>
                <w:sz w:val="19"/>
                <w:szCs w:val="19"/>
              </w:rPr>
              <w:t>(-</w:t>
            </w:r>
            <w:r w:rsidR="00222668" w:rsidRPr="00E2163D">
              <w:rPr>
                <w:rFonts w:ascii="Verdana" w:hAnsi="Verdana"/>
                <w:sz w:val="19"/>
                <w:szCs w:val="19"/>
              </w:rPr>
              <w:t>výdaje)</w:t>
            </w:r>
            <w:r w:rsidR="0019339F" w:rsidRPr="00E2163D">
              <w:rPr>
                <w:rFonts w:ascii="Verdana" w:hAnsi="Verdana"/>
                <w:sz w:val="19"/>
                <w:szCs w:val="19"/>
              </w:rPr>
              <w:t>.</w:t>
            </w:r>
          </w:p>
        </w:tc>
        <w:tc>
          <w:tcPr>
            <w:tcW w:w="1350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  <w:tr w:rsidR="0019339F" w:rsidRPr="00E2163D" w:rsidTr="0019339F"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2.</w:t>
            </w:r>
          </w:p>
        </w:tc>
        <w:tc>
          <w:tcPr>
            <w:tcW w:w="8787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 w:rsidP="00391479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Smluvní výzkum </w:t>
            </w:r>
            <w:r w:rsidR="00391479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pro výzkum na objednávku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a experimentální vývoj v</w:t>
            </w:r>
            <w:r w:rsidR="00391479" w:rsidRPr="00E2163D">
              <w:rPr>
                <w:rFonts w:ascii="Verdana" w:hAnsi="Verdana"/>
                <w:color w:val="000000"/>
                <w:sz w:val="19"/>
                <w:szCs w:val="19"/>
              </w:rPr>
              <w:t>e smyslu Z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1 podle následujících ustanovení:</w:t>
            </w:r>
          </w:p>
        </w:tc>
        <w:tc>
          <w:tcPr>
            <w:tcW w:w="1350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  <w:tr w:rsidR="0019339F" w:rsidRPr="00E2163D" w:rsidTr="0019339F"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-.</w:t>
            </w:r>
          </w:p>
        </w:tc>
        <w:tc>
          <w:tcPr>
            <w:tcW w:w="7978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 w:rsidP="00391479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Výzkum musí být </w:t>
            </w:r>
            <w:r w:rsidR="00391479" w:rsidRPr="00E2163D">
              <w:rPr>
                <w:rFonts w:ascii="Verdana" w:hAnsi="Verdana"/>
                <w:color w:val="000000"/>
                <w:sz w:val="19"/>
                <w:szCs w:val="19"/>
              </w:rPr>
              <w:t>za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dán </w:t>
            </w:r>
            <w:r w:rsidR="00391479" w:rsidRPr="00E2163D">
              <w:rPr>
                <w:rFonts w:ascii="Verdana" w:hAnsi="Verdana"/>
                <w:color w:val="000000"/>
                <w:sz w:val="19"/>
                <w:szCs w:val="19"/>
              </w:rPr>
              <w:t>tuzemskou firmou nebo tuzemnou provozovnou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.</w:t>
            </w:r>
          </w:p>
        </w:tc>
        <w:tc>
          <w:tcPr>
            <w:tcW w:w="1350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  <w:tr w:rsidR="0019339F" w:rsidRPr="00E2163D" w:rsidTr="0019339F"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-.</w:t>
            </w:r>
          </w:p>
        </w:tc>
        <w:tc>
          <w:tcPr>
            <w:tcW w:w="7978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391479" w:rsidP="00391479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Pověřeny mohou být pouze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>instituce nebo podniky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, které se zabývají výzkumem a experimentálním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vývoje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m</w:t>
            </w:r>
            <w:r w:rsidR="001F1F74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a jejichž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statutární sídlo se nachází v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zemi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Evropské unie nebo Evropského hospodářského prostoru.</w:t>
            </w:r>
          </w:p>
        </w:tc>
        <w:tc>
          <w:tcPr>
            <w:tcW w:w="1350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  <w:tr w:rsidR="0019339F" w:rsidRPr="00E2163D" w:rsidTr="0019339F"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-.</w:t>
            </w:r>
          </w:p>
        </w:tc>
        <w:tc>
          <w:tcPr>
            <w:tcW w:w="7978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F1F74" w:rsidP="001F1F74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Zhotovitel nesmí být ovládán zadavatelem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nebo být členem skupiny společností (§ 9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zákona o dani korporací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1988),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které je zadavatel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>členem.</w:t>
            </w:r>
          </w:p>
        </w:tc>
        <w:tc>
          <w:tcPr>
            <w:tcW w:w="1350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  <w:tr w:rsidR="0019339F" w:rsidRPr="00E2163D" w:rsidTr="0019339F"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-.</w:t>
            </w:r>
          </w:p>
        </w:tc>
        <w:tc>
          <w:tcPr>
            <w:tcW w:w="7978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9460C8" w:rsidP="009460C8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Výzkumnou prémii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lze uplatnit pouze pro náklady (výdaje) ve výši 1 000 000 EUR za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fiskální rok. Pokud fiskální rok zahrnuje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období kratší než dvanáct měsíců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, dělí se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maximální výše 1 000 000 EUR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poměrně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podle počtu měsíců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fiskálního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roku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.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</w:t>
            </w:r>
            <w:r w:rsidR="00E2163D">
              <w:rPr>
                <w:rFonts w:ascii="Verdana" w:hAnsi="Verdana"/>
                <w:color w:val="000000"/>
                <w:sz w:val="19"/>
                <w:szCs w:val="19"/>
              </w:rPr>
              <w:t>Započa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té kalendářní měsíce se počítají jako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celé kalendářní měsíce.</w:t>
            </w:r>
          </w:p>
        </w:tc>
        <w:tc>
          <w:tcPr>
            <w:tcW w:w="1350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  <w:tr w:rsidR="0019339F" w:rsidRPr="00E2163D" w:rsidTr="0019339F"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-.</w:t>
            </w:r>
          </w:p>
        </w:tc>
        <w:tc>
          <w:tcPr>
            <w:tcW w:w="7978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9460C8" w:rsidP="009460C8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Předpokladem získání výzkumné prémie je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>, že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zadavatel do skončením fiskálního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roku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doložitelně dodavateli sdělí, do jaké výše nákladů (výdajů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)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uplatní pro smluvní výzkum prémii za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výzkum.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Dodavatel nesmí uplatnit prémii za výzkum formou </w:t>
            </w:r>
            <w:r w:rsidR="002A7EF2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vlastního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firemního výzkumu za daný smluvní výzkum a experimentální vývoj týkající se sdělených nákladů (výdajů). </w:t>
            </w:r>
          </w:p>
        </w:tc>
        <w:tc>
          <w:tcPr>
            <w:tcW w:w="1350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  <w:tr w:rsidR="0019339F" w:rsidRPr="00E2163D" w:rsidTr="0019339F"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-.</w:t>
            </w:r>
          </w:p>
        </w:tc>
        <w:tc>
          <w:tcPr>
            <w:tcW w:w="7978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2A7EF2" w:rsidP="002A7EF2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Premii za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smluvní výzkum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nelze uplatnit na náklady (výdaje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),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které byly uvedeny pro získání prémie za vlastní firemní výzkum. </w:t>
            </w:r>
          </w:p>
        </w:tc>
        <w:tc>
          <w:tcPr>
            <w:tcW w:w="1350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</w:tbl>
    <w:p w:rsidR="0019339F" w:rsidRPr="00E2163D" w:rsidRDefault="00530834" w:rsidP="0019339F">
      <w:pPr>
        <w:shd w:val="clear" w:color="auto" w:fill="F9F9F9"/>
        <w:spacing w:before="80" w:after="0" w:line="240" w:lineRule="auto"/>
        <w:ind w:firstLine="397"/>
        <w:rPr>
          <w:rFonts w:ascii="Calibri" w:hAnsi="Calibri"/>
        </w:rPr>
      </w:pPr>
      <w:r w:rsidRPr="00E2163D">
        <w:rPr>
          <w:rFonts w:ascii="Verdana" w:hAnsi="Verdana"/>
          <w:color w:val="000000"/>
          <w:sz w:val="19"/>
          <w:szCs w:val="19"/>
        </w:rPr>
        <w:t>(3) Prémii lze uplatněnit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až po </w:t>
      </w:r>
      <w:r w:rsidRPr="00E2163D">
        <w:rPr>
          <w:rFonts w:ascii="Verdana" w:hAnsi="Verdana"/>
          <w:color w:val="000000"/>
          <w:sz w:val="19"/>
          <w:szCs w:val="19"/>
        </w:rPr>
        <w:t>konci fiskálního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roku</w:t>
      </w:r>
      <w:r w:rsidRPr="00E2163D">
        <w:rPr>
          <w:rFonts w:ascii="Verdana" w:hAnsi="Verdana"/>
          <w:color w:val="000000"/>
          <w:sz w:val="19"/>
          <w:szCs w:val="19"/>
        </w:rPr>
        <w:t xml:space="preserve">, 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nejpozději </w:t>
      </w:r>
      <w:r w:rsidRPr="00E2163D">
        <w:rPr>
          <w:rFonts w:ascii="Verdana" w:hAnsi="Verdana"/>
          <w:color w:val="000000"/>
          <w:sz w:val="19"/>
          <w:szCs w:val="19"/>
        </w:rPr>
        <w:t xml:space="preserve">však do vstoupení v platnosti 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příslušné daně z příjmu, </w:t>
      </w:r>
      <w:r w:rsidRPr="00E2163D">
        <w:rPr>
          <w:rFonts w:ascii="Verdana" w:hAnsi="Verdana"/>
          <w:color w:val="000000"/>
          <w:sz w:val="19"/>
          <w:szCs w:val="19"/>
        </w:rPr>
        <w:t xml:space="preserve">korporátní </w:t>
      </w:r>
      <w:r w:rsidR="0019339F" w:rsidRPr="00E2163D">
        <w:rPr>
          <w:rFonts w:ascii="Verdana" w:hAnsi="Verdana"/>
          <w:color w:val="000000"/>
          <w:sz w:val="19"/>
          <w:szCs w:val="19"/>
        </w:rPr>
        <w:t>daně n</w:t>
      </w:r>
      <w:r w:rsidRPr="00E2163D">
        <w:rPr>
          <w:rFonts w:ascii="Verdana" w:hAnsi="Verdana"/>
          <w:color w:val="000000"/>
          <w:sz w:val="19"/>
          <w:szCs w:val="19"/>
        </w:rPr>
        <w:t>ebo oznámení o posouzení (§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188 federální daňového zákoníku).</w:t>
      </w:r>
    </w:p>
    <w:p w:rsidR="0019339F" w:rsidRPr="00E2163D" w:rsidRDefault="00504DFC" w:rsidP="0019339F">
      <w:pPr>
        <w:shd w:val="clear" w:color="auto" w:fill="F9F9F9"/>
        <w:spacing w:before="80" w:after="0" w:line="240" w:lineRule="auto"/>
        <w:ind w:firstLine="397"/>
      </w:pPr>
      <w:r w:rsidRPr="00E2163D">
        <w:rPr>
          <w:rFonts w:ascii="Verdana" w:hAnsi="Verdana"/>
          <w:color w:val="000000"/>
          <w:sz w:val="19"/>
          <w:szCs w:val="19"/>
        </w:rPr>
        <w:t xml:space="preserve">(4) Prémie budou připsány na účet, pokud nemá být vydáno potvrzení </w:t>
      </w:r>
      <w:r w:rsidR="0019339F" w:rsidRPr="00E2163D">
        <w:rPr>
          <w:rFonts w:ascii="Verdana" w:hAnsi="Verdana"/>
          <w:color w:val="000000"/>
          <w:sz w:val="19"/>
          <w:szCs w:val="19"/>
        </w:rPr>
        <w:t>§ 201 BAO</w:t>
      </w:r>
      <w:r w:rsidRPr="00E2163D">
        <w:rPr>
          <w:rFonts w:ascii="Verdana" w:hAnsi="Verdana"/>
          <w:color w:val="000000"/>
          <w:sz w:val="19"/>
          <w:szCs w:val="19"/>
        </w:rPr>
        <w:t>.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</w:t>
      </w:r>
      <w:r w:rsidRPr="00E2163D">
        <w:rPr>
          <w:rFonts w:ascii="Verdana" w:hAnsi="Verdana"/>
          <w:color w:val="000000"/>
          <w:sz w:val="19"/>
          <w:szCs w:val="19"/>
        </w:rPr>
        <w:t xml:space="preserve">Dobropis platí zpětně ode dne podání žádosti. Prémie jakož i </w:t>
      </w:r>
      <w:r w:rsidR="0019339F" w:rsidRPr="00E2163D">
        <w:rPr>
          <w:rFonts w:ascii="Verdana" w:hAnsi="Verdana"/>
          <w:color w:val="000000"/>
          <w:sz w:val="19"/>
          <w:szCs w:val="19"/>
        </w:rPr>
        <w:t>nároky na</w:t>
      </w:r>
      <w:r w:rsidRPr="00E2163D">
        <w:rPr>
          <w:rFonts w:ascii="Verdana" w:hAnsi="Verdana"/>
          <w:color w:val="000000"/>
          <w:sz w:val="19"/>
          <w:szCs w:val="19"/>
        </w:rPr>
        <w:t xml:space="preserve"> vrácení jsou považovány za odpočet z </w:t>
      </w:r>
      <w:r w:rsidR="0019339F" w:rsidRPr="00E2163D">
        <w:rPr>
          <w:rFonts w:ascii="Verdana" w:hAnsi="Verdana"/>
          <w:color w:val="000000"/>
          <w:sz w:val="19"/>
          <w:szCs w:val="19"/>
        </w:rPr>
        <w:t>příjmů ve smyslu federálního daňového zákon</w:t>
      </w:r>
      <w:r w:rsidR="00E2163D">
        <w:rPr>
          <w:rFonts w:ascii="Verdana" w:hAnsi="Verdana"/>
          <w:color w:val="000000"/>
          <w:sz w:val="19"/>
          <w:szCs w:val="19"/>
        </w:rPr>
        <w:t>a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. </w:t>
      </w:r>
      <w:r w:rsidRPr="00E2163D">
        <w:rPr>
          <w:rFonts w:ascii="Verdana" w:hAnsi="Verdana"/>
          <w:color w:val="000000"/>
          <w:sz w:val="19"/>
          <w:szCs w:val="19"/>
        </w:rPr>
        <w:t>Pro dobropisy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a</w:t>
      </w:r>
      <w:r w:rsidRPr="00E2163D">
        <w:rPr>
          <w:rFonts w:ascii="Verdana" w:hAnsi="Verdana"/>
          <w:color w:val="000000"/>
          <w:sz w:val="19"/>
          <w:szCs w:val="19"/>
        </w:rPr>
        <w:t xml:space="preserve"> nároky na vrácení 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se použijí </w:t>
      </w:r>
      <w:r w:rsidR="00B964BD" w:rsidRPr="00E2163D">
        <w:rPr>
          <w:rFonts w:ascii="Verdana" w:hAnsi="Verdana"/>
          <w:color w:val="000000"/>
          <w:sz w:val="19"/>
          <w:szCs w:val="19"/>
        </w:rPr>
        <w:t xml:space="preserve">ta 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ustanovení </w:t>
      </w:r>
      <w:r w:rsidR="00B964BD" w:rsidRPr="00E2163D">
        <w:rPr>
          <w:rFonts w:ascii="Verdana" w:hAnsi="Verdana"/>
          <w:color w:val="000000"/>
          <w:sz w:val="19"/>
          <w:szCs w:val="19"/>
        </w:rPr>
        <w:t>federálního daňového</w:t>
      </w:r>
      <w:r w:rsidR="00E2163D">
        <w:rPr>
          <w:rFonts w:ascii="Verdana" w:hAnsi="Verdana"/>
          <w:color w:val="000000"/>
          <w:sz w:val="19"/>
          <w:szCs w:val="19"/>
        </w:rPr>
        <w:t xml:space="preserve"> zákona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, </w:t>
      </w:r>
      <w:r w:rsidR="00E2163D">
        <w:rPr>
          <w:rFonts w:ascii="Verdana" w:hAnsi="Verdana"/>
          <w:color w:val="000000"/>
          <w:sz w:val="19"/>
          <w:szCs w:val="19"/>
        </w:rPr>
        <w:t>která</w:t>
      </w:r>
      <w:r w:rsidR="00B964BD" w:rsidRPr="00E2163D">
        <w:rPr>
          <w:rFonts w:ascii="Verdana" w:hAnsi="Verdana"/>
          <w:color w:val="000000"/>
          <w:sz w:val="19"/>
          <w:szCs w:val="19"/>
        </w:rPr>
        <w:t xml:space="preserve"> platí pro opakovaně vybírané, samostatně spočítané výdaje. Pro firmy, které nejsou </w:t>
      </w:r>
      <w:r w:rsidR="0019339F" w:rsidRPr="00E2163D">
        <w:rPr>
          <w:rFonts w:ascii="Verdana" w:hAnsi="Verdana"/>
          <w:color w:val="000000"/>
          <w:sz w:val="19"/>
          <w:szCs w:val="19"/>
        </w:rPr>
        <w:t>právnickými osobami podle občanského práva</w:t>
      </w:r>
      <w:r w:rsidR="00B964BD" w:rsidRPr="00E2163D">
        <w:rPr>
          <w:rFonts w:ascii="Verdana" w:hAnsi="Verdana"/>
          <w:color w:val="000000"/>
          <w:sz w:val="19"/>
          <w:szCs w:val="19"/>
        </w:rPr>
        <w:t xml:space="preserve">, </w:t>
      </w:r>
      <w:r w:rsidR="00CC3A98" w:rsidRPr="00E2163D">
        <w:rPr>
          <w:rFonts w:ascii="Verdana" w:hAnsi="Verdana"/>
          <w:color w:val="000000"/>
          <w:sz w:val="19"/>
          <w:szCs w:val="19"/>
        </w:rPr>
        <w:t xml:space="preserve">musí být provedeno souhrnné zaúčtování finančního řízení u nákladů, které zúčastněné strany dohromady dluží. </w:t>
      </w:r>
    </w:p>
    <w:p w:rsidR="0019339F" w:rsidRPr="00E2163D" w:rsidRDefault="00903EB8" w:rsidP="0019339F">
      <w:pPr>
        <w:shd w:val="clear" w:color="auto" w:fill="F9F9F9"/>
        <w:spacing w:before="80" w:after="192" w:line="240" w:lineRule="auto"/>
        <w:ind w:firstLine="397"/>
      </w:pPr>
      <w:r w:rsidRPr="00E2163D">
        <w:rPr>
          <w:rFonts w:ascii="Verdana" w:hAnsi="Verdana"/>
          <w:color w:val="000000"/>
          <w:sz w:val="19"/>
          <w:szCs w:val="19"/>
        </w:rPr>
        <w:t xml:space="preserve">(5) </w:t>
      </w:r>
      <w:r w:rsidR="00080EB7" w:rsidRPr="00E2163D">
        <w:rPr>
          <w:rFonts w:ascii="Verdana" w:hAnsi="Verdana"/>
          <w:color w:val="000000"/>
          <w:sz w:val="19"/>
          <w:szCs w:val="19"/>
        </w:rPr>
        <w:t>Prémie je uplatněna se zohledněním obj</w:t>
      </w:r>
      <w:r w:rsidRPr="00E2163D">
        <w:rPr>
          <w:rFonts w:ascii="Verdana" w:hAnsi="Verdana"/>
          <w:color w:val="000000"/>
          <w:sz w:val="19"/>
          <w:szCs w:val="19"/>
        </w:rPr>
        <w:t>em</w:t>
      </w:r>
      <w:r w:rsidR="00080EB7" w:rsidRPr="00E2163D">
        <w:rPr>
          <w:rFonts w:ascii="Verdana" w:hAnsi="Verdana"/>
          <w:color w:val="000000"/>
          <w:sz w:val="19"/>
          <w:szCs w:val="19"/>
        </w:rPr>
        <w:t>u</w:t>
      </w:r>
      <w:r w:rsidRPr="00E2163D">
        <w:rPr>
          <w:rFonts w:ascii="Verdana" w:hAnsi="Verdana"/>
          <w:color w:val="000000"/>
          <w:sz w:val="19"/>
          <w:szCs w:val="19"/>
        </w:rPr>
        <w:t xml:space="preserve"> </w:t>
      </w:r>
      <w:r w:rsidR="00080EB7" w:rsidRPr="00E2163D">
        <w:rPr>
          <w:rFonts w:ascii="Verdana" w:hAnsi="Verdana"/>
          <w:color w:val="000000"/>
          <w:sz w:val="19"/>
          <w:szCs w:val="19"/>
        </w:rPr>
        <w:t>vyměřené daně z příjmu nebo korporátní daně</w:t>
      </w:r>
      <w:r w:rsidR="0019339F" w:rsidRPr="00E2163D">
        <w:rPr>
          <w:rFonts w:ascii="Verdana" w:hAnsi="Verdana"/>
          <w:color w:val="000000"/>
          <w:sz w:val="19"/>
          <w:szCs w:val="19"/>
        </w:rPr>
        <w:t>.</w:t>
      </w:r>
    </w:p>
    <w:tbl>
      <w:tblPr>
        <w:tblW w:w="11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800"/>
        <w:gridCol w:w="798"/>
        <w:gridCol w:w="1166"/>
        <w:gridCol w:w="1166"/>
        <w:gridCol w:w="1165"/>
        <w:gridCol w:w="1164"/>
        <w:gridCol w:w="1658"/>
        <w:gridCol w:w="50"/>
        <w:gridCol w:w="2695"/>
        <w:gridCol w:w="49"/>
      </w:tblGrid>
      <w:tr w:rsidR="0019339F" w:rsidRPr="00E2163D" w:rsidTr="0019339F">
        <w:tc>
          <w:tcPr>
            <w:tcW w:w="11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39F" w:rsidRPr="00E2163D" w:rsidTr="0019339F">
        <w:tc>
          <w:tcPr>
            <w:tcW w:w="9087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315C39" w:rsidP="00315C39">
            <w:pPr>
              <w:spacing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(6) Prémie jsou uděleny, pokud náklady vznikly po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>31. prosinci 2001.</w:t>
            </w:r>
          </w:p>
        </w:tc>
        <w:tc>
          <w:tcPr>
            <w:tcW w:w="2790" w:type="dxa"/>
            <w:gridSpan w:val="3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</w:tbl>
    <w:p w:rsidR="0019339F" w:rsidRPr="00E2163D" w:rsidRDefault="00F702CB" w:rsidP="0019339F">
      <w:pPr>
        <w:shd w:val="clear" w:color="auto" w:fill="F9F9F9"/>
        <w:spacing w:before="80" w:after="0" w:line="240" w:lineRule="auto"/>
        <w:ind w:firstLine="397"/>
        <w:rPr>
          <w:rFonts w:ascii="Calibri" w:hAnsi="Calibri"/>
        </w:rPr>
      </w:pPr>
      <w:r w:rsidRPr="00E2163D">
        <w:rPr>
          <w:rFonts w:ascii="Verdana" w:hAnsi="Verdana"/>
          <w:color w:val="000000"/>
          <w:sz w:val="19"/>
          <w:szCs w:val="19"/>
        </w:rPr>
        <w:t>(7) Finanční úřad může při posuzování splnění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podmín</w:t>
      </w:r>
      <w:r w:rsidRPr="00E2163D">
        <w:rPr>
          <w:rFonts w:ascii="Verdana" w:hAnsi="Verdana"/>
          <w:color w:val="000000"/>
          <w:sz w:val="19"/>
          <w:szCs w:val="19"/>
        </w:rPr>
        <w:t>ek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výzkumu a experimentálního vývoje v</w:t>
      </w:r>
      <w:r w:rsidRPr="00E2163D">
        <w:rPr>
          <w:rFonts w:ascii="Verdana" w:hAnsi="Verdana"/>
          <w:color w:val="000000"/>
          <w:sz w:val="19"/>
          <w:szCs w:val="19"/>
        </w:rPr>
        <w:t>e smyslu ods. u 2 Z 1 využít Společnosti pro podporu výzkumu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mbH (FFG)</w:t>
      </w:r>
      <w:r w:rsidRPr="00E2163D">
        <w:rPr>
          <w:rFonts w:ascii="Verdana" w:hAnsi="Verdana"/>
          <w:color w:val="000000"/>
          <w:sz w:val="19"/>
          <w:szCs w:val="19"/>
        </w:rPr>
        <w:t xml:space="preserve">.  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Předpokladem pro udělení </w:t>
      </w:r>
      <w:r w:rsidRPr="00E2163D">
        <w:rPr>
          <w:rFonts w:ascii="Verdana" w:hAnsi="Verdana"/>
          <w:color w:val="000000"/>
          <w:sz w:val="19"/>
          <w:szCs w:val="19"/>
        </w:rPr>
        <w:t xml:space="preserve">prémie za firemní výzkum </w:t>
      </w:r>
      <w:r w:rsidR="0019339F" w:rsidRPr="00E2163D">
        <w:rPr>
          <w:rFonts w:ascii="Verdana" w:hAnsi="Verdana"/>
          <w:color w:val="000000"/>
          <w:sz w:val="19"/>
          <w:szCs w:val="19"/>
        </w:rPr>
        <w:t>a experimentální vývoj</w:t>
      </w:r>
      <w:r w:rsidRPr="00E2163D">
        <w:rPr>
          <w:rFonts w:ascii="Verdana" w:hAnsi="Verdana"/>
          <w:color w:val="000000"/>
          <w:sz w:val="19"/>
          <w:szCs w:val="19"/>
        </w:rPr>
        <w:t xml:space="preserve"> je </w:t>
      </w:r>
      <w:r w:rsidR="00B60F79" w:rsidRPr="00E2163D">
        <w:rPr>
          <w:rFonts w:ascii="Verdana" w:hAnsi="Verdana"/>
          <w:color w:val="000000"/>
          <w:sz w:val="19"/>
          <w:szCs w:val="19"/>
        </w:rPr>
        <w:t xml:space="preserve">daňovým </w:t>
      </w:r>
      <w:r w:rsidRPr="00E2163D">
        <w:rPr>
          <w:rFonts w:ascii="Verdana" w:hAnsi="Verdana"/>
          <w:color w:val="000000"/>
          <w:sz w:val="19"/>
          <w:szCs w:val="19"/>
        </w:rPr>
        <w:t>poplatníkem objednaný</w:t>
      </w:r>
      <w:r w:rsidR="003D1494" w:rsidRPr="00E2163D">
        <w:rPr>
          <w:rFonts w:ascii="Verdana" w:hAnsi="Verdana"/>
          <w:color w:val="000000"/>
          <w:sz w:val="19"/>
          <w:szCs w:val="19"/>
        </w:rPr>
        <w:t xml:space="preserve"> znalecký posudek u Společnosti pro podporu výzkumu mbH </w:t>
      </w:r>
      <w:r w:rsidR="00FC47BD">
        <w:rPr>
          <w:rFonts w:ascii="Verdana" w:hAnsi="Verdana"/>
          <w:color w:val="000000"/>
          <w:sz w:val="19"/>
          <w:szCs w:val="19"/>
        </w:rPr>
        <w:t>(</w:t>
      </w:r>
      <w:r w:rsidR="003D1494" w:rsidRPr="00E2163D">
        <w:rPr>
          <w:rFonts w:ascii="Verdana" w:hAnsi="Verdana"/>
          <w:color w:val="000000"/>
          <w:sz w:val="19"/>
          <w:szCs w:val="19"/>
        </w:rPr>
        <w:t>FFG</w:t>
      </w:r>
      <w:r w:rsidR="00FC47BD">
        <w:rPr>
          <w:rFonts w:ascii="Verdana" w:hAnsi="Verdana"/>
          <w:color w:val="000000"/>
          <w:sz w:val="19"/>
          <w:szCs w:val="19"/>
        </w:rPr>
        <w:t>)</w:t>
      </w:r>
      <w:r w:rsidR="003D1494" w:rsidRPr="00E2163D">
        <w:rPr>
          <w:rFonts w:ascii="Verdana" w:hAnsi="Verdana"/>
          <w:color w:val="000000"/>
          <w:sz w:val="19"/>
          <w:szCs w:val="19"/>
        </w:rPr>
        <w:t xml:space="preserve"> </w:t>
      </w:r>
      <w:r w:rsidR="003D1494" w:rsidRPr="00E2163D">
        <w:rPr>
          <w:rFonts w:ascii="Verdana" w:hAnsi="Verdana"/>
          <w:color w:val="000000"/>
          <w:sz w:val="19"/>
          <w:szCs w:val="19"/>
        </w:rPr>
        <w:lastRenderedPageBreak/>
        <w:t>(odstavec 8), který z</w:t>
      </w:r>
      <w:r w:rsidR="0019339F" w:rsidRPr="00E2163D">
        <w:rPr>
          <w:rFonts w:ascii="Verdana" w:hAnsi="Verdana"/>
          <w:color w:val="000000"/>
          <w:sz w:val="19"/>
          <w:szCs w:val="19"/>
        </w:rPr>
        <w:t>hodno</w:t>
      </w:r>
      <w:r w:rsidR="003D1494" w:rsidRPr="00E2163D">
        <w:rPr>
          <w:rFonts w:ascii="Verdana" w:hAnsi="Verdana"/>
          <w:color w:val="000000"/>
          <w:sz w:val="19"/>
          <w:szCs w:val="19"/>
        </w:rPr>
        <w:t xml:space="preserve">tí, </w:t>
      </w:r>
      <w:r w:rsidR="0019339F" w:rsidRPr="00E2163D">
        <w:rPr>
          <w:rFonts w:ascii="Verdana" w:hAnsi="Verdana"/>
          <w:color w:val="000000"/>
          <w:sz w:val="19"/>
          <w:szCs w:val="19"/>
        </w:rPr>
        <w:t>do jaké míry</w:t>
      </w:r>
      <w:r w:rsidR="003D1494" w:rsidRPr="00E2163D">
        <w:rPr>
          <w:rFonts w:ascii="Verdana" w:hAnsi="Verdana"/>
          <w:color w:val="000000"/>
          <w:sz w:val="19"/>
          <w:szCs w:val="19"/>
        </w:rPr>
        <w:t xml:space="preserve"> splňují informace podané </w:t>
      </w:r>
      <w:r w:rsidR="00B60F79" w:rsidRPr="00E2163D">
        <w:rPr>
          <w:rFonts w:ascii="Verdana" w:hAnsi="Verdana"/>
          <w:color w:val="000000"/>
          <w:sz w:val="19"/>
          <w:szCs w:val="19"/>
        </w:rPr>
        <w:t xml:space="preserve">daňovým </w:t>
      </w:r>
      <w:r w:rsidR="003D1494" w:rsidRPr="00E2163D">
        <w:rPr>
          <w:rFonts w:ascii="Verdana" w:hAnsi="Verdana"/>
          <w:color w:val="000000"/>
          <w:sz w:val="19"/>
          <w:szCs w:val="19"/>
        </w:rPr>
        <w:t>poplatníkem o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výzkum</w:t>
      </w:r>
      <w:r w:rsidR="003D1494" w:rsidRPr="00E2163D">
        <w:rPr>
          <w:rFonts w:ascii="Verdana" w:hAnsi="Verdana"/>
          <w:color w:val="000000"/>
          <w:sz w:val="19"/>
          <w:szCs w:val="19"/>
        </w:rPr>
        <w:t xml:space="preserve">u </w:t>
      </w:r>
      <w:r w:rsidR="0019339F" w:rsidRPr="00E2163D">
        <w:rPr>
          <w:rFonts w:ascii="Verdana" w:hAnsi="Verdana"/>
          <w:color w:val="000000"/>
          <w:sz w:val="19"/>
          <w:szCs w:val="19"/>
        </w:rPr>
        <w:t>a experimentální</w:t>
      </w:r>
      <w:r w:rsidR="003D1494" w:rsidRPr="00E2163D">
        <w:rPr>
          <w:rFonts w:ascii="Verdana" w:hAnsi="Verdana"/>
          <w:color w:val="000000"/>
          <w:sz w:val="19"/>
          <w:szCs w:val="19"/>
        </w:rPr>
        <w:t>m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vývoj</w:t>
      </w:r>
      <w:r w:rsidR="003D1494" w:rsidRPr="00E2163D">
        <w:rPr>
          <w:rFonts w:ascii="Verdana" w:hAnsi="Verdana"/>
          <w:color w:val="000000"/>
          <w:sz w:val="19"/>
          <w:szCs w:val="19"/>
        </w:rPr>
        <w:t>i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požadavky odstavce 2 Z 1. </w:t>
      </w:r>
      <w:r w:rsidR="003D1494" w:rsidRPr="00E2163D">
        <w:rPr>
          <w:rFonts w:ascii="Verdana" w:hAnsi="Verdana"/>
          <w:color w:val="000000"/>
          <w:sz w:val="19"/>
          <w:szCs w:val="19"/>
        </w:rPr>
        <w:t>Pokud již bylo předloženo oficiální potvrzení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 podle článku 118a federální</w:t>
      </w:r>
      <w:r w:rsidR="003D1494" w:rsidRPr="00E2163D">
        <w:rPr>
          <w:rFonts w:ascii="Verdana" w:hAnsi="Verdana"/>
          <w:color w:val="000000"/>
          <w:sz w:val="19"/>
          <w:szCs w:val="19"/>
        </w:rPr>
        <w:t>ho</w:t>
      </w:r>
      <w:r w:rsidR="00FC47BD">
        <w:rPr>
          <w:rFonts w:ascii="Verdana" w:hAnsi="Verdana"/>
          <w:color w:val="000000"/>
          <w:sz w:val="19"/>
          <w:szCs w:val="19"/>
        </w:rPr>
        <w:t xml:space="preserve"> daňového zákona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, </w:t>
      </w:r>
      <w:r w:rsidR="003D1494" w:rsidRPr="00E2163D">
        <w:rPr>
          <w:rFonts w:ascii="Verdana" w:hAnsi="Verdana"/>
          <w:color w:val="000000"/>
          <w:sz w:val="19"/>
          <w:szCs w:val="19"/>
        </w:rPr>
        <w:t xml:space="preserve">dostačuje dobrozdání, že provedený 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výzkum a experimentální vývoj odpovídá potvrzení </w:t>
      </w:r>
      <w:r w:rsidR="003D1494" w:rsidRPr="00E2163D">
        <w:rPr>
          <w:rFonts w:ascii="Verdana" w:hAnsi="Verdana"/>
          <w:color w:val="000000"/>
          <w:sz w:val="19"/>
          <w:szCs w:val="19"/>
        </w:rPr>
        <w:t xml:space="preserve">nebo od něj není </w:t>
      </w:r>
      <w:r w:rsidR="0019339F" w:rsidRPr="00E2163D">
        <w:rPr>
          <w:rFonts w:ascii="Verdana" w:hAnsi="Verdana"/>
          <w:color w:val="000000"/>
          <w:sz w:val="19"/>
          <w:szCs w:val="19"/>
        </w:rPr>
        <w:t>podstatně odlišné.</w:t>
      </w:r>
    </w:p>
    <w:p w:rsidR="0019339F" w:rsidRPr="00E2163D" w:rsidRDefault="003D1494" w:rsidP="0019339F">
      <w:pPr>
        <w:shd w:val="clear" w:color="auto" w:fill="F9F9F9"/>
        <w:spacing w:before="80" w:after="192" w:line="240" w:lineRule="auto"/>
        <w:ind w:firstLine="397"/>
      </w:pPr>
      <w:r w:rsidRPr="00E2163D">
        <w:rPr>
          <w:rFonts w:ascii="Verdana" w:hAnsi="Verdana"/>
          <w:color w:val="000000"/>
          <w:sz w:val="19"/>
          <w:szCs w:val="19"/>
        </w:rPr>
        <w:t>(8) P</w:t>
      </w:r>
      <w:r w:rsidR="0019339F" w:rsidRPr="00E2163D">
        <w:rPr>
          <w:rFonts w:ascii="Verdana" w:hAnsi="Verdana"/>
          <w:color w:val="000000"/>
          <w:sz w:val="19"/>
          <w:szCs w:val="19"/>
        </w:rPr>
        <w:t>ro</w:t>
      </w:r>
      <w:r w:rsidRPr="00E2163D">
        <w:rPr>
          <w:rFonts w:ascii="Verdana" w:hAnsi="Verdana"/>
          <w:color w:val="000000"/>
          <w:sz w:val="19"/>
          <w:szCs w:val="19"/>
        </w:rPr>
        <w:t xml:space="preserve"> vyhotovení posudku od </w:t>
      </w:r>
      <w:r w:rsidR="0019339F" w:rsidRPr="00E2163D">
        <w:rPr>
          <w:rFonts w:ascii="Verdana" w:hAnsi="Verdana"/>
          <w:color w:val="000000"/>
          <w:sz w:val="19"/>
          <w:szCs w:val="19"/>
        </w:rPr>
        <w:t>FFG platí následující:</w:t>
      </w:r>
    </w:p>
    <w:tbl>
      <w:tblPr>
        <w:tblW w:w="103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"/>
        <w:gridCol w:w="120"/>
        <w:gridCol w:w="932"/>
        <w:gridCol w:w="1275"/>
        <w:gridCol w:w="1248"/>
        <w:gridCol w:w="1224"/>
        <w:gridCol w:w="1208"/>
        <w:gridCol w:w="1191"/>
        <w:gridCol w:w="1693"/>
        <w:gridCol w:w="1228"/>
        <w:gridCol w:w="47"/>
      </w:tblGrid>
      <w:tr w:rsidR="0019339F" w:rsidRPr="00E2163D" w:rsidTr="0019339F">
        <w:tc>
          <w:tcPr>
            <w:tcW w:w="1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39F" w:rsidRPr="00E2163D" w:rsidTr="0019339F"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1.</w:t>
            </w:r>
          </w:p>
        </w:tc>
        <w:tc>
          <w:tcPr>
            <w:tcW w:w="8771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69147E" w:rsidP="00B60F79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FFG vytváří posudek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>pouze na základě informací poskytnutých d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aňovými poplatníky a – s výhradou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Z 4 – </w:t>
            </w:r>
            <w:r w:rsidR="00B60F79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nehodnotí jejich pravdivost a úplnost. </w:t>
            </w:r>
          </w:p>
        </w:tc>
        <w:tc>
          <w:tcPr>
            <w:tcW w:w="1275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  <w:tr w:rsidR="0019339F" w:rsidRPr="00E2163D" w:rsidTr="0019339F"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2.</w:t>
            </w:r>
          </w:p>
        </w:tc>
        <w:tc>
          <w:tcPr>
            <w:tcW w:w="8771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B60F79" w:rsidP="00B60F79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FFG v posudku neposuzuje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, zda a do jaké míry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náklady nebo výdaje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na výzkum a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experimentální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>vývoj jsou s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oučástí základu pro výpočet prémie za výzkum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>.</w:t>
            </w:r>
          </w:p>
        </w:tc>
        <w:tc>
          <w:tcPr>
            <w:tcW w:w="1275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  <w:tr w:rsidR="0019339F" w:rsidRPr="00E2163D" w:rsidTr="0019339F"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3.</w:t>
            </w:r>
          </w:p>
        </w:tc>
        <w:tc>
          <w:tcPr>
            <w:tcW w:w="8771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B60F79" w:rsidP="00B60F79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FFG musí uchovat jeden vystavený posudek až do nažízení o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odstranění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ze strany finančního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úřadu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. </w:t>
            </w:r>
          </w:p>
        </w:tc>
        <w:tc>
          <w:tcPr>
            <w:tcW w:w="1275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  <w:tr w:rsidR="0019339F" w:rsidRPr="00E2163D" w:rsidTr="0019339F"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4.</w:t>
            </w:r>
          </w:p>
        </w:tc>
        <w:tc>
          <w:tcPr>
            <w:tcW w:w="8771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 w:rsidP="00D122E6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S</w:t>
            </w:r>
            <w:r w:rsidR="00B60F79" w:rsidRPr="00E2163D">
              <w:rPr>
                <w:rFonts w:ascii="Verdana" w:hAnsi="Verdana"/>
                <w:color w:val="000000"/>
                <w:sz w:val="19"/>
                <w:szCs w:val="19"/>
              </w:rPr>
              <w:t>e souhlasem daňového poplatníka může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FFG</w:t>
            </w:r>
            <w:r w:rsidR="00B60F79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porovnávat jím předané informace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</w:t>
            </w:r>
            <w:r w:rsidR="00B60F79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s osobními údaji o příslušném daňovém poplatníkovi z již uzavřených nebo čekajících dotačních případů.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Jinak je FFG</w:t>
            </w:r>
            <w:r w:rsidR="00B60F79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opravněna ke srování </w:t>
            </w:r>
            <w:r w:rsidR="00D122E6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informací poskytnutých daňovým poplatníkem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pouze v případě, že </w:t>
            </w:r>
            <w:r w:rsidR="00B60F79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existuje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důvodné podezření o nesprávnosti nebo neúplnosti</w:t>
            </w:r>
            <w:r w:rsidR="00D122E6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. V posudku budou uvedeny výsledky tohoto srovnání. </w:t>
            </w:r>
          </w:p>
        </w:tc>
        <w:tc>
          <w:tcPr>
            <w:tcW w:w="1275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  <w:tr w:rsidR="0019339F" w:rsidRPr="00E2163D" w:rsidTr="0019339F"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5.</w:t>
            </w:r>
          </w:p>
        </w:tc>
        <w:tc>
          <w:tcPr>
            <w:tcW w:w="8771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12042" w:rsidRPr="00E2163D" w:rsidRDefault="0019339F" w:rsidP="00A12042">
            <w:pPr>
              <w:spacing w:before="40" w:after="0" w:line="240" w:lineRule="auto"/>
              <w:rPr>
                <w:rFonts w:ascii="Verdana" w:hAnsi="Verdana"/>
                <w:color w:val="000000"/>
                <w:sz w:val="19"/>
                <w:szCs w:val="19"/>
              </w:rPr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Se</w:t>
            </w:r>
            <w:r w:rsidR="00A12042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souhlasem daňového poplatníka poskytne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finanční úřad FFG přístup k informacím z</w:t>
            </w:r>
            <w:r w:rsidR="00A12042" w:rsidRPr="00E2163D">
              <w:rPr>
                <w:rFonts w:ascii="Verdana" w:hAnsi="Verdana"/>
                <w:color w:val="000000"/>
                <w:sz w:val="19"/>
                <w:szCs w:val="19"/>
              </w:rPr>
              <w:t> 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žádost</w:t>
            </w:r>
            <w:r w:rsidR="00A12042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i o posudek pro srovnání informací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existující</w:t>
            </w:r>
            <w:r w:rsidR="00A12042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o daném daňovém poplatníkovi  s dostupnými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osobní</w:t>
            </w:r>
            <w:r w:rsidR="00A12042" w:rsidRPr="00E2163D">
              <w:rPr>
                <w:rFonts w:ascii="Verdana" w:hAnsi="Verdana"/>
                <w:color w:val="000000"/>
                <w:sz w:val="19"/>
                <w:szCs w:val="19"/>
              </w:rPr>
              <w:t>mi údaji z již uzavřených neb</w:t>
            </w:r>
            <w:r w:rsidR="00FC47BD">
              <w:rPr>
                <w:rFonts w:ascii="Verdana" w:hAnsi="Verdana"/>
                <w:color w:val="000000"/>
                <w:sz w:val="19"/>
                <w:szCs w:val="19"/>
              </w:rPr>
              <w:t>o čekajících dotačních případů.</w:t>
            </w:r>
            <w:r w:rsidR="00A12042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Jinak je finanční úřad oprávněn podat informace o daňovém poplatníkovi ke srovnání pouze v případě, že existuje důvodné podezření o nesprávnosti nebo neúplnosti.</w:t>
            </w:r>
          </w:p>
          <w:p w:rsidR="0019339F" w:rsidRPr="00E2163D" w:rsidRDefault="00A12042" w:rsidP="00A12042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1275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  <w:tr w:rsidR="0019339F" w:rsidRPr="00E2163D" w:rsidTr="0019339F"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6.</w:t>
            </w:r>
          </w:p>
        </w:tc>
        <w:tc>
          <w:tcPr>
            <w:tcW w:w="8771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CF337D" w:rsidP="00BB6797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Daňový poplatník žádá elektronicky o posudek FFG, </w:t>
            </w:r>
            <w:r w:rsidR="00FC47BD">
              <w:rPr>
                <w:rFonts w:ascii="Verdana" w:hAnsi="Verdana"/>
                <w:color w:val="000000"/>
                <w:sz w:val="19"/>
                <w:szCs w:val="19"/>
              </w:rPr>
              <w:t>př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ičemž využívá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>FinanzOnline jako zprostředkovatel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e ověření.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FFG musí předkládat zprávy s odkazem na žádost </w:t>
            </w:r>
            <w:r w:rsidR="00BB6797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daňového poplatníka podanou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>prostřednictvím FinanzOnline</w:t>
            </w:r>
            <w:r w:rsidR="00BB6797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a poskytne je daňovému poplatníkovi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k nahlédnutí.</w:t>
            </w:r>
          </w:p>
        </w:tc>
        <w:tc>
          <w:tcPr>
            <w:tcW w:w="1275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  <w:tr w:rsidR="0019339F" w:rsidRPr="00E2163D" w:rsidTr="0019339F"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7.</w:t>
            </w:r>
          </w:p>
        </w:tc>
        <w:tc>
          <w:tcPr>
            <w:tcW w:w="8771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BB6797" w:rsidP="00BB6797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Spolková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ministr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yně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financí je oprávněn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a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stanovit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skrze nařízení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>prov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edení vystavení posudku jakož i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obsah a postup elektron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ické žádosti a předání posudku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>.</w:t>
            </w:r>
          </w:p>
        </w:tc>
        <w:tc>
          <w:tcPr>
            <w:tcW w:w="1275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</w:tbl>
    <w:p w:rsidR="0019339F" w:rsidRPr="00E2163D" w:rsidRDefault="00C76567" w:rsidP="0019339F">
      <w:pPr>
        <w:shd w:val="clear" w:color="auto" w:fill="F9F9F9"/>
        <w:spacing w:before="80" w:after="192" w:line="240" w:lineRule="auto"/>
        <w:ind w:firstLine="397"/>
        <w:rPr>
          <w:rFonts w:ascii="Calibri" w:hAnsi="Calibri"/>
        </w:rPr>
      </w:pPr>
      <w:r w:rsidRPr="00E2163D">
        <w:rPr>
          <w:rFonts w:ascii="Verdana" w:hAnsi="Verdana"/>
          <w:color w:val="000000"/>
          <w:sz w:val="19"/>
          <w:szCs w:val="19"/>
        </w:rPr>
        <w:t>(9) F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inanční úřad má na žádost </w:t>
      </w:r>
      <w:r w:rsidRPr="00E2163D">
        <w:rPr>
          <w:rFonts w:ascii="Verdana" w:hAnsi="Verdana"/>
          <w:color w:val="000000"/>
          <w:sz w:val="19"/>
          <w:szCs w:val="19"/>
        </w:rPr>
        <w:t>daňového poplatníka vydat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oznámení o stanovení </w:t>
      </w:r>
      <w:r w:rsidRPr="00E2163D">
        <w:rPr>
          <w:rFonts w:ascii="Verdana" w:hAnsi="Verdana"/>
          <w:color w:val="000000"/>
          <w:sz w:val="19"/>
          <w:szCs w:val="19"/>
        </w:rPr>
        <w:t>výše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základny pro </w:t>
      </w:r>
      <w:r w:rsidRPr="00E2163D">
        <w:rPr>
          <w:rFonts w:ascii="Verdana" w:hAnsi="Verdana"/>
          <w:color w:val="000000"/>
          <w:sz w:val="19"/>
          <w:szCs w:val="19"/>
        </w:rPr>
        <w:t>výpočet prémie za firemní v</w:t>
      </w:r>
      <w:r w:rsidR="0019339F" w:rsidRPr="00E2163D">
        <w:rPr>
          <w:rFonts w:ascii="Verdana" w:hAnsi="Verdana"/>
          <w:color w:val="000000"/>
          <w:sz w:val="19"/>
          <w:szCs w:val="19"/>
        </w:rPr>
        <w:t>ýzkum</w:t>
      </w:r>
      <w:r w:rsidRPr="00E2163D">
        <w:rPr>
          <w:rFonts w:ascii="Verdana" w:hAnsi="Verdana"/>
          <w:color w:val="000000"/>
          <w:sz w:val="19"/>
          <w:szCs w:val="19"/>
        </w:rPr>
        <w:t xml:space="preserve">, pokud během </w:t>
      </w:r>
      <w:r w:rsidR="0019339F" w:rsidRPr="00E2163D">
        <w:rPr>
          <w:rFonts w:ascii="Verdana" w:hAnsi="Verdana"/>
          <w:color w:val="000000"/>
          <w:sz w:val="19"/>
          <w:szCs w:val="19"/>
        </w:rPr>
        <w:t>předložení</w:t>
      </w:r>
      <w:r w:rsidRPr="00E2163D">
        <w:rPr>
          <w:rFonts w:ascii="Verdana" w:hAnsi="Verdana"/>
          <w:color w:val="000000"/>
          <w:sz w:val="19"/>
          <w:szCs w:val="19"/>
        </w:rPr>
        <w:t xml:space="preserve"> žádosti</w:t>
      </w:r>
    </w:p>
    <w:tbl>
      <w:tblPr>
        <w:tblW w:w="104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"/>
        <w:gridCol w:w="202"/>
        <w:gridCol w:w="922"/>
        <w:gridCol w:w="1258"/>
        <w:gridCol w:w="1230"/>
        <w:gridCol w:w="1208"/>
        <w:gridCol w:w="1189"/>
        <w:gridCol w:w="1174"/>
        <w:gridCol w:w="1592"/>
        <w:gridCol w:w="1306"/>
        <w:gridCol w:w="46"/>
      </w:tblGrid>
      <w:tr w:rsidR="0019339F" w:rsidRPr="00E2163D" w:rsidTr="0019339F">
        <w:tc>
          <w:tcPr>
            <w:tcW w:w="3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1933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39F" w:rsidRPr="00E2163D" w:rsidTr="0019339F"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a)</w:t>
            </w:r>
          </w:p>
        </w:tc>
        <w:tc>
          <w:tcPr>
            <w:tcW w:w="8573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 w:rsidP="00FC47BD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bylo</w:t>
            </w:r>
            <w:r w:rsidR="00C76567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vě</w:t>
            </w:r>
            <w:r w:rsidR="00E666C1" w:rsidRPr="00E2163D">
              <w:rPr>
                <w:rFonts w:ascii="Verdana" w:hAnsi="Verdana"/>
                <w:color w:val="000000"/>
                <w:sz w:val="19"/>
                <w:szCs w:val="19"/>
              </w:rPr>
              <w:t>rohodně prokázáno</w:t>
            </w:r>
            <w:r w:rsidR="00C76567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, že realizovaný obsah odpovídá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požadavkům </w:t>
            </w:r>
            <w:r w:rsidR="00C76567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na 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výzkumu a experimentální</w:t>
            </w:r>
            <w:r w:rsidR="00C76567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vývoj podle odstavce 2 Z 1 jakož i</w:t>
            </w:r>
          </w:p>
        </w:tc>
        <w:tc>
          <w:tcPr>
            <w:tcW w:w="1350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  <w:tr w:rsidR="0019339F" w:rsidRPr="00E2163D" w:rsidTr="0019339F"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19339F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b)</w:t>
            </w:r>
          </w:p>
        </w:tc>
        <w:tc>
          <w:tcPr>
            <w:tcW w:w="8573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9339F" w:rsidRPr="00E2163D" w:rsidRDefault="00E666C1" w:rsidP="00FC47BD">
            <w:pPr>
              <w:spacing w:before="40" w:after="0" w:line="240" w:lineRule="auto"/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>bylo prokázáno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, že základ daně pro </w:t>
            </w:r>
            <w:r w:rsidR="00C76567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výpočet prémie za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výzkum </w:t>
            </w:r>
            <w:r w:rsidR="00C76567" w:rsidRPr="00E2163D">
              <w:rPr>
                <w:rFonts w:ascii="Verdana" w:hAnsi="Verdana"/>
                <w:color w:val="000000"/>
                <w:sz w:val="19"/>
                <w:szCs w:val="19"/>
              </w:rPr>
              <w:t>b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>yl</w:t>
            </w:r>
            <w:r w:rsidR="00FC47BD">
              <w:rPr>
                <w:rFonts w:ascii="Verdana" w:hAnsi="Verdana"/>
                <w:color w:val="000000"/>
                <w:sz w:val="19"/>
                <w:szCs w:val="19"/>
              </w:rPr>
              <w:t xml:space="preserve"> zjištěn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správně.</w:t>
            </w:r>
          </w:p>
        </w:tc>
        <w:tc>
          <w:tcPr>
            <w:tcW w:w="1350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  <w:tr w:rsidR="0019339F" w:rsidRPr="00E2163D" w:rsidTr="0019339F">
        <w:tc>
          <w:tcPr>
            <w:tcW w:w="9087" w:type="dxa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339F" w:rsidRPr="00E2163D" w:rsidRDefault="00E67E22" w:rsidP="00953E9A">
            <w:pPr>
              <w:spacing w:after="0" w:line="240" w:lineRule="auto"/>
              <w:rPr>
                <w:rFonts w:ascii="Verdana" w:hAnsi="Verdana"/>
                <w:color w:val="000000"/>
                <w:sz w:val="19"/>
                <w:szCs w:val="19"/>
              </w:rPr>
            </w:pP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Dobrozdání podle </w:t>
            </w:r>
            <w:r w:rsidR="00E666C1" w:rsidRPr="00E2163D">
              <w:rPr>
                <w:rFonts w:ascii="Verdana" w:hAnsi="Verdana"/>
                <w:color w:val="000000"/>
                <w:sz w:val="19"/>
                <w:szCs w:val="19"/>
              </w:rPr>
              <w:t>písmene</w:t>
            </w:r>
            <w:r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a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musí být provedeno na základě stanoviska FFG. </w:t>
            </w:r>
            <w:r w:rsidR="00E666C1" w:rsidRPr="00E2163D">
              <w:rPr>
                <w:rFonts w:ascii="Verdana" w:hAnsi="Verdana"/>
                <w:color w:val="000000"/>
                <w:sz w:val="19"/>
                <w:szCs w:val="19"/>
              </w:rPr>
              <w:t>Pokud již bylo předloženo oficiální potvrzení  podle článku 118a federálního</w:t>
            </w:r>
            <w:r w:rsidR="00FC47BD">
              <w:rPr>
                <w:rFonts w:ascii="Verdana" w:hAnsi="Verdana"/>
                <w:color w:val="000000"/>
                <w:sz w:val="19"/>
                <w:szCs w:val="19"/>
              </w:rPr>
              <w:t xml:space="preserve"> daňového zákona</w:t>
            </w:r>
            <w:r w:rsidR="00E666C1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, dostačuje dobrozdání, že provedený výzkum odpovídá potvrzení nebo od něj není podstatně odlišné. Důkaz podle písmene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>b</w:t>
            </w:r>
            <w:r w:rsidR="00E666C1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musí být doložen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>potvrzení</w:t>
            </w:r>
            <w:r w:rsidR="00E666C1" w:rsidRPr="00E2163D">
              <w:rPr>
                <w:rFonts w:ascii="Verdana" w:hAnsi="Verdana"/>
                <w:color w:val="000000"/>
                <w:sz w:val="19"/>
                <w:szCs w:val="19"/>
              </w:rPr>
              <w:t>m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auditora, které</w:t>
            </w:r>
            <w:r w:rsidR="00953E9A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na základě požadavků § 268 ff zákona o společnostech odpovídá zkoušce o souladu s platnými právními předpisy. Ustanovení podle 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§ 275 zákona </w:t>
            </w:r>
            <w:r w:rsidR="00953E9A" w:rsidRPr="00E2163D">
              <w:rPr>
                <w:rFonts w:ascii="Verdana" w:hAnsi="Verdana"/>
                <w:color w:val="000000"/>
                <w:sz w:val="19"/>
                <w:szCs w:val="19"/>
              </w:rPr>
              <w:t>o společnostech se použijí</w:t>
            </w:r>
            <w:r w:rsidR="0019339F" w:rsidRPr="00E2163D">
              <w:rPr>
                <w:rFonts w:ascii="Verdana" w:hAnsi="Verdana"/>
                <w:color w:val="000000"/>
                <w:sz w:val="19"/>
                <w:szCs w:val="19"/>
              </w:rPr>
              <w:t xml:space="preserve"> obdobně.</w:t>
            </w:r>
          </w:p>
          <w:p w:rsidR="00953E9A" w:rsidRPr="00E2163D" w:rsidRDefault="00953E9A" w:rsidP="00953E9A">
            <w:pPr>
              <w:spacing w:after="0" w:line="240" w:lineRule="auto"/>
              <w:rPr>
                <w:rFonts w:ascii="Verdana" w:hAnsi="Verdana"/>
                <w:color w:val="000000"/>
                <w:sz w:val="19"/>
                <w:szCs w:val="19"/>
              </w:rPr>
            </w:pPr>
          </w:p>
        </w:tc>
        <w:tc>
          <w:tcPr>
            <w:tcW w:w="1350" w:type="dxa"/>
            <w:gridSpan w:val="2"/>
            <w:vAlign w:val="center"/>
            <w:hideMark/>
          </w:tcPr>
          <w:p w:rsidR="0019339F" w:rsidRPr="00E2163D" w:rsidRDefault="0019339F">
            <w:r w:rsidRPr="00E2163D">
              <w:t> </w:t>
            </w:r>
          </w:p>
        </w:tc>
      </w:tr>
    </w:tbl>
    <w:p w:rsidR="0019339F" w:rsidRPr="00E2163D" w:rsidRDefault="00FA422A" w:rsidP="0019339F">
      <w:pPr>
        <w:shd w:val="clear" w:color="auto" w:fill="F9F9F9"/>
        <w:spacing w:after="0" w:line="240" w:lineRule="auto"/>
        <w:rPr>
          <w:rFonts w:ascii="Calibri" w:hAnsi="Calibri"/>
        </w:rPr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t>Klíčová slova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color w:val="000000"/>
          <w:sz w:val="19"/>
          <w:szCs w:val="19"/>
        </w:rPr>
        <w:t>Daňové přizná</w:t>
      </w:r>
      <w:r w:rsidR="00FA422A" w:rsidRPr="00E2163D">
        <w:rPr>
          <w:rFonts w:ascii="Verdana" w:hAnsi="Verdana"/>
          <w:color w:val="000000"/>
          <w:sz w:val="19"/>
          <w:szCs w:val="19"/>
        </w:rPr>
        <w:t>ní, daňové prohlášení, finančná úřad</w:t>
      </w:r>
      <w:r w:rsidRPr="00E2163D">
        <w:rPr>
          <w:rFonts w:ascii="Verdana" w:hAnsi="Verdana"/>
          <w:color w:val="000000"/>
          <w:sz w:val="19"/>
          <w:szCs w:val="19"/>
        </w:rPr>
        <w:t xml:space="preserve">, korporační daně  </w:t>
      </w:r>
    </w:p>
    <w:p w:rsidR="0019339F" w:rsidRPr="00E2163D" w:rsidRDefault="00FA422A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t xml:space="preserve">V </w:t>
      </w:r>
      <w:r w:rsidR="0019339F" w:rsidRPr="00E2163D">
        <w:rPr>
          <w:rFonts w:ascii="Verdana" w:hAnsi="Verdana"/>
          <w:b/>
          <w:bCs/>
          <w:color w:val="000000"/>
          <w:sz w:val="19"/>
          <w:szCs w:val="19"/>
        </w:rPr>
        <w:t>RIS od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color w:val="000000"/>
          <w:sz w:val="19"/>
          <w:szCs w:val="19"/>
        </w:rPr>
        <w:t xml:space="preserve">27.08.2015 </w:t>
      </w:r>
    </w:p>
    <w:p w:rsidR="0019339F" w:rsidRPr="00E2163D" w:rsidRDefault="00FA422A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t>N</w:t>
      </w:r>
      <w:r w:rsidR="0019339F" w:rsidRPr="00E2163D">
        <w:rPr>
          <w:rFonts w:ascii="Verdana" w:hAnsi="Verdana"/>
          <w:b/>
          <w:bCs/>
          <w:color w:val="000000"/>
          <w:sz w:val="19"/>
          <w:szCs w:val="19"/>
        </w:rPr>
        <w:t>aposledy aktualizován</w:t>
      </w:r>
      <w:r w:rsidRPr="00E2163D">
        <w:rPr>
          <w:rFonts w:ascii="Verdana" w:hAnsi="Verdana"/>
          <w:b/>
          <w:bCs/>
          <w:color w:val="000000"/>
          <w:sz w:val="19"/>
          <w:szCs w:val="19"/>
        </w:rPr>
        <w:t>o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color w:val="000000"/>
          <w:sz w:val="19"/>
          <w:szCs w:val="19"/>
        </w:rPr>
        <w:t xml:space="preserve">14.07.2017 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t>Zákon číslo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color w:val="000000"/>
          <w:sz w:val="19"/>
          <w:szCs w:val="19"/>
        </w:rPr>
        <w:t xml:space="preserve">10004570 </w:t>
      </w:r>
    </w:p>
    <w:p w:rsidR="0019339F" w:rsidRPr="00E2163D" w:rsidRDefault="00FA422A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b/>
          <w:bCs/>
          <w:color w:val="000000"/>
          <w:sz w:val="19"/>
          <w:szCs w:val="19"/>
        </w:rPr>
        <w:lastRenderedPageBreak/>
        <w:t>Číslo dokumentu</w:t>
      </w:r>
    </w:p>
    <w:p w:rsidR="0019339F" w:rsidRPr="00E2163D" w:rsidRDefault="0019339F" w:rsidP="0019339F">
      <w:pPr>
        <w:shd w:val="clear" w:color="auto" w:fill="F9F9F9"/>
        <w:spacing w:after="0" w:line="240" w:lineRule="auto"/>
      </w:pPr>
      <w:r w:rsidRPr="00E2163D">
        <w:rPr>
          <w:rFonts w:ascii="Verdana" w:hAnsi="Verdana"/>
          <w:color w:val="000000"/>
          <w:sz w:val="19"/>
          <w:szCs w:val="19"/>
        </w:rPr>
        <w:t xml:space="preserve">NOR40174062 </w:t>
      </w:r>
    </w:p>
    <w:p w:rsidR="0019339F" w:rsidRPr="00E2163D" w:rsidRDefault="008576F8" w:rsidP="0019339F">
      <w:pPr>
        <w:spacing w:after="0" w:line="240" w:lineRule="auto"/>
      </w:pPr>
      <w:hyperlink r:id="rId28" w:tgtFrame="_top" w:history="1">
        <w:r w:rsidR="0019339F" w:rsidRPr="00E2163D">
          <w:rPr>
            <w:rStyle w:val="Hypertextovodkaz"/>
            <w:rFonts w:ascii="Verdana" w:hAnsi="Verdana"/>
            <w:color w:val="000000"/>
            <w:sz w:val="19"/>
            <w:szCs w:val="19"/>
            <w:bdr w:val="none" w:sz="0" w:space="0" w:color="auto" w:frame="1"/>
          </w:rPr>
          <w:t xml:space="preserve">Začátek stránky </w:t>
        </w:r>
      </w:hyperlink>
      <w:r w:rsidR="0019339F" w:rsidRPr="00E2163D">
        <w:rPr>
          <w:rFonts w:ascii="Verdana" w:hAnsi="Verdana"/>
          <w:color w:val="000000"/>
          <w:sz w:val="19"/>
          <w:szCs w:val="19"/>
          <w:bdr w:val="none" w:sz="0" w:space="0" w:color="auto" w:frame="1"/>
        </w:rPr>
        <w:t>.</w:t>
      </w:r>
      <w:r w:rsidR="0019339F" w:rsidRPr="00E2163D">
        <w:rPr>
          <w:rFonts w:ascii="Verdana" w:hAnsi="Verdana"/>
          <w:color w:val="000000"/>
          <w:sz w:val="19"/>
          <w:szCs w:val="19"/>
        </w:rPr>
        <w:t xml:space="preserve"> </w:t>
      </w:r>
    </w:p>
    <w:p w:rsidR="00D84BBD" w:rsidRPr="00D84BBD" w:rsidRDefault="00D84BBD" w:rsidP="00D84BB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cs-CZ"/>
        </w:rPr>
      </w:pPr>
      <w:r w:rsidRPr="00E2163D">
        <w:rPr>
          <w:rFonts w:ascii="Arial" w:eastAsia="Times New Roman" w:hAnsi="Arial" w:cs="Arial"/>
          <w:vanish/>
          <w:sz w:val="16"/>
          <w:szCs w:val="16"/>
          <w:lang w:eastAsia="cs-CZ"/>
        </w:rPr>
        <w:t>Konec formuláře</w:t>
      </w:r>
    </w:p>
    <w:p w:rsidR="008F0A33" w:rsidRDefault="008F0A33"/>
    <w:sectPr w:rsidR="008F0A33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dmin" w:date="2018-02-07T18:30:00Z" w:initials="Ad">
    <w:p w:rsidR="00AD4291" w:rsidRDefault="00AD4291">
      <w:pPr>
        <w:pStyle w:val="Textkomente"/>
      </w:pPr>
      <w:r>
        <w:rPr>
          <w:rStyle w:val="Odkaznakoment"/>
        </w:rPr>
        <w:annotationRef/>
      </w:r>
      <w:r>
        <w:rPr>
          <w:rFonts w:ascii="Arial" w:hAnsi="Arial" w:cs="Arial"/>
          <w:color w:val="545454"/>
          <w:shd w:val="clear" w:color="auto" w:fill="FFFFFF"/>
        </w:rPr>
        <w:t>Mitunternehmer – osoba, která je podle občanského práva společníkem obchodní společností utvořené soukromým podnikatelem t.z. osobní společnosti.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AA9" w:rsidRDefault="00955AA9" w:rsidP="009A4613">
      <w:pPr>
        <w:spacing w:after="0" w:line="240" w:lineRule="auto"/>
      </w:pPr>
      <w:r>
        <w:separator/>
      </w:r>
    </w:p>
  </w:endnote>
  <w:endnote w:type="continuationSeparator" w:id="0">
    <w:p w:rsidR="00955AA9" w:rsidRDefault="00955AA9" w:rsidP="009A4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F8" w:rsidRDefault="008576F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F8" w:rsidRDefault="008576F8">
    <w:pPr>
      <w:pStyle w:val="Zpat"/>
    </w:pPr>
    <w:r>
      <w:t>Alena Reslová</w:t>
    </w:r>
    <w:r>
      <w:tab/>
    </w:r>
    <w:r>
      <w:tab/>
    </w:r>
    <w:bookmarkStart w:id="1" w:name="_GoBack"/>
    <w:bookmarkEnd w:id="1"/>
    <w:r>
      <w:t>8. 2. 2018</w:t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F8" w:rsidRDefault="008576F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AA9" w:rsidRDefault="00955AA9" w:rsidP="009A4613">
      <w:pPr>
        <w:spacing w:after="0" w:line="240" w:lineRule="auto"/>
      </w:pPr>
      <w:r>
        <w:separator/>
      </w:r>
    </w:p>
  </w:footnote>
  <w:footnote w:type="continuationSeparator" w:id="0">
    <w:p w:rsidR="00955AA9" w:rsidRDefault="00955AA9" w:rsidP="009A4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F8" w:rsidRDefault="008576F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F8" w:rsidRDefault="008576F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6F8" w:rsidRDefault="008576F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744"/>
    <w:multiLevelType w:val="multilevel"/>
    <w:tmpl w:val="8DBE4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4A53E6"/>
    <w:multiLevelType w:val="multilevel"/>
    <w:tmpl w:val="A5FAF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DD28D1"/>
    <w:multiLevelType w:val="multilevel"/>
    <w:tmpl w:val="2A460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67754E"/>
    <w:multiLevelType w:val="multilevel"/>
    <w:tmpl w:val="F9A48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BBD"/>
    <w:rsid w:val="00080EB7"/>
    <w:rsid w:val="0019339F"/>
    <w:rsid w:val="001F1F74"/>
    <w:rsid w:val="00222668"/>
    <w:rsid w:val="002A7EF2"/>
    <w:rsid w:val="00315C39"/>
    <w:rsid w:val="00391479"/>
    <w:rsid w:val="003D1494"/>
    <w:rsid w:val="004071E4"/>
    <w:rsid w:val="00504DFC"/>
    <w:rsid w:val="00530834"/>
    <w:rsid w:val="005D52CC"/>
    <w:rsid w:val="0069147E"/>
    <w:rsid w:val="007D066A"/>
    <w:rsid w:val="008576F8"/>
    <w:rsid w:val="008F0A33"/>
    <w:rsid w:val="00903EB8"/>
    <w:rsid w:val="009460C8"/>
    <w:rsid w:val="00953E9A"/>
    <w:rsid w:val="00955AA9"/>
    <w:rsid w:val="009A4613"/>
    <w:rsid w:val="00A12042"/>
    <w:rsid w:val="00AD4291"/>
    <w:rsid w:val="00B24498"/>
    <w:rsid w:val="00B60F79"/>
    <w:rsid w:val="00B964BD"/>
    <w:rsid w:val="00BB6797"/>
    <w:rsid w:val="00C76567"/>
    <w:rsid w:val="00CC3A98"/>
    <w:rsid w:val="00CF337D"/>
    <w:rsid w:val="00D122E6"/>
    <w:rsid w:val="00D25761"/>
    <w:rsid w:val="00D57A99"/>
    <w:rsid w:val="00D84BBD"/>
    <w:rsid w:val="00DC085B"/>
    <w:rsid w:val="00E2163D"/>
    <w:rsid w:val="00E666C1"/>
    <w:rsid w:val="00E67E22"/>
    <w:rsid w:val="00F702CB"/>
    <w:rsid w:val="00FA422A"/>
    <w:rsid w:val="00FC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D84B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D84B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D84B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84BB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84BB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D84BB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D84BB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D84BBD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onlyscreenreader">
    <w:name w:val="onlyscreenreader"/>
    <w:basedOn w:val="Standardnpsmoodstavce"/>
    <w:rsid w:val="00D84BBD"/>
  </w:style>
  <w:style w:type="character" w:styleId="Hypertextovodkaz">
    <w:name w:val="Hyperlink"/>
    <w:basedOn w:val="Standardnpsmoodstavce"/>
    <w:uiPriority w:val="99"/>
    <w:semiHidden/>
    <w:unhideWhenUsed/>
    <w:rsid w:val="00D84BBD"/>
    <w:rPr>
      <w:color w:val="0000FF"/>
      <w:u w:val="single"/>
    </w:rPr>
  </w:style>
  <w:style w:type="character" w:customStyle="1" w:styleId="tabstriptabselected">
    <w:name w:val="tabstriptabselected"/>
    <w:basedOn w:val="Standardnpsmoodstavce"/>
    <w:rsid w:val="00D84BBD"/>
  </w:style>
  <w:style w:type="character" w:customStyle="1" w:styleId="anchorbody">
    <w:name w:val="anchorbody"/>
    <w:basedOn w:val="Standardnpsmoodstavce"/>
    <w:rsid w:val="00D84BBD"/>
  </w:style>
  <w:style w:type="character" w:customStyle="1" w:styleId="tabstriptab">
    <w:name w:val="tabstriptab"/>
    <w:basedOn w:val="Standardnpsmoodstavce"/>
    <w:rsid w:val="00D84BBD"/>
  </w:style>
  <w:style w:type="character" w:customStyle="1" w:styleId="printpreview">
    <w:name w:val="printpreview"/>
    <w:basedOn w:val="Standardnpsmoodstavce"/>
    <w:rsid w:val="00D84BBD"/>
  </w:style>
  <w:style w:type="character" w:customStyle="1" w:styleId="highlighted">
    <w:name w:val="highlighted"/>
    <w:basedOn w:val="Standardnpsmoodstavce"/>
    <w:rsid w:val="00D84BBD"/>
  </w:style>
  <w:style w:type="paragraph" w:customStyle="1" w:styleId="ueberschrpara">
    <w:name w:val="ueberschrpara"/>
    <w:basedOn w:val="Normln"/>
    <w:rsid w:val="00D8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">
    <w:name w:val="abs"/>
    <w:basedOn w:val="Normln"/>
    <w:rsid w:val="00D8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gldsymbol">
    <w:name w:val="gldsymbol"/>
    <w:basedOn w:val="Standardnpsmoodstavce"/>
    <w:rsid w:val="00D84BBD"/>
  </w:style>
  <w:style w:type="paragraph" w:customStyle="1" w:styleId="ziffere1">
    <w:name w:val="ziffere1"/>
    <w:basedOn w:val="Normln"/>
    <w:rsid w:val="00D8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riche2">
    <w:name w:val="striche2"/>
    <w:basedOn w:val="Normln"/>
    <w:rsid w:val="00D8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chlussteilabs">
    <w:name w:val="schlussteilabs"/>
    <w:basedOn w:val="Normln"/>
    <w:rsid w:val="00D8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terae1">
    <w:name w:val="literae1"/>
    <w:basedOn w:val="Normln"/>
    <w:rsid w:val="00D8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D84BB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D84BBD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B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A4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613"/>
  </w:style>
  <w:style w:type="paragraph" w:styleId="Zpat">
    <w:name w:val="footer"/>
    <w:basedOn w:val="Normln"/>
    <w:link w:val="ZpatChar"/>
    <w:uiPriority w:val="99"/>
    <w:unhideWhenUsed/>
    <w:rsid w:val="009A4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613"/>
  </w:style>
  <w:style w:type="character" w:styleId="Odkaznakoment">
    <w:name w:val="annotation reference"/>
    <w:basedOn w:val="Standardnpsmoodstavce"/>
    <w:uiPriority w:val="99"/>
    <w:semiHidden/>
    <w:unhideWhenUsed/>
    <w:rsid w:val="00AD42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2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2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2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291"/>
    <w:rPr>
      <w:b/>
      <w:bCs/>
      <w:sz w:val="20"/>
      <w:szCs w:val="20"/>
    </w:rPr>
  </w:style>
  <w:style w:type="character" w:styleId="Zvraznn">
    <w:name w:val="Emphasis"/>
    <w:basedOn w:val="Standardnpsmoodstavce"/>
    <w:uiPriority w:val="20"/>
    <w:qFormat/>
    <w:rsid w:val="00AD429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D84B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D84B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D84B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84BB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84BB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D84BB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D84BB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D84BBD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onlyscreenreader">
    <w:name w:val="onlyscreenreader"/>
    <w:basedOn w:val="Standardnpsmoodstavce"/>
    <w:rsid w:val="00D84BBD"/>
  </w:style>
  <w:style w:type="character" w:styleId="Hypertextovodkaz">
    <w:name w:val="Hyperlink"/>
    <w:basedOn w:val="Standardnpsmoodstavce"/>
    <w:uiPriority w:val="99"/>
    <w:semiHidden/>
    <w:unhideWhenUsed/>
    <w:rsid w:val="00D84BBD"/>
    <w:rPr>
      <w:color w:val="0000FF"/>
      <w:u w:val="single"/>
    </w:rPr>
  </w:style>
  <w:style w:type="character" w:customStyle="1" w:styleId="tabstriptabselected">
    <w:name w:val="tabstriptabselected"/>
    <w:basedOn w:val="Standardnpsmoodstavce"/>
    <w:rsid w:val="00D84BBD"/>
  </w:style>
  <w:style w:type="character" w:customStyle="1" w:styleId="anchorbody">
    <w:name w:val="anchorbody"/>
    <w:basedOn w:val="Standardnpsmoodstavce"/>
    <w:rsid w:val="00D84BBD"/>
  </w:style>
  <w:style w:type="character" w:customStyle="1" w:styleId="tabstriptab">
    <w:name w:val="tabstriptab"/>
    <w:basedOn w:val="Standardnpsmoodstavce"/>
    <w:rsid w:val="00D84BBD"/>
  </w:style>
  <w:style w:type="character" w:customStyle="1" w:styleId="printpreview">
    <w:name w:val="printpreview"/>
    <w:basedOn w:val="Standardnpsmoodstavce"/>
    <w:rsid w:val="00D84BBD"/>
  </w:style>
  <w:style w:type="character" w:customStyle="1" w:styleId="highlighted">
    <w:name w:val="highlighted"/>
    <w:basedOn w:val="Standardnpsmoodstavce"/>
    <w:rsid w:val="00D84BBD"/>
  </w:style>
  <w:style w:type="paragraph" w:customStyle="1" w:styleId="ueberschrpara">
    <w:name w:val="ueberschrpara"/>
    <w:basedOn w:val="Normln"/>
    <w:rsid w:val="00D8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">
    <w:name w:val="abs"/>
    <w:basedOn w:val="Normln"/>
    <w:rsid w:val="00D8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gldsymbol">
    <w:name w:val="gldsymbol"/>
    <w:basedOn w:val="Standardnpsmoodstavce"/>
    <w:rsid w:val="00D84BBD"/>
  </w:style>
  <w:style w:type="paragraph" w:customStyle="1" w:styleId="ziffere1">
    <w:name w:val="ziffere1"/>
    <w:basedOn w:val="Normln"/>
    <w:rsid w:val="00D8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riche2">
    <w:name w:val="striche2"/>
    <w:basedOn w:val="Normln"/>
    <w:rsid w:val="00D8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chlussteilabs">
    <w:name w:val="schlussteilabs"/>
    <w:basedOn w:val="Normln"/>
    <w:rsid w:val="00D8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terae1">
    <w:name w:val="literae1"/>
    <w:basedOn w:val="Normln"/>
    <w:rsid w:val="00D8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D84BB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D84BBD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BB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A4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613"/>
  </w:style>
  <w:style w:type="paragraph" w:styleId="Zpat">
    <w:name w:val="footer"/>
    <w:basedOn w:val="Normln"/>
    <w:link w:val="ZpatChar"/>
    <w:uiPriority w:val="99"/>
    <w:unhideWhenUsed/>
    <w:rsid w:val="009A4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613"/>
  </w:style>
  <w:style w:type="character" w:styleId="Odkaznakoment">
    <w:name w:val="annotation reference"/>
    <w:basedOn w:val="Standardnpsmoodstavce"/>
    <w:uiPriority w:val="99"/>
    <w:semiHidden/>
    <w:unhideWhenUsed/>
    <w:rsid w:val="00AD42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2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2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2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291"/>
    <w:rPr>
      <w:b/>
      <w:bCs/>
      <w:sz w:val="20"/>
      <w:szCs w:val="20"/>
    </w:rPr>
  </w:style>
  <w:style w:type="character" w:styleId="Zvraznn">
    <w:name w:val="Emphasis"/>
    <w:basedOn w:val="Standardnpsmoodstavce"/>
    <w:uiPriority w:val="20"/>
    <w:qFormat/>
    <w:rsid w:val="00AD42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1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5278">
          <w:marLeft w:val="2597"/>
          <w:marRight w:val="2597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8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8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1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9619449">
              <w:marLeft w:val="0"/>
              <w:marRight w:val="0"/>
              <w:marTop w:val="29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08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40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8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19143">
                      <w:marLeft w:val="0"/>
                      <w:marRight w:val="0"/>
                      <w:marTop w:val="96"/>
                      <w:marBottom w:val="0"/>
                      <w:divBdr>
                        <w:top w:val="single" w:sz="6" w:space="5" w:color="9D9C9C"/>
                        <w:left w:val="single" w:sz="6" w:space="5" w:color="9D9C9C"/>
                        <w:bottom w:val="single" w:sz="6" w:space="5" w:color="9D9C9C"/>
                        <w:right w:val="single" w:sz="6" w:space="5" w:color="9D9C9C"/>
                      </w:divBdr>
                      <w:divsChild>
                        <w:div w:id="14674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2940">
                          <w:marLeft w:val="0"/>
                          <w:marRight w:val="0"/>
                          <w:marTop w:val="192"/>
                          <w:marBottom w:val="19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25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93384">
                              <w:marLeft w:val="384"/>
                              <w:marRight w:val="0"/>
                              <w:marTop w:val="0"/>
                              <w:marBottom w:val="38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7533074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298851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050052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983021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74109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200509">
                                  <w:marLeft w:val="0"/>
                                  <w:marRight w:val="38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216451">
                                  <w:marLeft w:val="0"/>
                                  <w:marRight w:val="38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2205028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6948602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567703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866462">
                              <w:marLeft w:val="0"/>
                              <w:marRight w:val="0"/>
                              <w:marTop w:val="192"/>
                              <w:marBottom w:val="19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74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53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19040468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117857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703654">
                                  <w:marLeft w:val="0"/>
                                  <w:marRight w:val="38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554859">
                                  <w:marLeft w:val="0"/>
                                  <w:marRight w:val="38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7551123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605700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009722">
                                  <w:marLeft w:val="0"/>
                                  <w:marRight w:val="38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7877401">
              <w:marLeft w:val="0"/>
              <w:marRight w:val="0"/>
              <w:marTop w:val="28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icrosofttranslator.com/bv.aspx?from=de&amp;to=cs&amp;a=https%3A%2F%2Fwww.ris.bka.gv.at%2FUI%2FSiteMap.aspx" TargetMode="External"/><Relationship Id="rId18" Type="http://schemas.openxmlformats.org/officeDocument/2006/relationships/hyperlink" Target="https://www.microsofttranslator.com/bv.aspx?from=de&amp;to=cs&amp;a=https%3A%2F%2Fwww.ris.bka.gv.at%2FGesamtabfrage%2F" TargetMode="External"/><Relationship Id="rId26" Type="http://schemas.openxmlformats.org/officeDocument/2006/relationships/hyperlink" Target="https://www.microsofttranslator.com/bv.aspx?from=de&amp;to=cs&amp;a=https%3A%2F%2Fwww.ris.bka.gv.at%2Feli%2Fbgbl%2FI%2F2015%2F118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icrosofttranslator.com/bv.aspx?from=de&amp;to=cs&amp;a=https%3A%2F%2Fwww.ris.bka.gv.at%2FGeltendeFassungDatumsauswahl.wxe%3FAbfrage%3DBundesnormen%26Gesetzesnummer%3D10004570%26FassungVom%3D2017-04-25" TargetMode="External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www.microsofttranslator.com/bv.aspx?from=de&amp;to=cs&amp;a=https%3A%2F%2Fwww.ris.bka.gv.at%2FUI%2FKontakt.aspx" TargetMode="External"/><Relationship Id="rId17" Type="http://schemas.openxmlformats.org/officeDocument/2006/relationships/hyperlink" Target="https://www.microsofttranslator.com/bv.aspx?from=de&amp;to=cs&amp;a=https%3A%2F%2Fwww.ris.bka.gv.at%2FSonstige%2F" TargetMode="External"/><Relationship Id="rId25" Type="http://schemas.openxmlformats.org/officeDocument/2006/relationships/hyperlink" Target="https://www.microsofttranslator.com/bv.aspx?from=de&amp;to=cs&amp;a=https%3A%2F%2Fwww.ris.bka.gv.at%2FDokumente%2FBgblPdf%2F1988_400_0%2F1988_400_0.pdf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microsofttranslator.com/bv.aspx?from=de&amp;to=cs&amp;a=https%3A%2F%2Fwww.ris.bka.gv.at%2FGemeinde%2F" TargetMode="External"/><Relationship Id="rId20" Type="http://schemas.openxmlformats.org/officeDocument/2006/relationships/hyperlink" Target="https://www.microsofttranslator.com/bv.aspx?from=de&amp;to=cs&amp;a=https%3A%2F%2Fwww.ris.bka.gv.at%2FGeltendeFassung.wxe%3FAbfrage%3DBundesnormen%26Gesetzesnummer%3D10004570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icrosofttranslator.com/bv.aspx?from=de&amp;to=cs&amp;a=https%3A%2F%2Fwww.ris.bka.gv.at%2Fdefault.aspx" TargetMode="External"/><Relationship Id="rId24" Type="http://schemas.openxmlformats.org/officeDocument/2006/relationships/hyperlink" Target="https://www.microsofttranslator.com/bv.aspx?from=de&amp;to=cs&amp;a=https%3A%2F%2Fwww.ris.bka.gv.at%2FNormDokument.wxe%3FAbfrage%3DBundesnormen%26Gesetzesnummer%3D10004570%26Artikel%3D%26Paragraf%3D108c%26Anlage%3D%26Uebergangsrecht%3D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www.microsofttranslator.com/bv.aspx?from=de&amp;to=cs&amp;a=https%3A%2F%2Fwww.ris.bka.gv.at%2FdefaultEn.aspx" TargetMode="External"/><Relationship Id="rId23" Type="http://schemas.openxmlformats.org/officeDocument/2006/relationships/hyperlink" Target="https://www.microsofttranslator.com/bv.aspx?from=de&amp;to=cs&amp;a=https%3A%2F%2Fwww.ris.bka.gv.at%2FNormDokument.wxe%3FAbfrage%3DBundesnormen%26Gesetzesnummer%3D10004570%26FassungVom%3D2017-04-25%26Artikel%3D%26Paragraf%3D108d%26Anlage%3D%26Uebergangsrecht%3D" TargetMode="External"/><Relationship Id="rId28" Type="http://schemas.openxmlformats.org/officeDocument/2006/relationships/hyperlink" Target="https://www.microsofttranslator.com/bv.aspx?from=de&amp;to=cs&amp;a=https%3A%2F%2Fwww.ris.bka.gv.at%2FDokument.wxe%3FResultFunctionToken%3Dea25c6fb-23e8-423b-8b4e-95fa35ba035c%26Abfrage%3DBundesnormen%26Kundmachungsorgan%3D%26Index%3D%26Titel%3DEStG%26Gesetzesnummer%3D%26VonArtikel%3D%26BisArtikel%3D%26VonParagraf%3D108c%26BisParagraf%3D%26VonAnlage%3D%26BisAnlage%3D%26Typ%3D%26Kundmachungsnummer%3D%26Unterzeichnungsdatum%3D%26FassungVom%3D25.04.2017%26VonInkrafttretedatum%3D%26BisInkrafttretedatum%3D%26VonAusserkrafttretedatum%3D%26BisAusserkrafttretedatum%3D%26NormabschnittnummerKombination%3DUnd%26ImRisSeit%3DUndefined%26ResultPageSize%3D100%26Suchworte%3D%26Dokumentnummer%3DNOR40174062%23header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microsofttranslator.com/bv.aspx?from=de&amp;to=cs&amp;a=https%3A%2F%2Fwww.ris.bka.gv.at%2FDokument.wxe%3FResultFunctionToken%3Dea25c6fb-23e8-423b-8b4e-95fa35ba035c%26Abfrage%3DBundesnormen%26Kundmachungsorgan%3D%26Index%3D%26Titel%3DEStG%26Gesetzesnummer%3D%26VonArtikel%3D%26BisArtikel%3D%26VonParagraf%3D108c%26BisParagraf%3D%26VonAnlage%3D%26BisAnlage%3D%26Typ%3D%26Kundmachungsnummer%3D%26Unterzeichnungsdatum%3D%26FassungVom%3D25.04.2017%26VonInkrafttretedatum%3D%26BisInkrafttretedatum%3D%26VonAusserkrafttretedatum%3D%26BisAusserkrafttretedatum%3D%26NormabschnittnummerKombination%3DUnd%26ImRisSeit%3DUndefined%26ResultPageSize%3D100%26Suchworte%3D%26Dokumentnummer%3DNOR40174062%23navigation" TargetMode="External"/><Relationship Id="rId19" Type="http://schemas.openxmlformats.org/officeDocument/2006/relationships/hyperlink" Target="https://www.microsofttranslator.com/bv.aspx?from=de&amp;to=cs&amp;a=https%3A%2F%2Fwww.ris.bka.gv.at%2FDokument.wxe%3FResultFunctionToken%3Dea25c6fb-23e8-423b-8b4e-95fa35ba035c%26Abfrage%3DBundesnormen%26Kundmachungsorgan%3D%26Index%3D%26Titel%3DEStG%26Gesetzesnummer%3D%26VonArtikel%3D%26BisArtikel%3D%26VonParagraf%3D108c%26BisParagraf%3D%26VonAnlage%3D%26BisAnlage%3D%26Typ%3D%26Kundmachungsnummer%3D%26Unterzeichnungsdatum%3D%26FassungVom%3D25.04.2017%26VonInkrafttretedatum%3D%26BisInkrafttretedatum%3D%26VonAusserkrafttretedatum%3D%26BisAusserkrafttretedatum%3D%26NormabschnittnummerKombination%3DUnd%26ImRisSeit%3DUndefined%26ResultPageSize%3D100%26Suchworte%3D%26Dokumentnummer%3DNOR40174062%26ShowPrintPreview%3DTrue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microsofttranslator.com/bv.aspx?from=de&amp;to=cs&amp;a=https%3A%2F%2Fwww.ris.bka.gv.at%2FDokument.wxe%3FResultFunctionToken%3Dea25c6fb-23e8-423b-8b4e-95fa35ba035c%26Abfrage%3DBundesnormen%26Kundmachungsorgan%3D%26Index%3D%26Titel%3DEStG%26Gesetzesnummer%3D%26VonArtikel%3D%26BisArtikel%3D%26VonParagraf%3D108c%26BisParagraf%3D%26VonAnlage%3D%26BisAnlage%3D%26Typ%3D%26Kundmachungsnummer%3D%26Unterzeichnungsdatum%3D%26FassungVom%3D25.04.2017%26VonInkrafttretedatum%3D%26BisInkrafttretedatum%3D%26VonAusserkrafttretedatum%3D%26BisAusserkrafttretedatum%3D%26NormabschnittnummerKombination%3DUnd%26ImRisSeit%3DUndefined%26ResultPageSize%3D100%26Suchworte%3D%26Dokumentnummer%3DNOR40174062%23main" TargetMode="External"/><Relationship Id="rId14" Type="http://schemas.openxmlformats.org/officeDocument/2006/relationships/hyperlink" Target="https://www.microsofttranslator.com/bv.aspx?from=de&amp;to=cs&amp;a=https%3A%2F%2Fwww.ris.bka.gv.at%2FUI%2FImpressum.aspx" TargetMode="External"/><Relationship Id="rId22" Type="http://schemas.openxmlformats.org/officeDocument/2006/relationships/hyperlink" Target="https://www.microsofttranslator.com/bv.aspx?from=de&amp;to=cs&amp;a=https%3A%2F%2Fwww.ris.bka.gv.at%2FNormDokument.wxe%3FAbfrage%3DBundesnormen%26Gesetzesnummer%3D10004570%26FassungVom%3D2017-04-25%26Artikel%3D%26Paragraf%3D108b%26Anlage%3D%26Uebergangsrecht%3D" TargetMode="External"/><Relationship Id="rId27" Type="http://schemas.openxmlformats.org/officeDocument/2006/relationships/comments" Target="comments.xm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F0D32-CCBB-4806-9C5E-8992FF313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1974</Words>
  <Characters>11647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Konrad-Adenauer-Stiftung e.V.</Company>
  <LinksUpToDate>false</LinksUpToDate>
  <CharactersWithSpaces>13594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Bártová Milada</cp:lastModifiedBy>
  <cp:revision>30</cp:revision>
  <dcterms:created xsi:type="dcterms:W3CDTF">2018-02-07T17:11:00Z</dcterms:created>
  <dcterms:modified xsi:type="dcterms:W3CDTF">2018-02-15T10:58:00Z</dcterms:modified>
</cp:coreProperties>
</file>