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4CA" w:rsidRDefault="00443EA8" w:rsidP="00801259">
      <w:pPr>
        <w:pStyle w:val="Nadpisdokumentu"/>
        <w:pBdr>
          <w:bottom w:val="single" w:sz="4" w:space="1" w:color="auto"/>
        </w:pBdr>
      </w:pPr>
      <w:bookmarkStart w:id="0" w:name="_GoBack"/>
      <w:bookmarkEnd w:id="0"/>
      <w:r w:rsidRPr="00443EA8">
        <w:t xml:space="preserve">Návrh opatření </w:t>
      </w:r>
    </w:p>
    <w:p w:rsidR="000E7B7F" w:rsidRDefault="00443EA8" w:rsidP="00443EA8">
      <w:pPr>
        <w:jc w:val="right"/>
        <w:rPr>
          <w:b/>
          <w:sz w:val="36"/>
          <w:szCs w:val="36"/>
        </w:rPr>
      </w:pPr>
      <w:r w:rsidRPr="00443EA8">
        <w:rPr>
          <w:b/>
          <w:sz w:val="36"/>
          <w:szCs w:val="36"/>
        </w:rPr>
        <w:t>k zapojení nespotřebovaných nárokových výdajů do</w:t>
      </w:r>
      <w:r>
        <w:rPr>
          <w:b/>
          <w:sz w:val="36"/>
          <w:szCs w:val="36"/>
        </w:rPr>
        <w:t> </w:t>
      </w:r>
      <w:r w:rsidRPr="00443EA8">
        <w:rPr>
          <w:b/>
          <w:sz w:val="36"/>
          <w:szCs w:val="36"/>
        </w:rPr>
        <w:t>programů Technologické agentury České republiky</w:t>
      </w:r>
    </w:p>
    <w:p w:rsidR="00443EA8" w:rsidRDefault="00443EA8" w:rsidP="00443EA8"/>
    <w:p w:rsidR="00443EA8" w:rsidRDefault="00443EA8" w:rsidP="00443EA8">
      <w:pPr>
        <w:rPr>
          <w:b/>
          <w:u w:val="single"/>
        </w:rPr>
      </w:pPr>
    </w:p>
    <w:p w:rsidR="00443EA8" w:rsidRPr="00443EA8" w:rsidRDefault="00443EA8" w:rsidP="003B45E7">
      <w:pPr>
        <w:pStyle w:val="Nadpis1"/>
      </w:pPr>
      <w:r w:rsidRPr="00443EA8">
        <w:t xml:space="preserve">1. Návrh opatření k zapojení nespotřebovaných nárokových výdajů </w:t>
      </w:r>
    </w:p>
    <w:p w:rsidR="00443EA8" w:rsidRDefault="00443EA8" w:rsidP="003B45E7">
      <w:r>
        <w:t xml:space="preserve">Od druhé poloviny roku 2017 narůstají v rozpočtu TA ČR nespotřebované výdaje (NNV). K 30. 9. 2018 má TA ČR 708 milionů Kč v NNV a do konce roku nebude z ročního rozpočtu vyčerpáno 1,3 miliardy Kč. Ke dni 1. 1. 2019 je odhadováno, že bude TA ČR mít NNV ve výši 2,1 miliardy Kč. </w:t>
      </w:r>
    </w:p>
    <w:p w:rsidR="00443EA8" w:rsidRDefault="00443EA8" w:rsidP="003B45E7">
      <w:r>
        <w:t xml:space="preserve">TA ČR si je této skutečnosti vědoma a po nástupu nového předsedy pokračovala v řadě </w:t>
      </w:r>
      <w:r>
        <w:rPr>
          <w:b/>
        </w:rPr>
        <w:t>opatření, která budou směřovat k čerpání těchto prostředků v příštích třech letech</w:t>
      </w:r>
      <w:r>
        <w:t>.</w:t>
      </w:r>
    </w:p>
    <w:p w:rsidR="00443EA8" w:rsidRDefault="00443EA8" w:rsidP="00443EA8">
      <w:r>
        <w:t>Opatření jsou vedena rovněž snahou přispět k zajištění efektivní podpory aplikovaného výzkumu po roce 2020, kdy budou moci být plně využity vybudované kapacity z minulého a stávajícího období ESIF.</w:t>
      </w:r>
    </w:p>
    <w:p w:rsidR="00443EA8" w:rsidRDefault="00443EA8" w:rsidP="00443EA8">
      <w:r>
        <w:t xml:space="preserve">Část NNV TA ČR ve výši </w:t>
      </w:r>
      <w:r>
        <w:rPr>
          <w:b/>
        </w:rPr>
        <w:t>cca 600 milionů Kč je</w:t>
      </w:r>
      <w:r>
        <w:t xml:space="preserve"> již v tuto chvíli </w:t>
      </w:r>
      <w:r>
        <w:rPr>
          <w:b/>
        </w:rPr>
        <w:t>vázáno na výzkumné potřeby resortů a dalších orgánů, zadávajících potřeby v rámci programu BETA2</w:t>
      </w:r>
      <w:r>
        <w:t xml:space="preserve"> (tyto prostředky budou čerpány na veřejné zakázky v následujících letech </w:t>
      </w:r>
      <w:r w:rsidR="00951BAD">
        <w:t>–</w:t>
      </w:r>
      <w:r>
        <w:t xml:space="preserve"> u programu BETA2 dochází v souladu se zákonem o</w:t>
      </w:r>
      <w:r w:rsidR="00951BAD">
        <w:t> </w:t>
      </w:r>
      <w:r>
        <w:t>veřejných zakázkách k podpoře zpětně).</w:t>
      </w:r>
    </w:p>
    <w:p w:rsidR="00443EA8" w:rsidRPr="003B45E7" w:rsidRDefault="00443EA8" w:rsidP="003B45E7">
      <w:pPr>
        <w:pStyle w:val="Nadpis2"/>
      </w:pPr>
      <w:r w:rsidRPr="003B45E7">
        <w:t>Návrh termínovaných opatření:</w:t>
      </w:r>
    </w:p>
    <w:p w:rsidR="00443EA8" w:rsidRPr="003B45E7" w:rsidRDefault="00443EA8" w:rsidP="00B834A0">
      <w:pPr>
        <w:pStyle w:val="Odstavecseseznamem"/>
        <w:numPr>
          <w:ilvl w:val="0"/>
          <w:numId w:val="12"/>
        </w:numPr>
        <w:spacing w:after="120"/>
        <w:ind w:left="714" w:hanging="357"/>
        <w:rPr>
          <w:b/>
        </w:rPr>
      </w:pPr>
      <w:r w:rsidRPr="003B45E7">
        <w:rPr>
          <w:b/>
        </w:rPr>
        <w:t>okamžitá opatření:</w:t>
      </w:r>
    </w:p>
    <w:p w:rsidR="00443EA8" w:rsidRPr="003B45E7" w:rsidRDefault="00443EA8" w:rsidP="00443EA8">
      <w:pPr>
        <w:numPr>
          <w:ilvl w:val="0"/>
          <w:numId w:val="1"/>
        </w:numPr>
        <w:autoSpaceDE/>
        <w:autoSpaceDN/>
        <w:adjustRightInd/>
        <w:spacing w:before="0"/>
        <w:jc w:val="left"/>
        <w:textAlignment w:val="auto"/>
        <w:rPr>
          <w:b/>
        </w:rPr>
      </w:pPr>
      <w:r w:rsidRPr="003B45E7">
        <w:rPr>
          <w:b/>
        </w:rPr>
        <w:t xml:space="preserve">umožnit další soutěže EPSILON (s vyšší mírou podpory </w:t>
      </w:r>
      <w:r w:rsidR="003B45E7" w:rsidRPr="003B45E7">
        <w:rPr>
          <w:b/>
        </w:rPr>
        <w:t>–</w:t>
      </w:r>
      <w:r w:rsidRPr="003B45E7">
        <w:rPr>
          <w:b/>
        </w:rPr>
        <w:t xml:space="preserve"> změna programu)</w:t>
      </w:r>
    </w:p>
    <w:p w:rsidR="00443EA8" w:rsidRPr="003B45E7" w:rsidRDefault="00443EA8" w:rsidP="00443EA8">
      <w:pPr>
        <w:numPr>
          <w:ilvl w:val="1"/>
          <w:numId w:val="1"/>
        </w:numPr>
        <w:autoSpaceDE/>
        <w:autoSpaceDN/>
        <w:adjustRightInd/>
        <w:spacing w:before="0"/>
        <w:jc w:val="left"/>
        <w:textAlignment w:val="auto"/>
      </w:pPr>
      <w:r w:rsidRPr="003B45E7">
        <w:t xml:space="preserve">čerpání dalších cca. 200 mil. v 2020 a 2021 nad rámec původního plánu </w:t>
      </w:r>
    </w:p>
    <w:p w:rsidR="00443EA8" w:rsidRPr="003B45E7" w:rsidRDefault="00443EA8" w:rsidP="00443EA8">
      <w:pPr>
        <w:numPr>
          <w:ilvl w:val="0"/>
          <w:numId w:val="1"/>
        </w:numPr>
        <w:autoSpaceDE/>
        <w:autoSpaceDN/>
        <w:adjustRightInd/>
        <w:spacing w:before="0"/>
        <w:jc w:val="left"/>
        <w:textAlignment w:val="auto"/>
        <w:rPr>
          <w:b/>
        </w:rPr>
      </w:pPr>
      <w:r w:rsidRPr="003B45E7">
        <w:rPr>
          <w:b/>
        </w:rPr>
        <w:t>schválit nový program GAMA 2</w:t>
      </w:r>
      <w:r w:rsidRPr="003B45E7">
        <w:t xml:space="preserve"> v původně navrhované délce (více než 3 roky)</w:t>
      </w:r>
    </w:p>
    <w:p w:rsidR="00443EA8" w:rsidRPr="003B45E7" w:rsidRDefault="00443EA8" w:rsidP="00443EA8">
      <w:pPr>
        <w:numPr>
          <w:ilvl w:val="1"/>
          <w:numId w:val="1"/>
        </w:numPr>
        <w:autoSpaceDE/>
        <w:autoSpaceDN/>
        <w:adjustRightInd/>
        <w:spacing w:before="0"/>
        <w:jc w:val="left"/>
        <w:textAlignment w:val="auto"/>
      </w:pPr>
      <w:r w:rsidRPr="003B45E7">
        <w:t>od roku 2020 umožní čerpání cca. 180 mil. nad rámec původního plánu</w:t>
      </w:r>
    </w:p>
    <w:p w:rsidR="00443EA8" w:rsidRPr="003B45E7" w:rsidRDefault="00443EA8" w:rsidP="00443EA8">
      <w:pPr>
        <w:numPr>
          <w:ilvl w:val="0"/>
          <w:numId w:val="1"/>
        </w:numPr>
        <w:autoSpaceDE/>
        <w:autoSpaceDN/>
        <w:adjustRightInd/>
        <w:spacing w:before="0"/>
        <w:jc w:val="left"/>
        <w:textAlignment w:val="auto"/>
        <w:rPr>
          <w:b/>
        </w:rPr>
      </w:pPr>
      <w:r w:rsidRPr="003B45E7">
        <w:rPr>
          <w:b/>
        </w:rPr>
        <w:t>schválit změny programu NCK1/NCK2 s navýšením rozpočtu</w:t>
      </w:r>
      <w:r w:rsidRPr="003B45E7">
        <w:t>,</w:t>
      </w:r>
    </w:p>
    <w:p w:rsidR="00443EA8" w:rsidRPr="003B45E7" w:rsidRDefault="00443EA8" w:rsidP="00443EA8">
      <w:pPr>
        <w:numPr>
          <w:ilvl w:val="1"/>
          <w:numId w:val="1"/>
        </w:numPr>
        <w:autoSpaceDE/>
        <w:autoSpaceDN/>
        <w:adjustRightInd/>
        <w:spacing w:before="0"/>
        <w:jc w:val="left"/>
        <w:textAlignment w:val="auto"/>
      </w:pPr>
      <w:r w:rsidRPr="003B45E7">
        <w:t>od roku 2021 umožní čerpání cca. 200</w:t>
      </w:r>
      <w:r w:rsidR="00B834A0">
        <w:t>–</w:t>
      </w:r>
      <w:r w:rsidRPr="003B45E7">
        <w:t>300 mil. nad rámec původního plánu</w:t>
      </w:r>
    </w:p>
    <w:p w:rsidR="00443EA8" w:rsidRPr="003B45E7" w:rsidRDefault="00443EA8" w:rsidP="00443EA8">
      <w:pPr>
        <w:numPr>
          <w:ilvl w:val="0"/>
          <w:numId w:val="1"/>
        </w:numPr>
        <w:autoSpaceDE/>
        <w:autoSpaceDN/>
        <w:adjustRightInd/>
        <w:spacing w:before="0"/>
        <w:jc w:val="left"/>
        <w:textAlignment w:val="auto"/>
        <w:rPr>
          <w:b/>
        </w:rPr>
      </w:pPr>
      <w:r w:rsidRPr="003B45E7">
        <w:rPr>
          <w:b/>
        </w:rPr>
        <w:t>podpořit všechny projekty doporučené k podpoře,</w:t>
      </w:r>
    </w:p>
    <w:p w:rsidR="00443EA8" w:rsidRPr="003B45E7" w:rsidRDefault="00443EA8" w:rsidP="00443EA8">
      <w:pPr>
        <w:numPr>
          <w:ilvl w:val="1"/>
          <w:numId w:val="1"/>
        </w:numPr>
        <w:autoSpaceDE/>
        <w:autoSpaceDN/>
        <w:adjustRightInd/>
        <w:spacing w:before="0"/>
        <w:jc w:val="left"/>
        <w:textAlignment w:val="auto"/>
      </w:pPr>
      <w:r w:rsidRPr="003B45E7">
        <w:t xml:space="preserve">NCK1 </w:t>
      </w:r>
      <w:r w:rsidR="00B834A0">
        <w:t>–</w:t>
      </w:r>
      <w:r w:rsidRPr="003B45E7">
        <w:t xml:space="preserve"> 400 mil. v roce 2019 a 250 mil. v roce 2020; ZÉTA </w:t>
      </w:r>
      <w:r w:rsidR="00B834A0">
        <w:t>–</w:t>
      </w:r>
      <w:r w:rsidRPr="003B45E7">
        <w:t xml:space="preserve"> 50 mil. v roce 2019; nad rámec plánu</w:t>
      </w:r>
    </w:p>
    <w:p w:rsidR="00443EA8" w:rsidRPr="003B45E7" w:rsidRDefault="00443EA8" w:rsidP="00443EA8">
      <w:pPr>
        <w:numPr>
          <w:ilvl w:val="0"/>
          <w:numId w:val="1"/>
        </w:numPr>
        <w:autoSpaceDE/>
        <w:autoSpaceDN/>
        <w:adjustRightInd/>
        <w:spacing w:before="0"/>
        <w:textAlignment w:val="auto"/>
      </w:pPr>
      <w:r w:rsidRPr="003B45E7">
        <w:rPr>
          <w:b/>
        </w:rPr>
        <w:t xml:space="preserve">navýšit rozpočty </w:t>
      </w:r>
      <w:r w:rsidRPr="003B45E7">
        <w:t xml:space="preserve">(kvalitních) </w:t>
      </w:r>
      <w:r w:rsidRPr="003B45E7">
        <w:rPr>
          <w:b/>
        </w:rPr>
        <w:t>projektů</w:t>
      </w:r>
      <w:r w:rsidRPr="003B45E7">
        <w:t>.</w:t>
      </w:r>
    </w:p>
    <w:p w:rsidR="00B834A0" w:rsidRDefault="00443EA8" w:rsidP="00443EA8">
      <w:pPr>
        <w:numPr>
          <w:ilvl w:val="1"/>
          <w:numId w:val="1"/>
        </w:numPr>
        <w:autoSpaceDE/>
        <w:autoSpaceDN/>
        <w:adjustRightInd/>
        <w:spacing w:before="0"/>
        <w:textAlignment w:val="auto"/>
      </w:pPr>
      <w:r w:rsidRPr="003B45E7">
        <w:t xml:space="preserve">CK </w:t>
      </w:r>
      <w:r w:rsidR="00B834A0">
        <w:t>–</w:t>
      </w:r>
      <w:r w:rsidRPr="003B45E7">
        <w:t xml:space="preserve"> 20 mil. v roce 2019; DELTA </w:t>
      </w:r>
      <w:r w:rsidR="00B834A0">
        <w:t>–</w:t>
      </w:r>
      <w:r w:rsidRPr="003B45E7">
        <w:t xml:space="preserve"> 50 mil. v roce 2020; GAMA </w:t>
      </w:r>
      <w:r w:rsidR="00B834A0">
        <w:t>–</w:t>
      </w:r>
      <w:r w:rsidRPr="003B45E7">
        <w:t xml:space="preserve"> 20 mil. v roce 2019; EPSILON </w:t>
      </w:r>
      <w:r w:rsidR="00B834A0">
        <w:t>–</w:t>
      </w:r>
      <w:r w:rsidRPr="003B45E7">
        <w:t xml:space="preserve"> 50 mil. v roce 2019 a 100 mil. v roce 2020; nad rámec plánu</w:t>
      </w:r>
    </w:p>
    <w:p w:rsidR="00B834A0" w:rsidRDefault="00B834A0" w:rsidP="00B834A0">
      <w:r>
        <w:br w:type="page"/>
      </w:r>
    </w:p>
    <w:p w:rsidR="00443EA8" w:rsidRDefault="00443EA8" w:rsidP="00B834A0">
      <w:pPr>
        <w:pStyle w:val="Odstavecseseznamem"/>
        <w:numPr>
          <w:ilvl w:val="0"/>
          <w:numId w:val="12"/>
        </w:numPr>
        <w:spacing w:after="120"/>
        <w:ind w:left="714" w:hanging="357"/>
        <w:rPr>
          <w:b/>
        </w:rPr>
      </w:pPr>
      <w:r>
        <w:rPr>
          <w:b/>
        </w:rPr>
        <w:lastRenderedPageBreak/>
        <w:t>dlouhodobější opatření:</w:t>
      </w:r>
    </w:p>
    <w:p w:rsidR="00443EA8" w:rsidRPr="00B834A0" w:rsidRDefault="00443EA8" w:rsidP="00B834A0">
      <w:pPr>
        <w:numPr>
          <w:ilvl w:val="0"/>
          <w:numId w:val="1"/>
        </w:numPr>
        <w:autoSpaceDE/>
        <w:autoSpaceDN/>
        <w:adjustRightInd/>
        <w:spacing w:before="0"/>
        <w:textAlignment w:val="auto"/>
      </w:pPr>
      <w:r>
        <w:rPr>
          <w:b/>
        </w:rPr>
        <w:t xml:space="preserve">pokračovat v detailní diskuzi s RVVI při projednávání rozpočtu </w:t>
      </w:r>
      <w:r>
        <w:t xml:space="preserve">s ohledem na </w:t>
      </w:r>
      <w:r w:rsidRPr="00B834A0">
        <w:t>programový cyklus (+ 3</w:t>
      </w:r>
      <w:r w:rsidR="00B834A0">
        <w:t>–</w:t>
      </w:r>
      <w:r w:rsidRPr="00B834A0">
        <w:t>4 roky),</w:t>
      </w:r>
    </w:p>
    <w:p w:rsidR="00443EA8" w:rsidRPr="00B834A0" w:rsidRDefault="00443EA8" w:rsidP="00B834A0">
      <w:pPr>
        <w:numPr>
          <w:ilvl w:val="1"/>
          <w:numId w:val="1"/>
        </w:numPr>
        <w:autoSpaceDE/>
        <w:autoSpaceDN/>
        <w:adjustRightInd/>
        <w:spacing w:before="0"/>
        <w:jc w:val="left"/>
        <w:textAlignment w:val="auto"/>
      </w:pPr>
      <w:r w:rsidRPr="00B834A0">
        <w:t>stabilizace bez extrémních výkyvů</w:t>
      </w:r>
    </w:p>
    <w:p w:rsidR="00443EA8" w:rsidRPr="00B834A0" w:rsidRDefault="00443EA8" w:rsidP="00B834A0">
      <w:pPr>
        <w:numPr>
          <w:ilvl w:val="0"/>
          <w:numId w:val="1"/>
        </w:numPr>
        <w:autoSpaceDE/>
        <w:autoSpaceDN/>
        <w:adjustRightInd/>
        <w:spacing w:before="0"/>
        <w:textAlignment w:val="auto"/>
      </w:pPr>
      <w:r w:rsidRPr="00B834A0">
        <w:rPr>
          <w:b/>
        </w:rPr>
        <w:t xml:space="preserve">změnit alokaci programu ZÉTA. </w:t>
      </w:r>
      <w:r w:rsidRPr="00B834A0">
        <w:t>U tohoto programu bude zřejmě jeho rozpočet vyčerpán během prvních dvou veřejných soutěží, neboť absorpční kapacita uchazečů výrazně převyšuje současný rozpočet programu. TA</w:t>
      </w:r>
      <w:r w:rsidR="00B834A0">
        <w:t> </w:t>
      </w:r>
      <w:r w:rsidRPr="00B834A0">
        <w:t>ČR by následně mohla vyhlásit další veřejné soutěže v rámci programu ZÉTA,</w:t>
      </w:r>
    </w:p>
    <w:p w:rsidR="00443EA8" w:rsidRPr="00B834A0" w:rsidRDefault="00443EA8" w:rsidP="00B834A0">
      <w:pPr>
        <w:numPr>
          <w:ilvl w:val="1"/>
          <w:numId w:val="1"/>
        </w:numPr>
        <w:autoSpaceDE/>
        <w:autoSpaceDN/>
        <w:adjustRightInd/>
        <w:spacing w:before="0"/>
        <w:jc w:val="left"/>
        <w:textAlignment w:val="auto"/>
      </w:pPr>
      <w:r w:rsidRPr="00B834A0">
        <w:t>100 mil. v roce 2020 a 250 mil. v roce 2021; nad rámec plánu</w:t>
      </w:r>
    </w:p>
    <w:p w:rsidR="00443EA8" w:rsidRPr="00B834A0" w:rsidRDefault="00443EA8" w:rsidP="00B834A0">
      <w:pPr>
        <w:numPr>
          <w:ilvl w:val="0"/>
          <w:numId w:val="1"/>
        </w:numPr>
        <w:autoSpaceDE/>
        <w:autoSpaceDN/>
        <w:adjustRightInd/>
        <w:spacing w:before="0"/>
        <w:textAlignment w:val="auto"/>
      </w:pPr>
      <w:r w:rsidRPr="00B834A0">
        <w:rPr>
          <w:b/>
        </w:rPr>
        <w:t>schválit změnu programu BETA2</w:t>
      </w:r>
      <w:r w:rsidRPr="00B834A0">
        <w:t xml:space="preserve"> </w:t>
      </w:r>
      <w:r w:rsidR="00B834A0">
        <w:t>–</w:t>
      </w:r>
      <w:r w:rsidRPr="00B834A0">
        <w:t xml:space="preserve"> prodloužení programu a navýšení rozpočtu (pokrytého z NNV) související s novými resorty a organizačními složkami státu, které mají být nově také zadavateli potřeb v rámci tohoto programu,</w:t>
      </w:r>
    </w:p>
    <w:p w:rsidR="00443EA8" w:rsidRPr="00B834A0" w:rsidRDefault="00443EA8" w:rsidP="00B834A0">
      <w:pPr>
        <w:numPr>
          <w:ilvl w:val="1"/>
          <w:numId w:val="1"/>
        </w:numPr>
        <w:autoSpaceDE/>
        <w:autoSpaceDN/>
        <w:adjustRightInd/>
        <w:spacing w:before="0"/>
        <w:jc w:val="left"/>
        <w:textAlignment w:val="auto"/>
      </w:pPr>
      <w:r w:rsidRPr="00B834A0">
        <w:t xml:space="preserve">spotřebování NNV </w:t>
      </w:r>
      <w:proofErr w:type="spellStart"/>
      <w:r w:rsidRPr="00B834A0">
        <w:t>závazkovaných</w:t>
      </w:r>
      <w:proofErr w:type="spellEnd"/>
      <w:r w:rsidRPr="00B834A0">
        <w:t xml:space="preserve"> v potřebách resortů v letech 2020 a dále</w:t>
      </w:r>
    </w:p>
    <w:p w:rsidR="00443EA8" w:rsidRPr="00B834A0" w:rsidRDefault="00443EA8" w:rsidP="00B834A0">
      <w:pPr>
        <w:numPr>
          <w:ilvl w:val="0"/>
          <w:numId w:val="1"/>
        </w:numPr>
        <w:autoSpaceDE/>
        <w:autoSpaceDN/>
        <w:adjustRightInd/>
        <w:spacing w:before="0"/>
        <w:textAlignment w:val="auto"/>
      </w:pPr>
      <w:r w:rsidRPr="00B834A0">
        <w:rPr>
          <w:b/>
        </w:rPr>
        <w:t>schválit nové resortní programy</w:t>
      </w:r>
      <w:r w:rsidRPr="00B834A0">
        <w:t xml:space="preserve"> (programy MPO, MD a MŽP implementované prostřednictvím TA ČR).</w:t>
      </w:r>
    </w:p>
    <w:p w:rsidR="00443EA8" w:rsidRPr="00B834A0" w:rsidRDefault="00443EA8" w:rsidP="00B834A0">
      <w:pPr>
        <w:numPr>
          <w:ilvl w:val="1"/>
          <w:numId w:val="1"/>
        </w:numPr>
        <w:autoSpaceDE/>
        <w:autoSpaceDN/>
        <w:adjustRightInd/>
        <w:spacing w:before="0"/>
        <w:jc w:val="left"/>
        <w:textAlignment w:val="auto"/>
      </w:pPr>
      <w:r w:rsidRPr="00B834A0">
        <w:t>zapojení části NNV (100</w:t>
      </w:r>
      <w:r w:rsidR="00B834A0">
        <w:t>–</w:t>
      </w:r>
      <w:r w:rsidRPr="00B834A0">
        <w:t>500 mil.) do resortních programů</w:t>
      </w:r>
    </w:p>
    <w:p w:rsidR="00443EA8" w:rsidRDefault="00443EA8" w:rsidP="00B834A0">
      <w:pPr>
        <w:pStyle w:val="Nadpis2"/>
      </w:pPr>
      <w:r>
        <w:t>Hlavní důvody vzniku nespotřebovaných nárokových výdajů:</w:t>
      </w:r>
    </w:p>
    <w:p w:rsidR="00443EA8" w:rsidRDefault="00443EA8" w:rsidP="00B834A0">
      <w:pPr>
        <w:numPr>
          <w:ilvl w:val="0"/>
          <w:numId w:val="13"/>
        </w:numPr>
        <w:autoSpaceDE/>
        <w:autoSpaceDN/>
        <w:adjustRightInd/>
        <w:ind w:left="714" w:hanging="357"/>
        <w:textAlignment w:val="auto"/>
      </w:pPr>
      <w:r>
        <w:t xml:space="preserve">S ohledem na množství programů </w:t>
      </w:r>
      <w:r>
        <w:rPr>
          <w:b/>
        </w:rPr>
        <w:t>není každoroční způsob přípravy rozpočtu kompatibilní s programovým cyklem</w:t>
      </w:r>
      <w:r>
        <w:t xml:space="preserve"> veřejných soutěží a realizace projektů. S ohledem na rigiditu stávajícího zákona je nemožné reagovat v kratší době než v horizontu 2</w:t>
      </w:r>
      <w:r w:rsidR="00B834A0">
        <w:t>–</w:t>
      </w:r>
      <w:r>
        <w:t>3 let.</w:t>
      </w:r>
    </w:p>
    <w:p w:rsidR="00443EA8" w:rsidRDefault="00443EA8" w:rsidP="00B834A0">
      <w:pPr>
        <w:numPr>
          <w:ilvl w:val="0"/>
          <w:numId w:val="13"/>
        </w:numPr>
        <w:autoSpaceDE/>
        <w:autoSpaceDN/>
        <w:adjustRightInd/>
        <w:ind w:left="714" w:hanging="357"/>
        <w:textAlignment w:val="auto"/>
      </w:pPr>
      <w:r>
        <w:rPr>
          <w:b/>
        </w:rPr>
        <w:t xml:space="preserve">Od </w:t>
      </w:r>
      <w:r>
        <w:t xml:space="preserve">roku </w:t>
      </w:r>
      <w:r>
        <w:rPr>
          <w:b/>
        </w:rPr>
        <w:t xml:space="preserve">2015 </w:t>
      </w:r>
      <w:r>
        <w:t xml:space="preserve">se </w:t>
      </w:r>
      <w:r>
        <w:rPr>
          <w:b/>
        </w:rPr>
        <w:t>prohluboval deficit</w:t>
      </w:r>
      <w:r>
        <w:t xml:space="preserve">, kdy například </w:t>
      </w:r>
      <w:r>
        <w:rPr>
          <w:b/>
        </w:rPr>
        <w:t>v roce 2016 byl rozdíl</w:t>
      </w:r>
      <w:r>
        <w:t xml:space="preserve"> schváleného rozpočtu TA ČR od rozpočtu programů schválených vládou </w:t>
      </w:r>
      <w:r>
        <w:rPr>
          <w:b/>
        </w:rPr>
        <w:t>1,47 mld. Kč</w:t>
      </w:r>
      <w:r>
        <w:t>. Realizaci programů TA ČR přizpůsobuje rozpočtové situaci (</w:t>
      </w:r>
      <w:r>
        <w:rPr>
          <w:b/>
        </w:rPr>
        <w:t>s reálným projevem do rozpočtu +2 roky</w:t>
      </w:r>
      <w:r>
        <w:t xml:space="preserve">) </w:t>
      </w:r>
      <w:r w:rsidR="00B834A0">
        <w:t>–</w:t>
      </w:r>
      <w:r>
        <w:t xml:space="preserve"> od roku 2016 tedy omezováním podpory. Tento deficit však byl v roce 2018 minimální, ale současně se projevila omezující opatření.</w:t>
      </w:r>
      <w:r w:rsidR="00951BAD">
        <w:t xml:space="preserve"> </w:t>
      </w:r>
    </w:p>
    <w:p w:rsidR="00443EA8" w:rsidRDefault="00443EA8" w:rsidP="00B834A0">
      <w:pPr>
        <w:numPr>
          <w:ilvl w:val="0"/>
          <w:numId w:val="13"/>
        </w:numPr>
        <w:autoSpaceDE/>
        <w:autoSpaceDN/>
        <w:adjustRightInd/>
        <w:ind w:left="714" w:hanging="357"/>
        <w:textAlignment w:val="auto"/>
      </w:pPr>
      <w:r>
        <w:rPr>
          <w:b/>
        </w:rPr>
        <w:t xml:space="preserve">Program Epsilon </w:t>
      </w:r>
      <w:r>
        <w:t xml:space="preserve">počínaje r. 2015: Na první veřejnou soutěž (první rok) ve vládou schváleném programu bylo plánováno 700 mil. Kč, avšak TA ČR mohla s ohledem na vládou schválený rozpočet vyhlásit veřejnou soutěž pouze za 248 mil. Kč (tj. cca za 1/3). Následně však rozpočet TA ČR na program EPSILON již odpovídal, ale díky třetinovému objemu </w:t>
      </w:r>
      <w:proofErr w:type="spellStart"/>
      <w:r>
        <w:t>zasmluvnění</w:t>
      </w:r>
      <w:proofErr w:type="spellEnd"/>
      <w:r>
        <w:t xml:space="preserve"> v roce 2015 se začaly v dalších letech tvořit NNV. </w:t>
      </w:r>
    </w:p>
    <w:p w:rsidR="00443EA8" w:rsidRDefault="00443EA8" w:rsidP="00B834A0">
      <w:pPr>
        <w:numPr>
          <w:ilvl w:val="0"/>
          <w:numId w:val="13"/>
        </w:numPr>
        <w:autoSpaceDE/>
        <w:autoSpaceDN/>
        <w:adjustRightInd/>
        <w:ind w:left="714" w:hanging="357"/>
        <w:textAlignment w:val="auto"/>
      </w:pPr>
      <w:r>
        <w:rPr>
          <w:b/>
        </w:rPr>
        <w:t xml:space="preserve">Program BETA2 </w:t>
      </w:r>
      <w:r>
        <w:t>počínaje rokem 2017: zadávací řízení byla zahájena ve druhé pol. 2017. Na</w:t>
      </w:r>
      <w:r w:rsidR="00B834A0">
        <w:t> </w:t>
      </w:r>
      <w:r>
        <w:t>rozdíl od jiných programů TA</w:t>
      </w:r>
      <w:r w:rsidR="00B834A0">
        <w:t> </w:t>
      </w:r>
      <w:r>
        <w:t>ČR v programu BETA2 je financování nastaveno zpětně, nedostatečné personální kapacity TA ČR, to jsou hlavní důvody zpoždění čerpání a vzniku NNV.</w:t>
      </w:r>
    </w:p>
    <w:p w:rsidR="00443EA8" w:rsidRDefault="00443EA8" w:rsidP="00443EA8">
      <w:r>
        <w:t xml:space="preserve">Zároveň je nutné upozornit, že poskytovatel velikosti </w:t>
      </w:r>
      <w:r>
        <w:rPr>
          <w:b/>
        </w:rPr>
        <w:t>TA</w:t>
      </w:r>
      <w:r w:rsidR="00B834A0">
        <w:rPr>
          <w:b/>
        </w:rPr>
        <w:t> </w:t>
      </w:r>
      <w:r>
        <w:rPr>
          <w:b/>
        </w:rPr>
        <w:t>ČR</w:t>
      </w:r>
      <w:r>
        <w:t xml:space="preserve"> (s více než deseti různými programy podpory) </w:t>
      </w:r>
      <w:r>
        <w:rPr>
          <w:b/>
        </w:rPr>
        <w:t xml:space="preserve">musí vždy disponovat přiměřenou výší NNV, a to na vykrývání rozdílů mezi financováním víceletých projektů a ročního rozpočtového cyklu. </w:t>
      </w:r>
      <w:r>
        <w:t>Není neobvyklé, kdy dochází k</w:t>
      </w:r>
      <w:r w:rsidR="00B834A0">
        <w:t> </w:t>
      </w:r>
      <w:r>
        <w:rPr>
          <w:b/>
        </w:rPr>
        <w:t xml:space="preserve">posunu čerpání </w:t>
      </w:r>
      <w:r>
        <w:t xml:space="preserve">v některých často (finančně) významných projektech, kde výrazná část plateb se odsouvá na konec jejich realizace. TA ČR nemá (na rozdíl od evropských fondů) možnost víceletých alokací, jedinou možností je držet alokaci na tyto projekty prostřednictvím NNV. Pokud by například </w:t>
      </w:r>
      <w:r>
        <w:lastRenderedPageBreak/>
        <w:t>TA ČR disponovala v roce 2015 NNV v adekvátní výši, mohl by plně pokrýt rozpočtový deficit v</w:t>
      </w:r>
      <w:r w:rsidR="00B834A0">
        <w:t> </w:t>
      </w:r>
      <w:r>
        <w:t xml:space="preserve">programu a nedošlo by ke kumulaci NNV v dalších letech způsobených podporou malého počtu projektů po dobu 4 let. </w:t>
      </w:r>
    </w:p>
    <w:p w:rsidR="00443EA8" w:rsidRDefault="00443EA8" w:rsidP="00443EA8"/>
    <w:p w:rsidR="00443EA8" w:rsidRDefault="00443EA8" w:rsidP="00443EA8">
      <w:pPr>
        <w:rPr>
          <w:b/>
        </w:rPr>
      </w:pPr>
      <w:r>
        <w:rPr>
          <w:b/>
        </w:rPr>
        <w:t>Výhled NNV 2018</w:t>
      </w:r>
      <w:r w:rsidR="00B834A0">
        <w:rPr>
          <w:b/>
        </w:rPr>
        <w:t>–</w:t>
      </w:r>
      <w:r>
        <w:rPr>
          <w:b/>
        </w:rPr>
        <w:t xml:space="preserve">2021 (v mil. Kč) </w:t>
      </w:r>
    </w:p>
    <w:tbl>
      <w:tblPr>
        <w:tblW w:w="9639" w:type="dxa"/>
        <w:tblInd w:w="8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600" w:firstRow="0" w:lastRow="0" w:firstColumn="0" w:lastColumn="0" w:noHBand="1" w:noVBand="1"/>
      </w:tblPr>
      <w:tblGrid>
        <w:gridCol w:w="3686"/>
        <w:gridCol w:w="1488"/>
        <w:gridCol w:w="1488"/>
        <w:gridCol w:w="1488"/>
        <w:gridCol w:w="1489"/>
      </w:tblGrid>
      <w:tr w:rsidR="00372076" w:rsidRPr="00B834A0" w:rsidTr="0096209D">
        <w:trPr>
          <w:trHeight w:val="397"/>
        </w:trPr>
        <w:tc>
          <w:tcPr>
            <w:tcW w:w="3686" w:type="dxa"/>
            <w:shd w:val="clear" w:color="auto" w:fill="F03741"/>
            <w:tcMar>
              <w:top w:w="100" w:type="dxa"/>
              <w:left w:w="80" w:type="dxa"/>
              <w:bottom w:w="100" w:type="dxa"/>
              <w:right w:w="80" w:type="dxa"/>
            </w:tcMar>
            <w:vAlign w:val="center"/>
          </w:tcPr>
          <w:p w:rsidR="00443EA8" w:rsidRPr="00B834A0" w:rsidRDefault="00443EA8" w:rsidP="00B834A0">
            <w:pPr>
              <w:spacing w:before="0"/>
              <w:ind w:left="100" w:right="100"/>
              <w:jc w:val="center"/>
              <w:rPr>
                <w:b/>
                <w:color w:val="FFFFFF" w:themeColor="background1"/>
              </w:rPr>
            </w:pPr>
          </w:p>
        </w:tc>
        <w:tc>
          <w:tcPr>
            <w:tcW w:w="1488" w:type="dxa"/>
            <w:shd w:val="clear" w:color="auto" w:fill="F03741"/>
            <w:tcMar>
              <w:top w:w="100" w:type="dxa"/>
              <w:left w:w="80" w:type="dxa"/>
              <w:bottom w:w="100" w:type="dxa"/>
              <w:right w:w="80" w:type="dxa"/>
            </w:tcMar>
            <w:vAlign w:val="center"/>
          </w:tcPr>
          <w:p w:rsidR="00443EA8" w:rsidRPr="00B834A0" w:rsidRDefault="00443EA8" w:rsidP="00B834A0">
            <w:pPr>
              <w:spacing w:before="0"/>
              <w:ind w:left="100" w:right="100"/>
              <w:jc w:val="center"/>
              <w:rPr>
                <w:b/>
                <w:color w:val="FFFFFF" w:themeColor="background1"/>
              </w:rPr>
            </w:pPr>
            <w:r w:rsidRPr="00B834A0">
              <w:rPr>
                <w:b/>
                <w:color w:val="FFFFFF" w:themeColor="background1"/>
              </w:rPr>
              <w:t>2018</w:t>
            </w:r>
          </w:p>
        </w:tc>
        <w:tc>
          <w:tcPr>
            <w:tcW w:w="1488" w:type="dxa"/>
            <w:shd w:val="clear" w:color="auto" w:fill="F03741"/>
            <w:tcMar>
              <w:top w:w="100" w:type="dxa"/>
              <w:left w:w="80" w:type="dxa"/>
              <w:bottom w:w="100" w:type="dxa"/>
              <w:right w:w="80" w:type="dxa"/>
            </w:tcMar>
            <w:vAlign w:val="center"/>
          </w:tcPr>
          <w:p w:rsidR="00443EA8" w:rsidRPr="00B834A0" w:rsidRDefault="00443EA8" w:rsidP="00B834A0">
            <w:pPr>
              <w:spacing w:before="0"/>
              <w:ind w:left="100" w:right="100"/>
              <w:jc w:val="center"/>
              <w:rPr>
                <w:b/>
                <w:color w:val="FFFFFF" w:themeColor="background1"/>
              </w:rPr>
            </w:pPr>
            <w:r w:rsidRPr="00B834A0">
              <w:rPr>
                <w:b/>
                <w:color w:val="FFFFFF" w:themeColor="background1"/>
              </w:rPr>
              <w:t>2019</w:t>
            </w:r>
          </w:p>
        </w:tc>
        <w:tc>
          <w:tcPr>
            <w:tcW w:w="1488" w:type="dxa"/>
            <w:shd w:val="clear" w:color="auto" w:fill="F03741"/>
            <w:tcMar>
              <w:top w:w="100" w:type="dxa"/>
              <w:left w:w="80" w:type="dxa"/>
              <w:bottom w:w="100" w:type="dxa"/>
              <w:right w:w="80" w:type="dxa"/>
            </w:tcMar>
            <w:vAlign w:val="center"/>
          </w:tcPr>
          <w:p w:rsidR="00443EA8" w:rsidRPr="00B834A0" w:rsidRDefault="00443EA8" w:rsidP="00B834A0">
            <w:pPr>
              <w:spacing w:before="0"/>
              <w:ind w:left="100" w:right="100"/>
              <w:jc w:val="center"/>
              <w:rPr>
                <w:b/>
                <w:color w:val="FFFFFF" w:themeColor="background1"/>
              </w:rPr>
            </w:pPr>
            <w:r w:rsidRPr="00B834A0">
              <w:rPr>
                <w:b/>
                <w:color w:val="FFFFFF" w:themeColor="background1"/>
              </w:rPr>
              <w:t>2020</w:t>
            </w:r>
          </w:p>
        </w:tc>
        <w:tc>
          <w:tcPr>
            <w:tcW w:w="1489" w:type="dxa"/>
            <w:shd w:val="clear" w:color="auto" w:fill="F03741"/>
            <w:tcMar>
              <w:top w:w="100" w:type="dxa"/>
              <w:left w:w="80" w:type="dxa"/>
              <w:bottom w:w="100" w:type="dxa"/>
              <w:right w:w="80" w:type="dxa"/>
            </w:tcMar>
            <w:vAlign w:val="center"/>
          </w:tcPr>
          <w:p w:rsidR="00443EA8" w:rsidRPr="00B834A0" w:rsidRDefault="00443EA8" w:rsidP="00B834A0">
            <w:pPr>
              <w:spacing w:before="0"/>
              <w:ind w:left="100" w:right="100"/>
              <w:jc w:val="center"/>
              <w:rPr>
                <w:b/>
                <w:color w:val="FFFFFF" w:themeColor="background1"/>
              </w:rPr>
            </w:pPr>
            <w:r w:rsidRPr="00B834A0">
              <w:rPr>
                <w:b/>
                <w:color w:val="FFFFFF" w:themeColor="background1"/>
              </w:rPr>
              <w:t>2021</w:t>
            </w:r>
          </w:p>
        </w:tc>
      </w:tr>
      <w:tr w:rsidR="00443EA8" w:rsidTr="0096209D">
        <w:trPr>
          <w:trHeight w:val="283"/>
        </w:trPr>
        <w:tc>
          <w:tcPr>
            <w:tcW w:w="3686" w:type="dxa"/>
            <w:tcMar>
              <w:top w:w="100" w:type="dxa"/>
              <w:left w:w="80" w:type="dxa"/>
              <w:bottom w:w="100" w:type="dxa"/>
              <w:right w:w="80" w:type="dxa"/>
            </w:tcMar>
            <w:vAlign w:val="center"/>
          </w:tcPr>
          <w:p w:rsidR="00443EA8" w:rsidRPr="0096209D" w:rsidRDefault="00443EA8" w:rsidP="00B834A0">
            <w:pPr>
              <w:spacing w:before="0"/>
              <w:ind w:left="100" w:right="100"/>
              <w:jc w:val="left"/>
            </w:pPr>
            <w:r w:rsidRPr="0096209D">
              <w:t>bez provedení opatření</w:t>
            </w:r>
          </w:p>
        </w:tc>
        <w:tc>
          <w:tcPr>
            <w:tcW w:w="1488" w:type="dxa"/>
            <w:tcMar>
              <w:top w:w="100" w:type="dxa"/>
              <w:left w:w="80" w:type="dxa"/>
              <w:bottom w:w="100" w:type="dxa"/>
              <w:right w:w="80" w:type="dxa"/>
            </w:tcMar>
            <w:vAlign w:val="center"/>
          </w:tcPr>
          <w:p w:rsidR="00443EA8" w:rsidRDefault="00443EA8" w:rsidP="00B834A0">
            <w:pPr>
              <w:spacing w:before="0"/>
              <w:ind w:left="100" w:right="100"/>
              <w:jc w:val="center"/>
            </w:pPr>
            <w:r>
              <w:t>2 046,4</w:t>
            </w:r>
          </w:p>
        </w:tc>
        <w:tc>
          <w:tcPr>
            <w:tcW w:w="1488" w:type="dxa"/>
            <w:tcMar>
              <w:top w:w="100" w:type="dxa"/>
              <w:left w:w="80" w:type="dxa"/>
              <w:bottom w:w="100" w:type="dxa"/>
              <w:right w:w="80" w:type="dxa"/>
            </w:tcMar>
            <w:vAlign w:val="center"/>
          </w:tcPr>
          <w:p w:rsidR="00443EA8" w:rsidRDefault="00443EA8" w:rsidP="00B834A0">
            <w:pPr>
              <w:spacing w:before="0"/>
              <w:ind w:left="100" w:right="100"/>
              <w:jc w:val="center"/>
            </w:pPr>
            <w:r>
              <w:t>1 450,4</w:t>
            </w:r>
          </w:p>
        </w:tc>
        <w:tc>
          <w:tcPr>
            <w:tcW w:w="1488" w:type="dxa"/>
            <w:tcMar>
              <w:top w:w="100" w:type="dxa"/>
              <w:left w:w="80" w:type="dxa"/>
              <w:bottom w:w="100" w:type="dxa"/>
              <w:right w:w="80" w:type="dxa"/>
            </w:tcMar>
            <w:vAlign w:val="center"/>
          </w:tcPr>
          <w:p w:rsidR="00443EA8" w:rsidRDefault="00443EA8" w:rsidP="00B834A0">
            <w:pPr>
              <w:spacing w:before="0"/>
              <w:ind w:left="100" w:right="100"/>
              <w:jc w:val="center"/>
            </w:pPr>
            <w:r>
              <w:t>1 535,3</w:t>
            </w:r>
          </w:p>
        </w:tc>
        <w:tc>
          <w:tcPr>
            <w:tcW w:w="1489" w:type="dxa"/>
            <w:tcMar>
              <w:top w:w="100" w:type="dxa"/>
              <w:left w:w="80" w:type="dxa"/>
              <w:bottom w:w="100" w:type="dxa"/>
              <w:right w:w="80" w:type="dxa"/>
            </w:tcMar>
            <w:vAlign w:val="center"/>
          </w:tcPr>
          <w:p w:rsidR="00443EA8" w:rsidRDefault="00443EA8" w:rsidP="00B834A0">
            <w:pPr>
              <w:spacing w:before="0"/>
              <w:ind w:left="100" w:right="100"/>
              <w:jc w:val="center"/>
            </w:pPr>
            <w:r>
              <w:t>1 068,5</w:t>
            </w:r>
          </w:p>
        </w:tc>
      </w:tr>
      <w:tr w:rsidR="0096209D" w:rsidTr="0096209D">
        <w:trPr>
          <w:trHeight w:val="283"/>
        </w:trPr>
        <w:tc>
          <w:tcPr>
            <w:tcW w:w="3686" w:type="dxa"/>
            <w:shd w:val="clear" w:color="auto" w:fill="F2F2F2" w:themeFill="background1" w:themeFillShade="F2"/>
            <w:tcMar>
              <w:top w:w="100" w:type="dxa"/>
              <w:left w:w="80" w:type="dxa"/>
              <w:bottom w:w="100" w:type="dxa"/>
              <w:right w:w="80" w:type="dxa"/>
            </w:tcMar>
            <w:vAlign w:val="center"/>
          </w:tcPr>
          <w:p w:rsidR="00443EA8" w:rsidRPr="0096209D" w:rsidRDefault="00443EA8" w:rsidP="00B834A0">
            <w:pPr>
              <w:spacing w:before="0"/>
              <w:ind w:left="100" w:right="100"/>
              <w:jc w:val="left"/>
            </w:pPr>
            <w:r w:rsidRPr="0096209D">
              <w:t>s provedením všech opatření</w:t>
            </w:r>
          </w:p>
        </w:tc>
        <w:tc>
          <w:tcPr>
            <w:tcW w:w="1488" w:type="dxa"/>
            <w:shd w:val="clear" w:color="auto" w:fill="F2F2F2" w:themeFill="background1" w:themeFillShade="F2"/>
            <w:tcMar>
              <w:top w:w="40" w:type="dxa"/>
              <w:left w:w="40" w:type="dxa"/>
              <w:bottom w:w="40" w:type="dxa"/>
              <w:right w:w="40" w:type="dxa"/>
            </w:tcMar>
            <w:vAlign w:val="center"/>
          </w:tcPr>
          <w:p w:rsidR="00443EA8" w:rsidRDefault="00443EA8" w:rsidP="00B834A0">
            <w:pPr>
              <w:widowControl w:val="0"/>
              <w:spacing w:before="0"/>
              <w:jc w:val="center"/>
              <w:rPr>
                <w:sz w:val="20"/>
                <w:szCs w:val="20"/>
              </w:rPr>
            </w:pPr>
            <w:r>
              <w:t>2046,4</w:t>
            </w:r>
          </w:p>
        </w:tc>
        <w:tc>
          <w:tcPr>
            <w:tcW w:w="1488" w:type="dxa"/>
            <w:shd w:val="clear" w:color="auto" w:fill="F2F2F2" w:themeFill="background1" w:themeFillShade="F2"/>
            <w:tcMar>
              <w:top w:w="40" w:type="dxa"/>
              <w:left w:w="40" w:type="dxa"/>
              <w:bottom w:w="40" w:type="dxa"/>
              <w:right w:w="40" w:type="dxa"/>
            </w:tcMar>
            <w:vAlign w:val="center"/>
          </w:tcPr>
          <w:p w:rsidR="00443EA8" w:rsidRDefault="00443EA8" w:rsidP="00B834A0">
            <w:pPr>
              <w:widowControl w:val="0"/>
              <w:spacing w:before="0"/>
              <w:jc w:val="center"/>
              <w:rPr>
                <w:sz w:val="20"/>
                <w:szCs w:val="20"/>
              </w:rPr>
            </w:pPr>
            <w:r>
              <w:t>910,4</w:t>
            </w:r>
          </w:p>
        </w:tc>
        <w:tc>
          <w:tcPr>
            <w:tcW w:w="1488" w:type="dxa"/>
            <w:shd w:val="clear" w:color="auto" w:fill="F2F2F2" w:themeFill="background1" w:themeFillShade="F2"/>
            <w:tcMar>
              <w:top w:w="40" w:type="dxa"/>
              <w:left w:w="40" w:type="dxa"/>
              <w:bottom w:w="40" w:type="dxa"/>
              <w:right w:w="40" w:type="dxa"/>
            </w:tcMar>
            <w:vAlign w:val="center"/>
          </w:tcPr>
          <w:p w:rsidR="00443EA8" w:rsidRDefault="00443EA8" w:rsidP="00B834A0">
            <w:pPr>
              <w:widowControl w:val="0"/>
              <w:spacing w:before="0"/>
              <w:jc w:val="center"/>
              <w:rPr>
                <w:sz w:val="20"/>
                <w:szCs w:val="20"/>
              </w:rPr>
            </w:pPr>
            <w:r>
              <w:t>845,3</w:t>
            </w:r>
          </w:p>
        </w:tc>
        <w:tc>
          <w:tcPr>
            <w:tcW w:w="1489" w:type="dxa"/>
            <w:shd w:val="clear" w:color="auto" w:fill="F2F2F2" w:themeFill="background1" w:themeFillShade="F2"/>
            <w:tcMar>
              <w:top w:w="40" w:type="dxa"/>
              <w:left w:w="40" w:type="dxa"/>
              <w:bottom w:w="40" w:type="dxa"/>
              <w:right w:w="40" w:type="dxa"/>
            </w:tcMar>
            <w:vAlign w:val="center"/>
          </w:tcPr>
          <w:p w:rsidR="00443EA8" w:rsidRDefault="00443EA8" w:rsidP="00B834A0">
            <w:pPr>
              <w:widowControl w:val="0"/>
              <w:spacing w:before="0"/>
              <w:jc w:val="center"/>
              <w:rPr>
                <w:sz w:val="20"/>
                <w:szCs w:val="20"/>
              </w:rPr>
            </w:pPr>
            <w:r>
              <w:t>378,5</w:t>
            </w:r>
          </w:p>
        </w:tc>
      </w:tr>
    </w:tbl>
    <w:p w:rsidR="00443EA8" w:rsidRDefault="00443EA8" w:rsidP="00443EA8"/>
    <w:p w:rsidR="00B834A0" w:rsidRDefault="00443EA8" w:rsidP="00951BAD">
      <w:pPr>
        <w:pStyle w:val="Grafickprvek"/>
      </w:pPr>
      <w:r>
        <w:t>Vývoj financování účelové podpory Technologické agentury České republiky (TA</w:t>
      </w:r>
      <w:r w:rsidR="00B834A0">
        <w:t> </w:t>
      </w:r>
      <w:r>
        <w:t>ČR) v letech 2012–2021 ve vazbě na nespotřebované nárokové výdaje (NNV):</w:t>
      </w:r>
    </w:p>
    <w:p w:rsidR="00443EA8" w:rsidRPr="00B834A0" w:rsidRDefault="00443EA8" w:rsidP="00443EA8">
      <w:r>
        <w:rPr>
          <w:noProof/>
          <w:lang w:eastAsia="cs-CZ"/>
        </w:rPr>
        <w:drawing>
          <wp:inline distT="114300" distB="114300" distL="114300" distR="114300" wp14:anchorId="1828708C" wp14:editId="62727470">
            <wp:extent cx="5467350" cy="3257177"/>
            <wp:effectExtent l="0" t="0" r="0" b="635"/>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rotWithShape="1">
                    <a:blip r:embed="rId8"/>
                    <a:srcRect l="1357" t="1406" r="1223" b="2416"/>
                    <a:stretch/>
                  </pic:blipFill>
                  <pic:spPr bwMode="auto">
                    <a:xfrm>
                      <a:off x="0" y="0"/>
                      <a:ext cx="5468595" cy="3257919"/>
                    </a:xfrm>
                    <a:prstGeom prst="rect">
                      <a:avLst/>
                    </a:prstGeom>
                    <a:ln>
                      <a:noFill/>
                    </a:ln>
                    <a:extLst>
                      <a:ext uri="{53640926-AAD7-44D8-BBD7-CCE9431645EC}">
                        <a14:shadowObscured xmlns:a14="http://schemas.microsoft.com/office/drawing/2010/main"/>
                      </a:ext>
                    </a:extLst>
                  </pic:spPr>
                </pic:pic>
              </a:graphicData>
            </a:graphic>
          </wp:inline>
        </w:drawing>
      </w:r>
    </w:p>
    <w:p w:rsidR="00B834A0" w:rsidRPr="00B834A0" w:rsidRDefault="00B834A0" w:rsidP="00B834A0">
      <w:pPr>
        <w:spacing w:before="0" w:line="240" w:lineRule="auto"/>
        <w:rPr>
          <w:sz w:val="16"/>
          <w:szCs w:val="16"/>
        </w:rPr>
      </w:pPr>
    </w:p>
    <w:p w:rsidR="00443EA8" w:rsidRDefault="00443EA8" w:rsidP="00443EA8">
      <w:r>
        <w:t xml:space="preserve">Do roku 2016 je viditelný nárůst výdajů ve vládou schválených programech (tmavě modré sloupce). Od roku 2015 však je viditelný výrazný útlum (v letech 2015 a 2016 stagnující a v roce 2017 pouze mírný nárůst) reálného rozpočtu TA ČR (světle modré sloupce). TA ČR na tento útlum reagovala </w:t>
      </w:r>
      <w:r w:rsidR="00B834A0">
        <w:t>–</w:t>
      </w:r>
      <w:r>
        <w:t xml:space="preserve"> s</w:t>
      </w:r>
      <w:r w:rsidR="00372076">
        <w:t> </w:t>
      </w:r>
      <w:r>
        <w:t>ohledem na přípravu veřejných soutěží a podporu 3</w:t>
      </w:r>
      <w:r w:rsidR="00372076">
        <w:t>–</w:t>
      </w:r>
      <w:r>
        <w:t>4 letých projektů se tato reakce projevila od roku 2016 stagnací závazků, tedy vyplacených prostředků (zelené sloupce). V roce 2018 však došlo k</w:t>
      </w:r>
      <w:r w:rsidR="00372076">
        <w:t> </w:t>
      </w:r>
      <w:r>
        <w:t>výraznému navýšení rozpočtu TA ČR, což se projeví v závazcích v následujících 2</w:t>
      </w:r>
      <w:r w:rsidR="00372076">
        <w:t>–</w:t>
      </w:r>
      <w:r>
        <w:t>3 letech.</w:t>
      </w:r>
    </w:p>
    <w:p w:rsidR="002B2B43" w:rsidRDefault="002B2B43">
      <w:pPr>
        <w:autoSpaceDE/>
        <w:autoSpaceDN/>
        <w:adjustRightInd/>
        <w:jc w:val="left"/>
        <w:textAlignment w:val="auto"/>
        <w:rPr>
          <w:b/>
          <w:sz w:val="28"/>
        </w:rPr>
      </w:pPr>
      <w:r>
        <w:br w:type="page"/>
      </w:r>
    </w:p>
    <w:p w:rsidR="00443EA8" w:rsidRDefault="00443EA8" w:rsidP="002B2B43">
      <w:pPr>
        <w:pStyle w:val="Nadpisdokumentu"/>
      </w:pPr>
      <w:r>
        <w:t xml:space="preserve">Příloha </w:t>
      </w:r>
      <w:r w:rsidR="00372076">
        <w:t>–</w:t>
      </w:r>
      <w:r>
        <w:t xml:space="preserve"> detailní rozbor situace a tabulky a grafy</w:t>
      </w:r>
    </w:p>
    <w:p w:rsidR="00443EA8" w:rsidRDefault="00443EA8" w:rsidP="00443EA8"/>
    <w:p w:rsidR="00443EA8" w:rsidRDefault="00443EA8" w:rsidP="00372076">
      <w:pPr>
        <w:pStyle w:val="Nadpis2"/>
      </w:pPr>
      <w:r>
        <w:t>1. Historie vzniku NNV</w:t>
      </w:r>
    </w:p>
    <w:p w:rsidR="00443EA8" w:rsidRPr="00372076" w:rsidRDefault="00443EA8" w:rsidP="00372076">
      <w:pPr>
        <w:pStyle w:val="Odstavecseseznamem"/>
        <w:numPr>
          <w:ilvl w:val="0"/>
          <w:numId w:val="14"/>
        </w:numPr>
        <w:rPr>
          <w:b/>
        </w:rPr>
      </w:pPr>
      <w:r w:rsidRPr="00372076">
        <w:rPr>
          <w:b/>
        </w:rPr>
        <w:t>1.VS EPSILON (2015)</w:t>
      </w:r>
      <w:r>
        <w:t xml:space="preserve"> byla vyhlášena jen za 248 mil. Kč, ačkoli rozpočet na první soutěž (první rok) ve vládou schváleném programu byl 700 mil. Kč, protože v rozpočtu TA ČR na daný rok bylo na program EPSILON 0 Kč. V dalších letech však již rozpočet TA ČR na program EPSILON odpovídal, nicméně závazky se tvořily jen ve výši odpovídající třetinovému </w:t>
      </w:r>
      <w:proofErr w:type="spellStart"/>
      <w:r>
        <w:t>zasmluvnění</w:t>
      </w:r>
      <w:proofErr w:type="spellEnd"/>
      <w:r>
        <w:t xml:space="preserve"> a tak se začaly vytvářet NNV především v letech 2016 a 2017. Tyto prostředky byly pochopitelně zapojovány přednostně do programu EPSILON, což bylo ovšem obtížné s ohledem na dodržení alokace programu v rozpočtu TA ČR v dalších letech (např. další plánovanou výzvu s alokací na první rok řešení 500 mil. Kč nemá smysl navyšovat na 700 mil. Kč a výše), absorpční kapacitu a</w:t>
      </w:r>
      <w:r w:rsidR="00372076">
        <w:t> </w:t>
      </w:r>
      <w:r>
        <w:t>další okolnosti (současně vyhlášené výzvy TRIO a Aplikace-OPPIK).</w:t>
      </w:r>
    </w:p>
    <w:p w:rsidR="00443EA8" w:rsidRDefault="00443EA8" w:rsidP="00372076">
      <w:pPr>
        <w:pStyle w:val="Odstavecseseznamem"/>
        <w:numPr>
          <w:ilvl w:val="0"/>
          <w:numId w:val="14"/>
        </w:numPr>
        <w:ind w:left="714" w:hanging="357"/>
        <w:contextualSpacing w:val="0"/>
      </w:pPr>
      <w:r>
        <w:t>Snahou je samozřejmě zajistit, aby z programu bylo zainvestováno do priorit výzkumu to, co bylo na počátku indikováno. Navíc se objevily nové priority, které musí TA</w:t>
      </w:r>
      <w:r w:rsidR="00372076">
        <w:t> </w:t>
      </w:r>
      <w:r>
        <w:t>ČR zohlednit. Především vládní akční plán pro budoucnost automobilového průmyslu a dále akční plán RESTART, který se týká dále programů ÉTA a DELTA.</w:t>
      </w:r>
    </w:p>
    <w:p w:rsidR="00443EA8" w:rsidRDefault="00443EA8" w:rsidP="00372076">
      <w:pPr>
        <w:pStyle w:val="Odstavecseseznamem"/>
        <w:numPr>
          <w:ilvl w:val="0"/>
          <w:numId w:val="14"/>
        </w:numPr>
        <w:ind w:left="714" w:hanging="357"/>
        <w:contextualSpacing w:val="0"/>
      </w:pPr>
      <w:r>
        <w:rPr>
          <w:b/>
        </w:rPr>
        <w:t>BETA 2 (2017)</w:t>
      </w:r>
      <w:r>
        <w:t xml:space="preserve"> </w:t>
      </w:r>
      <w:r w:rsidR="00372076">
        <w:t>–</w:t>
      </w:r>
      <w:r>
        <w:t xml:space="preserve"> TA ČR obdržela 300 mil. Kč a spotřebovala jen 8 mil. tzn. většina šla do NNV. V loňském roce byl reálný začátek implementace programu obtížný s ohledem na kapacity a</w:t>
      </w:r>
      <w:r w:rsidR="00372076">
        <w:t> </w:t>
      </w:r>
      <w:r>
        <w:t>nutnost ukončit program předcházející (BETA). Ačkoliv posuzování předložených potřeb a</w:t>
      </w:r>
      <w:r w:rsidR="00372076">
        <w:t> </w:t>
      </w:r>
      <w:r>
        <w:t xml:space="preserve">příprava projektů (dle §2, odst. 2, písm. g) ZPVV) probíhala po celý rok, nebylo reálné zahájit zadávací řízení dříve než ve druhé polovině prvního roku programu BETA2. Dle zadání resortů je zaregistrováno více než 200 výzkumných potřeb, které v úhrnu přesahují výrazně alokaci programu na léta 2017 a 2018 a na mnohé z nich již byly podepsány smlouvy, resp. vyhlášeny zakázky či jsou nyní vyhlašovány. Tedy postupně začíná období plateb, jejichž objem začne rychle narůstat a alokace roku 2017 (a někde následně brzy i 2018) bude v případě aktivních resortů pak rychle vyčerpána. V současné době je součet iniciovaných resortních potřeb přes 900 mil. Kč (z celkového rozpočtu programu 1.635 mil. Kč) a na začátku roku 2018 je v procesu zadávacího </w:t>
      </w:r>
      <w:proofErr w:type="gramStart"/>
      <w:r>
        <w:t>řízení a nebo s uzavřenou</w:t>
      </w:r>
      <w:proofErr w:type="gramEnd"/>
      <w:r>
        <w:t xml:space="preserve"> smlouvou přes 250 mil. Kč (tedy prakticky 77% alokace roku 2017). Jelikož je financování projektů nastaveno zpětně po čtvrtletích, tak reálná spotřeba (tedy vyplácení finančních prostředků) bude probíhat opět postupně zpětně na základě kvality dodaných výstupů odsouhlasených resorty (a nikoliv na každý rok dopředu, jak je obvyklé u</w:t>
      </w:r>
      <w:r w:rsidR="00372076">
        <w:t> </w:t>
      </w:r>
      <w:r>
        <w:t>projektů z veřejných soutěží). S ohledem na průměrnou délku projektů v programu BETA2 tři roky to znamená potřebu existence prostředků (NNV) v předpokládané výši součtu uzavřených závazků. V tuto chvíli se jedná zhruba o 100 mil. Kč v těchto projektech a</w:t>
      </w:r>
      <w:r w:rsidR="00372076">
        <w:t> </w:t>
      </w:r>
      <w:r>
        <w:t>do</w:t>
      </w:r>
      <w:r w:rsidR="00372076">
        <w:t> </w:t>
      </w:r>
      <w:r>
        <w:t xml:space="preserve">příštích let se bude jednat odhadem o potřebu 250 mil. Kč takto </w:t>
      </w:r>
      <w:proofErr w:type="spellStart"/>
      <w:r>
        <w:t>zasmluvněných</w:t>
      </w:r>
      <w:proofErr w:type="spellEnd"/>
      <w:r>
        <w:t xml:space="preserve"> prostředků v NNV.</w:t>
      </w:r>
    </w:p>
    <w:p w:rsidR="00443EA8" w:rsidRDefault="00443EA8" w:rsidP="00372076">
      <w:pPr>
        <w:pStyle w:val="Odstavecseseznamem"/>
        <w:numPr>
          <w:ilvl w:val="0"/>
          <w:numId w:val="14"/>
        </w:numPr>
        <w:ind w:left="714" w:hanging="357"/>
        <w:contextualSpacing w:val="0"/>
      </w:pPr>
      <w:r>
        <w:rPr>
          <w:b/>
        </w:rPr>
        <w:t>(2018)</w:t>
      </w:r>
      <w:r>
        <w:t xml:space="preserve"> v tomto roce se NNV navýší o dalších cca 1,4 </w:t>
      </w:r>
      <w:proofErr w:type="spellStart"/>
      <w:r>
        <w:t>mld</w:t>
      </w:r>
      <w:proofErr w:type="spellEnd"/>
      <w:r>
        <w:t xml:space="preserve"> Kč, kde největším měrou přispějí programy: BETA2 330 mil. Kč, CK 350 mil. Kč, ostatní cca po 100 mil. Kč.</w:t>
      </w:r>
    </w:p>
    <w:p w:rsidR="00443EA8" w:rsidRDefault="00443EA8" w:rsidP="00372076">
      <w:pPr>
        <w:pStyle w:val="Odstavecseseznamem"/>
        <w:numPr>
          <w:ilvl w:val="0"/>
          <w:numId w:val="14"/>
        </w:numPr>
        <w:ind w:left="714" w:hanging="357"/>
        <w:contextualSpacing w:val="0"/>
      </w:pPr>
      <w:r>
        <w:rPr>
          <w:b/>
        </w:rPr>
        <w:t>historická výše NNV</w:t>
      </w:r>
      <w:r>
        <w:t xml:space="preserve"> cca 300 mil. Kč (k 1.1.2014). Jakékoliv nesystémové a neplánované změny v rozpočtu vytváří nesoulad a ne vždy a ne zcela je možné je kompenzovat bez vytvoření NNV. Kromě neschválení prostředků v rozpočtu na daný rok podle programu (viz</w:t>
      </w:r>
      <w:r w:rsidR="00372076">
        <w:t> </w:t>
      </w:r>
      <w:r>
        <w:t>výše 1.VS EPSILON) se jedná rovněž o navýšení prostředků. Například v prosinci 2014 došlo k</w:t>
      </w:r>
      <w:r w:rsidR="00372076">
        <w:t> </w:t>
      </w:r>
      <w:r>
        <w:t xml:space="preserve">navýšení prostředků o 115 mil. Kč (UV č. 779/2014) </w:t>
      </w:r>
      <w:r w:rsidR="00372076">
        <w:t>–</w:t>
      </w:r>
      <w:r>
        <w:t xml:space="preserve"> tyto prostředky pak přecházejí do NNV a s ohledem na způsob financování (průměrně 3leté projekty) jsou pak zapojovány postupně v dalších 3 letech, resp. se sčítají s dalšími NNV. Tato situace se opakovala v prosinci 2015. TA ČR pochopitelně vítá navyšování rozpočtu, které ovšem ideálně odpovídá způsobu systémové realizace programů účelové podpory </w:t>
      </w:r>
      <w:r w:rsidR="00372076">
        <w:t>–</w:t>
      </w:r>
      <w:r>
        <w:t xml:space="preserve"> tedy v roce “-2” probíhá plánování veřejných soutěží; v roce “-1” je připravována veřejná soutěž a v této době by měla být známa předpokládaná finanční alokace v prvním podpořeném roce, tedy v roce “+1”; v roce “0” se vyhlašuje veřejná soutěž a s ohledem na uzavírání smluv u podpořených projektů je NUTNÉ již znát s jistotou volné prostředky v roce “+1”!; v roce “+1” pak probíhá financování projektů a</w:t>
      </w:r>
      <w:r w:rsidR="00372076">
        <w:t> </w:t>
      </w:r>
      <w:r>
        <w:t xml:space="preserve">závazky jsou tvořeny v dalších letech. Reálně je tedy potřeba znát předpokládané finanční alokace optimálně 2 roky dopředu, minimálně však více než rok dopředu </w:t>
      </w:r>
      <w:r w:rsidR="00372076">
        <w:t>–</w:t>
      </w:r>
      <w:r>
        <w:t xml:space="preserve"> tedy mimo rámec přípravy státního rozpočtu na daný rok. V případě administrace více programů a veřejných soutěží se tato skutečnost významně prohlubuje.</w:t>
      </w:r>
    </w:p>
    <w:p w:rsidR="00443EA8" w:rsidRDefault="00443EA8" w:rsidP="00372076">
      <w:pPr>
        <w:pStyle w:val="Odstavecseseznamem"/>
        <w:numPr>
          <w:ilvl w:val="0"/>
          <w:numId w:val="14"/>
        </w:numPr>
        <w:ind w:left="714" w:hanging="357"/>
        <w:contextualSpacing w:val="0"/>
      </w:pPr>
      <w:r>
        <w:t>Dále se také jedná o posun čerpání v některých často i významných projektech, kde významná část plateb bude realizována až na jejich konci a protože TA ČR nemá (na rozdíl od evropských fondů) možnost víceletých alokací, tak jedinou možností, jak držet alokaci pro tyto projekty, je prostřednictvím NNV.</w:t>
      </w:r>
    </w:p>
    <w:p w:rsidR="00443EA8" w:rsidRDefault="00443EA8" w:rsidP="00372076">
      <w:pPr>
        <w:pStyle w:val="Odstavecseseznamem"/>
        <w:numPr>
          <w:ilvl w:val="0"/>
          <w:numId w:val="14"/>
        </w:numPr>
        <w:ind w:left="714" w:hanging="357"/>
        <w:contextualSpacing w:val="0"/>
      </w:pPr>
      <w:r>
        <w:t xml:space="preserve">Dalším zásadním faktorem je </w:t>
      </w:r>
      <w:r>
        <w:rPr>
          <w:b/>
        </w:rPr>
        <w:t>absorpční kapacita českého výzkumného prostředí</w:t>
      </w:r>
      <w:r>
        <w:t xml:space="preserve">. Schválením programu </w:t>
      </w:r>
      <w:r>
        <w:rPr>
          <w:b/>
        </w:rPr>
        <w:t>MPO TRIO</w:t>
      </w:r>
      <w:r>
        <w:t xml:space="preserve"> vládou dochází k tomu, že existují obdobně zaměřené programy, a to </w:t>
      </w:r>
      <w:r>
        <w:rPr>
          <w:b/>
        </w:rPr>
        <w:t xml:space="preserve">EPSILON </w:t>
      </w:r>
      <w:r>
        <w:t>TA</w:t>
      </w:r>
      <w:r w:rsidR="00372076">
        <w:t> </w:t>
      </w:r>
      <w:r>
        <w:t>ČR a právě TRIO MPO. Toto znemožňuje TA</w:t>
      </w:r>
      <w:r w:rsidR="00372076">
        <w:t> </w:t>
      </w:r>
      <w:r>
        <w:t xml:space="preserve">ČR podpořit očekávaný počet projektů v rámci programu EPSILON, neboť existencí programu TRIO dochází k tříštění podpory a vytváření konkurenčního prostředí mezi programy podpory. </w:t>
      </w:r>
    </w:p>
    <w:p w:rsidR="00443EA8" w:rsidRDefault="00443EA8" w:rsidP="00372076">
      <w:pPr>
        <w:pStyle w:val="Odstavecseseznamem"/>
        <w:numPr>
          <w:ilvl w:val="0"/>
          <w:numId w:val="14"/>
        </w:numPr>
        <w:ind w:left="714" w:hanging="357"/>
        <w:contextualSpacing w:val="0"/>
      </w:pPr>
      <w:r>
        <w:t xml:space="preserve">Zároveň je třeba uvést, že podobné výzkumné aktivity jsou podporovány v rámci </w:t>
      </w:r>
      <w:r>
        <w:rPr>
          <w:b/>
        </w:rPr>
        <w:t>OP PIK</w:t>
      </w:r>
      <w:r>
        <w:t xml:space="preserve"> (program Aplikace). V rámci tohoto programu také dochází k </w:t>
      </w:r>
      <w:r>
        <w:rPr>
          <w:b/>
        </w:rPr>
        <w:t>vázání prostředků podniků na dofinancování projektů</w:t>
      </w:r>
      <w:r>
        <w:t xml:space="preserve"> a podniky pak nemají dostatek volných prostředků, aby zajistily dofinancování v dalších programech podpory z vlastních prostředků (ač jiné kapacity pro nové projekty často mají);</w:t>
      </w:r>
    </w:p>
    <w:p w:rsidR="00443EA8" w:rsidRDefault="00443EA8" w:rsidP="00443EA8">
      <w:pPr>
        <w:widowControl w:val="0"/>
        <w:spacing w:after="240" w:line="240" w:lineRule="auto"/>
      </w:pPr>
      <w:r>
        <w:br w:type="page"/>
      </w:r>
    </w:p>
    <w:p w:rsidR="00443EA8" w:rsidRPr="00372076" w:rsidRDefault="003329FE" w:rsidP="003329FE">
      <w:pPr>
        <w:pStyle w:val="Grafickprvek"/>
      </w:pPr>
      <w:r>
        <w:t xml:space="preserve">1. </w:t>
      </w:r>
      <w:r w:rsidR="00443EA8" w:rsidRPr="00372076">
        <w:t>Graf: Vývoj financování účelové podpory TA ČR, 2012</w:t>
      </w:r>
      <w:r w:rsidR="00372076" w:rsidRPr="00372076">
        <w:t>–</w:t>
      </w:r>
      <w:r w:rsidR="00443EA8" w:rsidRPr="00372076">
        <w:t>2021</w:t>
      </w:r>
    </w:p>
    <w:p w:rsidR="00443EA8" w:rsidRDefault="00443EA8" w:rsidP="00443EA8">
      <w:pPr>
        <w:rPr>
          <w:b/>
          <w:u w:val="single"/>
        </w:rPr>
      </w:pPr>
      <w:r>
        <w:rPr>
          <w:b/>
          <w:noProof/>
          <w:u w:val="single"/>
          <w:lang w:eastAsia="cs-CZ"/>
        </w:rPr>
        <w:drawing>
          <wp:inline distT="114300" distB="114300" distL="114300" distR="114300" wp14:anchorId="5BE9D4C3" wp14:editId="34942225">
            <wp:extent cx="5734050" cy="2730500"/>
            <wp:effectExtent l="0" t="0" r="0" b="0"/>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a:stretch>
                      <a:fillRect/>
                    </a:stretch>
                  </pic:blipFill>
                  <pic:spPr>
                    <a:xfrm>
                      <a:off x="0" y="0"/>
                      <a:ext cx="5734050" cy="2730500"/>
                    </a:xfrm>
                    <a:prstGeom prst="rect">
                      <a:avLst/>
                    </a:prstGeom>
                    <a:ln/>
                  </pic:spPr>
                </pic:pic>
              </a:graphicData>
            </a:graphic>
          </wp:inline>
        </w:drawing>
      </w:r>
    </w:p>
    <w:p w:rsidR="00443EA8" w:rsidRDefault="00443EA8" w:rsidP="00443EA8">
      <w:pPr>
        <w:rPr>
          <w:b/>
          <w:u w:val="single"/>
        </w:rPr>
      </w:pPr>
    </w:p>
    <w:tbl>
      <w:tblPr>
        <w:tblW w:w="9781" w:type="dxa"/>
        <w:tblInd w:w="10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600" w:firstRow="0" w:lastRow="0" w:firstColumn="0" w:lastColumn="0" w:noHBand="1" w:noVBand="1"/>
      </w:tblPr>
      <w:tblGrid>
        <w:gridCol w:w="1134"/>
        <w:gridCol w:w="2882"/>
        <w:gridCol w:w="2882"/>
        <w:gridCol w:w="2883"/>
      </w:tblGrid>
      <w:tr w:rsidR="0096209D" w:rsidRPr="00372076" w:rsidTr="0096209D">
        <w:trPr>
          <w:trHeight w:val="1361"/>
        </w:trPr>
        <w:tc>
          <w:tcPr>
            <w:tcW w:w="1134" w:type="dxa"/>
            <w:tcBorders>
              <w:top w:val="nil"/>
              <w:left w:val="nil"/>
              <w:bottom w:val="nil"/>
              <w:right w:val="nil"/>
            </w:tcBorders>
            <w:shd w:val="clear" w:color="auto" w:fill="F03741"/>
            <w:tcMar>
              <w:top w:w="0" w:type="dxa"/>
              <w:left w:w="100" w:type="dxa"/>
              <w:bottom w:w="0" w:type="dxa"/>
              <w:right w:w="100" w:type="dxa"/>
            </w:tcMar>
          </w:tcPr>
          <w:p w:rsidR="00443EA8" w:rsidRPr="0096209D" w:rsidRDefault="00443EA8" w:rsidP="00372076">
            <w:pPr>
              <w:spacing w:before="40" w:after="40" w:line="240" w:lineRule="auto"/>
              <w:jc w:val="center"/>
              <w:rPr>
                <w:rFonts w:asciiTheme="minorHAnsi" w:hAnsiTheme="minorHAnsi"/>
                <w:b/>
                <w:color w:val="FFFFFF" w:themeColor="background1"/>
              </w:rPr>
            </w:pPr>
          </w:p>
        </w:tc>
        <w:tc>
          <w:tcPr>
            <w:tcW w:w="2882" w:type="dxa"/>
            <w:tcBorders>
              <w:top w:val="nil"/>
              <w:left w:val="nil"/>
              <w:bottom w:val="nil"/>
              <w:right w:val="nil"/>
            </w:tcBorders>
            <w:shd w:val="clear" w:color="auto" w:fill="F03741"/>
            <w:tcMar>
              <w:top w:w="0" w:type="dxa"/>
              <w:left w:w="100" w:type="dxa"/>
              <w:bottom w:w="0" w:type="dxa"/>
              <w:right w:w="100" w:type="dxa"/>
            </w:tcMar>
            <w:vAlign w:val="center"/>
          </w:tcPr>
          <w:p w:rsidR="00443EA8" w:rsidRPr="0096209D" w:rsidRDefault="00443EA8" w:rsidP="00372076">
            <w:pPr>
              <w:widowControl w:val="0"/>
              <w:spacing w:before="40" w:after="40" w:line="240" w:lineRule="auto"/>
              <w:jc w:val="center"/>
              <w:rPr>
                <w:rFonts w:asciiTheme="minorHAnsi" w:hAnsiTheme="minorHAnsi"/>
                <w:b/>
                <w:color w:val="FFFFFF" w:themeColor="background1"/>
              </w:rPr>
            </w:pPr>
            <w:r w:rsidRPr="0096209D">
              <w:rPr>
                <w:rFonts w:asciiTheme="minorHAnsi" w:hAnsiTheme="minorHAnsi"/>
                <w:b/>
                <w:color w:val="FFFFFF" w:themeColor="background1"/>
              </w:rPr>
              <w:t>Kumulované závazky</w:t>
            </w:r>
          </w:p>
          <w:p w:rsidR="00443EA8" w:rsidRPr="0096209D" w:rsidRDefault="00443EA8" w:rsidP="00372076">
            <w:pPr>
              <w:widowControl w:val="0"/>
              <w:spacing w:before="40" w:after="40" w:line="240" w:lineRule="auto"/>
              <w:jc w:val="center"/>
              <w:rPr>
                <w:rFonts w:asciiTheme="minorHAnsi" w:hAnsiTheme="minorHAnsi"/>
                <w:b/>
                <w:color w:val="FFFFFF" w:themeColor="background1"/>
              </w:rPr>
            </w:pPr>
            <w:r w:rsidRPr="0096209D">
              <w:rPr>
                <w:rFonts w:asciiTheme="minorHAnsi" w:hAnsiTheme="minorHAnsi"/>
                <w:b/>
                <w:color w:val="FFFFFF" w:themeColor="background1"/>
              </w:rPr>
              <w:t xml:space="preserve"> TA ČR </w:t>
            </w:r>
          </w:p>
          <w:p w:rsidR="00443EA8" w:rsidRPr="0096209D" w:rsidRDefault="00443EA8" w:rsidP="00372076">
            <w:pPr>
              <w:widowControl w:val="0"/>
              <w:spacing w:before="40" w:after="40" w:line="240" w:lineRule="auto"/>
              <w:jc w:val="center"/>
              <w:rPr>
                <w:rFonts w:asciiTheme="minorHAnsi" w:hAnsiTheme="minorHAnsi"/>
                <w:b/>
                <w:color w:val="FFFFFF" w:themeColor="background1"/>
              </w:rPr>
            </w:pPr>
            <w:r w:rsidRPr="0096209D">
              <w:rPr>
                <w:rFonts w:asciiTheme="minorHAnsi" w:hAnsiTheme="minorHAnsi"/>
                <w:b/>
                <w:color w:val="FFFFFF" w:themeColor="background1"/>
              </w:rPr>
              <w:t>(v mil. Kč)</w:t>
            </w:r>
          </w:p>
        </w:tc>
        <w:tc>
          <w:tcPr>
            <w:tcW w:w="2882" w:type="dxa"/>
            <w:tcBorders>
              <w:top w:val="nil"/>
              <w:left w:val="nil"/>
              <w:bottom w:val="nil"/>
              <w:right w:val="nil"/>
            </w:tcBorders>
            <w:shd w:val="clear" w:color="auto" w:fill="F03741"/>
            <w:tcMar>
              <w:top w:w="0" w:type="dxa"/>
              <w:left w:w="100" w:type="dxa"/>
              <w:bottom w:w="0" w:type="dxa"/>
              <w:right w:w="100" w:type="dxa"/>
            </w:tcMar>
            <w:vAlign w:val="center"/>
          </w:tcPr>
          <w:p w:rsidR="00443EA8" w:rsidRPr="0096209D" w:rsidRDefault="00443EA8" w:rsidP="00372076">
            <w:pPr>
              <w:widowControl w:val="0"/>
              <w:spacing w:before="40" w:after="40" w:line="240" w:lineRule="auto"/>
              <w:jc w:val="center"/>
              <w:rPr>
                <w:rFonts w:asciiTheme="minorHAnsi" w:hAnsiTheme="minorHAnsi"/>
                <w:b/>
                <w:color w:val="FFFFFF" w:themeColor="background1"/>
              </w:rPr>
            </w:pPr>
            <w:r w:rsidRPr="0096209D">
              <w:rPr>
                <w:rFonts w:asciiTheme="minorHAnsi" w:hAnsiTheme="minorHAnsi"/>
                <w:b/>
                <w:color w:val="FFFFFF" w:themeColor="background1"/>
              </w:rPr>
              <w:t>Kumulované nespotřebované/zapojené výdaje TA ČR</w:t>
            </w:r>
          </w:p>
          <w:p w:rsidR="00443EA8" w:rsidRPr="0096209D" w:rsidRDefault="00443EA8" w:rsidP="00372076">
            <w:pPr>
              <w:widowControl w:val="0"/>
              <w:spacing w:before="40" w:after="40" w:line="240" w:lineRule="auto"/>
              <w:jc w:val="center"/>
              <w:rPr>
                <w:rFonts w:asciiTheme="minorHAnsi" w:hAnsiTheme="minorHAnsi"/>
                <w:b/>
                <w:color w:val="FFFFFF" w:themeColor="background1"/>
              </w:rPr>
            </w:pPr>
            <w:r w:rsidRPr="0096209D">
              <w:rPr>
                <w:rFonts w:asciiTheme="minorHAnsi" w:hAnsiTheme="minorHAnsi"/>
                <w:b/>
                <w:color w:val="FFFFFF" w:themeColor="background1"/>
              </w:rPr>
              <w:t>(v mil. Kč)</w:t>
            </w:r>
          </w:p>
        </w:tc>
        <w:tc>
          <w:tcPr>
            <w:tcW w:w="2883" w:type="dxa"/>
            <w:tcBorders>
              <w:top w:val="nil"/>
              <w:left w:val="nil"/>
              <w:bottom w:val="nil"/>
              <w:right w:val="nil"/>
            </w:tcBorders>
            <w:shd w:val="clear" w:color="auto" w:fill="F03741"/>
            <w:tcMar>
              <w:top w:w="0" w:type="dxa"/>
              <w:left w:w="100" w:type="dxa"/>
              <w:bottom w:w="0" w:type="dxa"/>
              <w:right w:w="100" w:type="dxa"/>
            </w:tcMar>
            <w:vAlign w:val="center"/>
          </w:tcPr>
          <w:p w:rsidR="00443EA8" w:rsidRPr="0096209D" w:rsidRDefault="00443EA8" w:rsidP="00372076">
            <w:pPr>
              <w:widowControl w:val="0"/>
              <w:spacing w:before="40" w:after="40" w:line="240" w:lineRule="auto"/>
              <w:jc w:val="center"/>
              <w:rPr>
                <w:rFonts w:asciiTheme="minorHAnsi" w:hAnsiTheme="minorHAnsi"/>
                <w:b/>
                <w:color w:val="FFFFFF" w:themeColor="background1"/>
              </w:rPr>
            </w:pPr>
            <w:r w:rsidRPr="0096209D">
              <w:rPr>
                <w:rFonts w:asciiTheme="minorHAnsi" w:hAnsiTheme="minorHAnsi"/>
                <w:b/>
                <w:color w:val="FFFFFF" w:themeColor="background1"/>
              </w:rPr>
              <w:t>Podíl kumulovaných nespotřebovaných/</w:t>
            </w:r>
          </w:p>
          <w:p w:rsidR="00443EA8" w:rsidRPr="0096209D" w:rsidRDefault="00443EA8" w:rsidP="00372076">
            <w:pPr>
              <w:widowControl w:val="0"/>
              <w:spacing w:before="40" w:after="40" w:line="240" w:lineRule="auto"/>
              <w:jc w:val="center"/>
              <w:rPr>
                <w:rFonts w:asciiTheme="minorHAnsi" w:hAnsiTheme="minorHAnsi"/>
                <w:b/>
                <w:color w:val="FFFFFF" w:themeColor="background1"/>
              </w:rPr>
            </w:pPr>
            <w:r w:rsidRPr="0096209D">
              <w:rPr>
                <w:rFonts w:asciiTheme="minorHAnsi" w:hAnsiTheme="minorHAnsi"/>
                <w:b/>
                <w:color w:val="FFFFFF" w:themeColor="background1"/>
              </w:rPr>
              <w:t xml:space="preserve">zapojených výdajů na kumulovaných závazcích </w:t>
            </w:r>
          </w:p>
          <w:p w:rsidR="00443EA8" w:rsidRPr="0096209D" w:rsidRDefault="00443EA8" w:rsidP="00372076">
            <w:pPr>
              <w:widowControl w:val="0"/>
              <w:spacing w:before="40" w:after="40" w:line="240" w:lineRule="auto"/>
              <w:jc w:val="center"/>
              <w:rPr>
                <w:rFonts w:asciiTheme="minorHAnsi" w:hAnsiTheme="minorHAnsi"/>
                <w:b/>
                <w:color w:val="FFFFFF" w:themeColor="background1"/>
              </w:rPr>
            </w:pPr>
            <w:r w:rsidRPr="0096209D">
              <w:rPr>
                <w:rFonts w:asciiTheme="minorHAnsi" w:hAnsiTheme="minorHAnsi"/>
                <w:b/>
                <w:color w:val="FFFFFF" w:themeColor="background1"/>
              </w:rPr>
              <w:t>(v %)</w:t>
            </w:r>
          </w:p>
        </w:tc>
      </w:tr>
      <w:tr w:rsidR="0096209D" w:rsidRPr="00372076" w:rsidTr="0096209D">
        <w:trPr>
          <w:trHeight w:val="397"/>
        </w:trPr>
        <w:tc>
          <w:tcPr>
            <w:tcW w:w="1134" w:type="dxa"/>
            <w:tcBorders>
              <w:top w:val="nil"/>
              <w:left w:val="nil"/>
              <w:bottom w:val="nil"/>
              <w:right w:val="nil"/>
            </w:tcBorders>
            <w:shd w:val="clear" w:color="auto" w:fill="F2F2F2" w:themeFill="background1" w:themeFillShade="F2"/>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2011</w:t>
            </w:r>
          </w:p>
        </w:tc>
        <w:tc>
          <w:tcPr>
            <w:tcW w:w="2882" w:type="dxa"/>
            <w:tcBorders>
              <w:top w:val="nil"/>
              <w:left w:val="nil"/>
              <w:bottom w:val="nil"/>
              <w:right w:val="nil"/>
            </w:tcBorders>
            <w:shd w:val="clear" w:color="auto" w:fill="F2F2F2" w:themeFill="background1" w:themeFillShade="F2"/>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2 577,6</w:t>
            </w:r>
          </w:p>
        </w:tc>
        <w:tc>
          <w:tcPr>
            <w:tcW w:w="2882" w:type="dxa"/>
            <w:tcBorders>
              <w:top w:val="nil"/>
              <w:left w:val="nil"/>
              <w:bottom w:val="nil"/>
              <w:right w:val="nil"/>
            </w:tcBorders>
            <w:shd w:val="clear" w:color="auto" w:fill="F2F2F2" w:themeFill="background1" w:themeFillShade="F2"/>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3,6</w:t>
            </w:r>
          </w:p>
        </w:tc>
        <w:tc>
          <w:tcPr>
            <w:tcW w:w="2883" w:type="dxa"/>
            <w:tcBorders>
              <w:top w:val="nil"/>
              <w:left w:val="nil"/>
              <w:bottom w:val="nil"/>
              <w:right w:val="nil"/>
            </w:tcBorders>
            <w:shd w:val="clear" w:color="auto" w:fill="F2F2F2" w:themeFill="background1" w:themeFillShade="F2"/>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0,1</w:t>
            </w:r>
          </w:p>
        </w:tc>
      </w:tr>
      <w:tr w:rsidR="0096209D" w:rsidRPr="00372076" w:rsidTr="0096209D">
        <w:trPr>
          <w:trHeight w:val="397"/>
        </w:trPr>
        <w:tc>
          <w:tcPr>
            <w:tcW w:w="1134" w:type="dxa"/>
            <w:tcBorders>
              <w:top w:val="nil"/>
              <w:left w:val="nil"/>
              <w:bottom w:val="nil"/>
              <w:right w:val="nil"/>
            </w:tcBorders>
            <w:shd w:val="clear" w:color="auto" w:fill="auto"/>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2012</w:t>
            </w:r>
          </w:p>
        </w:tc>
        <w:tc>
          <w:tcPr>
            <w:tcW w:w="2882" w:type="dxa"/>
            <w:tcBorders>
              <w:top w:val="nil"/>
              <w:left w:val="nil"/>
              <w:bottom w:val="nil"/>
              <w:right w:val="nil"/>
            </w:tcBorders>
            <w:shd w:val="clear" w:color="auto" w:fill="auto"/>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9 302,9</w:t>
            </w:r>
          </w:p>
        </w:tc>
        <w:tc>
          <w:tcPr>
            <w:tcW w:w="2882" w:type="dxa"/>
            <w:tcBorders>
              <w:top w:val="nil"/>
              <w:left w:val="nil"/>
              <w:bottom w:val="nil"/>
              <w:right w:val="nil"/>
            </w:tcBorders>
            <w:shd w:val="clear" w:color="auto" w:fill="auto"/>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259,1</w:t>
            </w:r>
          </w:p>
        </w:tc>
        <w:tc>
          <w:tcPr>
            <w:tcW w:w="2883" w:type="dxa"/>
            <w:tcBorders>
              <w:top w:val="nil"/>
              <w:left w:val="nil"/>
              <w:bottom w:val="nil"/>
              <w:right w:val="nil"/>
            </w:tcBorders>
            <w:shd w:val="clear" w:color="auto" w:fill="auto"/>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2,8</w:t>
            </w:r>
          </w:p>
        </w:tc>
      </w:tr>
      <w:tr w:rsidR="0096209D" w:rsidRPr="00372076" w:rsidTr="0096209D">
        <w:trPr>
          <w:trHeight w:val="397"/>
        </w:trPr>
        <w:tc>
          <w:tcPr>
            <w:tcW w:w="1134" w:type="dxa"/>
            <w:tcBorders>
              <w:top w:val="nil"/>
              <w:left w:val="nil"/>
              <w:bottom w:val="nil"/>
              <w:right w:val="nil"/>
            </w:tcBorders>
            <w:shd w:val="clear" w:color="auto" w:fill="F2F2F2" w:themeFill="background1" w:themeFillShade="F2"/>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2013</w:t>
            </w:r>
          </w:p>
        </w:tc>
        <w:tc>
          <w:tcPr>
            <w:tcW w:w="2882" w:type="dxa"/>
            <w:tcBorders>
              <w:top w:val="nil"/>
              <w:left w:val="nil"/>
              <w:bottom w:val="nil"/>
              <w:right w:val="nil"/>
            </w:tcBorders>
            <w:shd w:val="clear" w:color="auto" w:fill="F2F2F2" w:themeFill="background1" w:themeFillShade="F2"/>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11 361,3</w:t>
            </w:r>
          </w:p>
        </w:tc>
        <w:tc>
          <w:tcPr>
            <w:tcW w:w="2882" w:type="dxa"/>
            <w:tcBorders>
              <w:top w:val="nil"/>
              <w:left w:val="nil"/>
              <w:bottom w:val="nil"/>
              <w:right w:val="nil"/>
            </w:tcBorders>
            <w:shd w:val="clear" w:color="auto" w:fill="F2F2F2" w:themeFill="background1" w:themeFillShade="F2"/>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215,0</w:t>
            </w:r>
          </w:p>
        </w:tc>
        <w:tc>
          <w:tcPr>
            <w:tcW w:w="2883" w:type="dxa"/>
            <w:tcBorders>
              <w:top w:val="nil"/>
              <w:left w:val="nil"/>
              <w:bottom w:val="nil"/>
              <w:right w:val="nil"/>
            </w:tcBorders>
            <w:shd w:val="clear" w:color="auto" w:fill="F2F2F2" w:themeFill="background1" w:themeFillShade="F2"/>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1,9</w:t>
            </w:r>
          </w:p>
        </w:tc>
      </w:tr>
      <w:tr w:rsidR="0096209D" w:rsidRPr="00372076" w:rsidTr="0096209D">
        <w:trPr>
          <w:trHeight w:val="397"/>
        </w:trPr>
        <w:tc>
          <w:tcPr>
            <w:tcW w:w="1134" w:type="dxa"/>
            <w:tcBorders>
              <w:top w:val="nil"/>
              <w:left w:val="nil"/>
              <w:bottom w:val="nil"/>
              <w:right w:val="nil"/>
            </w:tcBorders>
            <w:shd w:val="clear" w:color="auto" w:fill="auto"/>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2014</w:t>
            </w:r>
          </w:p>
        </w:tc>
        <w:tc>
          <w:tcPr>
            <w:tcW w:w="2882" w:type="dxa"/>
            <w:tcBorders>
              <w:top w:val="nil"/>
              <w:left w:val="nil"/>
              <w:bottom w:val="nil"/>
              <w:right w:val="nil"/>
            </w:tcBorders>
            <w:shd w:val="clear" w:color="auto" w:fill="auto"/>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16 161,4</w:t>
            </w:r>
          </w:p>
        </w:tc>
        <w:tc>
          <w:tcPr>
            <w:tcW w:w="2882" w:type="dxa"/>
            <w:tcBorders>
              <w:top w:val="nil"/>
              <w:left w:val="nil"/>
              <w:bottom w:val="nil"/>
              <w:right w:val="nil"/>
            </w:tcBorders>
            <w:shd w:val="clear" w:color="auto" w:fill="auto"/>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295,6</w:t>
            </w:r>
          </w:p>
        </w:tc>
        <w:tc>
          <w:tcPr>
            <w:tcW w:w="2883" w:type="dxa"/>
            <w:tcBorders>
              <w:top w:val="nil"/>
              <w:left w:val="nil"/>
              <w:bottom w:val="nil"/>
              <w:right w:val="nil"/>
            </w:tcBorders>
            <w:shd w:val="clear" w:color="auto" w:fill="auto"/>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1,8</w:t>
            </w:r>
          </w:p>
        </w:tc>
      </w:tr>
      <w:tr w:rsidR="0096209D" w:rsidRPr="00372076" w:rsidTr="0096209D">
        <w:trPr>
          <w:trHeight w:val="397"/>
        </w:trPr>
        <w:tc>
          <w:tcPr>
            <w:tcW w:w="1134" w:type="dxa"/>
            <w:tcBorders>
              <w:top w:val="nil"/>
              <w:left w:val="nil"/>
              <w:bottom w:val="nil"/>
              <w:right w:val="nil"/>
            </w:tcBorders>
            <w:shd w:val="clear" w:color="auto" w:fill="F2F2F2" w:themeFill="background1" w:themeFillShade="F2"/>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2015</w:t>
            </w:r>
          </w:p>
        </w:tc>
        <w:tc>
          <w:tcPr>
            <w:tcW w:w="2882" w:type="dxa"/>
            <w:tcBorders>
              <w:top w:val="nil"/>
              <w:left w:val="nil"/>
              <w:bottom w:val="nil"/>
              <w:right w:val="nil"/>
            </w:tcBorders>
            <w:shd w:val="clear" w:color="auto" w:fill="F2F2F2" w:themeFill="background1" w:themeFillShade="F2"/>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17 052,9</w:t>
            </w:r>
          </w:p>
        </w:tc>
        <w:tc>
          <w:tcPr>
            <w:tcW w:w="2882" w:type="dxa"/>
            <w:tcBorders>
              <w:top w:val="nil"/>
              <w:left w:val="nil"/>
              <w:bottom w:val="nil"/>
              <w:right w:val="nil"/>
            </w:tcBorders>
            <w:shd w:val="clear" w:color="auto" w:fill="F2F2F2" w:themeFill="background1" w:themeFillShade="F2"/>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33,2</w:t>
            </w:r>
          </w:p>
        </w:tc>
        <w:tc>
          <w:tcPr>
            <w:tcW w:w="2883" w:type="dxa"/>
            <w:tcBorders>
              <w:top w:val="nil"/>
              <w:left w:val="nil"/>
              <w:bottom w:val="nil"/>
              <w:right w:val="nil"/>
            </w:tcBorders>
            <w:shd w:val="clear" w:color="auto" w:fill="F2F2F2" w:themeFill="background1" w:themeFillShade="F2"/>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0,2</w:t>
            </w:r>
          </w:p>
        </w:tc>
      </w:tr>
      <w:tr w:rsidR="0096209D" w:rsidRPr="00372076" w:rsidTr="0096209D">
        <w:trPr>
          <w:trHeight w:val="397"/>
        </w:trPr>
        <w:tc>
          <w:tcPr>
            <w:tcW w:w="1134" w:type="dxa"/>
            <w:tcBorders>
              <w:top w:val="nil"/>
              <w:left w:val="nil"/>
              <w:bottom w:val="nil"/>
              <w:right w:val="nil"/>
            </w:tcBorders>
            <w:shd w:val="clear" w:color="auto" w:fill="auto"/>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2016</w:t>
            </w:r>
          </w:p>
        </w:tc>
        <w:tc>
          <w:tcPr>
            <w:tcW w:w="2882" w:type="dxa"/>
            <w:tcBorders>
              <w:top w:val="nil"/>
              <w:left w:val="nil"/>
              <w:bottom w:val="nil"/>
              <w:right w:val="nil"/>
            </w:tcBorders>
            <w:shd w:val="clear" w:color="auto" w:fill="auto"/>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17 652,9</w:t>
            </w:r>
          </w:p>
        </w:tc>
        <w:tc>
          <w:tcPr>
            <w:tcW w:w="2882" w:type="dxa"/>
            <w:tcBorders>
              <w:top w:val="nil"/>
              <w:left w:val="nil"/>
              <w:bottom w:val="nil"/>
              <w:right w:val="nil"/>
            </w:tcBorders>
            <w:shd w:val="clear" w:color="auto" w:fill="auto"/>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154,4</w:t>
            </w:r>
          </w:p>
        </w:tc>
        <w:tc>
          <w:tcPr>
            <w:tcW w:w="2883" w:type="dxa"/>
            <w:tcBorders>
              <w:top w:val="nil"/>
              <w:left w:val="nil"/>
              <w:bottom w:val="nil"/>
              <w:right w:val="nil"/>
            </w:tcBorders>
            <w:shd w:val="clear" w:color="auto" w:fill="auto"/>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0,9</w:t>
            </w:r>
          </w:p>
        </w:tc>
      </w:tr>
      <w:tr w:rsidR="0096209D" w:rsidRPr="00372076" w:rsidTr="0096209D">
        <w:trPr>
          <w:trHeight w:val="397"/>
        </w:trPr>
        <w:tc>
          <w:tcPr>
            <w:tcW w:w="1134" w:type="dxa"/>
            <w:tcBorders>
              <w:top w:val="nil"/>
              <w:left w:val="nil"/>
              <w:bottom w:val="nil"/>
              <w:right w:val="nil"/>
            </w:tcBorders>
            <w:shd w:val="clear" w:color="auto" w:fill="F2F2F2" w:themeFill="background1" w:themeFillShade="F2"/>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2017</w:t>
            </w:r>
          </w:p>
        </w:tc>
        <w:tc>
          <w:tcPr>
            <w:tcW w:w="2882" w:type="dxa"/>
            <w:tcBorders>
              <w:top w:val="nil"/>
              <w:left w:val="nil"/>
              <w:bottom w:val="nil"/>
              <w:right w:val="nil"/>
            </w:tcBorders>
            <w:shd w:val="clear" w:color="auto" w:fill="F2F2F2" w:themeFill="background1" w:themeFillShade="F2"/>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20 838,6</w:t>
            </w:r>
          </w:p>
        </w:tc>
        <w:tc>
          <w:tcPr>
            <w:tcW w:w="2882" w:type="dxa"/>
            <w:tcBorders>
              <w:top w:val="nil"/>
              <w:left w:val="nil"/>
              <w:bottom w:val="nil"/>
              <w:right w:val="nil"/>
            </w:tcBorders>
            <w:shd w:val="clear" w:color="auto" w:fill="F2F2F2" w:themeFill="background1" w:themeFillShade="F2"/>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729,4</w:t>
            </w:r>
          </w:p>
        </w:tc>
        <w:tc>
          <w:tcPr>
            <w:tcW w:w="2883" w:type="dxa"/>
            <w:tcBorders>
              <w:top w:val="nil"/>
              <w:left w:val="nil"/>
              <w:bottom w:val="nil"/>
              <w:right w:val="nil"/>
            </w:tcBorders>
            <w:shd w:val="clear" w:color="auto" w:fill="F2F2F2" w:themeFill="background1" w:themeFillShade="F2"/>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3,5</w:t>
            </w:r>
          </w:p>
        </w:tc>
      </w:tr>
      <w:tr w:rsidR="0096209D" w:rsidRPr="00372076" w:rsidTr="0096209D">
        <w:trPr>
          <w:trHeight w:val="397"/>
        </w:trPr>
        <w:tc>
          <w:tcPr>
            <w:tcW w:w="1134" w:type="dxa"/>
            <w:tcBorders>
              <w:top w:val="nil"/>
              <w:left w:val="nil"/>
              <w:bottom w:val="nil"/>
              <w:right w:val="nil"/>
            </w:tcBorders>
            <w:shd w:val="clear" w:color="auto" w:fill="auto"/>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2018</w:t>
            </w:r>
          </w:p>
        </w:tc>
        <w:tc>
          <w:tcPr>
            <w:tcW w:w="2882" w:type="dxa"/>
            <w:tcBorders>
              <w:top w:val="nil"/>
              <w:left w:val="nil"/>
              <w:bottom w:val="nil"/>
              <w:right w:val="nil"/>
            </w:tcBorders>
            <w:shd w:val="clear" w:color="auto" w:fill="auto"/>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25 691,2</w:t>
            </w:r>
          </w:p>
        </w:tc>
        <w:tc>
          <w:tcPr>
            <w:tcW w:w="2882" w:type="dxa"/>
            <w:tcBorders>
              <w:top w:val="nil"/>
              <w:left w:val="nil"/>
              <w:bottom w:val="nil"/>
              <w:right w:val="nil"/>
            </w:tcBorders>
            <w:shd w:val="clear" w:color="auto" w:fill="auto"/>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2 046,4</w:t>
            </w:r>
          </w:p>
        </w:tc>
        <w:tc>
          <w:tcPr>
            <w:tcW w:w="2883" w:type="dxa"/>
            <w:tcBorders>
              <w:top w:val="nil"/>
              <w:left w:val="nil"/>
              <w:bottom w:val="nil"/>
              <w:right w:val="nil"/>
            </w:tcBorders>
            <w:shd w:val="clear" w:color="auto" w:fill="auto"/>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8,0</w:t>
            </w:r>
          </w:p>
        </w:tc>
      </w:tr>
      <w:tr w:rsidR="0096209D" w:rsidRPr="00372076" w:rsidTr="0096209D">
        <w:trPr>
          <w:trHeight w:val="397"/>
        </w:trPr>
        <w:tc>
          <w:tcPr>
            <w:tcW w:w="1134" w:type="dxa"/>
            <w:tcBorders>
              <w:top w:val="nil"/>
              <w:left w:val="nil"/>
              <w:bottom w:val="nil"/>
              <w:right w:val="nil"/>
            </w:tcBorders>
            <w:shd w:val="clear" w:color="auto" w:fill="F2F2F2" w:themeFill="background1" w:themeFillShade="F2"/>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2019</w:t>
            </w:r>
          </w:p>
        </w:tc>
        <w:tc>
          <w:tcPr>
            <w:tcW w:w="2882" w:type="dxa"/>
            <w:tcBorders>
              <w:top w:val="nil"/>
              <w:left w:val="nil"/>
              <w:bottom w:val="nil"/>
              <w:right w:val="nil"/>
            </w:tcBorders>
            <w:shd w:val="clear" w:color="auto" w:fill="F2F2F2" w:themeFill="background1" w:themeFillShade="F2"/>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29 880,7</w:t>
            </w:r>
          </w:p>
        </w:tc>
        <w:tc>
          <w:tcPr>
            <w:tcW w:w="2882" w:type="dxa"/>
            <w:tcBorders>
              <w:top w:val="nil"/>
              <w:left w:val="nil"/>
              <w:bottom w:val="nil"/>
              <w:right w:val="nil"/>
            </w:tcBorders>
            <w:shd w:val="clear" w:color="auto" w:fill="F2F2F2" w:themeFill="background1" w:themeFillShade="F2"/>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1 450,4</w:t>
            </w:r>
          </w:p>
        </w:tc>
        <w:tc>
          <w:tcPr>
            <w:tcW w:w="2883" w:type="dxa"/>
            <w:tcBorders>
              <w:top w:val="nil"/>
              <w:left w:val="nil"/>
              <w:bottom w:val="nil"/>
              <w:right w:val="nil"/>
            </w:tcBorders>
            <w:shd w:val="clear" w:color="auto" w:fill="F2F2F2" w:themeFill="background1" w:themeFillShade="F2"/>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4,9</w:t>
            </w:r>
          </w:p>
        </w:tc>
      </w:tr>
      <w:tr w:rsidR="0096209D" w:rsidRPr="00372076" w:rsidTr="0096209D">
        <w:trPr>
          <w:trHeight w:val="397"/>
        </w:trPr>
        <w:tc>
          <w:tcPr>
            <w:tcW w:w="1134" w:type="dxa"/>
            <w:tcBorders>
              <w:top w:val="nil"/>
              <w:left w:val="nil"/>
              <w:bottom w:val="nil"/>
              <w:right w:val="nil"/>
            </w:tcBorders>
            <w:shd w:val="clear" w:color="auto" w:fill="auto"/>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2020</w:t>
            </w:r>
          </w:p>
        </w:tc>
        <w:tc>
          <w:tcPr>
            <w:tcW w:w="2882" w:type="dxa"/>
            <w:tcBorders>
              <w:top w:val="nil"/>
              <w:left w:val="nil"/>
              <w:bottom w:val="nil"/>
              <w:right w:val="nil"/>
            </w:tcBorders>
            <w:shd w:val="clear" w:color="auto" w:fill="auto"/>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34 605,1</w:t>
            </w:r>
          </w:p>
        </w:tc>
        <w:tc>
          <w:tcPr>
            <w:tcW w:w="2882" w:type="dxa"/>
            <w:tcBorders>
              <w:top w:val="nil"/>
              <w:left w:val="nil"/>
              <w:bottom w:val="nil"/>
              <w:right w:val="nil"/>
            </w:tcBorders>
            <w:shd w:val="clear" w:color="auto" w:fill="auto"/>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1 535,3</w:t>
            </w:r>
          </w:p>
        </w:tc>
        <w:tc>
          <w:tcPr>
            <w:tcW w:w="2883" w:type="dxa"/>
            <w:tcBorders>
              <w:top w:val="nil"/>
              <w:left w:val="nil"/>
              <w:bottom w:val="nil"/>
              <w:right w:val="nil"/>
            </w:tcBorders>
            <w:shd w:val="clear" w:color="auto" w:fill="auto"/>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4,4</w:t>
            </w:r>
          </w:p>
        </w:tc>
      </w:tr>
      <w:tr w:rsidR="0096209D" w:rsidRPr="00372076" w:rsidTr="0096209D">
        <w:trPr>
          <w:trHeight w:val="397"/>
        </w:trPr>
        <w:tc>
          <w:tcPr>
            <w:tcW w:w="1134" w:type="dxa"/>
            <w:tcBorders>
              <w:top w:val="nil"/>
              <w:left w:val="nil"/>
              <w:bottom w:val="nil"/>
              <w:right w:val="nil"/>
            </w:tcBorders>
            <w:shd w:val="clear" w:color="auto" w:fill="F2F2F2" w:themeFill="background1" w:themeFillShade="F2"/>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2021</w:t>
            </w:r>
          </w:p>
        </w:tc>
        <w:tc>
          <w:tcPr>
            <w:tcW w:w="2882" w:type="dxa"/>
            <w:tcBorders>
              <w:top w:val="nil"/>
              <w:left w:val="nil"/>
              <w:bottom w:val="nil"/>
              <w:right w:val="nil"/>
            </w:tcBorders>
            <w:shd w:val="clear" w:color="auto" w:fill="F2F2F2" w:themeFill="background1" w:themeFillShade="F2"/>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37 416,2</w:t>
            </w:r>
          </w:p>
        </w:tc>
        <w:tc>
          <w:tcPr>
            <w:tcW w:w="2882" w:type="dxa"/>
            <w:tcBorders>
              <w:top w:val="nil"/>
              <w:left w:val="nil"/>
              <w:bottom w:val="nil"/>
              <w:right w:val="nil"/>
            </w:tcBorders>
            <w:shd w:val="clear" w:color="auto" w:fill="F2F2F2" w:themeFill="background1" w:themeFillShade="F2"/>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1 068,5</w:t>
            </w:r>
          </w:p>
        </w:tc>
        <w:tc>
          <w:tcPr>
            <w:tcW w:w="2883" w:type="dxa"/>
            <w:tcBorders>
              <w:top w:val="nil"/>
              <w:left w:val="nil"/>
              <w:bottom w:val="nil"/>
              <w:right w:val="nil"/>
            </w:tcBorders>
            <w:shd w:val="clear" w:color="auto" w:fill="F2F2F2" w:themeFill="background1" w:themeFillShade="F2"/>
            <w:tcMar>
              <w:top w:w="0" w:type="dxa"/>
              <w:left w:w="100" w:type="dxa"/>
              <w:bottom w:w="0" w:type="dxa"/>
              <w:right w:w="100" w:type="dxa"/>
            </w:tcMar>
            <w:vAlign w:val="center"/>
          </w:tcPr>
          <w:p w:rsidR="00443EA8" w:rsidRPr="00372076" w:rsidRDefault="00443EA8" w:rsidP="00372076">
            <w:pPr>
              <w:spacing w:before="40" w:after="40" w:line="240" w:lineRule="auto"/>
              <w:jc w:val="center"/>
              <w:rPr>
                <w:rFonts w:asciiTheme="minorHAnsi" w:hAnsiTheme="minorHAnsi"/>
                <w:sz w:val="20"/>
                <w:szCs w:val="20"/>
              </w:rPr>
            </w:pPr>
            <w:r w:rsidRPr="00372076">
              <w:rPr>
                <w:rFonts w:asciiTheme="minorHAnsi" w:hAnsiTheme="minorHAnsi"/>
                <w:sz w:val="20"/>
                <w:szCs w:val="20"/>
              </w:rPr>
              <w:t>2,9</w:t>
            </w:r>
          </w:p>
        </w:tc>
      </w:tr>
    </w:tbl>
    <w:p w:rsidR="0096209D" w:rsidRDefault="00443EA8" w:rsidP="00443EA8">
      <w:pPr>
        <w:rPr>
          <w:sz w:val="20"/>
          <w:szCs w:val="18"/>
        </w:rPr>
      </w:pPr>
      <w:r w:rsidRPr="0096209D">
        <w:rPr>
          <w:sz w:val="20"/>
          <w:szCs w:val="18"/>
        </w:rPr>
        <w:t>Komentář: Tabulka kumulovaných závazků a kumulovaných nespotřebovaných výdajů je bez zahrnutí výsledků 1. VS NCK1 a 2. VS ÉTA.</w:t>
      </w:r>
    </w:p>
    <w:p w:rsidR="0096209D" w:rsidRDefault="0096209D" w:rsidP="0096209D">
      <w:r>
        <w:br w:type="page"/>
      </w:r>
    </w:p>
    <w:p w:rsidR="00443EA8" w:rsidRDefault="003329FE" w:rsidP="003329FE">
      <w:pPr>
        <w:pStyle w:val="Grafickprvek"/>
      </w:pPr>
      <w:r>
        <w:t xml:space="preserve">2. </w:t>
      </w:r>
      <w:hyperlink r:id="rId10" w:anchor="gid=1270373767">
        <w:r w:rsidR="00443EA8" w:rsidRPr="0096209D">
          <w:t>Tabulka</w:t>
        </w:r>
      </w:hyperlink>
      <w:r w:rsidR="00443EA8" w:rsidRPr="0096209D">
        <w:t>:</w:t>
      </w:r>
      <w:r w:rsidR="00443EA8">
        <w:t xml:space="preserve"> Vývoj financování účelové podpory TA</w:t>
      </w:r>
      <w:r w:rsidR="0096209D">
        <w:t> </w:t>
      </w:r>
      <w:r w:rsidR="00443EA8">
        <w:t>ČR, 2019</w:t>
      </w:r>
      <w:r w:rsidR="0096209D">
        <w:t>–</w:t>
      </w:r>
      <w:r w:rsidR="00443EA8">
        <w:t>2021</w:t>
      </w:r>
    </w:p>
    <w:tbl>
      <w:tblPr>
        <w:tblW w:w="9639" w:type="dxa"/>
        <w:tblInd w:w="8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600" w:firstRow="0" w:lastRow="0" w:firstColumn="0" w:lastColumn="0" w:noHBand="1" w:noVBand="1"/>
      </w:tblPr>
      <w:tblGrid>
        <w:gridCol w:w="3544"/>
        <w:gridCol w:w="2031"/>
        <w:gridCol w:w="2032"/>
        <w:gridCol w:w="2032"/>
      </w:tblGrid>
      <w:tr w:rsidR="0096209D" w:rsidRPr="0096209D" w:rsidTr="003329FE">
        <w:trPr>
          <w:trHeight w:val="420"/>
        </w:trPr>
        <w:tc>
          <w:tcPr>
            <w:tcW w:w="3544" w:type="dxa"/>
            <w:shd w:val="clear" w:color="auto" w:fill="F03741"/>
            <w:tcMar>
              <w:top w:w="100" w:type="dxa"/>
              <w:left w:w="80" w:type="dxa"/>
              <w:bottom w:w="100" w:type="dxa"/>
              <w:right w:w="80" w:type="dxa"/>
            </w:tcMar>
            <w:vAlign w:val="center"/>
          </w:tcPr>
          <w:p w:rsidR="00443EA8" w:rsidRPr="003329FE" w:rsidRDefault="00443EA8" w:rsidP="0096209D">
            <w:pPr>
              <w:pStyle w:val="Textvtabulce"/>
              <w:jc w:val="center"/>
              <w:rPr>
                <w:b/>
                <w:color w:val="FFFFFF" w:themeColor="background1"/>
                <w:sz w:val="22"/>
              </w:rPr>
            </w:pPr>
          </w:p>
        </w:tc>
        <w:tc>
          <w:tcPr>
            <w:tcW w:w="2031" w:type="dxa"/>
            <w:shd w:val="clear" w:color="auto" w:fill="F03741"/>
            <w:tcMar>
              <w:top w:w="100" w:type="dxa"/>
              <w:left w:w="80" w:type="dxa"/>
              <w:bottom w:w="100" w:type="dxa"/>
              <w:right w:w="80" w:type="dxa"/>
            </w:tcMar>
            <w:vAlign w:val="center"/>
          </w:tcPr>
          <w:p w:rsidR="00443EA8" w:rsidRPr="003329FE" w:rsidRDefault="00443EA8" w:rsidP="0096209D">
            <w:pPr>
              <w:pStyle w:val="Textvtabulce"/>
              <w:jc w:val="center"/>
              <w:rPr>
                <w:b/>
                <w:color w:val="FFFFFF" w:themeColor="background1"/>
                <w:sz w:val="22"/>
              </w:rPr>
            </w:pPr>
            <w:r w:rsidRPr="003329FE">
              <w:rPr>
                <w:b/>
                <w:color w:val="FFFFFF" w:themeColor="background1"/>
                <w:sz w:val="22"/>
              </w:rPr>
              <w:t>2019</w:t>
            </w:r>
          </w:p>
        </w:tc>
        <w:tc>
          <w:tcPr>
            <w:tcW w:w="2032" w:type="dxa"/>
            <w:shd w:val="clear" w:color="auto" w:fill="F03741"/>
            <w:tcMar>
              <w:top w:w="100" w:type="dxa"/>
              <w:left w:w="80" w:type="dxa"/>
              <w:bottom w:w="100" w:type="dxa"/>
              <w:right w:w="80" w:type="dxa"/>
            </w:tcMar>
            <w:vAlign w:val="center"/>
          </w:tcPr>
          <w:p w:rsidR="00443EA8" w:rsidRPr="003329FE" w:rsidRDefault="00443EA8" w:rsidP="0096209D">
            <w:pPr>
              <w:pStyle w:val="Textvtabulce"/>
              <w:jc w:val="center"/>
              <w:rPr>
                <w:b/>
                <w:color w:val="FFFFFF" w:themeColor="background1"/>
                <w:sz w:val="22"/>
              </w:rPr>
            </w:pPr>
            <w:r w:rsidRPr="003329FE">
              <w:rPr>
                <w:b/>
                <w:color w:val="FFFFFF" w:themeColor="background1"/>
                <w:sz w:val="22"/>
              </w:rPr>
              <w:t>2020</w:t>
            </w:r>
          </w:p>
        </w:tc>
        <w:tc>
          <w:tcPr>
            <w:tcW w:w="2032" w:type="dxa"/>
            <w:shd w:val="clear" w:color="auto" w:fill="F03741"/>
            <w:tcMar>
              <w:top w:w="100" w:type="dxa"/>
              <w:left w:w="80" w:type="dxa"/>
              <w:bottom w:w="100" w:type="dxa"/>
              <w:right w:w="80" w:type="dxa"/>
            </w:tcMar>
            <w:vAlign w:val="center"/>
          </w:tcPr>
          <w:p w:rsidR="00443EA8" w:rsidRPr="003329FE" w:rsidRDefault="00443EA8" w:rsidP="0096209D">
            <w:pPr>
              <w:pStyle w:val="Textvtabulce"/>
              <w:jc w:val="center"/>
              <w:rPr>
                <w:b/>
                <w:color w:val="FFFFFF" w:themeColor="background1"/>
                <w:sz w:val="22"/>
              </w:rPr>
            </w:pPr>
            <w:r w:rsidRPr="003329FE">
              <w:rPr>
                <w:b/>
                <w:color w:val="FFFFFF" w:themeColor="background1"/>
                <w:sz w:val="22"/>
              </w:rPr>
              <w:t>2021</w:t>
            </w:r>
          </w:p>
        </w:tc>
      </w:tr>
      <w:tr w:rsidR="0096209D" w:rsidRPr="0096209D" w:rsidTr="003329FE">
        <w:trPr>
          <w:trHeight w:val="301"/>
        </w:trPr>
        <w:tc>
          <w:tcPr>
            <w:tcW w:w="3544" w:type="dxa"/>
            <w:shd w:val="clear" w:color="auto" w:fill="F2F2F2" w:themeFill="background1" w:themeFillShade="F2"/>
            <w:tcMar>
              <w:top w:w="100" w:type="dxa"/>
              <w:left w:w="80" w:type="dxa"/>
              <w:bottom w:w="100" w:type="dxa"/>
              <w:right w:w="80" w:type="dxa"/>
            </w:tcMar>
            <w:vAlign w:val="center"/>
          </w:tcPr>
          <w:p w:rsidR="00443EA8" w:rsidRPr="003329FE" w:rsidRDefault="00443EA8" w:rsidP="003329FE">
            <w:pPr>
              <w:pStyle w:val="Textvtabulce"/>
              <w:jc w:val="left"/>
              <w:rPr>
                <w:b/>
              </w:rPr>
            </w:pPr>
            <w:r w:rsidRPr="003329FE">
              <w:rPr>
                <w:b/>
              </w:rPr>
              <w:t>Výdaje SR dle programu</w:t>
            </w:r>
          </w:p>
        </w:tc>
        <w:tc>
          <w:tcPr>
            <w:tcW w:w="2031" w:type="dxa"/>
            <w:shd w:val="clear" w:color="auto" w:fill="F2F2F2" w:themeFill="background1" w:themeFillShade="F2"/>
            <w:tcMar>
              <w:top w:w="100" w:type="dxa"/>
              <w:left w:w="80" w:type="dxa"/>
              <w:bottom w:w="100" w:type="dxa"/>
              <w:right w:w="80" w:type="dxa"/>
            </w:tcMar>
            <w:vAlign w:val="center"/>
          </w:tcPr>
          <w:p w:rsidR="00443EA8" w:rsidRPr="0096209D" w:rsidRDefault="00443EA8" w:rsidP="0096209D">
            <w:pPr>
              <w:pStyle w:val="Textvtabulce"/>
              <w:jc w:val="center"/>
            </w:pPr>
            <w:r w:rsidRPr="0096209D">
              <w:t>4 929 750 000</w:t>
            </w:r>
          </w:p>
        </w:tc>
        <w:tc>
          <w:tcPr>
            <w:tcW w:w="2032" w:type="dxa"/>
            <w:shd w:val="clear" w:color="auto" w:fill="F2F2F2" w:themeFill="background1" w:themeFillShade="F2"/>
            <w:tcMar>
              <w:top w:w="100" w:type="dxa"/>
              <w:left w:w="80" w:type="dxa"/>
              <w:bottom w:w="100" w:type="dxa"/>
              <w:right w:w="80" w:type="dxa"/>
            </w:tcMar>
            <w:vAlign w:val="center"/>
          </w:tcPr>
          <w:p w:rsidR="00443EA8" w:rsidRPr="0096209D" w:rsidRDefault="00443EA8" w:rsidP="0096209D">
            <w:pPr>
              <w:pStyle w:val="Textvtabulce"/>
              <w:jc w:val="center"/>
            </w:pPr>
            <w:r w:rsidRPr="0096209D">
              <w:t>3 938 850 000</w:t>
            </w:r>
          </w:p>
        </w:tc>
        <w:tc>
          <w:tcPr>
            <w:tcW w:w="2032" w:type="dxa"/>
            <w:shd w:val="clear" w:color="auto" w:fill="F2F2F2" w:themeFill="background1" w:themeFillShade="F2"/>
            <w:tcMar>
              <w:top w:w="100" w:type="dxa"/>
              <w:left w:w="80" w:type="dxa"/>
              <w:bottom w:w="100" w:type="dxa"/>
              <w:right w:w="80" w:type="dxa"/>
            </w:tcMar>
            <w:vAlign w:val="center"/>
          </w:tcPr>
          <w:p w:rsidR="00443EA8" w:rsidRPr="0096209D" w:rsidRDefault="00443EA8" w:rsidP="0096209D">
            <w:pPr>
              <w:pStyle w:val="Textvtabulce"/>
              <w:jc w:val="center"/>
            </w:pPr>
            <w:r w:rsidRPr="0096209D">
              <w:t>3 218 412 000</w:t>
            </w:r>
          </w:p>
        </w:tc>
      </w:tr>
      <w:tr w:rsidR="0096209D" w:rsidRPr="0096209D" w:rsidTr="003329FE">
        <w:trPr>
          <w:trHeight w:val="440"/>
        </w:trPr>
        <w:tc>
          <w:tcPr>
            <w:tcW w:w="3544" w:type="dxa"/>
            <w:shd w:val="clear" w:color="auto" w:fill="auto"/>
            <w:tcMar>
              <w:top w:w="100" w:type="dxa"/>
              <w:left w:w="80" w:type="dxa"/>
              <w:bottom w:w="100" w:type="dxa"/>
              <w:right w:w="80" w:type="dxa"/>
            </w:tcMar>
            <w:vAlign w:val="center"/>
          </w:tcPr>
          <w:p w:rsidR="00443EA8" w:rsidRPr="003329FE" w:rsidRDefault="00443EA8" w:rsidP="003329FE">
            <w:pPr>
              <w:pStyle w:val="Textvtabulce"/>
              <w:jc w:val="left"/>
              <w:rPr>
                <w:b/>
              </w:rPr>
            </w:pPr>
            <w:r w:rsidRPr="003329FE">
              <w:rPr>
                <w:b/>
              </w:rPr>
              <w:t>Vládou schválený rozpočet</w:t>
            </w:r>
          </w:p>
        </w:tc>
        <w:tc>
          <w:tcPr>
            <w:tcW w:w="2031" w:type="dxa"/>
            <w:shd w:val="clear" w:color="auto" w:fill="auto"/>
            <w:tcMar>
              <w:top w:w="100" w:type="dxa"/>
              <w:left w:w="80" w:type="dxa"/>
              <w:bottom w:w="100" w:type="dxa"/>
              <w:right w:w="80" w:type="dxa"/>
            </w:tcMar>
            <w:vAlign w:val="center"/>
          </w:tcPr>
          <w:p w:rsidR="00443EA8" w:rsidRPr="0096209D" w:rsidRDefault="00443EA8" w:rsidP="0096209D">
            <w:pPr>
              <w:pStyle w:val="Textvtabulce"/>
              <w:jc w:val="center"/>
            </w:pPr>
            <w:r w:rsidRPr="0096209D">
              <w:t>4 045 636 785</w:t>
            </w:r>
          </w:p>
        </w:tc>
        <w:tc>
          <w:tcPr>
            <w:tcW w:w="2032" w:type="dxa"/>
            <w:shd w:val="clear" w:color="auto" w:fill="auto"/>
            <w:tcMar>
              <w:top w:w="100" w:type="dxa"/>
              <w:left w:w="80" w:type="dxa"/>
              <w:bottom w:w="100" w:type="dxa"/>
              <w:right w:w="80" w:type="dxa"/>
            </w:tcMar>
            <w:vAlign w:val="center"/>
          </w:tcPr>
          <w:p w:rsidR="00443EA8" w:rsidRPr="0096209D" w:rsidRDefault="00443EA8" w:rsidP="0096209D">
            <w:pPr>
              <w:pStyle w:val="Textvtabulce"/>
              <w:jc w:val="center"/>
            </w:pPr>
            <w:r w:rsidRPr="0096209D">
              <w:t>4 166 070 000</w:t>
            </w:r>
          </w:p>
        </w:tc>
        <w:tc>
          <w:tcPr>
            <w:tcW w:w="2032" w:type="dxa"/>
            <w:shd w:val="clear" w:color="auto" w:fill="auto"/>
            <w:tcMar>
              <w:top w:w="100" w:type="dxa"/>
              <w:left w:w="80" w:type="dxa"/>
              <w:bottom w:w="100" w:type="dxa"/>
              <w:right w:w="80" w:type="dxa"/>
            </w:tcMar>
            <w:vAlign w:val="center"/>
          </w:tcPr>
          <w:p w:rsidR="00443EA8" w:rsidRPr="0096209D" w:rsidRDefault="00443EA8" w:rsidP="0096209D">
            <w:pPr>
              <w:pStyle w:val="Textvtabulce"/>
              <w:jc w:val="center"/>
            </w:pPr>
            <w:r w:rsidRPr="0096209D">
              <w:t>4 166 070 000</w:t>
            </w:r>
          </w:p>
        </w:tc>
      </w:tr>
      <w:tr w:rsidR="0096209D" w:rsidRPr="0096209D" w:rsidTr="003329FE">
        <w:trPr>
          <w:trHeight w:val="440"/>
        </w:trPr>
        <w:tc>
          <w:tcPr>
            <w:tcW w:w="3544" w:type="dxa"/>
            <w:shd w:val="clear" w:color="auto" w:fill="F2F2F2" w:themeFill="background1" w:themeFillShade="F2"/>
            <w:tcMar>
              <w:top w:w="100" w:type="dxa"/>
              <w:left w:w="80" w:type="dxa"/>
              <w:bottom w:w="100" w:type="dxa"/>
              <w:right w:w="80" w:type="dxa"/>
            </w:tcMar>
            <w:vAlign w:val="center"/>
          </w:tcPr>
          <w:p w:rsidR="00443EA8" w:rsidRPr="003329FE" w:rsidRDefault="00443EA8" w:rsidP="003329FE">
            <w:pPr>
              <w:pStyle w:val="Textvtabulce"/>
              <w:jc w:val="left"/>
              <w:rPr>
                <w:b/>
              </w:rPr>
            </w:pPr>
            <w:r w:rsidRPr="003329FE">
              <w:rPr>
                <w:b/>
              </w:rPr>
              <w:t>Předpokládané závazky</w:t>
            </w:r>
          </w:p>
        </w:tc>
        <w:tc>
          <w:tcPr>
            <w:tcW w:w="2031" w:type="dxa"/>
            <w:shd w:val="clear" w:color="auto" w:fill="F2F2F2" w:themeFill="background1" w:themeFillShade="F2"/>
            <w:tcMar>
              <w:top w:w="40" w:type="dxa"/>
              <w:left w:w="40" w:type="dxa"/>
              <w:bottom w:w="40" w:type="dxa"/>
              <w:right w:w="40" w:type="dxa"/>
            </w:tcMar>
            <w:vAlign w:val="center"/>
          </w:tcPr>
          <w:p w:rsidR="00443EA8" w:rsidRPr="0096209D" w:rsidRDefault="00443EA8" w:rsidP="0096209D">
            <w:pPr>
              <w:pStyle w:val="Textvtabulce"/>
              <w:jc w:val="center"/>
            </w:pPr>
            <w:r w:rsidRPr="0096209D">
              <w:t>4 914 062 693</w:t>
            </w:r>
          </w:p>
        </w:tc>
        <w:tc>
          <w:tcPr>
            <w:tcW w:w="2032" w:type="dxa"/>
            <w:shd w:val="clear" w:color="auto" w:fill="F2F2F2" w:themeFill="background1" w:themeFillShade="F2"/>
            <w:tcMar>
              <w:top w:w="40" w:type="dxa"/>
              <w:left w:w="40" w:type="dxa"/>
              <w:bottom w:w="40" w:type="dxa"/>
              <w:right w:w="40" w:type="dxa"/>
            </w:tcMar>
            <w:vAlign w:val="center"/>
          </w:tcPr>
          <w:p w:rsidR="00443EA8" w:rsidRPr="0096209D" w:rsidRDefault="00443EA8" w:rsidP="0096209D">
            <w:pPr>
              <w:pStyle w:val="Textvtabulce"/>
              <w:jc w:val="center"/>
            </w:pPr>
            <w:r w:rsidRPr="0096209D">
              <w:t>6 813 032 891</w:t>
            </w:r>
          </w:p>
        </w:tc>
        <w:tc>
          <w:tcPr>
            <w:tcW w:w="2032" w:type="dxa"/>
            <w:shd w:val="clear" w:color="auto" w:fill="F2F2F2" w:themeFill="background1" w:themeFillShade="F2"/>
            <w:tcMar>
              <w:top w:w="40" w:type="dxa"/>
              <w:left w:w="40" w:type="dxa"/>
              <w:bottom w:w="40" w:type="dxa"/>
              <w:right w:w="40" w:type="dxa"/>
            </w:tcMar>
            <w:vAlign w:val="center"/>
          </w:tcPr>
          <w:p w:rsidR="00443EA8" w:rsidRPr="0096209D" w:rsidRDefault="00443EA8" w:rsidP="0096209D">
            <w:pPr>
              <w:pStyle w:val="Textvtabulce"/>
              <w:jc w:val="center"/>
            </w:pPr>
            <w:r w:rsidRPr="0096209D">
              <w:t>6 944 111 692</w:t>
            </w:r>
          </w:p>
        </w:tc>
      </w:tr>
      <w:tr w:rsidR="0096209D" w:rsidRPr="0096209D" w:rsidTr="00951BAD">
        <w:trPr>
          <w:trHeight w:val="440"/>
        </w:trPr>
        <w:tc>
          <w:tcPr>
            <w:tcW w:w="3544" w:type="dxa"/>
            <w:shd w:val="clear" w:color="auto" w:fill="auto"/>
            <w:tcMar>
              <w:top w:w="100" w:type="dxa"/>
              <w:left w:w="80" w:type="dxa"/>
              <w:bottom w:w="100" w:type="dxa"/>
              <w:right w:w="80" w:type="dxa"/>
            </w:tcMar>
            <w:vAlign w:val="center"/>
          </w:tcPr>
          <w:p w:rsidR="00443EA8" w:rsidRPr="003329FE" w:rsidRDefault="00443EA8" w:rsidP="003329FE">
            <w:pPr>
              <w:pStyle w:val="Textvtabulce"/>
              <w:jc w:val="left"/>
              <w:rPr>
                <w:b/>
              </w:rPr>
            </w:pPr>
            <w:r w:rsidRPr="003329FE">
              <w:rPr>
                <w:b/>
              </w:rPr>
              <w:t xml:space="preserve">Rozdíl (rozpočet </w:t>
            </w:r>
            <w:r w:rsidR="003329FE" w:rsidRPr="003329FE">
              <w:rPr>
                <w:b/>
              </w:rPr>
              <w:t>–</w:t>
            </w:r>
            <w:r w:rsidRPr="003329FE">
              <w:rPr>
                <w:b/>
              </w:rPr>
              <w:t xml:space="preserve"> program)</w:t>
            </w:r>
          </w:p>
        </w:tc>
        <w:tc>
          <w:tcPr>
            <w:tcW w:w="2031" w:type="dxa"/>
            <w:shd w:val="clear" w:color="auto" w:fill="FCD7D8" w:themeFill="text2" w:themeFillTint="33"/>
            <w:tcMar>
              <w:top w:w="40" w:type="dxa"/>
              <w:left w:w="40" w:type="dxa"/>
              <w:bottom w:w="40" w:type="dxa"/>
              <w:right w:w="40" w:type="dxa"/>
            </w:tcMar>
            <w:vAlign w:val="center"/>
          </w:tcPr>
          <w:p w:rsidR="00443EA8" w:rsidRPr="0096209D" w:rsidRDefault="00443EA8" w:rsidP="0096209D">
            <w:pPr>
              <w:pStyle w:val="Textvtabulce"/>
              <w:jc w:val="center"/>
            </w:pPr>
            <w:r w:rsidRPr="0096209D">
              <w:t>-884 113 215</w:t>
            </w:r>
          </w:p>
        </w:tc>
        <w:tc>
          <w:tcPr>
            <w:tcW w:w="2032" w:type="dxa"/>
            <w:shd w:val="clear" w:color="auto" w:fill="auto"/>
            <w:tcMar>
              <w:top w:w="40" w:type="dxa"/>
              <w:left w:w="40" w:type="dxa"/>
              <w:bottom w:w="40" w:type="dxa"/>
              <w:right w:w="40" w:type="dxa"/>
            </w:tcMar>
            <w:vAlign w:val="center"/>
          </w:tcPr>
          <w:p w:rsidR="00443EA8" w:rsidRPr="0096209D" w:rsidRDefault="00443EA8" w:rsidP="0096209D">
            <w:pPr>
              <w:pStyle w:val="Textvtabulce"/>
              <w:jc w:val="center"/>
            </w:pPr>
            <w:r w:rsidRPr="0096209D">
              <w:t>227 220 000</w:t>
            </w:r>
          </w:p>
        </w:tc>
        <w:tc>
          <w:tcPr>
            <w:tcW w:w="2032" w:type="dxa"/>
            <w:shd w:val="clear" w:color="auto" w:fill="auto"/>
            <w:tcMar>
              <w:top w:w="40" w:type="dxa"/>
              <w:left w:w="40" w:type="dxa"/>
              <w:bottom w:w="40" w:type="dxa"/>
              <w:right w:w="40" w:type="dxa"/>
            </w:tcMar>
            <w:vAlign w:val="center"/>
          </w:tcPr>
          <w:p w:rsidR="00443EA8" w:rsidRPr="0096209D" w:rsidRDefault="00443EA8" w:rsidP="0096209D">
            <w:pPr>
              <w:pStyle w:val="Textvtabulce"/>
              <w:jc w:val="center"/>
            </w:pPr>
            <w:r w:rsidRPr="0096209D">
              <w:t>947 658 000</w:t>
            </w:r>
          </w:p>
        </w:tc>
      </w:tr>
      <w:tr w:rsidR="0096209D" w:rsidRPr="0096209D" w:rsidTr="00951BAD">
        <w:trPr>
          <w:trHeight w:val="440"/>
        </w:trPr>
        <w:tc>
          <w:tcPr>
            <w:tcW w:w="3544" w:type="dxa"/>
            <w:shd w:val="clear" w:color="auto" w:fill="F2F2F2" w:themeFill="background1" w:themeFillShade="F2"/>
            <w:tcMar>
              <w:top w:w="100" w:type="dxa"/>
              <w:left w:w="80" w:type="dxa"/>
              <w:bottom w:w="100" w:type="dxa"/>
              <w:right w:w="80" w:type="dxa"/>
            </w:tcMar>
            <w:vAlign w:val="center"/>
          </w:tcPr>
          <w:p w:rsidR="00443EA8" w:rsidRPr="003329FE" w:rsidRDefault="00443EA8" w:rsidP="003329FE">
            <w:pPr>
              <w:pStyle w:val="Textvtabulce"/>
              <w:jc w:val="left"/>
              <w:rPr>
                <w:b/>
              </w:rPr>
            </w:pPr>
            <w:r w:rsidRPr="003329FE">
              <w:rPr>
                <w:b/>
              </w:rPr>
              <w:t xml:space="preserve">Rozdíl (rozpočet </w:t>
            </w:r>
            <w:r w:rsidR="003329FE" w:rsidRPr="003329FE">
              <w:rPr>
                <w:b/>
              </w:rPr>
              <w:t>–</w:t>
            </w:r>
            <w:r w:rsidRPr="003329FE">
              <w:rPr>
                <w:b/>
              </w:rPr>
              <w:t xml:space="preserve"> závazky)</w:t>
            </w:r>
          </w:p>
        </w:tc>
        <w:tc>
          <w:tcPr>
            <w:tcW w:w="2031" w:type="dxa"/>
            <w:shd w:val="clear" w:color="auto" w:fill="FCD7D8" w:themeFill="text2" w:themeFillTint="33"/>
            <w:tcMar>
              <w:top w:w="40" w:type="dxa"/>
              <w:left w:w="40" w:type="dxa"/>
              <w:bottom w:w="40" w:type="dxa"/>
              <w:right w:w="40" w:type="dxa"/>
            </w:tcMar>
            <w:vAlign w:val="center"/>
          </w:tcPr>
          <w:p w:rsidR="00443EA8" w:rsidRPr="0096209D" w:rsidRDefault="00443EA8" w:rsidP="0096209D">
            <w:pPr>
              <w:pStyle w:val="Textvtabulce"/>
              <w:jc w:val="center"/>
            </w:pPr>
            <w:r w:rsidRPr="0096209D">
              <w:t>-868 425 908</w:t>
            </w:r>
          </w:p>
        </w:tc>
        <w:tc>
          <w:tcPr>
            <w:tcW w:w="2032" w:type="dxa"/>
            <w:shd w:val="clear" w:color="auto" w:fill="FCD7D8" w:themeFill="text2" w:themeFillTint="33"/>
            <w:tcMar>
              <w:top w:w="40" w:type="dxa"/>
              <w:left w:w="40" w:type="dxa"/>
              <w:bottom w:w="40" w:type="dxa"/>
              <w:right w:w="40" w:type="dxa"/>
            </w:tcMar>
            <w:vAlign w:val="center"/>
          </w:tcPr>
          <w:p w:rsidR="00443EA8" w:rsidRPr="0096209D" w:rsidRDefault="00443EA8" w:rsidP="0096209D">
            <w:pPr>
              <w:pStyle w:val="Textvtabulce"/>
              <w:jc w:val="center"/>
            </w:pPr>
            <w:r w:rsidRPr="0096209D">
              <w:t>-2 646 962 891</w:t>
            </w:r>
          </w:p>
        </w:tc>
        <w:tc>
          <w:tcPr>
            <w:tcW w:w="2032" w:type="dxa"/>
            <w:shd w:val="clear" w:color="auto" w:fill="FCD7D8" w:themeFill="text2" w:themeFillTint="33"/>
            <w:tcMar>
              <w:top w:w="40" w:type="dxa"/>
              <w:left w:w="40" w:type="dxa"/>
              <w:bottom w:w="40" w:type="dxa"/>
              <w:right w:w="40" w:type="dxa"/>
            </w:tcMar>
            <w:vAlign w:val="center"/>
          </w:tcPr>
          <w:p w:rsidR="00443EA8" w:rsidRPr="0096209D" w:rsidRDefault="00443EA8" w:rsidP="0096209D">
            <w:pPr>
              <w:pStyle w:val="Textvtabulce"/>
              <w:jc w:val="center"/>
            </w:pPr>
            <w:r w:rsidRPr="0096209D">
              <w:t>-2 778 041 692</w:t>
            </w:r>
          </w:p>
        </w:tc>
      </w:tr>
    </w:tbl>
    <w:p w:rsidR="00443EA8" w:rsidRDefault="00443EA8" w:rsidP="00443EA8">
      <w:pPr>
        <w:rPr>
          <w:b/>
          <w:u w:val="single"/>
        </w:rPr>
      </w:pPr>
    </w:p>
    <w:tbl>
      <w:tblPr>
        <w:tblW w:w="9639" w:type="dxa"/>
        <w:tblInd w:w="8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600" w:firstRow="0" w:lastRow="0" w:firstColumn="0" w:lastColumn="0" w:noHBand="1" w:noVBand="1"/>
      </w:tblPr>
      <w:tblGrid>
        <w:gridCol w:w="3544"/>
        <w:gridCol w:w="2031"/>
        <w:gridCol w:w="2032"/>
        <w:gridCol w:w="2032"/>
      </w:tblGrid>
      <w:tr w:rsidR="003329FE" w:rsidTr="003329FE">
        <w:trPr>
          <w:trHeight w:val="440"/>
        </w:trPr>
        <w:tc>
          <w:tcPr>
            <w:tcW w:w="3544" w:type="dxa"/>
            <w:shd w:val="clear" w:color="auto" w:fill="B7B7B7"/>
            <w:tcMar>
              <w:top w:w="100" w:type="dxa"/>
              <w:left w:w="80" w:type="dxa"/>
              <w:bottom w:w="100" w:type="dxa"/>
              <w:right w:w="80" w:type="dxa"/>
            </w:tcMar>
            <w:vAlign w:val="bottom"/>
          </w:tcPr>
          <w:p w:rsidR="00443EA8" w:rsidRPr="003329FE" w:rsidRDefault="00443EA8" w:rsidP="003329FE">
            <w:pPr>
              <w:pStyle w:val="Textvtabulce"/>
              <w:jc w:val="left"/>
            </w:pPr>
            <w:r w:rsidRPr="003329FE">
              <w:t>Nespotřebované výdaje na rok</w:t>
            </w:r>
          </w:p>
        </w:tc>
        <w:tc>
          <w:tcPr>
            <w:tcW w:w="2031" w:type="dxa"/>
            <w:shd w:val="clear" w:color="auto" w:fill="B7B7B7"/>
            <w:tcMar>
              <w:top w:w="40" w:type="dxa"/>
              <w:left w:w="40" w:type="dxa"/>
              <w:bottom w:w="40" w:type="dxa"/>
              <w:right w:w="40" w:type="dxa"/>
            </w:tcMar>
            <w:vAlign w:val="bottom"/>
          </w:tcPr>
          <w:p w:rsidR="00443EA8" w:rsidRPr="003329FE" w:rsidRDefault="00443EA8" w:rsidP="003329FE">
            <w:pPr>
              <w:pStyle w:val="Textvtabulce"/>
              <w:jc w:val="center"/>
            </w:pPr>
            <w:r w:rsidRPr="003329FE">
              <w:t>2 158 507 868</w:t>
            </w:r>
          </w:p>
        </w:tc>
        <w:tc>
          <w:tcPr>
            <w:tcW w:w="2032" w:type="dxa"/>
            <w:shd w:val="clear" w:color="auto" w:fill="B7B7B7"/>
            <w:tcMar>
              <w:top w:w="40" w:type="dxa"/>
              <w:left w:w="40" w:type="dxa"/>
              <w:bottom w:w="40" w:type="dxa"/>
              <w:right w:w="40" w:type="dxa"/>
            </w:tcMar>
            <w:vAlign w:val="bottom"/>
          </w:tcPr>
          <w:p w:rsidR="00443EA8" w:rsidRPr="003329FE" w:rsidRDefault="00443EA8" w:rsidP="003329FE">
            <w:pPr>
              <w:pStyle w:val="Textvtabulce"/>
              <w:jc w:val="center"/>
            </w:pPr>
            <w:r w:rsidRPr="003329FE">
              <w:t>1 290 081 960</w:t>
            </w:r>
          </w:p>
        </w:tc>
        <w:tc>
          <w:tcPr>
            <w:tcW w:w="2032" w:type="dxa"/>
            <w:shd w:val="clear" w:color="auto" w:fill="B7B7B7"/>
            <w:tcMar>
              <w:top w:w="40" w:type="dxa"/>
              <w:left w:w="40" w:type="dxa"/>
              <w:bottom w:w="40" w:type="dxa"/>
              <w:right w:w="40" w:type="dxa"/>
            </w:tcMar>
            <w:vAlign w:val="bottom"/>
          </w:tcPr>
          <w:p w:rsidR="00443EA8" w:rsidRPr="003329FE" w:rsidRDefault="00443EA8" w:rsidP="003329FE">
            <w:pPr>
              <w:pStyle w:val="Textvtabulce"/>
              <w:jc w:val="center"/>
            </w:pPr>
            <w:r w:rsidRPr="003329FE">
              <w:t>-1 356 880 931</w:t>
            </w:r>
          </w:p>
        </w:tc>
      </w:tr>
    </w:tbl>
    <w:p w:rsidR="00443EA8" w:rsidRDefault="00443EA8" w:rsidP="003329FE">
      <w:pPr>
        <w:pStyle w:val="Textvtabulce"/>
      </w:pPr>
    </w:p>
    <w:tbl>
      <w:tblPr>
        <w:tblW w:w="9639" w:type="dxa"/>
        <w:tblInd w:w="8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600" w:firstRow="0" w:lastRow="0" w:firstColumn="0" w:lastColumn="0" w:noHBand="1" w:noVBand="1"/>
      </w:tblPr>
      <w:tblGrid>
        <w:gridCol w:w="3544"/>
        <w:gridCol w:w="2031"/>
        <w:gridCol w:w="2032"/>
        <w:gridCol w:w="2032"/>
      </w:tblGrid>
      <w:tr w:rsidR="00443EA8" w:rsidTr="003329FE">
        <w:trPr>
          <w:trHeight w:val="440"/>
        </w:trPr>
        <w:tc>
          <w:tcPr>
            <w:tcW w:w="3544" w:type="dxa"/>
            <w:shd w:val="clear" w:color="auto" w:fill="BDBDBD"/>
            <w:tcMar>
              <w:top w:w="100" w:type="dxa"/>
              <w:left w:w="80" w:type="dxa"/>
              <w:bottom w:w="100" w:type="dxa"/>
              <w:right w:w="80" w:type="dxa"/>
            </w:tcMar>
            <w:vAlign w:val="bottom"/>
          </w:tcPr>
          <w:p w:rsidR="00443EA8" w:rsidRDefault="00443EA8" w:rsidP="003329FE">
            <w:pPr>
              <w:pStyle w:val="Textvtabulce"/>
            </w:pPr>
            <w:r>
              <w:t>Předpokládané závazky</w:t>
            </w:r>
          </w:p>
        </w:tc>
        <w:tc>
          <w:tcPr>
            <w:tcW w:w="2031" w:type="dxa"/>
            <w:shd w:val="clear" w:color="auto" w:fill="BDBDBD"/>
            <w:tcMar>
              <w:top w:w="40" w:type="dxa"/>
              <w:left w:w="40" w:type="dxa"/>
              <w:bottom w:w="40" w:type="dxa"/>
              <w:right w:w="40" w:type="dxa"/>
            </w:tcMar>
            <w:vAlign w:val="bottom"/>
          </w:tcPr>
          <w:p w:rsidR="00443EA8" w:rsidRDefault="00443EA8" w:rsidP="003329FE">
            <w:pPr>
              <w:pStyle w:val="Textvtabulce"/>
              <w:jc w:val="center"/>
            </w:pPr>
            <w:r>
              <w:t>4 914 062 693</w:t>
            </w:r>
          </w:p>
        </w:tc>
        <w:tc>
          <w:tcPr>
            <w:tcW w:w="2032" w:type="dxa"/>
            <w:shd w:val="clear" w:color="auto" w:fill="BDBDBD"/>
            <w:tcMar>
              <w:top w:w="40" w:type="dxa"/>
              <w:left w:w="40" w:type="dxa"/>
              <w:bottom w:w="40" w:type="dxa"/>
              <w:right w:w="40" w:type="dxa"/>
            </w:tcMar>
            <w:vAlign w:val="bottom"/>
          </w:tcPr>
          <w:p w:rsidR="00443EA8" w:rsidRDefault="00443EA8" w:rsidP="003329FE">
            <w:pPr>
              <w:pStyle w:val="Textvtabulce"/>
              <w:jc w:val="center"/>
            </w:pPr>
            <w:r>
              <w:t>6 813 032 891</w:t>
            </w:r>
          </w:p>
        </w:tc>
        <w:tc>
          <w:tcPr>
            <w:tcW w:w="2032" w:type="dxa"/>
            <w:shd w:val="clear" w:color="auto" w:fill="BDBDBD"/>
            <w:tcMar>
              <w:top w:w="40" w:type="dxa"/>
              <w:left w:w="40" w:type="dxa"/>
              <w:bottom w:w="40" w:type="dxa"/>
              <w:right w:w="40" w:type="dxa"/>
            </w:tcMar>
            <w:vAlign w:val="bottom"/>
          </w:tcPr>
          <w:p w:rsidR="00443EA8" w:rsidRDefault="00443EA8" w:rsidP="003329FE">
            <w:pPr>
              <w:pStyle w:val="Textvtabulce"/>
              <w:jc w:val="center"/>
            </w:pPr>
            <w:r>
              <w:t>6 944 111 692</w:t>
            </w:r>
          </w:p>
        </w:tc>
      </w:tr>
    </w:tbl>
    <w:p w:rsidR="00443EA8" w:rsidRDefault="00443EA8" w:rsidP="003329FE">
      <w:pPr>
        <w:pStyle w:val="Textvtabulce"/>
      </w:pPr>
    </w:p>
    <w:tbl>
      <w:tblPr>
        <w:tblW w:w="9639" w:type="dxa"/>
        <w:tblInd w:w="80" w:type="dxa"/>
        <w:tblBorders>
          <w:top w:val="nil"/>
          <w:left w:val="nil"/>
          <w:bottom w:val="nil"/>
          <w:right w:val="nil"/>
          <w:insideH w:val="nil"/>
          <w:insideV w:val="nil"/>
        </w:tblBorders>
        <w:tblLayout w:type="fixed"/>
        <w:tblLook w:val="0600" w:firstRow="0" w:lastRow="0" w:firstColumn="0" w:lastColumn="0" w:noHBand="1" w:noVBand="1"/>
      </w:tblPr>
      <w:tblGrid>
        <w:gridCol w:w="3544"/>
        <w:gridCol w:w="2031"/>
        <w:gridCol w:w="2032"/>
        <w:gridCol w:w="2032"/>
      </w:tblGrid>
      <w:tr w:rsidR="003329FE" w:rsidRPr="003329FE" w:rsidTr="003329FE">
        <w:trPr>
          <w:trHeight w:val="440"/>
        </w:trPr>
        <w:tc>
          <w:tcPr>
            <w:tcW w:w="35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03741"/>
            <w:tcMar>
              <w:top w:w="100" w:type="dxa"/>
              <w:left w:w="80" w:type="dxa"/>
              <w:bottom w:w="100" w:type="dxa"/>
              <w:right w:w="80" w:type="dxa"/>
            </w:tcMar>
            <w:vAlign w:val="bottom"/>
          </w:tcPr>
          <w:p w:rsidR="00443EA8" w:rsidRPr="003329FE" w:rsidRDefault="00443EA8" w:rsidP="003329FE">
            <w:pPr>
              <w:pStyle w:val="Textvtabulce"/>
              <w:jc w:val="center"/>
              <w:rPr>
                <w:b/>
                <w:color w:val="FFFFFF" w:themeColor="background1"/>
                <w:sz w:val="22"/>
              </w:rPr>
            </w:pPr>
            <w:r w:rsidRPr="003329FE">
              <w:rPr>
                <w:b/>
                <w:color w:val="FFFFFF" w:themeColor="background1"/>
                <w:sz w:val="22"/>
              </w:rPr>
              <w:t>Předpokládané závazky</w:t>
            </w:r>
          </w:p>
        </w:tc>
        <w:tc>
          <w:tcPr>
            <w:tcW w:w="20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03741"/>
            <w:tcMar>
              <w:top w:w="40" w:type="dxa"/>
              <w:left w:w="40" w:type="dxa"/>
              <w:bottom w:w="40" w:type="dxa"/>
              <w:right w:w="40" w:type="dxa"/>
            </w:tcMar>
            <w:vAlign w:val="bottom"/>
          </w:tcPr>
          <w:p w:rsidR="00443EA8" w:rsidRPr="003329FE" w:rsidRDefault="00443EA8" w:rsidP="003329FE">
            <w:pPr>
              <w:pStyle w:val="Textvtabulce"/>
              <w:jc w:val="center"/>
              <w:rPr>
                <w:b/>
                <w:color w:val="FFFFFF" w:themeColor="background1"/>
                <w:sz w:val="22"/>
              </w:rPr>
            </w:pPr>
            <w:r w:rsidRPr="003329FE">
              <w:rPr>
                <w:b/>
                <w:color w:val="FFFFFF" w:themeColor="background1"/>
                <w:sz w:val="22"/>
              </w:rPr>
              <w:t>4 914 062 693</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03741"/>
            <w:tcMar>
              <w:top w:w="40" w:type="dxa"/>
              <w:left w:w="40" w:type="dxa"/>
              <w:bottom w:w="40" w:type="dxa"/>
              <w:right w:w="40" w:type="dxa"/>
            </w:tcMar>
            <w:vAlign w:val="bottom"/>
          </w:tcPr>
          <w:p w:rsidR="00443EA8" w:rsidRPr="003329FE" w:rsidRDefault="00443EA8" w:rsidP="003329FE">
            <w:pPr>
              <w:pStyle w:val="Textvtabulce"/>
              <w:jc w:val="center"/>
              <w:rPr>
                <w:b/>
                <w:color w:val="FFFFFF" w:themeColor="background1"/>
                <w:sz w:val="22"/>
              </w:rPr>
            </w:pPr>
            <w:r w:rsidRPr="003329FE">
              <w:rPr>
                <w:b/>
                <w:color w:val="FFFFFF" w:themeColor="background1"/>
                <w:sz w:val="22"/>
              </w:rPr>
              <w:t>6 813 032 891</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03741"/>
            <w:tcMar>
              <w:top w:w="40" w:type="dxa"/>
              <w:left w:w="40" w:type="dxa"/>
              <w:bottom w:w="40" w:type="dxa"/>
              <w:right w:w="40" w:type="dxa"/>
            </w:tcMar>
            <w:vAlign w:val="bottom"/>
          </w:tcPr>
          <w:p w:rsidR="00443EA8" w:rsidRPr="003329FE" w:rsidRDefault="00443EA8" w:rsidP="003329FE">
            <w:pPr>
              <w:pStyle w:val="Textvtabulce"/>
              <w:jc w:val="center"/>
              <w:rPr>
                <w:b/>
                <w:color w:val="FFFFFF" w:themeColor="background1"/>
                <w:sz w:val="22"/>
              </w:rPr>
            </w:pPr>
            <w:r w:rsidRPr="003329FE">
              <w:rPr>
                <w:b/>
                <w:color w:val="FFFFFF" w:themeColor="background1"/>
                <w:sz w:val="22"/>
              </w:rPr>
              <w:t>6 944 111 692</w:t>
            </w:r>
          </w:p>
        </w:tc>
      </w:tr>
      <w:tr w:rsidR="003329FE" w:rsidTr="00993643">
        <w:trPr>
          <w:trHeight w:val="340"/>
        </w:trPr>
        <w:tc>
          <w:tcPr>
            <w:tcW w:w="35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80" w:type="dxa"/>
              <w:bottom w:w="0" w:type="dxa"/>
              <w:right w:w="80" w:type="dxa"/>
            </w:tcMar>
            <w:vAlign w:val="center"/>
          </w:tcPr>
          <w:p w:rsidR="00443EA8" w:rsidRPr="003329FE" w:rsidRDefault="00443EA8" w:rsidP="00993643">
            <w:pPr>
              <w:pStyle w:val="Textvtabulce"/>
              <w:spacing w:before="0" w:after="0"/>
              <w:jc w:val="left"/>
            </w:pPr>
            <w:r w:rsidRPr="003329FE">
              <w:t>ALFA</w:t>
            </w:r>
          </w:p>
        </w:tc>
        <w:tc>
          <w:tcPr>
            <w:tcW w:w="20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0</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0</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0</w:t>
            </w:r>
          </w:p>
        </w:tc>
      </w:tr>
      <w:tr w:rsidR="003329FE" w:rsidTr="00993643">
        <w:trPr>
          <w:trHeight w:val="340"/>
        </w:trPr>
        <w:tc>
          <w:tcPr>
            <w:tcW w:w="35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80" w:type="dxa"/>
              <w:bottom w:w="0" w:type="dxa"/>
              <w:right w:w="80" w:type="dxa"/>
            </w:tcMar>
            <w:vAlign w:val="center"/>
          </w:tcPr>
          <w:p w:rsidR="00443EA8" w:rsidRPr="003329FE" w:rsidRDefault="00443EA8" w:rsidP="00993643">
            <w:pPr>
              <w:pStyle w:val="Textvtabulce"/>
              <w:spacing w:before="0" w:after="0"/>
              <w:jc w:val="left"/>
            </w:pPr>
            <w:r w:rsidRPr="003329FE">
              <w:t>BETA</w:t>
            </w:r>
          </w:p>
        </w:tc>
        <w:tc>
          <w:tcPr>
            <w:tcW w:w="20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0</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0</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0</w:t>
            </w:r>
          </w:p>
        </w:tc>
      </w:tr>
      <w:tr w:rsidR="003329FE" w:rsidTr="00993643">
        <w:trPr>
          <w:trHeight w:val="340"/>
        </w:trPr>
        <w:tc>
          <w:tcPr>
            <w:tcW w:w="35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80" w:type="dxa"/>
              <w:bottom w:w="0" w:type="dxa"/>
              <w:right w:w="80" w:type="dxa"/>
            </w:tcMar>
            <w:vAlign w:val="center"/>
          </w:tcPr>
          <w:p w:rsidR="00443EA8" w:rsidRPr="003329FE" w:rsidRDefault="00443EA8" w:rsidP="00993643">
            <w:pPr>
              <w:pStyle w:val="Textvtabulce"/>
              <w:spacing w:before="0" w:after="0"/>
              <w:jc w:val="left"/>
            </w:pPr>
            <w:r w:rsidRPr="003329FE">
              <w:t>OMEGA</w:t>
            </w:r>
          </w:p>
        </w:tc>
        <w:tc>
          <w:tcPr>
            <w:tcW w:w="20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0</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0</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0</w:t>
            </w:r>
          </w:p>
        </w:tc>
      </w:tr>
      <w:tr w:rsidR="003329FE" w:rsidTr="00993643">
        <w:trPr>
          <w:trHeight w:val="340"/>
        </w:trPr>
        <w:tc>
          <w:tcPr>
            <w:tcW w:w="35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80" w:type="dxa"/>
              <w:bottom w:w="0" w:type="dxa"/>
              <w:right w:w="80" w:type="dxa"/>
            </w:tcMar>
            <w:vAlign w:val="center"/>
          </w:tcPr>
          <w:p w:rsidR="00443EA8" w:rsidRPr="003329FE" w:rsidRDefault="00443EA8" w:rsidP="00993643">
            <w:pPr>
              <w:pStyle w:val="Textvtabulce"/>
              <w:spacing w:before="0" w:after="0"/>
              <w:jc w:val="left"/>
            </w:pPr>
            <w:r w:rsidRPr="003329FE">
              <w:t>CK</w:t>
            </w:r>
          </w:p>
        </w:tc>
        <w:tc>
          <w:tcPr>
            <w:tcW w:w="20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742 045 086</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0</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0</w:t>
            </w:r>
          </w:p>
        </w:tc>
      </w:tr>
      <w:tr w:rsidR="003329FE" w:rsidTr="00993643">
        <w:trPr>
          <w:trHeight w:val="340"/>
        </w:trPr>
        <w:tc>
          <w:tcPr>
            <w:tcW w:w="35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80" w:type="dxa"/>
              <w:bottom w:w="0" w:type="dxa"/>
              <w:right w:w="80" w:type="dxa"/>
            </w:tcMar>
            <w:vAlign w:val="center"/>
          </w:tcPr>
          <w:p w:rsidR="00443EA8" w:rsidRPr="003329FE" w:rsidRDefault="00443EA8" w:rsidP="00993643">
            <w:pPr>
              <w:pStyle w:val="Textvtabulce"/>
              <w:spacing w:before="0" w:after="0"/>
              <w:jc w:val="left"/>
            </w:pPr>
            <w:r w:rsidRPr="003329FE">
              <w:t>DELTA</w:t>
            </w:r>
          </w:p>
        </w:tc>
        <w:tc>
          <w:tcPr>
            <w:tcW w:w="20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167 098 378</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102 265 883</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71 344 419</w:t>
            </w:r>
          </w:p>
        </w:tc>
      </w:tr>
      <w:tr w:rsidR="003329FE" w:rsidTr="00993643">
        <w:trPr>
          <w:trHeight w:val="340"/>
        </w:trPr>
        <w:tc>
          <w:tcPr>
            <w:tcW w:w="35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80" w:type="dxa"/>
              <w:bottom w:w="0" w:type="dxa"/>
              <w:right w:w="80" w:type="dxa"/>
            </w:tcMar>
            <w:vAlign w:val="center"/>
          </w:tcPr>
          <w:p w:rsidR="00443EA8" w:rsidRPr="003329FE" w:rsidRDefault="00443EA8" w:rsidP="00993643">
            <w:pPr>
              <w:pStyle w:val="Textvtabulce"/>
              <w:spacing w:before="0" w:after="0"/>
              <w:jc w:val="left"/>
            </w:pPr>
            <w:r w:rsidRPr="003329FE">
              <w:t>GAMA</w:t>
            </w:r>
          </w:p>
        </w:tc>
        <w:tc>
          <w:tcPr>
            <w:tcW w:w="20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100 649 145</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0</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0</w:t>
            </w:r>
          </w:p>
        </w:tc>
      </w:tr>
      <w:tr w:rsidR="003329FE" w:rsidTr="00993643">
        <w:trPr>
          <w:trHeight w:val="340"/>
        </w:trPr>
        <w:tc>
          <w:tcPr>
            <w:tcW w:w="35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80" w:type="dxa"/>
              <w:bottom w:w="0" w:type="dxa"/>
              <w:right w:w="80" w:type="dxa"/>
            </w:tcMar>
            <w:vAlign w:val="center"/>
          </w:tcPr>
          <w:p w:rsidR="00443EA8" w:rsidRPr="003329FE" w:rsidRDefault="00443EA8" w:rsidP="00993643">
            <w:pPr>
              <w:pStyle w:val="Textvtabulce"/>
              <w:spacing w:before="0" w:after="0"/>
              <w:jc w:val="left"/>
            </w:pPr>
            <w:r w:rsidRPr="003329FE">
              <w:t>EPSILON</w:t>
            </w:r>
          </w:p>
        </w:tc>
        <w:tc>
          <w:tcPr>
            <w:tcW w:w="20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1 582 114 882</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1 635 718 158</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1 086 303 340</w:t>
            </w:r>
          </w:p>
        </w:tc>
      </w:tr>
      <w:tr w:rsidR="003329FE" w:rsidTr="00993643">
        <w:trPr>
          <w:trHeight w:val="340"/>
        </w:trPr>
        <w:tc>
          <w:tcPr>
            <w:tcW w:w="35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80" w:type="dxa"/>
              <w:bottom w:w="0" w:type="dxa"/>
              <w:right w:w="80" w:type="dxa"/>
            </w:tcMar>
            <w:vAlign w:val="center"/>
          </w:tcPr>
          <w:p w:rsidR="00443EA8" w:rsidRPr="003329FE" w:rsidRDefault="00443EA8" w:rsidP="00993643">
            <w:pPr>
              <w:pStyle w:val="Textvtabulce"/>
              <w:spacing w:before="0" w:after="0"/>
              <w:jc w:val="left"/>
            </w:pPr>
            <w:r w:rsidRPr="003329FE">
              <w:t>BETA2</w:t>
            </w:r>
          </w:p>
        </w:tc>
        <w:tc>
          <w:tcPr>
            <w:tcW w:w="20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82 842 999</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220 000 000</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270 000 000</w:t>
            </w:r>
          </w:p>
        </w:tc>
      </w:tr>
      <w:tr w:rsidR="003329FE" w:rsidTr="00993643">
        <w:trPr>
          <w:trHeight w:val="340"/>
        </w:trPr>
        <w:tc>
          <w:tcPr>
            <w:tcW w:w="35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80" w:type="dxa"/>
              <w:bottom w:w="0" w:type="dxa"/>
              <w:right w:w="80" w:type="dxa"/>
            </w:tcMar>
            <w:vAlign w:val="center"/>
          </w:tcPr>
          <w:p w:rsidR="00443EA8" w:rsidRPr="003329FE" w:rsidRDefault="00443EA8" w:rsidP="00993643">
            <w:pPr>
              <w:pStyle w:val="Textvtabulce"/>
              <w:spacing w:before="0" w:after="0"/>
              <w:jc w:val="left"/>
            </w:pPr>
            <w:r w:rsidRPr="003329FE">
              <w:t>Resortní prostředky BETA2</w:t>
            </w:r>
          </w:p>
        </w:tc>
        <w:tc>
          <w:tcPr>
            <w:tcW w:w="20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600 000 000</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w:t>
            </w:r>
          </w:p>
        </w:tc>
      </w:tr>
      <w:tr w:rsidR="003329FE" w:rsidTr="00993643">
        <w:trPr>
          <w:trHeight w:val="340"/>
        </w:trPr>
        <w:tc>
          <w:tcPr>
            <w:tcW w:w="35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80" w:type="dxa"/>
              <w:bottom w:w="0" w:type="dxa"/>
              <w:right w:w="80" w:type="dxa"/>
            </w:tcMar>
            <w:vAlign w:val="center"/>
          </w:tcPr>
          <w:p w:rsidR="00443EA8" w:rsidRPr="003329FE" w:rsidRDefault="00443EA8" w:rsidP="00993643">
            <w:pPr>
              <w:pStyle w:val="Textvtabulce"/>
              <w:spacing w:before="0" w:after="0"/>
              <w:jc w:val="left"/>
            </w:pPr>
            <w:r w:rsidRPr="003329FE">
              <w:t>ZÉTA</w:t>
            </w:r>
          </w:p>
        </w:tc>
        <w:tc>
          <w:tcPr>
            <w:tcW w:w="20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163 724 276</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226 535 600</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376 535 600</w:t>
            </w:r>
          </w:p>
        </w:tc>
      </w:tr>
      <w:tr w:rsidR="003329FE" w:rsidTr="00993643">
        <w:trPr>
          <w:trHeight w:val="340"/>
        </w:trPr>
        <w:tc>
          <w:tcPr>
            <w:tcW w:w="35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80" w:type="dxa"/>
              <w:bottom w:w="0" w:type="dxa"/>
              <w:right w:w="80" w:type="dxa"/>
            </w:tcMar>
            <w:vAlign w:val="center"/>
          </w:tcPr>
          <w:p w:rsidR="00443EA8" w:rsidRPr="003329FE" w:rsidRDefault="00443EA8" w:rsidP="00993643">
            <w:pPr>
              <w:pStyle w:val="Textvtabulce"/>
              <w:spacing w:before="0" w:after="0"/>
              <w:jc w:val="left"/>
            </w:pPr>
            <w:r w:rsidRPr="003329FE">
              <w:t>THÉTA</w:t>
            </w:r>
          </w:p>
        </w:tc>
        <w:tc>
          <w:tcPr>
            <w:tcW w:w="20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292 261 543</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537 759 170</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634 279 520</w:t>
            </w:r>
          </w:p>
        </w:tc>
      </w:tr>
      <w:tr w:rsidR="00443EA8" w:rsidTr="00993643">
        <w:trPr>
          <w:trHeight w:val="340"/>
        </w:trPr>
        <w:tc>
          <w:tcPr>
            <w:tcW w:w="35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79" w:type="dxa"/>
              <w:bottom w:w="0" w:type="dxa"/>
              <w:right w:w="79" w:type="dxa"/>
            </w:tcMar>
            <w:vAlign w:val="center"/>
          </w:tcPr>
          <w:p w:rsidR="00443EA8" w:rsidRPr="003329FE" w:rsidRDefault="00443EA8" w:rsidP="00993643">
            <w:pPr>
              <w:pStyle w:val="Textvtabulce"/>
              <w:spacing w:before="0" w:after="0"/>
              <w:jc w:val="left"/>
            </w:pPr>
            <w:r w:rsidRPr="003329FE">
              <w:t>ÉTA</w:t>
            </w:r>
          </w:p>
        </w:tc>
        <w:tc>
          <w:tcPr>
            <w:tcW w:w="20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40" w:type="dxa"/>
              <w:left w:w="79" w:type="dxa"/>
              <w:bottom w:w="40" w:type="dxa"/>
              <w:right w:w="79" w:type="dxa"/>
            </w:tcMar>
            <w:vAlign w:val="center"/>
          </w:tcPr>
          <w:p w:rsidR="00443EA8" w:rsidRPr="003329FE" w:rsidRDefault="00443EA8" w:rsidP="00993643">
            <w:pPr>
              <w:pStyle w:val="Textvtabulce"/>
              <w:spacing w:before="0" w:after="0"/>
              <w:jc w:val="center"/>
            </w:pPr>
            <w:r w:rsidRPr="003329FE">
              <w:t>356 956 450</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40" w:type="dxa"/>
              <w:left w:w="79" w:type="dxa"/>
              <w:bottom w:w="40" w:type="dxa"/>
              <w:right w:w="79" w:type="dxa"/>
            </w:tcMar>
            <w:vAlign w:val="center"/>
          </w:tcPr>
          <w:p w:rsidR="00443EA8" w:rsidRPr="003329FE" w:rsidRDefault="00443EA8" w:rsidP="00993643">
            <w:pPr>
              <w:pStyle w:val="Textvtabulce"/>
              <w:spacing w:before="0" w:after="0"/>
              <w:jc w:val="center"/>
            </w:pPr>
            <w:r w:rsidRPr="003329FE">
              <w:t>520 502 480</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40" w:type="dxa"/>
              <w:left w:w="79" w:type="dxa"/>
              <w:bottom w:w="40" w:type="dxa"/>
              <w:right w:w="79" w:type="dxa"/>
            </w:tcMar>
            <w:vAlign w:val="center"/>
          </w:tcPr>
          <w:p w:rsidR="00443EA8" w:rsidRPr="003329FE" w:rsidRDefault="00443EA8" w:rsidP="00993643">
            <w:pPr>
              <w:pStyle w:val="Textvtabulce"/>
              <w:spacing w:before="0" w:after="0"/>
              <w:jc w:val="center"/>
            </w:pPr>
            <w:r w:rsidRPr="003329FE">
              <w:t>553 340 430</w:t>
            </w:r>
          </w:p>
        </w:tc>
      </w:tr>
      <w:tr w:rsidR="003329FE" w:rsidTr="00993643">
        <w:trPr>
          <w:trHeight w:val="340"/>
        </w:trPr>
        <w:tc>
          <w:tcPr>
            <w:tcW w:w="35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79" w:type="dxa"/>
              <w:bottom w:w="0" w:type="dxa"/>
              <w:right w:w="79" w:type="dxa"/>
            </w:tcMar>
            <w:vAlign w:val="center"/>
          </w:tcPr>
          <w:p w:rsidR="00443EA8" w:rsidRPr="003329FE" w:rsidRDefault="00443EA8" w:rsidP="00993643">
            <w:pPr>
              <w:pStyle w:val="Textvtabulce"/>
              <w:spacing w:before="0" w:after="0"/>
              <w:jc w:val="left"/>
            </w:pPr>
            <w:r w:rsidRPr="003329FE">
              <w:t>NCK1</w:t>
            </w:r>
          </w:p>
        </w:tc>
        <w:tc>
          <w:tcPr>
            <w:tcW w:w="20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40" w:type="dxa"/>
              <w:left w:w="79" w:type="dxa"/>
              <w:bottom w:w="40" w:type="dxa"/>
              <w:right w:w="79" w:type="dxa"/>
            </w:tcMar>
            <w:vAlign w:val="center"/>
          </w:tcPr>
          <w:p w:rsidR="00443EA8" w:rsidRPr="003329FE" w:rsidRDefault="00443EA8" w:rsidP="00993643">
            <w:pPr>
              <w:pStyle w:val="Textvtabulce"/>
              <w:spacing w:before="0" w:after="0"/>
              <w:jc w:val="center"/>
            </w:pPr>
            <w:r w:rsidRPr="003329FE">
              <w:t>630 619 934</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40" w:type="dxa"/>
              <w:left w:w="79" w:type="dxa"/>
              <w:bottom w:w="40" w:type="dxa"/>
              <w:right w:w="79" w:type="dxa"/>
            </w:tcMar>
            <w:vAlign w:val="center"/>
          </w:tcPr>
          <w:p w:rsidR="00443EA8" w:rsidRPr="003329FE" w:rsidRDefault="00443EA8" w:rsidP="00993643">
            <w:pPr>
              <w:pStyle w:val="Textvtabulce"/>
              <w:spacing w:before="0" w:after="0"/>
              <w:jc w:val="center"/>
            </w:pPr>
            <w:r w:rsidRPr="003329FE">
              <w:t>961 401 599</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40" w:type="dxa"/>
              <w:left w:w="79" w:type="dxa"/>
              <w:bottom w:w="40" w:type="dxa"/>
              <w:right w:w="79" w:type="dxa"/>
            </w:tcMar>
            <w:vAlign w:val="center"/>
          </w:tcPr>
          <w:p w:rsidR="00443EA8" w:rsidRPr="003329FE" w:rsidRDefault="00443EA8" w:rsidP="00993643">
            <w:pPr>
              <w:pStyle w:val="Textvtabulce"/>
              <w:spacing w:before="0" w:after="0"/>
              <w:jc w:val="center"/>
            </w:pPr>
            <w:r w:rsidRPr="003329FE">
              <w:t>398 005 383</w:t>
            </w:r>
          </w:p>
        </w:tc>
      </w:tr>
      <w:tr w:rsidR="003329FE" w:rsidTr="00993643">
        <w:trPr>
          <w:trHeight w:val="340"/>
        </w:trPr>
        <w:tc>
          <w:tcPr>
            <w:tcW w:w="35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79" w:type="dxa"/>
              <w:bottom w:w="0" w:type="dxa"/>
              <w:right w:w="79" w:type="dxa"/>
            </w:tcMar>
            <w:vAlign w:val="center"/>
          </w:tcPr>
          <w:p w:rsidR="00443EA8" w:rsidRPr="003329FE" w:rsidRDefault="00443EA8" w:rsidP="00993643">
            <w:pPr>
              <w:pStyle w:val="Textvtabulce"/>
              <w:spacing w:before="0" w:after="0"/>
              <w:jc w:val="left"/>
            </w:pPr>
            <w:r w:rsidRPr="003329FE">
              <w:t>NCK2</w:t>
            </w:r>
          </w:p>
        </w:tc>
        <w:tc>
          <w:tcPr>
            <w:tcW w:w="20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79" w:type="dxa"/>
              <w:bottom w:w="0" w:type="dxa"/>
              <w:right w:w="79" w:type="dxa"/>
            </w:tcMar>
            <w:vAlign w:val="center"/>
          </w:tcPr>
          <w:p w:rsidR="00443EA8" w:rsidRPr="003329FE" w:rsidRDefault="00443EA8" w:rsidP="00993643">
            <w:pPr>
              <w:pStyle w:val="Textvtabulce"/>
              <w:spacing w:before="0" w:after="0"/>
              <w:jc w:val="center"/>
            </w:pPr>
            <w:r w:rsidRPr="003329FE">
              <w:t>0</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79" w:type="dxa"/>
              <w:bottom w:w="0" w:type="dxa"/>
              <w:right w:w="79" w:type="dxa"/>
            </w:tcMar>
            <w:vAlign w:val="center"/>
          </w:tcPr>
          <w:p w:rsidR="00443EA8" w:rsidRPr="003329FE" w:rsidRDefault="00443EA8" w:rsidP="00993643">
            <w:pPr>
              <w:pStyle w:val="Textvtabulce"/>
              <w:spacing w:before="0" w:after="0"/>
              <w:jc w:val="center"/>
            </w:pPr>
            <w:r w:rsidRPr="003329FE">
              <w:t>0</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79" w:type="dxa"/>
              <w:bottom w:w="0" w:type="dxa"/>
              <w:right w:w="79" w:type="dxa"/>
            </w:tcMar>
            <w:vAlign w:val="center"/>
          </w:tcPr>
          <w:p w:rsidR="00443EA8" w:rsidRPr="003329FE" w:rsidRDefault="00443EA8" w:rsidP="00993643">
            <w:pPr>
              <w:pStyle w:val="Textvtabulce"/>
              <w:spacing w:before="0" w:after="0"/>
              <w:jc w:val="center"/>
            </w:pPr>
            <w:r w:rsidRPr="003329FE">
              <w:t>447 000 000</w:t>
            </w:r>
          </w:p>
        </w:tc>
      </w:tr>
      <w:tr w:rsidR="003329FE" w:rsidTr="00993643">
        <w:trPr>
          <w:trHeight w:val="340"/>
        </w:trPr>
        <w:tc>
          <w:tcPr>
            <w:tcW w:w="35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79" w:type="dxa"/>
              <w:bottom w:w="0" w:type="dxa"/>
              <w:right w:w="79" w:type="dxa"/>
            </w:tcMar>
            <w:vAlign w:val="center"/>
          </w:tcPr>
          <w:p w:rsidR="00443EA8" w:rsidRPr="003329FE" w:rsidRDefault="00443EA8" w:rsidP="00993643">
            <w:pPr>
              <w:pStyle w:val="Textvtabulce"/>
              <w:spacing w:before="0" w:after="0"/>
              <w:jc w:val="left"/>
            </w:pPr>
            <w:r w:rsidRPr="003329FE">
              <w:t>DELTA2</w:t>
            </w:r>
          </w:p>
        </w:tc>
        <w:tc>
          <w:tcPr>
            <w:tcW w:w="20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79" w:type="dxa"/>
              <w:bottom w:w="0" w:type="dxa"/>
              <w:right w:w="79" w:type="dxa"/>
            </w:tcMar>
            <w:vAlign w:val="center"/>
          </w:tcPr>
          <w:p w:rsidR="00443EA8" w:rsidRPr="003329FE" w:rsidRDefault="00443EA8" w:rsidP="00993643">
            <w:pPr>
              <w:pStyle w:val="Textvtabulce"/>
              <w:spacing w:before="0" w:after="0"/>
              <w:jc w:val="center"/>
            </w:pPr>
            <w:r w:rsidRPr="003329FE">
              <w:t>0</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79" w:type="dxa"/>
              <w:bottom w:w="0" w:type="dxa"/>
              <w:right w:w="79" w:type="dxa"/>
            </w:tcMar>
            <w:vAlign w:val="center"/>
          </w:tcPr>
          <w:p w:rsidR="00443EA8" w:rsidRPr="003329FE" w:rsidRDefault="00443EA8" w:rsidP="00993643">
            <w:pPr>
              <w:pStyle w:val="Textvtabulce"/>
              <w:spacing w:before="0" w:after="0"/>
              <w:jc w:val="center"/>
            </w:pPr>
            <w:r w:rsidRPr="003329FE">
              <w:t>100 000 000</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79" w:type="dxa"/>
              <w:bottom w:w="0" w:type="dxa"/>
              <w:right w:w="79" w:type="dxa"/>
            </w:tcMar>
            <w:vAlign w:val="center"/>
          </w:tcPr>
          <w:p w:rsidR="00443EA8" w:rsidRPr="003329FE" w:rsidRDefault="00443EA8" w:rsidP="00993643">
            <w:pPr>
              <w:pStyle w:val="Textvtabulce"/>
              <w:spacing w:before="0" w:after="0"/>
              <w:jc w:val="center"/>
            </w:pPr>
            <w:r w:rsidRPr="003329FE">
              <w:t>250 000 000</w:t>
            </w:r>
          </w:p>
        </w:tc>
      </w:tr>
      <w:tr w:rsidR="003329FE" w:rsidTr="00993643">
        <w:trPr>
          <w:trHeight w:val="340"/>
        </w:trPr>
        <w:tc>
          <w:tcPr>
            <w:tcW w:w="35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79" w:type="dxa"/>
              <w:bottom w:w="0" w:type="dxa"/>
              <w:right w:w="79" w:type="dxa"/>
            </w:tcMar>
            <w:vAlign w:val="center"/>
          </w:tcPr>
          <w:p w:rsidR="00443EA8" w:rsidRPr="003329FE" w:rsidRDefault="00443EA8" w:rsidP="00993643">
            <w:pPr>
              <w:pStyle w:val="Textvtabulce"/>
              <w:spacing w:before="0" w:after="0"/>
              <w:jc w:val="left"/>
            </w:pPr>
            <w:r w:rsidRPr="003329FE">
              <w:t>GAMA2</w:t>
            </w:r>
          </w:p>
        </w:tc>
        <w:tc>
          <w:tcPr>
            <w:tcW w:w="20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79" w:type="dxa"/>
              <w:bottom w:w="0" w:type="dxa"/>
              <w:right w:w="79" w:type="dxa"/>
            </w:tcMar>
            <w:vAlign w:val="center"/>
          </w:tcPr>
          <w:p w:rsidR="00443EA8" w:rsidRPr="003329FE" w:rsidRDefault="00443EA8" w:rsidP="00993643">
            <w:pPr>
              <w:pStyle w:val="Textvtabulce"/>
              <w:spacing w:before="0" w:after="0"/>
              <w:jc w:val="center"/>
            </w:pPr>
            <w:r w:rsidRPr="003329FE">
              <w:t>180 000 000</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79" w:type="dxa"/>
              <w:bottom w:w="0" w:type="dxa"/>
              <w:right w:w="79" w:type="dxa"/>
            </w:tcMar>
            <w:vAlign w:val="center"/>
          </w:tcPr>
          <w:p w:rsidR="00443EA8" w:rsidRPr="003329FE" w:rsidRDefault="00443EA8" w:rsidP="00993643">
            <w:pPr>
              <w:pStyle w:val="Textvtabulce"/>
              <w:spacing w:before="0" w:after="0"/>
              <w:jc w:val="center"/>
            </w:pPr>
            <w:r w:rsidRPr="003329FE">
              <w:t>185 000 000</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79" w:type="dxa"/>
              <w:bottom w:w="0" w:type="dxa"/>
              <w:right w:w="79" w:type="dxa"/>
            </w:tcMar>
            <w:vAlign w:val="center"/>
          </w:tcPr>
          <w:p w:rsidR="00443EA8" w:rsidRPr="003329FE" w:rsidRDefault="00443EA8" w:rsidP="00993643">
            <w:pPr>
              <w:pStyle w:val="Textvtabulce"/>
              <w:spacing w:before="0" w:after="0"/>
              <w:jc w:val="center"/>
            </w:pPr>
            <w:r w:rsidRPr="003329FE">
              <w:t>185 000 000</w:t>
            </w:r>
          </w:p>
        </w:tc>
      </w:tr>
      <w:tr w:rsidR="003329FE" w:rsidTr="00993643">
        <w:trPr>
          <w:trHeight w:val="340"/>
        </w:trPr>
        <w:tc>
          <w:tcPr>
            <w:tcW w:w="35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79" w:type="dxa"/>
              <w:bottom w:w="0" w:type="dxa"/>
              <w:right w:w="79" w:type="dxa"/>
            </w:tcMar>
            <w:vAlign w:val="center"/>
          </w:tcPr>
          <w:p w:rsidR="00443EA8" w:rsidRPr="003329FE" w:rsidRDefault="00443EA8" w:rsidP="00993643">
            <w:pPr>
              <w:pStyle w:val="Textvtabulce"/>
              <w:spacing w:before="0" w:after="0"/>
              <w:jc w:val="left"/>
            </w:pPr>
            <w:r w:rsidRPr="003329FE">
              <w:t>KAPPA</w:t>
            </w:r>
          </w:p>
        </w:tc>
        <w:tc>
          <w:tcPr>
            <w:tcW w:w="20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79" w:type="dxa"/>
              <w:bottom w:w="0" w:type="dxa"/>
              <w:right w:w="79" w:type="dxa"/>
            </w:tcMar>
            <w:vAlign w:val="center"/>
          </w:tcPr>
          <w:p w:rsidR="00443EA8" w:rsidRPr="003329FE" w:rsidRDefault="00443EA8" w:rsidP="00993643">
            <w:pPr>
              <w:pStyle w:val="Textvtabulce"/>
              <w:spacing w:before="0" w:after="0"/>
              <w:jc w:val="center"/>
            </w:pPr>
            <w:r w:rsidRPr="003329FE">
              <w:t>15 750 000</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79" w:type="dxa"/>
              <w:bottom w:w="0" w:type="dxa"/>
              <w:right w:w="79" w:type="dxa"/>
            </w:tcMar>
            <w:vAlign w:val="center"/>
          </w:tcPr>
          <w:p w:rsidR="00443EA8" w:rsidRPr="003329FE" w:rsidRDefault="00443EA8" w:rsidP="00993643">
            <w:pPr>
              <w:pStyle w:val="Textvtabulce"/>
              <w:spacing w:before="0" w:after="0"/>
              <w:jc w:val="center"/>
            </w:pPr>
            <w:r w:rsidRPr="003329FE">
              <w:t>23 850 000</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79" w:type="dxa"/>
              <w:bottom w:w="0" w:type="dxa"/>
              <w:right w:w="79" w:type="dxa"/>
            </w:tcMar>
            <w:vAlign w:val="center"/>
          </w:tcPr>
          <w:p w:rsidR="00443EA8" w:rsidRPr="003329FE" w:rsidRDefault="00443EA8" w:rsidP="00993643">
            <w:pPr>
              <w:pStyle w:val="Textvtabulce"/>
              <w:spacing w:before="0" w:after="0"/>
              <w:jc w:val="center"/>
            </w:pPr>
            <w:r w:rsidRPr="003329FE">
              <w:t>23 850 000</w:t>
            </w:r>
          </w:p>
        </w:tc>
      </w:tr>
      <w:tr w:rsidR="003329FE" w:rsidTr="00993643">
        <w:trPr>
          <w:trHeight w:val="340"/>
        </w:trPr>
        <w:tc>
          <w:tcPr>
            <w:tcW w:w="35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79" w:type="dxa"/>
              <w:bottom w:w="0" w:type="dxa"/>
              <w:right w:w="79" w:type="dxa"/>
            </w:tcMar>
            <w:vAlign w:val="center"/>
          </w:tcPr>
          <w:p w:rsidR="00443EA8" w:rsidRPr="003329FE" w:rsidRDefault="00443EA8" w:rsidP="00993643">
            <w:pPr>
              <w:pStyle w:val="Textvtabulce"/>
              <w:spacing w:before="0" w:after="0"/>
              <w:jc w:val="left"/>
            </w:pPr>
            <w:r w:rsidRPr="003329FE">
              <w:t>Rámcový program IÓTA</w:t>
            </w:r>
          </w:p>
        </w:tc>
        <w:tc>
          <w:tcPr>
            <w:tcW w:w="20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79" w:type="dxa"/>
              <w:bottom w:w="0" w:type="dxa"/>
              <w:right w:w="79" w:type="dxa"/>
            </w:tcMar>
            <w:vAlign w:val="center"/>
          </w:tcPr>
          <w:p w:rsidR="00443EA8" w:rsidRPr="003329FE" w:rsidRDefault="00443EA8" w:rsidP="00993643">
            <w:pPr>
              <w:pStyle w:val="Textvtabulce"/>
              <w:spacing w:before="0" w:after="0"/>
              <w:jc w:val="center"/>
            </w:pPr>
            <w:r w:rsidRPr="003329FE">
              <w:t>0</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79" w:type="dxa"/>
              <w:bottom w:w="0" w:type="dxa"/>
              <w:right w:w="79" w:type="dxa"/>
            </w:tcMar>
            <w:vAlign w:val="center"/>
          </w:tcPr>
          <w:p w:rsidR="00443EA8" w:rsidRPr="003329FE" w:rsidRDefault="00443EA8" w:rsidP="00993643">
            <w:pPr>
              <w:pStyle w:val="Textvtabulce"/>
              <w:spacing w:before="0" w:after="0"/>
              <w:jc w:val="center"/>
            </w:pPr>
            <w:r w:rsidRPr="003329FE">
              <w:t>0</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79" w:type="dxa"/>
              <w:bottom w:w="0" w:type="dxa"/>
              <w:right w:w="79" w:type="dxa"/>
            </w:tcMar>
            <w:vAlign w:val="center"/>
          </w:tcPr>
          <w:p w:rsidR="00443EA8" w:rsidRPr="003329FE" w:rsidRDefault="00443EA8" w:rsidP="00993643">
            <w:pPr>
              <w:pStyle w:val="Textvtabulce"/>
              <w:spacing w:before="0" w:after="0"/>
              <w:jc w:val="center"/>
            </w:pPr>
            <w:r w:rsidRPr="003329FE">
              <w:t>145 453 000</w:t>
            </w:r>
          </w:p>
        </w:tc>
      </w:tr>
      <w:tr w:rsidR="003329FE" w:rsidTr="00993643">
        <w:trPr>
          <w:trHeight w:val="340"/>
        </w:trPr>
        <w:tc>
          <w:tcPr>
            <w:tcW w:w="35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79" w:type="dxa"/>
              <w:bottom w:w="0" w:type="dxa"/>
              <w:right w:w="79" w:type="dxa"/>
            </w:tcMar>
            <w:vAlign w:val="center"/>
          </w:tcPr>
          <w:p w:rsidR="00443EA8" w:rsidRPr="003329FE" w:rsidRDefault="00443EA8" w:rsidP="00993643">
            <w:pPr>
              <w:pStyle w:val="Textvtabulce"/>
              <w:spacing w:before="0" w:after="0"/>
              <w:jc w:val="left"/>
            </w:pPr>
            <w:r w:rsidRPr="003329FE">
              <w:t xml:space="preserve">Resortní program MD </w:t>
            </w:r>
            <w:r w:rsidR="00993643">
              <w:t>–</w:t>
            </w:r>
            <w:r w:rsidRPr="003329FE">
              <w:t xml:space="preserve"> dle návrhu MD</w:t>
            </w:r>
          </w:p>
        </w:tc>
        <w:tc>
          <w:tcPr>
            <w:tcW w:w="20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79" w:type="dxa"/>
              <w:bottom w:w="0" w:type="dxa"/>
              <w:right w:w="79" w:type="dxa"/>
            </w:tcMar>
            <w:vAlign w:val="center"/>
          </w:tcPr>
          <w:p w:rsidR="00443EA8" w:rsidRPr="003329FE" w:rsidRDefault="00443EA8" w:rsidP="00993643">
            <w:pPr>
              <w:pStyle w:val="Textvtabulce"/>
              <w:spacing w:before="0" w:after="0"/>
              <w:jc w:val="center"/>
            </w:pPr>
            <w:r w:rsidRPr="003329FE">
              <w:t>0</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79" w:type="dxa"/>
              <w:bottom w:w="0" w:type="dxa"/>
              <w:right w:w="79" w:type="dxa"/>
            </w:tcMar>
            <w:vAlign w:val="center"/>
          </w:tcPr>
          <w:p w:rsidR="00443EA8" w:rsidRPr="003329FE" w:rsidRDefault="00443EA8" w:rsidP="00993643">
            <w:pPr>
              <w:pStyle w:val="Textvtabulce"/>
              <w:spacing w:before="0" w:after="0"/>
              <w:jc w:val="center"/>
            </w:pPr>
            <w:r w:rsidRPr="003329FE">
              <w:t>150 000 000</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79" w:type="dxa"/>
              <w:bottom w:w="0" w:type="dxa"/>
              <w:right w:w="79" w:type="dxa"/>
            </w:tcMar>
            <w:vAlign w:val="center"/>
          </w:tcPr>
          <w:p w:rsidR="00443EA8" w:rsidRPr="003329FE" w:rsidRDefault="00443EA8" w:rsidP="00993643">
            <w:pPr>
              <w:pStyle w:val="Textvtabulce"/>
              <w:spacing w:before="0" w:after="0"/>
              <w:jc w:val="center"/>
            </w:pPr>
            <w:r w:rsidRPr="003329FE">
              <w:t>250 000 000</w:t>
            </w:r>
          </w:p>
        </w:tc>
      </w:tr>
      <w:tr w:rsidR="003329FE" w:rsidTr="00993643">
        <w:trPr>
          <w:trHeight w:val="340"/>
        </w:trPr>
        <w:tc>
          <w:tcPr>
            <w:tcW w:w="35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80" w:type="dxa"/>
              <w:bottom w:w="0" w:type="dxa"/>
              <w:right w:w="80" w:type="dxa"/>
            </w:tcMar>
            <w:vAlign w:val="center"/>
          </w:tcPr>
          <w:p w:rsidR="00443EA8" w:rsidRPr="003329FE" w:rsidRDefault="00443EA8" w:rsidP="00993643">
            <w:pPr>
              <w:pStyle w:val="Textvtabulce"/>
              <w:spacing w:before="0" w:after="0"/>
              <w:jc w:val="left"/>
            </w:pPr>
            <w:r w:rsidRPr="003329FE">
              <w:t xml:space="preserve">Resortní program MŽP </w:t>
            </w:r>
            <w:r w:rsidR="00993643">
              <w:t>–</w:t>
            </w:r>
            <w:r w:rsidRPr="003329FE">
              <w:t xml:space="preserve"> PP3 programu EPSILON postupný náběh</w:t>
            </w:r>
          </w:p>
        </w:tc>
        <w:tc>
          <w:tcPr>
            <w:tcW w:w="20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0</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150 000 000</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250 000 000</w:t>
            </w:r>
          </w:p>
        </w:tc>
      </w:tr>
      <w:tr w:rsidR="003329FE" w:rsidTr="00993643">
        <w:trPr>
          <w:trHeight w:val="340"/>
        </w:trPr>
        <w:tc>
          <w:tcPr>
            <w:tcW w:w="35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80" w:type="dxa"/>
              <w:bottom w:w="0" w:type="dxa"/>
              <w:right w:w="80" w:type="dxa"/>
            </w:tcMar>
            <w:vAlign w:val="center"/>
          </w:tcPr>
          <w:p w:rsidR="00443EA8" w:rsidRPr="003329FE" w:rsidRDefault="00443EA8" w:rsidP="00993643">
            <w:pPr>
              <w:pStyle w:val="Textvtabulce"/>
              <w:spacing w:before="0" w:after="0"/>
              <w:jc w:val="left"/>
            </w:pPr>
            <w:r w:rsidRPr="003329FE">
              <w:t xml:space="preserve">Resortní program MPO </w:t>
            </w:r>
            <w:r w:rsidR="00993643">
              <w:t>–</w:t>
            </w:r>
            <w:r w:rsidRPr="003329FE">
              <w:t xml:space="preserve"> "TREND"</w:t>
            </w:r>
          </w:p>
        </w:tc>
        <w:tc>
          <w:tcPr>
            <w:tcW w:w="20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0</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2 000 000 000</w:t>
            </w:r>
          </w:p>
        </w:tc>
        <w:tc>
          <w:tcPr>
            <w:tcW w:w="20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80" w:type="dxa"/>
              <w:bottom w:w="0" w:type="dxa"/>
              <w:right w:w="80" w:type="dxa"/>
            </w:tcMar>
            <w:vAlign w:val="center"/>
          </w:tcPr>
          <w:p w:rsidR="00443EA8" w:rsidRPr="003329FE" w:rsidRDefault="00443EA8" w:rsidP="00993643">
            <w:pPr>
              <w:pStyle w:val="Textvtabulce"/>
              <w:spacing w:before="0" w:after="0"/>
              <w:jc w:val="center"/>
            </w:pPr>
            <w:r w:rsidRPr="003329FE">
              <w:t>2 000 000 000</w:t>
            </w:r>
          </w:p>
        </w:tc>
      </w:tr>
    </w:tbl>
    <w:p w:rsidR="00993643" w:rsidRDefault="00993643" w:rsidP="00443EA8"/>
    <w:p w:rsidR="00443EA8" w:rsidRDefault="00993643" w:rsidP="00993643">
      <w:pPr>
        <w:pStyle w:val="Grafickprvek"/>
        <w:rPr>
          <w:u w:val="single"/>
        </w:rPr>
      </w:pPr>
      <w:r>
        <w:t>5. Tabulka: Předpoklad zapojení NNV (v mil. Kč)</w:t>
      </w:r>
    </w:p>
    <w:tbl>
      <w:tblPr>
        <w:tblW w:w="9639" w:type="dxa"/>
        <w:tblInd w:w="8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600" w:firstRow="0" w:lastRow="0" w:firstColumn="0" w:lastColumn="0" w:noHBand="1" w:noVBand="1"/>
      </w:tblPr>
      <w:tblGrid>
        <w:gridCol w:w="3544"/>
        <w:gridCol w:w="2031"/>
        <w:gridCol w:w="2032"/>
        <w:gridCol w:w="2032"/>
      </w:tblGrid>
      <w:tr w:rsidR="00993643" w:rsidRPr="00993643" w:rsidTr="00951BAD">
        <w:trPr>
          <w:trHeight w:val="283"/>
        </w:trPr>
        <w:tc>
          <w:tcPr>
            <w:tcW w:w="3544" w:type="dxa"/>
            <w:tcBorders>
              <w:bottom w:val="single" w:sz="4" w:space="0" w:color="FFFFFF" w:themeColor="background1"/>
            </w:tcBorders>
            <w:shd w:val="clear" w:color="auto" w:fill="F03741"/>
            <w:tcMar>
              <w:top w:w="100" w:type="dxa"/>
              <w:left w:w="80" w:type="dxa"/>
              <w:bottom w:w="100" w:type="dxa"/>
              <w:right w:w="80" w:type="dxa"/>
            </w:tcMar>
            <w:vAlign w:val="center"/>
          </w:tcPr>
          <w:p w:rsidR="00443EA8" w:rsidRPr="00993643" w:rsidRDefault="00443EA8" w:rsidP="00993643">
            <w:pPr>
              <w:pStyle w:val="Textvtabulce"/>
              <w:jc w:val="center"/>
              <w:rPr>
                <w:b/>
                <w:color w:val="FFFFFF" w:themeColor="background1"/>
                <w:sz w:val="22"/>
              </w:rPr>
            </w:pPr>
            <w:r w:rsidRPr="00993643">
              <w:rPr>
                <w:b/>
                <w:color w:val="FFFFFF" w:themeColor="background1"/>
                <w:sz w:val="22"/>
              </w:rPr>
              <w:t>NNV</w:t>
            </w:r>
          </w:p>
        </w:tc>
        <w:tc>
          <w:tcPr>
            <w:tcW w:w="2031" w:type="dxa"/>
            <w:tcBorders>
              <w:bottom w:val="single" w:sz="4" w:space="0" w:color="FFFFFF" w:themeColor="background1"/>
            </w:tcBorders>
            <w:shd w:val="clear" w:color="auto" w:fill="F03741"/>
            <w:tcMar>
              <w:top w:w="100" w:type="dxa"/>
              <w:left w:w="80" w:type="dxa"/>
              <w:bottom w:w="100" w:type="dxa"/>
              <w:right w:w="80" w:type="dxa"/>
            </w:tcMar>
            <w:vAlign w:val="center"/>
          </w:tcPr>
          <w:p w:rsidR="00443EA8" w:rsidRPr="00993643" w:rsidRDefault="00443EA8" w:rsidP="00993643">
            <w:pPr>
              <w:pStyle w:val="Textvtabulce"/>
              <w:jc w:val="center"/>
              <w:rPr>
                <w:b/>
                <w:color w:val="FFFFFF" w:themeColor="background1"/>
                <w:sz w:val="22"/>
              </w:rPr>
            </w:pPr>
            <w:r w:rsidRPr="00993643">
              <w:rPr>
                <w:b/>
                <w:color w:val="FFFFFF" w:themeColor="background1"/>
                <w:sz w:val="22"/>
              </w:rPr>
              <w:t>2019</w:t>
            </w:r>
          </w:p>
        </w:tc>
        <w:tc>
          <w:tcPr>
            <w:tcW w:w="2032" w:type="dxa"/>
            <w:tcBorders>
              <w:bottom w:val="single" w:sz="4" w:space="0" w:color="FFFFFF" w:themeColor="background1"/>
            </w:tcBorders>
            <w:shd w:val="clear" w:color="auto" w:fill="F03741"/>
            <w:tcMar>
              <w:top w:w="100" w:type="dxa"/>
              <w:left w:w="80" w:type="dxa"/>
              <w:bottom w:w="100" w:type="dxa"/>
              <w:right w:w="80" w:type="dxa"/>
            </w:tcMar>
            <w:vAlign w:val="center"/>
          </w:tcPr>
          <w:p w:rsidR="00443EA8" w:rsidRPr="00993643" w:rsidRDefault="00443EA8" w:rsidP="00993643">
            <w:pPr>
              <w:pStyle w:val="Textvtabulce"/>
              <w:jc w:val="center"/>
              <w:rPr>
                <w:b/>
                <w:color w:val="FFFFFF" w:themeColor="background1"/>
                <w:sz w:val="22"/>
              </w:rPr>
            </w:pPr>
            <w:r w:rsidRPr="00993643">
              <w:rPr>
                <w:b/>
                <w:color w:val="FFFFFF" w:themeColor="background1"/>
                <w:sz w:val="22"/>
              </w:rPr>
              <w:t>2020</w:t>
            </w:r>
          </w:p>
        </w:tc>
        <w:tc>
          <w:tcPr>
            <w:tcW w:w="2032" w:type="dxa"/>
            <w:tcBorders>
              <w:bottom w:val="single" w:sz="4" w:space="0" w:color="FFFFFF" w:themeColor="background1"/>
            </w:tcBorders>
            <w:shd w:val="clear" w:color="auto" w:fill="F03741"/>
            <w:tcMar>
              <w:top w:w="100" w:type="dxa"/>
              <w:left w:w="80" w:type="dxa"/>
              <w:bottom w:w="100" w:type="dxa"/>
              <w:right w:w="80" w:type="dxa"/>
            </w:tcMar>
            <w:vAlign w:val="center"/>
          </w:tcPr>
          <w:p w:rsidR="00443EA8" w:rsidRPr="00993643" w:rsidRDefault="00443EA8" w:rsidP="00993643">
            <w:pPr>
              <w:pStyle w:val="Textvtabulce"/>
              <w:jc w:val="center"/>
              <w:rPr>
                <w:b/>
                <w:color w:val="FFFFFF" w:themeColor="background1"/>
                <w:sz w:val="22"/>
              </w:rPr>
            </w:pPr>
            <w:r w:rsidRPr="00993643">
              <w:rPr>
                <w:b/>
                <w:color w:val="FFFFFF" w:themeColor="background1"/>
                <w:sz w:val="22"/>
              </w:rPr>
              <w:t>2021</w:t>
            </w:r>
          </w:p>
        </w:tc>
      </w:tr>
      <w:tr w:rsidR="00951BAD" w:rsidRPr="00993643" w:rsidTr="00951BAD">
        <w:trPr>
          <w:trHeight w:val="20"/>
        </w:trPr>
        <w:tc>
          <w:tcPr>
            <w:tcW w:w="3544" w:type="dxa"/>
            <w:tcBorders>
              <w:bottom w:val="single" w:sz="4" w:space="0" w:color="F2F2F2" w:themeColor="background1" w:themeShade="F2"/>
            </w:tcBorders>
            <w:shd w:val="clear" w:color="auto" w:fill="auto"/>
            <w:tcMar>
              <w:top w:w="100" w:type="dxa"/>
              <w:left w:w="80" w:type="dxa"/>
              <w:bottom w:w="100" w:type="dxa"/>
              <w:right w:w="80" w:type="dxa"/>
            </w:tcMar>
            <w:vAlign w:val="center"/>
          </w:tcPr>
          <w:p w:rsidR="00443EA8" w:rsidRPr="00993643" w:rsidRDefault="00993643" w:rsidP="00993643">
            <w:pPr>
              <w:pStyle w:val="Textvtabulce"/>
              <w:jc w:val="left"/>
              <w:rPr>
                <w:b/>
                <w:sz w:val="22"/>
              </w:rPr>
            </w:pPr>
            <w:r w:rsidRPr="00993643">
              <w:rPr>
                <w:b/>
                <w:sz w:val="22"/>
              </w:rPr>
              <w:t>NCK1</w:t>
            </w:r>
          </w:p>
        </w:tc>
        <w:tc>
          <w:tcPr>
            <w:tcW w:w="2031" w:type="dxa"/>
            <w:tcBorders>
              <w:bottom w:val="single" w:sz="4" w:space="0" w:color="F2F2F2" w:themeColor="background1" w:themeShade="F2"/>
            </w:tcBorders>
            <w:shd w:val="clear" w:color="auto" w:fill="FCD7D8" w:themeFill="text2" w:themeFillTint="33"/>
            <w:tcMar>
              <w:top w:w="40" w:type="dxa"/>
              <w:left w:w="40" w:type="dxa"/>
              <w:bottom w:w="40" w:type="dxa"/>
              <w:right w:w="40" w:type="dxa"/>
            </w:tcMar>
            <w:vAlign w:val="center"/>
          </w:tcPr>
          <w:p w:rsidR="00443EA8" w:rsidRPr="00951BAD" w:rsidRDefault="00443EA8" w:rsidP="00993643">
            <w:pPr>
              <w:pStyle w:val="Textvtabulce"/>
              <w:jc w:val="center"/>
            </w:pPr>
            <w:r w:rsidRPr="00951BAD">
              <w:t>-401</w:t>
            </w:r>
          </w:p>
        </w:tc>
        <w:tc>
          <w:tcPr>
            <w:tcW w:w="2032" w:type="dxa"/>
            <w:tcBorders>
              <w:bottom w:val="single" w:sz="4" w:space="0" w:color="F2F2F2" w:themeColor="background1" w:themeShade="F2"/>
            </w:tcBorders>
            <w:shd w:val="clear" w:color="auto" w:fill="FCD7D8" w:themeFill="text2" w:themeFillTint="33"/>
            <w:tcMar>
              <w:top w:w="40" w:type="dxa"/>
              <w:left w:w="40" w:type="dxa"/>
              <w:bottom w:w="40" w:type="dxa"/>
              <w:right w:w="40" w:type="dxa"/>
            </w:tcMar>
            <w:vAlign w:val="center"/>
          </w:tcPr>
          <w:p w:rsidR="00443EA8" w:rsidRPr="00951BAD" w:rsidRDefault="00443EA8" w:rsidP="00993643">
            <w:pPr>
              <w:pStyle w:val="Textvtabulce"/>
              <w:jc w:val="center"/>
            </w:pPr>
            <w:r w:rsidRPr="00951BAD">
              <w:t>-261</w:t>
            </w:r>
          </w:p>
        </w:tc>
        <w:tc>
          <w:tcPr>
            <w:tcW w:w="2032" w:type="dxa"/>
            <w:tcBorders>
              <w:bottom w:val="single" w:sz="4" w:space="0" w:color="F2F2F2" w:themeColor="background1" w:themeShade="F2"/>
            </w:tcBorders>
            <w:tcMar>
              <w:top w:w="40" w:type="dxa"/>
              <w:left w:w="40" w:type="dxa"/>
              <w:bottom w:w="40" w:type="dxa"/>
              <w:right w:w="40" w:type="dxa"/>
            </w:tcMar>
            <w:vAlign w:val="center"/>
          </w:tcPr>
          <w:p w:rsidR="00443EA8" w:rsidRPr="00951BAD" w:rsidRDefault="00443EA8" w:rsidP="00993643">
            <w:pPr>
              <w:pStyle w:val="Textvtabulce"/>
              <w:jc w:val="center"/>
            </w:pPr>
            <w:r w:rsidRPr="00951BAD">
              <w:t>0</w:t>
            </w:r>
          </w:p>
        </w:tc>
      </w:tr>
      <w:tr w:rsidR="00993643" w:rsidRPr="00993643" w:rsidTr="00951BAD">
        <w:trPr>
          <w:trHeight w:val="20"/>
        </w:trPr>
        <w:tc>
          <w:tcPr>
            <w:tcW w:w="3544" w:type="dxa"/>
            <w:tcBorders>
              <w:top w:val="single" w:sz="4" w:space="0" w:color="F2F2F2" w:themeColor="background1" w:themeShade="F2"/>
              <w:bottom w:val="single" w:sz="4" w:space="0" w:color="F2F2F2" w:themeColor="background1" w:themeShade="F2"/>
            </w:tcBorders>
            <w:shd w:val="clear" w:color="auto" w:fill="auto"/>
            <w:tcMar>
              <w:top w:w="100" w:type="dxa"/>
              <w:left w:w="80" w:type="dxa"/>
              <w:bottom w:w="100" w:type="dxa"/>
              <w:right w:w="80" w:type="dxa"/>
            </w:tcMar>
            <w:vAlign w:val="center"/>
          </w:tcPr>
          <w:p w:rsidR="00443EA8" w:rsidRPr="00993643" w:rsidRDefault="00993643" w:rsidP="00993643">
            <w:pPr>
              <w:pStyle w:val="Textvtabulce"/>
              <w:jc w:val="left"/>
              <w:rPr>
                <w:b/>
                <w:sz w:val="22"/>
              </w:rPr>
            </w:pPr>
            <w:r w:rsidRPr="00993643">
              <w:rPr>
                <w:b/>
                <w:sz w:val="22"/>
              </w:rPr>
              <w:t>GAMA2</w:t>
            </w:r>
          </w:p>
        </w:tc>
        <w:tc>
          <w:tcPr>
            <w:tcW w:w="2031" w:type="dxa"/>
            <w:tcBorders>
              <w:top w:val="single" w:sz="4" w:space="0" w:color="F2F2F2" w:themeColor="background1" w:themeShade="F2"/>
              <w:bottom w:val="single" w:sz="4" w:space="0" w:color="F2F2F2" w:themeColor="background1" w:themeShade="F2"/>
            </w:tcBorders>
            <w:shd w:val="clear" w:color="auto" w:fill="FCD7D8" w:themeFill="text2" w:themeFillTint="33"/>
            <w:tcMar>
              <w:top w:w="40" w:type="dxa"/>
              <w:left w:w="40" w:type="dxa"/>
              <w:bottom w:w="40" w:type="dxa"/>
              <w:right w:w="40" w:type="dxa"/>
            </w:tcMar>
            <w:vAlign w:val="center"/>
          </w:tcPr>
          <w:p w:rsidR="00443EA8" w:rsidRPr="00951BAD" w:rsidRDefault="00443EA8" w:rsidP="00993643">
            <w:pPr>
              <w:pStyle w:val="Textvtabulce"/>
              <w:jc w:val="center"/>
            </w:pPr>
            <w:r w:rsidRPr="00951BAD">
              <w:t>-123</w:t>
            </w:r>
          </w:p>
        </w:tc>
        <w:tc>
          <w:tcPr>
            <w:tcW w:w="2032" w:type="dxa"/>
            <w:tcBorders>
              <w:top w:val="single" w:sz="4" w:space="0" w:color="F2F2F2" w:themeColor="background1" w:themeShade="F2"/>
              <w:bottom w:val="single" w:sz="4" w:space="0" w:color="F2F2F2" w:themeColor="background1" w:themeShade="F2"/>
            </w:tcBorders>
            <w:shd w:val="clear" w:color="auto" w:fill="FCD7D8" w:themeFill="text2" w:themeFillTint="33"/>
            <w:tcMar>
              <w:top w:w="40" w:type="dxa"/>
              <w:left w:w="40" w:type="dxa"/>
              <w:bottom w:w="40" w:type="dxa"/>
              <w:right w:w="40" w:type="dxa"/>
            </w:tcMar>
            <w:vAlign w:val="center"/>
          </w:tcPr>
          <w:p w:rsidR="00443EA8" w:rsidRPr="00951BAD" w:rsidRDefault="00443EA8" w:rsidP="00993643">
            <w:pPr>
              <w:pStyle w:val="Textvtabulce"/>
              <w:jc w:val="center"/>
            </w:pPr>
            <w:r w:rsidRPr="00951BAD">
              <w:t>-38</w:t>
            </w:r>
          </w:p>
        </w:tc>
        <w:tc>
          <w:tcPr>
            <w:tcW w:w="2032" w:type="dxa"/>
            <w:tcBorders>
              <w:top w:val="single" w:sz="4" w:space="0" w:color="F2F2F2" w:themeColor="background1" w:themeShade="F2"/>
              <w:bottom w:val="single" w:sz="4" w:space="0" w:color="F2F2F2" w:themeColor="background1" w:themeShade="F2"/>
            </w:tcBorders>
            <w:shd w:val="clear" w:color="auto" w:fill="FCD7D8" w:themeFill="text2" w:themeFillTint="33"/>
            <w:tcMar>
              <w:top w:w="40" w:type="dxa"/>
              <w:left w:w="40" w:type="dxa"/>
              <w:bottom w:w="40" w:type="dxa"/>
              <w:right w:w="40" w:type="dxa"/>
            </w:tcMar>
            <w:vAlign w:val="center"/>
          </w:tcPr>
          <w:p w:rsidR="00443EA8" w:rsidRPr="00951BAD" w:rsidRDefault="00443EA8" w:rsidP="00993643">
            <w:pPr>
              <w:pStyle w:val="Textvtabulce"/>
              <w:jc w:val="center"/>
            </w:pPr>
            <w:r w:rsidRPr="00951BAD">
              <w:t>-13</w:t>
            </w:r>
          </w:p>
        </w:tc>
      </w:tr>
      <w:tr w:rsidR="00951BAD" w:rsidRPr="00993643" w:rsidTr="00951BAD">
        <w:trPr>
          <w:trHeight w:val="20"/>
        </w:trPr>
        <w:tc>
          <w:tcPr>
            <w:tcW w:w="3544" w:type="dxa"/>
            <w:tcBorders>
              <w:top w:val="single" w:sz="4" w:space="0" w:color="F2F2F2" w:themeColor="background1" w:themeShade="F2"/>
              <w:bottom w:val="single" w:sz="4" w:space="0" w:color="F2F2F2" w:themeColor="background1" w:themeShade="F2"/>
            </w:tcBorders>
            <w:shd w:val="clear" w:color="auto" w:fill="auto"/>
            <w:tcMar>
              <w:top w:w="100" w:type="dxa"/>
              <w:left w:w="80" w:type="dxa"/>
              <w:bottom w:w="100" w:type="dxa"/>
              <w:right w:w="80" w:type="dxa"/>
            </w:tcMar>
            <w:vAlign w:val="center"/>
          </w:tcPr>
          <w:p w:rsidR="00443EA8" w:rsidRPr="00993643" w:rsidRDefault="00993643" w:rsidP="00993643">
            <w:pPr>
              <w:pStyle w:val="Textvtabulce"/>
              <w:jc w:val="left"/>
              <w:rPr>
                <w:b/>
                <w:sz w:val="22"/>
              </w:rPr>
            </w:pPr>
            <w:r w:rsidRPr="00993643">
              <w:rPr>
                <w:b/>
                <w:sz w:val="22"/>
              </w:rPr>
              <w:t>ÉTA</w:t>
            </w:r>
          </w:p>
        </w:tc>
        <w:tc>
          <w:tcPr>
            <w:tcW w:w="2031" w:type="dxa"/>
            <w:tcBorders>
              <w:top w:val="single" w:sz="4" w:space="0" w:color="F2F2F2" w:themeColor="background1" w:themeShade="F2"/>
              <w:bottom w:val="single" w:sz="4" w:space="0" w:color="F2F2F2" w:themeColor="background1" w:themeShade="F2"/>
            </w:tcBorders>
            <w:tcMar>
              <w:top w:w="40" w:type="dxa"/>
              <w:left w:w="40" w:type="dxa"/>
              <w:bottom w:w="40" w:type="dxa"/>
              <w:right w:w="40" w:type="dxa"/>
            </w:tcMar>
            <w:vAlign w:val="center"/>
          </w:tcPr>
          <w:p w:rsidR="00443EA8" w:rsidRPr="00951BAD" w:rsidRDefault="00443EA8" w:rsidP="00993643">
            <w:pPr>
              <w:pStyle w:val="Textvtabulce"/>
              <w:jc w:val="center"/>
            </w:pPr>
            <w:r w:rsidRPr="00951BAD">
              <w:t>0</w:t>
            </w:r>
          </w:p>
        </w:tc>
        <w:tc>
          <w:tcPr>
            <w:tcW w:w="2032" w:type="dxa"/>
            <w:tcBorders>
              <w:top w:val="single" w:sz="4" w:space="0" w:color="F2F2F2" w:themeColor="background1" w:themeShade="F2"/>
              <w:bottom w:val="single" w:sz="4" w:space="0" w:color="F2F2F2" w:themeColor="background1" w:themeShade="F2"/>
            </w:tcBorders>
            <w:shd w:val="clear" w:color="auto" w:fill="FCD7D8" w:themeFill="text2" w:themeFillTint="33"/>
            <w:tcMar>
              <w:top w:w="40" w:type="dxa"/>
              <w:left w:w="40" w:type="dxa"/>
              <w:bottom w:w="40" w:type="dxa"/>
              <w:right w:w="40" w:type="dxa"/>
            </w:tcMar>
            <w:vAlign w:val="center"/>
          </w:tcPr>
          <w:p w:rsidR="00443EA8" w:rsidRPr="00951BAD" w:rsidRDefault="00443EA8" w:rsidP="00993643">
            <w:pPr>
              <w:pStyle w:val="Textvtabulce"/>
              <w:jc w:val="center"/>
            </w:pPr>
            <w:r w:rsidRPr="00951BAD">
              <w:t>-48</w:t>
            </w:r>
          </w:p>
        </w:tc>
        <w:tc>
          <w:tcPr>
            <w:tcW w:w="2032" w:type="dxa"/>
            <w:tcBorders>
              <w:top w:val="single" w:sz="4" w:space="0" w:color="F2F2F2" w:themeColor="background1" w:themeShade="F2"/>
              <w:bottom w:val="single" w:sz="4" w:space="0" w:color="F2F2F2" w:themeColor="background1" w:themeShade="F2"/>
            </w:tcBorders>
            <w:shd w:val="clear" w:color="auto" w:fill="FCD7D8" w:themeFill="text2" w:themeFillTint="33"/>
            <w:tcMar>
              <w:top w:w="40" w:type="dxa"/>
              <w:left w:w="40" w:type="dxa"/>
              <w:bottom w:w="40" w:type="dxa"/>
              <w:right w:w="40" w:type="dxa"/>
            </w:tcMar>
            <w:vAlign w:val="center"/>
          </w:tcPr>
          <w:p w:rsidR="00443EA8" w:rsidRPr="00951BAD" w:rsidRDefault="00443EA8" w:rsidP="00993643">
            <w:pPr>
              <w:pStyle w:val="Textvtabulce"/>
              <w:jc w:val="center"/>
            </w:pPr>
            <w:r w:rsidRPr="00951BAD">
              <w:t>-78</w:t>
            </w:r>
          </w:p>
        </w:tc>
      </w:tr>
      <w:tr w:rsidR="00993643" w:rsidRPr="00993643" w:rsidTr="00951BAD">
        <w:trPr>
          <w:trHeight w:val="20"/>
        </w:trPr>
        <w:tc>
          <w:tcPr>
            <w:tcW w:w="3544" w:type="dxa"/>
            <w:tcBorders>
              <w:top w:val="single" w:sz="4" w:space="0" w:color="F2F2F2" w:themeColor="background1" w:themeShade="F2"/>
              <w:bottom w:val="single" w:sz="4" w:space="0" w:color="F2F2F2" w:themeColor="background1" w:themeShade="F2"/>
            </w:tcBorders>
            <w:shd w:val="clear" w:color="auto" w:fill="auto"/>
            <w:tcMar>
              <w:top w:w="100" w:type="dxa"/>
              <w:left w:w="80" w:type="dxa"/>
              <w:bottom w:w="100" w:type="dxa"/>
              <w:right w:w="80" w:type="dxa"/>
            </w:tcMar>
            <w:vAlign w:val="center"/>
          </w:tcPr>
          <w:p w:rsidR="00443EA8" w:rsidRPr="00993643" w:rsidRDefault="00993643" w:rsidP="00993643">
            <w:pPr>
              <w:pStyle w:val="Textvtabulce"/>
              <w:jc w:val="left"/>
              <w:rPr>
                <w:b/>
                <w:sz w:val="22"/>
              </w:rPr>
            </w:pPr>
            <w:r w:rsidRPr="00993643">
              <w:rPr>
                <w:b/>
                <w:sz w:val="22"/>
              </w:rPr>
              <w:t>THÉTA</w:t>
            </w:r>
          </w:p>
        </w:tc>
        <w:tc>
          <w:tcPr>
            <w:tcW w:w="2031" w:type="dxa"/>
            <w:tcBorders>
              <w:top w:val="single" w:sz="4" w:space="0" w:color="F2F2F2" w:themeColor="background1" w:themeShade="F2"/>
              <w:bottom w:val="single" w:sz="4" w:space="0" w:color="F2F2F2" w:themeColor="background1" w:themeShade="F2"/>
            </w:tcBorders>
            <w:shd w:val="clear" w:color="auto" w:fill="auto"/>
            <w:tcMar>
              <w:top w:w="40" w:type="dxa"/>
              <w:left w:w="40" w:type="dxa"/>
              <w:bottom w:w="40" w:type="dxa"/>
              <w:right w:w="40" w:type="dxa"/>
            </w:tcMar>
            <w:vAlign w:val="center"/>
          </w:tcPr>
          <w:p w:rsidR="00443EA8" w:rsidRPr="00951BAD" w:rsidRDefault="00443EA8" w:rsidP="00993643">
            <w:pPr>
              <w:pStyle w:val="Textvtabulce"/>
              <w:jc w:val="center"/>
            </w:pPr>
            <w:r w:rsidRPr="00951BAD">
              <w:t>0</w:t>
            </w:r>
          </w:p>
        </w:tc>
        <w:tc>
          <w:tcPr>
            <w:tcW w:w="2032" w:type="dxa"/>
            <w:tcBorders>
              <w:top w:val="single" w:sz="4" w:space="0" w:color="F2F2F2" w:themeColor="background1" w:themeShade="F2"/>
              <w:bottom w:val="single" w:sz="4" w:space="0" w:color="F2F2F2" w:themeColor="background1" w:themeShade="F2"/>
            </w:tcBorders>
            <w:shd w:val="clear" w:color="auto" w:fill="auto"/>
            <w:tcMar>
              <w:top w:w="40" w:type="dxa"/>
              <w:left w:w="40" w:type="dxa"/>
              <w:bottom w:w="40" w:type="dxa"/>
              <w:right w:w="40" w:type="dxa"/>
            </w:tcMar>
            <w:vAlign w:val="center"/>
          </w:tcPr>
          <w:p w:rsidR="00443EA8" w:rsidRPr="00951BAD" w:rsidRDefault="00443EA8" w:rsidP="00993643">
            <w:pPr>
              <w:pStyle w:val="Textvtabulce"/>
              <w:jc w:val="center"/>
            </w:pPr>
            <w:r w:rsidRPr="00951BAD">
              <w:t>0</w:t>
            </w:r>
          </w:p>
        </w:tc>
        <w:tc>
          <w:tcPr>
            <w:tcW w:w="2032" w:type="dxa"/>
            <w:tcBorders>
              <w:top w:val="single" w:sz="4" w:space="0" w:color="F2F2F2" w:themeColor="background1" w:themeShade="F2"/>
              <w:bottom w:val="single" w:sz="4" w:space="0" w:color="F2F2F2" w:themeColor="background1" w:themeShade="F2"/>
            </w:tcBorders>
            <w:shd w:val="clear" w:color="auto" w:fill="auto"/>
            <w:tcMar>
              <w:top w:w="40" w:type="dxa"/>
              <w:left w:w="40" w:type="dxa"/>
              <w:bottom w:w="40" w:type="dxa"/>
              <w:right w:w="40" w:type="dxa"/>
            </w:tcMar>
            <w:vAlign w:val="center"/>
          </w:tcPr>
          <w:p w:rsidR="00443EA8" w:rsidRPr="00951BAD" w:rsidRDefault="00443EA8" w:rsidP="00993643">
            <w:pPr>
              <w:pStyle w:val="Textvtabulce"/>
              <w:jc w:val="center"/>
            </w:pPr>
            <w:r w:rsidRPr="00951BAD">
              <w:t>0</w:t>
            </w:r>
          </w:p>
        </w:tc>
      </w:tr>
      <w:tr w:rsidR="00951BAD" w:rsidRPr="00993643" w:rsidTr="00951BAD">
        <w:trPr>
          <w:trHeight w:val="20"/>
        </w:trPr>
        <w:tc>
          <w:tcPr>
            <w:tcW w:w="3544" w:type="dxa"/>
            <w:tcBorders>
              <w:top w:val="single" w:sz="4" w:space="0" w:color="F2F2F2" w:themeColor="background1" w:themeShade="F2"/>
              <w:bottom w:val="single" w:sz="4" w:space="0" w:color="F2F2F2" w:themeColor="background1" w:themeShade="F2"/>
            </w:tcBorders>
            <w:shd w:val="clear" w:color="auto" w:fill="auto"/>
            <w:tcMar>
              <w:top w:w="100" w:type="dxa"/>
              <w:left w:w="80" w:type="dxa"/>
              <w:bottom w:w="100" w:type="dxa"/>
              <w:right w:w="80" w:type="dxa"/>
            </w:tcMar>
            <w:vAlign w:val="center"/>
          </w:tcPr>
          <w:p w:rsidR="00443EA8" w:rsidRPr="00993643" w:rsidRDefault="00993643" w:rsidP="00993643">
            <w:pPr>
              <w:pStyle w:val="Textvtabulce"/>
              <w:jc w:val="left"/>
              <w:rPr>
                <w:b/>
                <w:sz w:val="22"/>
              </w:rPr>
            </w:pPr>
            <w:r w:rsidRPr="00993643">
              <w:rPr>
                <w:b/>
                <w:sz w:val="22"/>
              </w:rPr>
              <w:t>ZÉTA</w:t>
            </w:r>
          </w:p>
        </w:tc>
        <w:tc>
          <w:tcPr>
            <w:tcW w:w="2031" w:type="dxa"/>
            <w:tcBorders>
              <w:top w:val="single" w:sz="4" w:space="0" w:color="F2F2F2" w:themeColor="background1" w:themeShade="F2"/>
              <w:bottom w:val="single" w:sz="4" w:space="0" w:color="F2F2F2" w:themeColor="background1" w:themeShade="F2"/>
            </w:tcBorders>
            <w:shd w:val="clear" w:color="auto" w:fill="FCD7D8" w:themeFill="text2" w:themeFillTint="33"/>
            <w:tcMar>
              <w:top w:w="40" w:type="dxa"/>
              <w:left w:w="40" w:type="dxa"/>
              <w:bottom w:w="40" w:type="dxa"/>
              <w:right w:w="40" w:type="dxa"/>
            </w:tcMar>
            <w:vAlign w:val="center"/>
          </w:tcPr>
          <w:p w:rsidR="00443EA8" w:rsidRPr="00951BAD" w:rsidRDefault="00443EA8" w:rsidP="00993643">
            <w:pPr>
              <w:pStyle w:val="Textvtabulce"/>
              <w:jc w:val="center"/>
            </w:pPr>
            <w:r w:rsidRPr="00951BAD">
              <w:t>-44</w:t>
            </w:r>
          </w:p>
        </w:tc>
        <w:tc>
          <w:tcPr>
            <w:tcW w:w="2032" w:type="dxa"/>
            <w:tcBorders>
              <w:top w:val="single" w:sz="4" w:space="0" w:color="F2F2F2" w:themeColor="background1" w:themeShade="F2"/>
              <w:bottom w:val="single" w:sz="4" w:space="0" w:color="F2F2F2" w:themeColor="background1" w:themeShade="F2"/>
            </w:tcBorders>
            <w:shd w:val="clear" w:color="auto" w:fill="FCD7D8" w:themeFill="text2" w:themeFillTint="33"/>
            <w:tcMar>
              <w:top w:w="40" w:type="dxa"/>
              <w:left w:w="40" w:type="dxa"/>
              <w:bottom w:w="40" w:type="dxa"/>
              <w:right w:w="40" w:type="dxa"/>
            </w:tcMar>
            <w:vAlign w:val="center"/>
          </w:tcPr>
          <w:p w:rsidR="00443EA8" w:rsidRPr="00951BAD" w:rsidRDefault="00443EA8" w:rsidP="00993643">
            <w:pPr>
              <w:pStyle w:val="Textvtabulce"/>
              <w:jc w:val="center"/>
            </w:pPr>
            <w:r w:rsidRPr="00951BAD">
              <w:t>-107</w:t>
            </w:r>
          </w:p>
        </w:tc>
        <w:tc>
          <w:tcPr>
            <w:tcW w:w="2032" w:type="dxa"/>
            <w:tcBorders>
              <w:top w:val="single" w:sz="4" w:space="0" w:color="F2F2F2" w:themeColor="background1" w:themeShade="F2"/>
              <w:bottom w:val="single" w:sz="4" w:space="0" w:color="F2F2F2" w:themeColor="background1" w:themeShade="F2"/>
            </w:tcBorders>
            <w:shd w:val="clear" w:color="auto" w:fill="FCD7D8" w:themeFill="text2" w:themeFillTint="33"/>
            <w:tcMar>
              <w:top w:w="40" w:type="dxa"/>
              <w:left w:w="40" w:type="dxa"/>
              <w:bottom w:w="40" w:type="dxa"/>
              <w:right w:w="40" w:type="dxa"/>
            </w:tcMar>
            <w:vAlign w:val="center"/>
          </w:tcPr>
          <w:p w:rsidR="00443EA8" w:rsidRPr="00951BAD" w:rsidRDefault="00443EA8" w:rsidP="00993643">
            <w:pPr>
              <w:pStyle w:val="Textvtabulce"/>
              <w:jc w:val="center"/>
            </w:pPr>
            <w:r w:rsidRPr="00951BAD">
              <w:t>-257</w:t>
            </w:r>
          </w:p>
        </w:tc>
      </w:tr>
      <w:tr w:rsidR="00993643" w:rsidRPr="00993643" w:rsidTr="00951BAD">
        <w:trPr>
          <w:trHeight w:val="20"/>
        </w:trPr>
        <w:tc>
          <w:tcPr>
            <w:tcW w:w="3544" w:type="dxa"/>
            <w:tcBorders>
              <w:top w:val="single" w:sz="4" w:space="0" w:color="F2F2F2" w:themeColor="background1" w:themeShade="F2"/>
              <w:bottom w:val="single" w:sz="4" w:space="0" w:color="F2F2F2" w:themeColor="background1" w:themeShade="F2"/>
            </w:tcBorders>
            <w:shd w:val="clear" w:color="auto" w:fill="auto"/>
            <w:tcMar>
              <w:top w:w="100" w:type="dxa"/>
              <w:left w:w="80" w:type="dxa"/>
              <w:bottom w:w="100" w:type="dxa"/>
              <w:right w:w="80" w:type="dxa"/>
            </w:tcMar>
            <w:vAlign w:val="center"/>
          </w:tcPr>
          <w:p w:rsidR="00443EA8" w:rsidRPr="00993643" w:rsidRDefault="00993643" w:rsidP="00993643">
            <w:pPr>
              <w:pStyle w:val="Textvtabulce"/>
              <w:jc w:val="left"/>
              <w:rPr>
                <w:b/>
                <w:sz w:val="22"/>
              </w:rPr>
            </w:pPr>
            <w:r w:rsidRPr="00993643">
              <w:rPr>
                <w:b/>
                <w:sz w:val="22"/>
              </w:rPr>
              <w:t>DELTA</w:t>
            </w:r>
          </w:p>
        </w:tc>
        <w:tc>
          <w:tcPr>
            <w:tcW w:w="2031" w:type="dxa"/>
            <w:tcBorders>
              <w:top w:val="single" w:sz="4" w:space="0" w:color="F2F2F2" w:themeColor="background1" w:themeShade="F2"/>
              <w:bottom w:val="single" w:sz="4" w:space="0" w:color="F2F2F2" w:themeColor="background1" w:themeShade="F2"/>
            </w:tcBorders>
            <w:shd w:val="clear" w:color="auto" w:fill="auto"/>
            <w:tcMar>
              <w:top w:w="40" w:type="dxa"/>
              <w:left w:w="40" w:type="dxa"/>
              <w:bottom w:w="40" w:type="dxa"/>
              <w:right w:w="40" w:type="dxa"/>
            </w:tcMar>
            <w:vAlign w:val="center"/>
          </w:tcPr>
          <w:p w:rsidR="00443EA8" w:rsidRPr="00951BAD" w:rsidRDefault="00443EA8" w:rsidP="00993643">
            <w:pPr>
              <w:pStyle w:val="Textvtabulce"/>
              <w:jc w:val="center"/>
            </w:pPr>
            <w:r w:rsidRPr="00951BAD">
              <w:t>0</w:t>
            </w:r>
          </w:p>
        </w:tc>
        <w:tc>
          <w:tcPr>
            <w:tcW w:w="2032" w:type="dxa"/>
            <w:tcBorders>
              <w:top w:val="single" w:sz="4" w:space="0" w:color="F2F2F2" w:themeColor="background1" w:themeShade="F2"/>
              <w:bottom w:val="single" w:sz="4" w:space="0" w:color="F2F2F2" w:themeColor="background1" w:themeShade="F2"/>
            </w:tcBorders>
            <w:shd w:val="clear" w:color="auto" w:fill="FCD7D8" w:themeFill="text2" w:themeFillTint="33"/>
            <w:tcMar>
              <w:top w:w="40" w:type="dxa"/>
              <w:left w:w="40" w:type="dxa"/>
              <w:bottom w:w="40" w:type="dxa"/>
              <w:right w:w="40" w:type="dxa"/>
            </w:tcMar>
            <w:vAlign w:val="center"/>
          </w:tcPr>
          <w:p w:rsidR="00443EA8" w:rsidRPr="00951BAD" w:rsidRDefault="00443EA8" w:rsidP="00993643">
            <w:pPr>
              <w:pStyle w:val="Textvtabulce"/>
              <w:jc w:val="center"/>
            </w:pPr>
            <w:r w:rsidRPr="00951BAD">
              <w:t>-52</w:t>
            </w:r>
          </w:p>
        </w:tc>
        <w:tc>
          <w:tcPr>
            <w:tcW w:w="2032" w:type="dxa"/>
            <w:tcBorders>
              <w:top w:val="single" w:sz="4" w:space="0" w:color="F2F2F2" w:themeColor="background1" w:themeShade="F2"/>
              <w:bottom w:val="single" w:sz="4" w:space="0" w:color="F2F2F2" w:themeColor="background1" w:themeShade="F2"/>
            </w:tcBorders>
            <w:shd w:val="clear" w:color="auto" w:fill="FCD7D8" w:themeFill="text2" w:themeFillTint="33"/>
            <w:tcMar>
              <w:top w:w="40" w:type="dxa"/>
              <w:left w:w="40" w:type="dxa"/>
              <w:bottom w:w="40" w:type="dxa"/>
              <w:right w:w="40" w:type="dxa"/>
            </w:tcMar>
            <w:vAlign w:val="center"/>
          </w:tcPr>
          <w:p w:rsidR="00443EA8" w:rsidRPr="00951BAD" w:rsidRDefault="00443EA8" w:rsidP="00993643">
            <w:pPr>
              <w:pStyle w:val="Textvtabulce"/>
              <w:jc w:val="center"/>
            </w:pPr>
            <w:r w:rsidRPr="00951BAD">
              <w:t>-71</w:t>
            </w:r>
          </w:p>
        </w:tc>
      </w:tr>
      <w:tr w:rsidR="00443EA8" w:rsidRPr="00993643" w:rsidTr="00951BAD">
        <w:trPr>
          <w:trHeight w:val="20"/>
        </w:trPr>
        <w:tc>
          <w:tcPr>
            <w:tcW w:w="3544" w:type="dxa"/>
            <w:tcBorders>
              <w:top w:val="single" w:sz="4" w:space="0" w:color="F2F2F2" w:themeColor="background1" w:themeShade="F2"/>
              <w:bottom w:val="single" w:sz="4" w:space="0" w:color="F2F2F2" w:themeColor="background1" w:themeShade="F2"/>
            </w:tcBorders>
            <w:shd w:val="clear" w:color="auto" w:fill="auto"/>
            <w:tcMar>
              <w:top w:w="100" w:type="dxa"/>
              <w:left w:w="80" w:type="dxa"/>
              <w:bottom w:w="100" w:type="dxa"/>
              <w:right w:w="80" w:type="dxa"/>
            </w:tcMar>
            <w:vAlign w:val="center"/>
          </w:tcPr>
          <w:p w:rsidR="00443EA8" w:rsidRPr="00993643" w:rsidRDefault="00993643" w:rsidP="00993643">
            <w:pPr>
              <w:pStyle w:val="Textvtabulce"/>
              <w:jc w:val="left"/>
              <w:rPr>
                <w:b/>
                <w:sz w:val="22"/>
              </w:rPr>
            </w:pPr>
            <w:r w:rsidRPr="00993643">
              <w:rPr>
                <w:b/>
                <w:sz w:val="22"/>
              </w:rPr>
              <w:t>BETA2</w:t>
            </w:r>
          </w:p>
        </w:tc>
        <w:tc>
          <w:tcPr>
            <w:tcW w:w="2031" w:type="dxa"/>
            <w:tcBorders>
              <w:top w:val="single" w:sz="4" w:space="0" w:color="F2F2F2" w:themeColor="background1" w:themeShade="F2"/>
              <w:bottom w:val="single" w:sz="4" w:space="0" w:color="F2F2F2" w:themeColor="background1" w:themeShade="F2"/>
            </w:tcBorders>
            <w:tcMar>
              <w:top w:w="40" w:type="dxa"/>
              <w:left w:w="40" w:type="dxa"/>
              <w:bottom w:w="40" w:type="dxa"/>
              <w:right w:w="40" w:type="dxa"/>
            </w:tcMar>
            <w:vAlign w:val="center"/>
          </w:tcPr>
          <w:p w:rsidR="00443EA8" w:rsidRPr="00951BAD" w:rsidRDefault="00443EA8" w:rsidP="00993643">
            <w:pPr>
              <w:pStyle w:val="Textvtabulce"/>
              <w:jc w:val="center"/>
            </w:pPr>
            <w:r w:rsidRPr="00951BAD">
              <w:t>0</w:t>
            </w:r>
          </w:p>
        </w:tc>
        <w:tc>
          <w:tcPr>
            <w:tcW w:w="2032" w:type="dxa"/>
            <w:tcBorders>
              <w:top w:val="single" w:sz="4" w:space="0" w:color="F2F2F2" w:themeColor="background1" w:themeShade="F2"/>
              <w:bottom w:val="single" w:sz="4" w:space="0" w:color="F2F2F2" w:themeColor="background1" w:themeShade="F2"/>
            </w:tcBorders>
            <w:tcMar>
              <w:top w:w="40" w:type="dxa"/>
              <w:left w:w="40" w:type="dxa"/>
              <w:bottom w:w="40" w:type="dxa"/>
              <w:right w:w="40" w:type="dxa"/>
            </w:tcMar>
            <w:vAlign w:val="center"/>
          </w:tcPr>
          <w:p w:rsidR="00443EA8" w:rsidRPr="00951BAD" w:rsidRDefault="00443EA8" w:rsidP="00993643">
            <w:pPr>
              <w:pStyle w:val="Textvtabulce"/>
              <w:jc w:val="center"/>
            </w:pPr>
            <w:r w:rsidRPr="00951BAD">
              <w:t>0</w:t>
            </w:r>
          </w:p>
        </w:tc>
        <w:tc>
          <w:tcPr>
            <w:tcW w:w="2032" w:type="dxa"/>
            <w:tcBorders>
              <w:top w:val="single" w:sz="4" w:space="0" w:color="F2F2F2" w:themeColor="background1" w:themeShade="F2"/>
              <w:bottom w:val="single" w:sz="4" w:space="0" w:color="F2F2F2" w:themeColor="background1" w:themeShade="F2"/>
            </w:tcBorders>
            <w:tcMar>
              <w:top w:w="40" w:type="dxa"/>
              <w:left w:w="40" w:type="dxa"/>
              <w:bottom w:w="40" w:type="dxa"/>
              <w:right w:w="40" w:type="dxa"/>
            </w:tcMar>
            <w:vAlign w:val="center"/>
          </w:tcPr>
          <w:p w:rsidR="00443EA8" w:rsidRPr="00951BAD" w:rsidRDefault="00443EA8" w:rsidP="00993643">
            <w:pPr>
              <w:pStyle w:val="Textvtabulce"/>
              <w:jc w:val="center"/>
            </w:pPr>
            <w:r w:rsidRPr="00951BAD">
              <w:t>0</w:t>
            </w:r>
          </w:p>
        </w:tc>
      </w:tr>
      <w:tr w:rsidR="00993643" w:rsidRPr="00993643" w:rsidTr="00951BAD">
        <w:trPr>
          <w:trHeight w:val="20"/>
        </w:trPr>
        <w:tc>
          <w:tcPr>
            <w:tcW w:w="3544" w:type="dxa"/>
            <w:tcBorders>
              <w:top w:val="single" w:sz="4" w:space="0" w:color="F2F2F2" w:themeColor="background1" w:themeShade="F2"/>
              <w:bottom w:val="single" w:sz="4" w:space="0" w:color="F2F2F2" w:themeColor="background1" w:themeShade="F2"/>
            </w:tcBorders>
            <w:shd w:val="clear" w:color="auto" w:fill="auto"/>
            <w:tcMar>
              <w:top w:w="100" w:type="dxa"/>
              <w:left w:w="80" w:type="dxa"/>
              <w:bottom w:w="100" w:type="dxa"/>
              <w:right w:w="80" w:type="dxa"/>
            </w:tcMar>
            <w:vAlign w:val="center"/>
          </w:tcPr>
          <w:p w:rsidR="00443EA8" w:rsidRPr="00993643" w:rsidRDefault="00993643" w:rsidP="00993643">
            <w:pPr>
              <w:pStyle w:val="Textvtabulce"/>
              <w:jc w:val="left"/>
              <w:rPr>
                <w:b/>
                <w:sz w:val="22"/>
              </w:rPr>
            </w:pPr>
            <w:r w:rsidRPr="00993643">
              <w:rPr>
                <w:b/>
                <w:sz w:val="22"/>
              </w:rPr>
              <w:t>EPSILON</w:t>
            </w:r>
          </w:p>
        </w:tc>
        <w:tc>
          <w:tcPr>
            <w:tcW w:w="2031" w:type="dxa"/>
            <w:tcBorders>
              <w:top w:val="single" w:sz="4" w:space="0" w:color="F2F2F2" w:themeColor="background1" w:themeShade="F2"/>
              <w:bottom w:val="single" w:sz="4" w:space="0" w:color="F2F2F2" w:themeColor="background1" w:themeShade="F2"/>
            </w:tcBorders>
            <w:shd w:val="clear" w:color="auto" w:fill="FCD7D8" w:themeFill="text2" w:themeFillTint="33"/>
            <w:tcMar>
              <w:top w:w="40" w:type="dxa"/>
              <w:left w:w="40" w:type="dxa"/>
              <w:bottom w:w="40" w:type="dxa"/>
              <w:right w:w="40" w:type="dxa"/>
            </w:tcMar>
            <w:vAlign w:val="center"/>
          </w:tcPr>
          <w:p w:rsidR="00443EA8" w:rsidRPr="00951BAD" w:rsidRDefault="00443EA8" w:rsidP="00993643">
            <w:pPr>
              <w:pStyle w:val="Textvtabulce"/>
              <w:jc w:val="center"/>
            </w:pPr>
            <w:r w:rsidRPr="00951BAD">
              <w:t>-42</w:t>
            </w:r>
          </w:p>
        </w:tc>
        <w:tc>
          <w:tcPr>
            <w:tcW w:w="2032" w:type="dxa"/>
            <w:tcBorders>
              <w:top w:val="single" w:sz="4" w:space="0" w:color="F2F2F2" w:themeColor="background1" w:themeShade="F2"/>
              <w:bottom w:val="single" w:sz="4" w:space="0" w:color="F2F2F2" w:themeColor="background1" w:themeShade="F2"/>
            </w:tcBorders>
            <w:shd w:val="clear" w:color="auto" w:fill="FCD7D8" w:themeFill="text2" w:themeFillTint="33"/>
            <w:tcMar>
              <w:top w:w="40" w:type="dxa"/>
              <w:left w:w="40" w:type="dxa"/>
              <w:bottom w:w="40" w:type="dxa"/>
              <w:right w:w="40" w:type="dxa"/>
            </w:tcMar>
            <w:vAlign w:val="center"/>
          </w:tcPr>
          <w:p w:rsidR="00443EA8" w:rsidRPr="00951BAD" w:rsidRDefault="00443EA8" w:rsidP="00993643">
            <w:pPr>
              <w:pStyle w:val="Textvtabulce"/>
              <w:jc w:val="center"/>
            </w:pPr>
            <w:r w:rsidRPr="00951BAD">
              <w:t>-105</w:t>
            </w:r>
          </w:p>
        </w:tc>
        <w:tc>
          <w:tcPr>
            <w:tcW w:w="2032" w:type="dxa"/>
            <w:tcBorders>
              <w:top w:val="single" w:sz="4" w:space="0" w:color="F2F2F2" w:themeColor="background1" w:themeShade="F2"/>
              <w:bottom w:val="single" w:sz="4" w:space="0" w:color="F2F2F2" w:themeColor="background1" w:themeShade="F2"/>
            </w:tcBorders>
            <w:shd w:val="clear" w:color="auto" w:fill="auto"/>
            <w:tcMar>
              <w:top w:w="40" w:type="dxa"/>
              <w:left w:w="40" w:type="dxa"/>
              <w:bottom w:w="40" w:type="dxa"/>
              <w:right w:w="40" w:type="dxa"/>
            </w:tcMar>
            <w:vAlign w:val="center"/>
          </w:tcPr>
          <w:p w:rsidR="00443EA8" w:rsidRPr="00951BAD" w:rsidRDefault="00443EA8" w:rsidP="00993643">
            <w:pPr>
              <w:pStyle w:val="Textvtabulce"/>
              <w:jc w:val="center"/>
            </w:pPr>
            <w:r w:rsidRPr="00951BAD">
              <w:t>0</w:t>
            </w:r>
          </w:p>
        </w:tc>
      </w:tr>
      <w:tr w:rsidR="00951BAD" w:rsidRPr="00993643" w:rsidTr="00951BAD">
        <w:trPr>
          <w:trHeight w:val="20"/>
        </w:trPr>
        <w:tc>
          <w:tcPr>
            <w:tcW w:w="3544" w:type="dxa"/>
            <w:tcBorders>
              <w:top w:val="single" w:sz="4" w:space="0" w:color="F2F2F2" w:themeColor="background1" w:themeShade="F2"/>
              <w:bottom w:val="single" w:sz="4" w:space="0" w:color="F2F2F2" w:themeColor="background1" w:themeShade="F2"/>
            </w:tcBorders>
            <w:shd w:val="clear" w:color="auto" w:fill="auto"/>
            <w:tcMar>
              <w:top w:w="100" w:type="dxa"/>
              <w:left w:w="80" w:type="dxa"/>
              <w:bottom w:w="100" w:type="dxa"/>
              <w:right w:w="80" w:type="dxa"/>
            </w:tcMar>
            <w:vAlign w:val="center"/>
          </w:tcPr>
          <w:p w:rsidR="00443EA8" w:rsidRPr="00993643" w:rsidRDefault="00993643" w:rsidP="00993643">
            <w:pPr>
              <w:pStyle w:val="Textvtabulce"/>
              <w:jc w:val="left"/>
              <w:rPr>
                <w:b/>
                <w:sz w:val="22"/>
              </w:rPr>
            </w:pPr>
            <w:r w:rsidRPr="00993643">
              <w:rPr>
                <w:b/>
                <w:sz w:val="22"/>
              </w:rPr>
              <w:t>CK</w:t>
            </w:r>
          </w:p>
        </w:tc>
        <w:tc>
          <w:tcPr>
            <w:tcW w:w="2031" w:type="dxa"/>
            <w:tcBorders>
              <w:top w:val="single" w:sz="4" w:space="0" w:color="F2F2F2" w:themeColor="background1" w:themeShade="F2"/>
              <w:bottom w:val="single" w:sz="4" w:space="0" w:color="F2F2F2" w:themeColor="background1" w:themeShade="F2"/>
            </w:tcBorders>
            <w:shd w:val="clear" w:color="auto" w:fill="FCD7D8" w:themeFill="text2" w:themeFillTint="33"/>
            <w:tcMar>
              <w:top w:w="40" w:type="dxa"/>
              <w:left w:w="40" w:type="dxa"/>
              <w:bottom w:w="40" w:type="dxa"/>
              <w:right w:w="40" w:type="dxa"/>
            </w:tcMar>
            <w:vAlign w:val="center"/>
          </w:tcPr>
          <w:p w:rsidR="00443EA8" w:rsidRPr="00951BAD" w:rsidRDefault="00443EA8" w:rsidP="00993643">
            <w:pPr>
              <w:pStyle w:val="Textvtabulce"/>
              <w:jc w:val="center"/>
            </w:pPr>
            <w:r w:rsidRPr="00951BAD">
              <w:t>-20</w:t>
            </w:r>
          </w:p>
        </w:tc>
        <w:tc>
          <w:tcPr>
            <w:tcW w:w="2032" w:type="dxa"/>
            <w:tcBorders>
              <w:top w:val="single" w:sz="4" w:space="0" w:color="F2F2F2" w:themeColor="background1" w:themeShade="F2"/>
              <w:bottom w:val="single" w:sz="4" w:space="0" w:color="F2F2F2" w:themeColor="background1" w:themeShade="F2"/>
            </w:tcBorders>
            <w:tcMar>
              <w:top w:w="40" w:type="dxa"/>
              <w:left w:w="40" w:type="dxa"/>
              <w:bottom w:w="40" w:type="dxa"/>
              <w:right w:w="40" w:type="dxa"/>
            </w:tcMar>
            <w:vAlign w:val="center"/>
          </w:tcPr>
          <w:p w:rsidR="00443EA8" w:rsidRPr="00951BAD" w:rsidRDefault="00443EA8" w:rsidP="00993643">
            <w:pPr>
              <w:pStyle w:val="Textvtabulce"/>
              <w:jc w:val="center"/>
            </w:pPr>
            <w:r w:rsidRPr="00951BAD">
              <w:t>0</w:t>
            </w:r>
          </w:p>
        </w:tc>
        <w:tc>
          <w:tcPr>
            <w:tcW w:w="2032" w:type="dxa"/>
            <w:tcBorders>
              <w:top w:val="single" w:sz="4" w:space="0" w:color="F2F2F2" w:themeColor="background1" w:themeShade="F2"/>
              <w:bottom w:val="single" w:sz="4" w:space="0" w:color="F2F2F2" w:themeColor="background1" w:themeShade="F2"/>
            </w:tcBorders>
            <w:shd w:val="clear" w:color="auto" w:fill="auto"/>
            <w:tcMar>
              <w:top w:w="40" w:type="dxa"/>
              <w:left w:w="40" w:type="dxa"/>
              <w:bottom w:w="40" w:type="dxa"/>
              <w:right w:w="40" w:type="dxa"/>
            </w:tcMar>
            <w:vAlign w:val="center"/>
          </w:tcPr>
          <w:p w:rsidR="00443EA8" w:rsidRPr="00951BAD" w:rsidRDefault="00443EA8" w:rsidP="00993643">
            <w:pPr>
              <w:pStyle w:val="Textvtabulce"/>
              <w:jc w:val="center"/>
            </w:pPr>
            <w:r w:rsidRPr="00951BAD">
              <w:t>0</w:t>
            </w:r>
          </w:p>
        </w:tc>
      </w:tr>
      <w:tr w:rsidR="00993643" w:rsidRPr="00993643" w:rsidTr="00951BAD">
        <w:trPr>
          <w:trHeight w:val="20"/>
        </w:trPr>
        <w:tc>
          <w:tcPr>
            <w:tcW w:w="3544" w:type="dxa"/>
            <w:tcBorders>
              <w:top w:val="single" w:sz="4" w:space="0" w:color="F2F2F2" w:themeColor="background1" w:themeShade="F2"/>
            </w:tcBorders>
            <w:shd w:val="clear" w:color="auto" w:fill="auto"/>
            <w:tcMar>
              <w:top w:w="100" w:type="dxa"/>
              <w:left w:w="80" w:type="dxa"/>
              <w:bottom w:w="100" w:type="dxa"/>
              <w:right w:w="80" w:type="dxa"/>
            </w:tcMar>
            <w:vAlign w:val="center"/>
          </w:tcPr>
          <w:p w:rsidR="00443EA8" w:rsidRPr="00993643" w:rsidRDefault="00993643" w:rsidP="00993643">
            <w:pPr>
              <w:pStyle w:val="Textvtabulce"/>
              <w:jc w:val="left"/>
              <w:rPr>
                <w:b/>
                <w:sz w:val="22"/>
              </w:rPr>
            </w:pPr>
            <w:r w:rsidRPr="00993643">
              <w:rPr>
                <w:b/>
                <w:sz w:val="22"/>
              </w:rPr>
              <w:t>GAMA</w:t>
            </w:r>
          </w:p>
        </w:tc>
        <w:tc>
          <w:tcPr>
            <w:tcW w:w="2031" w:type="dxa"/>
            <w:tcBorders>
              <w:top w:val="single" w:sz="4" w:space="0" w:color="F2F2F2" w:themeColor="background1" w:themeShade="F2"/>
            </w:tcBorders>
            <w:shd w:val="clear" w:color="auto" w:fill="FCD7D8" w:themeFill="text2" w:themeFillTint="33"/>
            <w:tcMar>
              <w:top w:w="40" w:type="dxa"/>
              <w:left w:w="40" w:type="dxa"/>
              <w:bottom w:w="40" w:type="dxa"/>
              <w:right w:w="40" w:type="dxa"/>
            </w:tcMar>
            <w:vAlign w:val="center"/>
          </w:tcPr>
          <w:p w:rsidR="00443EA8" w:rsidRPr="00951BAD" w:rsidRDefault="00443EA8" w:rsidP="00993643">
            <w:pPr>
              <w:pStyle w:val="Textvtabulce"/>
              <w:jc w:val="center"/>
            </w:pPr>
            <w:r w:rsidRPr="00951BAD">
              <w:t>-17</w:t>
            </w:r>
          </w:p>
        </w:tc>
        <w:tc>
          <w:tcPr>
            <w:tcW w:w="2032" w:type="dxa"/>
            <w:tcBorders>
              <w:top w:val="single" w:sz="4" w:space="0" w:color="F2F2F2" w:themeColor="background1" w:themeShade="F2"/>
            </w:tcBorders>
            <w:shd w:val="clear" w:color="auto" w:fill="auto"/>
            <w:tcMar>
              <w:top w:w="40" w:type="dxa"/>
              <w:left w:w="40" w:type="dxa"/>
              <w:bottom w:w="40" w:type="dxa"/>
              <w:right w:w="40" w:type="dxa"/>
            </w:tcMar>
            <w:vAlign w:val="center"/>
          </w:tcPr>
          <w:p w:rsidR="00443EA8" w:rsidRPr="00951BAD" w:rsidRDefault="00443EA8" w:rsidP="00993643">
            <w:pPr>
              <w:pStyle w:val="Textvtabulce"/>
              <w:jc w:val="center"/>
            </w:pPr>
            <w:r w:rsidRPr="00951BAD">
              <w:t>0</w:t>
            </w:r>
          </w:p>
        </w:tc>
        <w:tc>
          <w:tcPr>
            <w:tcW w:w="2032" w:type="dxa"/>
            <w:tcBorders>
              <w:top w:val="single" w:sz="4" w:space="0" w:color="F2F2F2" w:themeColor="background1" w:themeShade="F2"/>
            </w:tcBorders>
            <w:shd w:val="clear" w:color="auto" w:fill="auto"/>
            <w:tcMar>
              <w:top w:w="40" w:type="dxa"/>
              <w:left w:w="40" w:type="dxa"/>
              <w:bottom w:w="40" w:type="dxa"/>
              <w:right w:w="40" w:type="dxa"/>
            </w:tcMar>
            <w:vAlign w:val="center"/>
          </w:tcPr>
          <w:p w:rsidR="00443EA8" w:rsidRPr="00951BAD" w:rsidRDefault="00443EA8" w:rsidP="00993643">
            <w:pPr>
              <w:pStyle w:val="Textvtabulce"/>
              <w:jc w:val="center"/>
            </w:pPr>
            <w:r w:rsidRPr="00951BAD">
              <w:t>0</w:t>
            </w:r>
          </w:p>
        </w:tc>
      </w:tr>
      <w:tr w:rsidR="00993643" w:rsidRPr="00993643" w:rsidTr="00993643">
        <w:trPr>
          <w:trHeight w:val="20"/>
        </w:trPr>
        <w:tc>
          <w:tcPr>
            <w:tcW w:w="3544" w:type="dxa"/>
            <w:shd w:val="clear" w:color="auto" w:fill="F03741"/>
            <w:tcMar>
              <w:top w:w="100" w:type="dxa"/>
              <w:left w:w="80" w:type="dxa"/>
              <w:bottom w:w="100" w:type="dxa"/>
              <w:right w:w="80" w:type="dxa"/>
            </w:tcMar>
            <w:vAlign w:val="center"/>
          </w:tcPr>
          <w:p w:rsidR="00443EA8" w:rsidRPr="00993643" w:rsidRDefault="00443EA8" w:rsidP="00993643">
            <w:pPr>
              <w:pStyle w:val="Textvtabulce"/>
              <w:jc w:val="center"/>
              <w:rPr>
                <w:b/>
                <w:color w:val="FFFFFF" w:themeColor="background1"/>
              </w:rPr>
            </w:pPr>
            <w:r w:rsidRPr="00993643">
              <w:rPr>
                <w:b/>
                <w:color w:val="FFFFFF" w:themeColor="background1"/>
              </w:rPr>
              <w:t>celkem</w:t>
            </w:r>
          </w:p>
        </w:tc>
        <w:tc>
          <w:tcPr>
            <w:tcW w:w="2031" w:type="dxa"/>
            <w:shd w:val="clear" w:color="auto" w:fill="F03741"/>
            <w:tcMar>
              <w:top w:w="40" w:type="dxa"/>
              <w:left w:w="40" w:type="dxa"/>
              <w:bottom w:w="40" w:type="dxa"/>
              <w:right w:w="40" w:type="dxa"/>
            </w:tcMar>
            <w:vAlign w:val="center"/>
          </w:tcPr>
          <w:p w:rsidR="00443EA8" w:rsidRPr="00993643" w:rsidRDefault="00443EA8" w:rsidP="00993643">
            <w:pPr>
              <w:pStyle w:val="Textvtabulce"/>
              <w:jc w:val="center"/>
              <w:rPr>
                <w:b/>
                <w:color w:val="FFFFFF" w:themeColor="background1"/>
              </w:rPr>
            </w:pPr>
            <w:r w:rsidRPr="00993643">
              <w:rPr>
                <w:b/>
                <w:color w:val="FFFFFF" w:themeColor="background1"/>
              </w:rPr>
              <w:t>-647</w:t>
            </w:r>
          </w:p>
        </w:tc>
        <w:tc>
          <w:tcPr>
            <w:tcW w:w="2032" w:type="dxa"/>
            <w:shd w:val="clear" w:color="auto" w:fill="F03741"/>
            <w:tcMar>
              <w:top w:w="40" w:type="dxa"/>
              <w:left w:w="40" w:type="dxa"/>
              <w:bottom w:w="40" w:type="dxa"/>
              <w:right w:w="40" w:type="dxa"/>
            </w:tcMar>
            <w:vAlign w:val="center"/>
          </w:tcPr>
          <w:p w:rsidR="00443EA8" w:rsidRPr="00993643" w:rsidRDefault="00443EA8" w:rsidP="00993643">
            <w:pPr>
              <w:pStyle w:val="Textvtabulce"/>
              <w:jc w:val="center"/>
              <w:rPr>
                <w:b/>
                <w:color w:val="FFFFFF" w:themeColor="background1"/>
              </w:rPr>
            </w:pPr>
            <w:r w:rsidRPr="00993643">
              <w:rPr>
                <w:b/>
                <w:color w:val="FFFFFF" w:themeColor="background1"/>
              </w:rPr>
              <w:t>-611</w:t>
            </w:r>
          </w:p>
        </w:tc>
        <w:tc>
          <w:tcPr>
            <w:tcW w:w="2032" w:type="dxa"/>
            <w:shd w:val="clear" w:color="auto" w:fill="F03741"/>
            <w:tcMar>
              <w:top w:w="40" w:type="dxa"/>
              <w:left w:w="40" w:type="dxa"/>
              <w:bottom w:w="40" w:type="dxa"/>
              <w:right w:w="40" w:type="dxa"/>
            </w:tcMar>
            <w:vAlign w:val="center"/>
          </w:tcPr>
          <w:p w:rsidR="00443EA8" w:rsidRPr="00993643" w:rsidRDefault="00443EA8" w:rsidP="00993643">
            <w:pPr>
              <w:pStyle w:val="Textvtabulce"/>
              <w:jc w:val="center"/>
              <w:rPr>
                <w:b/>
                <w:color w:val="FFFFFF" w:themeColor="background1"/>
              </w:rPr>
            </w:pPr>
            <w:r w:rsidRPr="00993643">
              <w:rPr>
                <w:b/>
                <w:color w:val="FFFFFF" w:themeColor="background1"/>
              </w:rPr>
              <w:t>-419</w:t>
            </w:r>
          </w:p>
        </w:tc>
      </w:tr>
    </w:tbl>
    <w:p w:rsidR="00443EA8" w:rsidRPr="00993643" w:rsidRDefault="00443EA8" w:rsidP="00443EA8">
      <w:pPr>
        <w:rPr>
          <w:sz w:val="20"/>
          <w:szCs w:val="18"/>
        </w:rPr>
      </w:pPr>
      <w:r w:rsidRPr="00993643">
        <w:rPr>
          <w:sz w:val="20"/>
          <w:szCs w:val="18"/>
        </w:rPr>
        <w:t xml:space="preserve">Pozn.: </w:t>
      </w:r>
    </w:p>
    <w:p w:rsidR="00443EA8" w:rsidRPr="00993643" w:rsidRDefault="00443EA8" w:rsidP="00443EA8">
      <w:pPr>
        <w:numPr>
          <w:ilvl w:val="0"/>
          <w:numId w:val="4"/>
        </w:numPr>
        <w:autoSpaceDE/>
        <w:autoSpaceDN/>
        <w:adjustRightInd/>
        <w:spacing w:before="0"/>
        <w:contextualSpacing/>
        <w:jc w:val="left"/>
        <w:textAlignment w:val="auto"/>
        <w:rPr>
          <w:sz w:val="20"/>
          <w:szCs w:val="18"/>
        </w:rPr>
      </w:pPr>
      <w:r w:rsidRPr="00993643">
        <w:rPr>
          <w:sz w:val="20"/>
          <w:szCs w:val="18"/>
        </w:rPr>
        <w:t>zdroj: Rozpočty</w:t>
      </w:r>
      <w:r w:rsidR="00993643">
        <w:rPr>
          <w:sz w:val="20"/>
          <w:szCs w:val="18"/>
        </w:rPr>
        <w:t xml:space="preserve"> – </w:t>
      </w:r>
      <w:r w:rsidRPr="00993643">
        <w:rPr>
          <w:sz w:val="20"/>
          <w:szCs w:val="18"/>
        </w:rPr>
        <w:t>vývoj</w:t>
      </w:r>
    </w:p>
    <w:p w:rsidR="00443EA8" w:rsidRPr="00993643" w:rsidRDefault="00443EA8" w:rsidP="00443EA8">
      <w:pPr>
        <w:numPr>
          <w:ilvl w:val="0"/>
          <w:numId w:val="4"/>
        </w:numPr>
        <w:autoSpaceDE/>
        <w:autoSpaceDN/>
        <w:adjustRightInd/>
        <w:spacing w:before="0"/>
        <w:contextualSpacing/>
        <w:jc w:val="left"/>
        <w:textAlignment w:val="auto"/>
        <w:rPr>
          <w:sz w:val="20"/>
          <w:szCs w:val="18"/>
        </w:rPr>
      </w:pPr>
      <w:proofErr w:type="gramStart"/>
      <w:r w:rsidRPr="00993643">
        <w:rPr>
          <w:sz w:val="20"/>
          <w:szCs w:val="18"/>
        </w:rPr>
        <w:t>celkem : záporná</w:t>
      </w:r>
      <w:proofErr w:type="gramEnd"/>
      <w:r w:rsidRPr="00993643">
        <w:rPr>
          <w:sz w:val="20"/>
          <w:szCs w:val="18"/>
        </w:rPr>
        <w:t xml:space="preserve"> čísla </w:t>
      </w:r>
      <w:r w:rsidR="00951BAD">
        <w:rPr>
          <w:sz w:val="20"/>
          <w:szCs w:val="18"/>
        </w:rPr>
        <w:t>–</w:t>
      </w:r>
      <w:r w:rsidRPr="00993643">
        <w:rPr>
          <w:sz w:val="20"/>
          <w:szCs w:val="18"/>
        </w:rPr>
        <w:t xml:space="preserve"> potřeba zapojení NNV, kladná čísla NNV navyšují</w:t>
      </w:r>
    </w:p>
    <w:p w:rsidR="00993643" w:rsidRDefault="00443EA8" w:rsidP="00443EA8">
      <w:pPr>
        <w:numPr>
          <w:ilvl w:val="0"/>
          <w:numId w:val="4"/>
        </w:numPr>
        <w:autoSpaceDE/>
        <w:autoSpaceDN/>
        <w:adjustRightInd/>
        <w:spacing w:before="0"/>
        <w:contextualSpacing/>
        <w:jc w:val="left"/>
        <w:textAlignment w:val="auto"/>
        <w:rPr>
          <w:sz w:val="20"/>
          <w:szCs w:val="18"/>
        </w:rPr>
      </w:pPr>
      <w:r w:rsidRPr="00993643">
        <w:rPr>
          <w:sz w:val="20"/>
          <w:szCs w:val="18"/>
        </w:rPr>
        <w:t>vzhledem k předpokládané výši NNV za rok 2018 (cca 2 mld. Kč) se jeví případné zvýšení účelové podpory v rámci výzvy v programu EPSILON 2019 a resortních programů jako zdůvodnění současné výše NNV a v následujících letech (2020 a 2021) NNV</w:t>
      </w:r>
      <w:r w:rsidR="00951BAD">
        <w:rPr>
          <w:sz w:val="20"/>
          <w:szCs w:val="18"/>
        </w:rPr>
        <w:t xml:space="preserve"> </w:t>
      </w:r>
      <w:r w:rsidRPr="00993643">
        <w:rPr>
          <w:sz w:val="20"/>
          <w:szCs w:val="18"/>
        </w:rPr>
        <w:t>postačuje k pokrytí těchto zvýšených potřeb. Pokud bude účelová podpora v rámci programů čerpána v souladu s požadavky TA ČR na schválený rozpočet, nemělo by již docházet k navyšování NNV.</w:t>
      </w:r>
    </w:p>
    <w:p w:rsidR="00993643" w:rsidRDefault="00993643" w:rsidP="00993643">
      <w:r>
        <w:br w:type="page"/>
      </w:r>
    </w:p>
    <w:p w:rsidR="00443EA8" w:rsidRPr="00993643" w:rsidRDefault="00993643" w:rsidP="00993643">
      <w:pPr>
        <w:pStyle w:val="Grafickprvek"/>
      </w:pPr>
      <w:r>
        <w:t>6. Tabulka: Stav NNV (v Kč)</w:t>
      </w:r>
    </w:p>
    <w:tbl>
      <w:tblPr>
        <w:tblW w:w="9781" w:type="dxa"/>
        <w:tblInd w:w="8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600" w:firstRow="0" w:lastRow="0" w:firstColumn="0" w:lastColumn="0" w:noHBand="1" w:noVBand="1"/>
      </w:tblPr>
      <w:tblGrid>
        <w:gridCol w:w="1956"/>
        <w:gridCol w:w="1956"/>
        <w:gridCol w:w="1956"/>
        <w:gridCol w:w="1956"/>
        <w:gridCol w:w="1957"/>
      </w:tblGrid>
      <w:tr w:rsidR="00993643" w:rsidTr="00951BAD">
        <w:trPr>
          <w:trHeight w:val="20"/>
        </w:trPr>
        <w:tc>
          <w:tcPr>
            <w:tcW w:w="1956" w:type="dxa"/>
            <w:shd w:val="clear" w:color="auto" w:fill="F03741"/>
            <w:tcMar>
              <w:top w:w="100" w:type="dxa"/>
              <w:left w:w="80" w:type="dxa"/>
              <w:bottom w:w="100" w:type="dxa"/>
              <w:right w:w="80" w:type="dxa"/>
            </w:tcMar>
            <w:vAlign w:val="center"/>
          </w:tcPr>
          <w:p w:rsidR="00443EA8" w:rsidRPr="00993643" w:rsidRDefault="00443EA8" w:rsidP="00993643">
            <w:pPr>
              <w:pStyle w:val="Textvtabulce"/>
              <w:jc w:val="center"/>
              <w:rPr>
                <w:b/>
                <w:color w:val="FFFFFF" w:themeColor="background1"/>
                <w:sz w:val="22"/>
              </w:rPr>
            </w:pPr>
            <w:r w:rsidRPr="00993643">
              <w:rPr>
                <w:b/>
                <w:color w:val="FFFFFF" w:themeColor="background1"/>
                <w:sz w:val="22"/>
              </w:rPr>
              <w:t>NNV</w:t>
            </w:r>
          </w:p>
        </w:tc>
        <w:tc>
          <w:tcPr>
            <w:tcW w:w="1956" w:type="dxa"/>
            <w:shd w:val="clear" w:color="auto" w:fill="F03741"/>
            <w:tcMar>
              <w:top w:w="100" w:type="dxa"/>
              <w:left w:w="80" w:type="dxa"/>
              <w:bottom w:w="100" w:type="dxa"/>
              <w:right w:w="80" w:type="dxa"/>
            </w:tcMar>
            <w:vAlign w:val="center"/>
          </w:tcPr>
          <w:p w:rsidR="00443EA8" w:rsidRPr="00993643" w:rsidRDefault="00443EA8" w:rsidP="00993643">
            <w:pPr>
              <w:pStyle w:val="Textvtabulce"/>
              <w:jc w:val="center"/>
              <w:rPr>
                <w:b/>
                <w:color w:val="FFFFFF" w:themeColor="background1"/>
                <w:sz w:val="22"/>
              </w:rPr>
            </w:pPr>
            <w:r w:rsidRPr="00993643">
              <w:rPr>
                <w:b/>
                <w:color w:val="FFFFFF" w:themeColor="background1"/>
                <w:sz w:val="22"/>
              </w:rPr>
              <w:t>institucionální</w:t>
            </w:r>
          </w:p>
        </w:tc>
        <w:tc>
          <w:tcPr>
            <w:tcW w:w="1956" w:type="dxa"/>
            <w:shd w:val="clear" w:color="auto" w:fill="F03741"/>
            <w:tcMar>
              <w:top w:w="100" w:type="dxa"/>
              <w:left w:w="80" w:type="dxa"/>
              <w:bottom w:w="100" w:type="dxa"/>
              <w:right w:w="80" w:type="dxa"/>
            </w:tcMar>
            <w:vAlign w:val="center"/>
          </w:tcPr>
          <w:p w:rsidR="00443EA8" w:rsidRPr="00993643" w:rsidRDefault="00443EA8" w:rsidP="00993643">
            <w:pPr>
              <w:pStyle w:val="Textvtabulce"/>
              <w:jc w:val="center"/>
              <w:rPr>
                <w:b/>
                <w:color w:val="FFFFFF" w:themeColor="background1"/>
                <w:sz w:val="22"/>
              </w:rPr>
            </w:pPr>
            <w:r w:rsidRPr="00993643">
              <w:rPr>
                <w:b/>
                <w:color w:val="FFFFFF" w:themeColor="background1"/>
                <w:sz w:val="22"/>
              </w:rPr>
              <w:t>účelové</w:t>
            </w:r>
          </w:p>
        </w:tc>
        <w:tc>
          <w:tcPr>
            <w:tcW w:w="1956" w:type="dxa"/>
            <w:shd w:val="clear" w:color="auto" w:fill="F03741"/>
            <w:tcMar>
              <w:top w:w="100" w:type="dxa"/>
              <w:left w:w="80" w:type="dxa"/>
              <w:bottom w:w="100" w:type="dxa"/>
              <w:right w:w="80" w:type="dxa"/>
            </w:tcMar>
            <w:vAlign w:val="center"/>
          </w:tcPr>
          <w:p w:rsidR="00443EA8" w:rsidRPr="00993643" w:rsidRDefault="00443EA8" w:rsidP="00993643">
            <w:pPr>
              <w:pStyle w:val="Textvtabulce"/>
              <w:jc w:val="center"/>
              <w:rPr>
                <w:b/>
                <w:color w:val="FFFFFF" w:themeColor="background1"/>
                <w:sz w:val="22"/>
              </w:rPr>
            </w:pPr>
            <w:r w:rsidRPr="00993643">
              <w:rPr>
                <w:b/>
                <w:color w:val="FFFFFF" w:themeColor="background1"/>
                <w:sz w:val="22"/>
              </w:rPr>
              <w:t>projekty</w:t>
            </w:r>
          </w:p>
        </w:tc>
        <w:tc>
          <w:tcPr>
            <w:tcW w:w="1957" w:type="dxa"/>
            <w:shd w:val="clear" w:color="auto" w:fill="F03741"/>
            <w:tcMar>
              <w:top w:w="100" w:type="dxa"/>
              <w:left w:w="80" w:type="dxa"/>
              <w:bottom w:w="100" w:type="dxa"/>
              <w:right w:w="80" w:type="dxa"/>
            </w:tcMar>
            <w:vAlign w:val="center"/>
          </w:tcPr>
          <w:p w:rsidR="00443EA8" w:rsidRPr="00993643" w:rsidRDefault="00443EA8" w:rsidP="00993643">
            <w:pPr>
              <w:pStyle w:val="Textvtabulce"/>
              <w:jc w:val="center"/>
              <w:rPr>
                <w:b/>
                <w:color w:val="FFFFFF" w:themeColor="background1"/>
                <w:sz w:val="22"/>
              </w:rPr>
            </w:pPr>
            <w:r w:rsidRPr="00993643">
              <w:rPr>
                <w:b/>
                <w:color w:val="FFFFFF" w:themeColor="background1"/>
                <w:sz w:val="22"/>
              </w:rPr>
              <w:t>celkem</w:t>
            </w:r>
          </w:p>
        </w:tc>
      </w:tr>
      <w:tr w:rsidR="00443EA8" w:rsidTr="00951BAD">
        <w:trPr>
          <w:trHeight w:val="20"/>
        </w:trPr>
        <w:tc>
          <w:tcPr>
            <w:tcW w:w="1956" w:type="dxa"/>
            <w:shd w:val="clear" w:color="auto" w:fill="D9D9D9" w:themeFill="background1" w:themeFillShade="D9"/>
            <w:tcMar>
              <w:top w:w="100" w:type="dxa"/>
              <w:left w:w="80" w:type="dxa"/>
              <w:bottom w:w="100" w:type="dxa"/>
              <w:right w:w="80" w:type="dxa"/>
            </w:tcMar>
            <w:vAlign w:val="center"/>
          </w:tcPr>
          <w:p w:rsidR="00443EA8" w:rsidRPr="00993643" w:rsidRDefault="00443EA8" w:rsidP="00993643">
            <w:pPr>
              <w:pStyle w:val="Textvtabulce"/>
              <w:jc w:val="left"/>
            </w:pPr>
            <w:r w:rsidRPr="00993643">
              <w:t>nároky k 1.1.´18</w:t>
            </w:r>
          </w:p>
        </w:tc>
        <w:tc>
          <w:tcPr>
            <w:tcW w:w="1956" w:type="dxa"/>
            <w:shd w:val="clear" w:color="auto" w:fill="F2F2F2" w:themeFill="background1" w:themeFillShade="F2"/>
            <w:tcMar>
              <w:top w:w="100" w:type="dxa"/>
              <w:left w:w="80" w:type="dxa"/>
              <w:bottom w:w="100" w:type="dxa"/>
              <w:right w:w="80" w:type="dxa"/>
            </w:tcMar>
            <w:vAlign w:val="center"/>
          </w:tcPr>
          <w:p w:rsidR="00443EA8" w:rsidRPr="00993643" w:rsidRDefault="00443EA8" w:rsidP="00993643">
            <w:pPr>
              <w:pStyle w:val="Textvtabulce"/>
              <w:jc w:val="center"/>
            </w:pPr>
            <w:r w:rsidRPr="00993643">
              <w:t>33 766 035,37</w:t>
            </w:r>
          </w:p>
        </w:tc>
        <w:tc>
          <w:tcPr>
            <w:tcW w:w="1956" w:type="dxa"/>
            <w:shd w:val="clear" w:color="auto" w:fill="F2F2F2" w:themeFill="background1" w:themeFillShade="F2"/>
            <w:tcMar>
              <w:top w:w="100" w:type="dxa"/>
              <w:left w:w="80" w:type="dxa"/>
              <w:bottom w:w="100" w:type="dxa"/>
              <w:right w:w="80" w:type="dxa"/>
            </w:tcMar>
            <w:vAlign w:val="center"/>
          </w:tcPr>
          <w:p w:rsidR="00443EA8" w:rsidRPr="00993643" w:rsidRDefault="00443EA8" w:rsidP="00993643">
            <w:pPr>
              <w:pStyle w:val="Textvtabulce"/>
              <w:jc w:val="center"/>
            </w:pPr>
            <w:r w:rsidRPr="00993643">
              <w:t>924 600 971,83</w:t>
            </w:r>
          </w:p>
        </w:tc>
        <w:tc>
          <w:tcPr>
            <w:tcW w:w="1956" w:type="dxa"/>
            <w:shd w:val="clear" w:color="auto" w:fill="F2F2F2" w:themeFill="background1" w:themeFillShade="F2"/>
            <w:tcMar>
              <w:top w:w="100" w:type="dxa"/>
              <w:left w:w="80" w:type="dxa"/>
              <w:bottom w:w="100" w:type="dxa"/>
              <w:right w:w="80" w:type="dxa"/>
            </w:tcMar>
            <w:vAlign w:val="center"/>
          </w:tcPr>
          <w:p w:rsidR="00443EA8" w:rsidRPr="00993643" w:rsidRDefault="00443EA8" w:rsidP="00993643">
            <w:pPr>
              <w:pStyle w:val="Textvtabulce"/>
              <w:jc w:val="center"/>
            </w:pPr>
            <w:r w:rsidRPr="00993643">
              <w:t>8 760 515,65</w:t>
            </w:r>
          </w:p>
        </w:tc>
        <w:tc>
          <w:tcPr>
            <w:tcW w:w="1957" w:type="dxa"/>
            <w:shd w:val="clear" w:color="auto" w:fill="F2F2F2" w:themeFill="background1" w:themeFillShade="F2"/>
            <w:tcMar>
              <w:top w:w="100" w:type="dxa"/>
              <w:left w:w="80" w:type="dxa"/>
              <w:bottom w:w="100" w:type="dxa"/>
              <w:right w:w="80" w:type="dxa"/>
            </w:tcMar>
            <w:vAlign w:val="center"/>
          </w:tcPr>
          <w:p w:rsidR="00443EA8" w:rsidRPr="00993643" w:rsidRDefault="00443EA8" w:rsidP="00993643">
            <w:pPr>
              <w:pStyle w:val="Textvtabulce"/>
              <w:jc w:val="center"/>
            </w:pPr>
            <w:r w:rsidRPr="00993643">
              <w:t>967 127 522,85</w:t>
            </w:r>
          </w:p>
        </w:tc>
      </w:tr>
      <w:tr w:rsidR="00443EA8" w:rsidTr="00951BAD">
        <w:trPr>
          <w:trHeight w:val="20"/>
        </w:trPr>
        <w:tc>
          <w:tcPr>
            <w:tcW w:w="1956" w:type="dxa"/>
            <w:shd w:val="clear" w:color="auto" w:fill="D9D9D9" w:themeFill="background1" w:themeFillShade="D9"/>
            <w:tcMar>
              <w:top w:w="100" w:type="dxa"/>
              <w:left w:w="80" w:type="dxa"/>
              <w:bottom w:w="100" w:type="dxa"/>
              <w:right w:w="80" w:type="dxa"/>
            </w:tcMar>
            <w:vAlign w:val="center"/>
          </w:tcPr>
          <w:p w:rsidR="00443EA8" w:rsidRPr="00993643" w:rsidRDefault="00443EA8" w:rsidP="00993643">
            <w:pPr>
              <w:pStyle w:val="Textvtabulce"/>
              <w:jc w:val="left"/>
            </w:pPr>
            <w:r w:rsidRPr="00993643">
              <w:t>zapojeno</w:t>
            </w:r>
          </w:p>
        </w:tc>
        <w:tc>
          <w:tcPr>
            <w:tcW w:w="1956" w:type="dxa"/>
            <w:shd w:val="clear" w:color="auto" w:fill="FFFFFF"/>
            <w:tcMar>
              <w:top w:w="100" w:type="dxa"/>
              <w:left w:w="80" w:type="dxa"/>
              <w:bottom w:w="100" w:type="dxa"/>
              <w:right w:w="80" w:type="dxa"/>
            </w:tcMar>
            <w:vAlign w:val="center"/>
          </w:tcPr>
          <w:p w:rsidR="00443EA8" w:rsidRPr="00993643" w:rsidRDefault="00443EA8" w:rsidP="00993643">
            <w:pPr>
              <w:pStyle w:val="Textvtabulce"/>
              <w:jc w:val="center"/>
            </w:pPr>
            <w:r w:rsidRPr="00993643">
              <w:t>16 526 042,16</w:t>
            </w:r>
          </w:p>
        </w:tc>
        <w:tc>
          <w:tcPr>
            <w:tcW w:w="1956" w:type="dxa"/>
            <w:shd w:val="clear" w:color="auto" w:fill="FFFFFF"/>
            <w:tcMar>
              <w:top w:w="100" w:type="dxa"/>
              <w:left w:w="80" w:type="dxa"/>
              <w:bottom w:w="100" w:type="dxa"/>
              <w:right w:w="80" w:type="dxa"/>
            </w:tcMar>
            <w:vAlign w:val="center"/>
          </w:tcPr>
          <w:p w:rsidR="00443EA8" w:rsidRPr="00993643" w:rsidRDefault="00443EA8" w:rsidP="00993643">
            <w:pPr>
              <w:pStyle w:val="Textvtabulce"/>
              <w:jc w:val="center"/>
            </w:pPr>
            <w:r w:rsidRPr="00993643">
              <w:t>216 000 000,00</w:t>
            </w:r>
          </w:p>
        </w:tc>
        <w:tc>
          <w:tcPr>
            <w:tcW w:w="1956" w:type="dxa"/>
            <w:shd w:val="clear" w:color="auto" w:fill="FFFFFF"/>
            <w:tcMar>
              <w:top w:w="100" w:type="dxa"/>
              <w:left w:w="80" w:type="dxa"/>
              <w:bottom w:w="100" w:type="dxa"/>
              <w:right w:w="80" w:type="dxa"/>
            </w:tcMar>
            <w:vAlign w:val="center"/>
          </w:tcPr>
          <w:p w:rsidR="00443EA8" w:rsidRPr="00993643" w:rsidRDefault="00443EA8" w:rsidP="00993643">
            <w:pPr>
              <w:pStyle w:val="Textvtabulce"/>
              <w:jc w:val="center"/>
            </w:pPr>
            <w:r w:rsidRPr="00993643">
              <w:t>1 189 518,00</w:t>
            </w:r>
          </w:p>
        </w:tc>
        <w:tc>
          <w:tcPr>
            <w:tcW w:w="1957" w:type="dxa"/>
            <w:shd w:val="clear" w:color="auto" w:fill="FFFFFF"/>
            <w:tcMar>
              <w:top w:w="100" w:type="dxa"/>
              <w:left w:w="80" w:type="dxa"/>
              <w:bottom w:w="100" w:type="dxa"/>
              <w:right w:w="80" w:type="dxa"/>
            </w:tcMar>
            <w:vAlign w:val="center"/>
          </w:tcPr>
          <w:p w:rsidR="00443EA8" w:rsidRPr="00993643" w:rsidRDefault="00443EA8" w:rsidP="00993643">
            <w:pPr>
              <w:pStyle w:val="Textvtabulce"/>
              <w:jc w:val="center"/>
            </w:pPr>
            <w:r w:rsidRPr="00993643">
              <w:t>233 715 560,16</w:t>
            </w:r>
          </w:p>
        </w:tc>
      </w:tr>
      <w:tr w:rsidR="00951BAD" w:rsidTr="00951BAD">
        <w:trPr>
          <w:trHeight w:val="20"/>
        </w:trPr>
        <w:tc>
          <w:tcPr>
            <w:tcW w:w="1956" w:type="dxa"/>
            <w:shd w:val="clear" w:color="auto" w:fill="D9D9D9" w:themeFill="background1" w:themeFillShade="D9"/>
            <w:tcMar>
              <w:top w:w="100" w:type="dxa"/>
              <w:left w:w="80" w:type="dxa"/>
              <w:bottom w:w="100" w:type="dxa"/>
              <w:right w:w="80" w:type="dxa"/>
            </w:tcMar>
            <w:vAlign w:val="center"/>
          </w:tcPr>
          <w:p w:rsidR="00443EA8" w:rsidRPr="00993643" w:rsidRDefault="00443EA8" w:rsidP="00993643">
            <w:pPr>
              <w:pStyle w:val="Textvtabulce"/>
              <w:jc w:val="left"/>
            </w:pPr>
            <w:r w:rsidRPr="00993643">
              <w:t>zůstatek NNV</w:t>
            </w:r>
          </w:p>
        </w:tc>
        <w:tc>
          <w:tcPr>
            <w:tcW w:w="1956" w:type="dxa"/>
            <w:shd w:val="clear" w:color="auto" w:fill="F2F2F2" w:themeFill="background1" w:themeFillShade="F2"/>
            <w:tcMar>
              <w:top w:w="100" w:type="dxa"/>
              <w:left w:w="80" w:type="dxa"/>
              <w:bottom w:w="100" w:type="dxa"/>
              <w:right w:w="80" w:type="dxa"/>
            </w:tcMar>
            <w:vAlign w:val="center"/>
          </w:tcPr>
          <w:p w:rsidR="00443EA8" w:rsidRPr="00993643" w:rsidRDefault="00443EA8" w:rsidP="00993643">
            <w:pPr>
              <w:pStyle w:val="Textvtabulce"/>
              <w:jc w:val="center"/>
            </w:pPr>
            <w:r w:rsidRPr="00993643">
              <w:t>17 239 993,21</w:t>
            </w:r>
          </w:p>
        </w:tc>
        <w:tc>
          <w:tcPr>
            <w:tcW w:w="1956" w:type="dxa"/>
            <w:shd w:val="clear" w:color="auto" w:fill="F2F2F2" w:themeFill="background1" w:themeFillShade="F2"/>
            <w:tcMar>
              <w:top w:w="100" w:type="dxa"/>
              <w:left w:w="80" w:type="dxa"/>
              <w:bottom w:w="100" w:type="dxa"/>
              <w:right w:w="80" w:type="dxa"/>
            </w:tcMar>
            <w:vAlign w:val="center"/>
          </w:tcPr>
          <w:p w:rsidR="00443EA8" w:rsidRPr="00993643" w:rsidRDefault="00443EA8" w:rsidP="00993643">
            <w:pPr>
              <w:pStyle w:val="Textvtabulce"/>
              <w:jc w:val="center"/>
            </w:pPr>
            <w:r w:rsidRPr="00993643">
              <w:t>708 600 971,83</w:t>
            </w:r>
          </w:p>
        </w:tc>
        <w:tc>
          <w:tcPr>
            <w:tcW w:w="1956" w:type="dxa"/>
            <w:shd w:val="clear" w:color="auto" w:fill="F2F2F2" w:themeFill="background1" w:themeFillShade="F2"/>
            <w:tcMar>
              <w:top w:w="100" w:type="dxa"/>
              <w:left w:w="80" w:type="dxa"/>
              <w:bottom w:w="100" w:type="dxa"/>
              <w:right w:w="80" w:type="dxa"/>
            </w:tcMar>
            <w:vAlign w:val="center"/>
          </w:tcPr>
          <w:p w:rsidR="00443EA8" w:rsidRPr="00993643" w:rsidRDefault="00443EA8" w:rsidP="00993643">
            <w:pPr>
              <w:pStyle w:val="Textvtabulce"/>
              <w:jc w:val="center"/>
            </w:pPr>
            <w:r w:rsidRPr="00993643">
              <w:t>7 570 997,65</w:t>
            </w:r>
          </w:p>
        </w:tc>
        <w:tc>
          <w:tcPr>
            <w:tcW w:w="1957" w:type="dxa"/>
            <w:shd w:val="clear" w:color="auto" w:fill="F2F2F2" w:themeFill="background1" w:themeFillShade="F2"/>
            <w:tcMar>
              <w:top w:w="100" w:type="dxa"/>
              <w:left w:w="80" w:type="dxa"/>
              <w:bottom w:w="100" w:type="dxa"/>
              <w:right w:w="80" w:type="dxa"/>
            </w:tcMar>
            <w:vAlign w:val="center"/>
          </w:tcPr>
          <w:p w:rsidR="00443EA8" w:rsidRPr="00993643" w:rsidRDefault="00443EA8" w:rsidP="00993643">
            <w:pPr>
              <w:pStyle w:val="Textvtabulce"/>
              <w:jc w:val="center"/>
            </w:pPr>
            <w:r w:rsidRPr="00993643">
              <w:t>733 411 962,69</w:t>
            </w:r>
          </w:p>
        </w:tc>
      </w:tr>
      <w:tr w:rsidR="00443EA8" w:rsidTr="00951BAD">
        <w:trPr>
          <w:trHeight w:val="20"/>
        </w:trPr>
        <w:tc>
          <w:tcPr>
            <w:tcW w:w="1956" w:type="dxa"/>
            <w:shd w:val="clear" w:color="auto" w:fill="auto"/>
            <w:tcMar>
              <w:top w:w="100" w:type="dxa"/>
              <w:left w:w="80" w:type="dxa"/>
              <w:bottom w:w="100" w:type="dxa"/>
              <w:right w:w="80" w:type="dxa"/>
            </w:tcMar>
            <w:vAlign w:val="center"/>
          </w:tcPr>
          <w:p w:rsidR="00443EA8" w:rsidRPr="00993643" w:rsidRDefault="00443EA8" w:rsidP="00993643">
            <w:pPr>
              <w:pStyle w:val="Textvtabulce"/>
              <w:jc w:val="center"/>
            </w:pPr>
          </w:p>
        </w:tc>
        <w:tc>
          <w:tcPr>
            <w:tcW w:w="1956" w:type="dxa"/>
            <w:shd w:val="clear" w:color="auto" w:fill="FFFFFF"/>
            <w:tcMar>
              <w:top w:w="100" w:type="dxa"/>
              <w:left w:w="80" w:type="dxa"/>
              <w:bottom w:w="100" w:type="dxa"/>
              <w:right w:w="80" w:type="dxa"/>
            </w:tcMar>
            <w:vAlign w:val="center"/>
          </w:tcPr>
          <w:p w:rsidR="00443EA8" w:rsidRPr="00993643" w:rsidRDefault="00443EA8" w:rsidP="00993643">
            <w:pPr>
              <w:pStyle w:val="Textvtabulce"/>
              <w:jc w:val="center"/>
            </w:pPr>
          </w:p>
        </w:tc>
        <w:tc>
          <w:tcPr>
            <w:tcW w:w="1956" w:type="dxa"/>
            <w:shd w:val="clear" w:color="auto" w:fill="FFFFFF"/>
            <w:tcMar>
              <w:top w:w="100" w:type="dxa"/>
              <w:left w:w="80" w:type="dxa"/>
              <w:bottom w:w="100" w:type="dxa"/>
              <w:right w:w="80" w:type="dxa"/>
            </w:tcMar>
            <w:vAlign w:val="center"/>
          </w:tcPr>
          <w:p w:rsidR="00443EA8" w:rsidRPr="00993643" w:rsidRDefault="00443EA8" w:rsidP="00993643">
            <w:pPr>
              <w:pStyle w:val="Textvtabulce"/>
              <w:jc w:val="center"/>
            </w:pPr>
          </w:p>
        </w:tc>
        <w:tc>
          <w:tcPr>
            <w:tcW w:w="1956" w:type="dxa"/>
            <w:shd w:val="clear" w:color="auto" w:fill="D9D9D9" w:themeFill="background1" w:themeFillShade="D9"/>
            <w:tcMar>
              <w:top w:w="100" w:type="dxa"/>
              <w:left w:w="80" w:type="dxa"/>
              <w:bottom w:w="100" w:type="dxa"/>
              <w:right w:w="80" w:type="dxa"/>
            </w:tcMar>
            <w:vAlign w:val="center"/>
          </w:tcPr>
          <w:p w:rsidR="00443EA8" w:rsidRPr="00993643" w:rsidRDefault="00443EA8" w:rsidP="00993643">
            <w:pPr>
              <w:pStyle w:val="Textvtabulce"/>
              <w:jc w:val="left"/>
            </w:pPr>
            <w:r w:rsidRPr="00993643">
              <w:t>předpoklad účelové podpory k 31.12.2018</w:t>
            </w:r>
          </w:p>
        </w:tc>
        <w:tc>
          <w:tcPr>
            <w:tcW w:w="1957" w:type="dxa"/>
            <w:shd w:val="clear" w:color="auto" w:fill="FFFFFF"/>
            <w:tcMar>
              <w:top w:w="100" w:type="dxa"/>
              <w:left w:w="80" w:type="dxa"/>
              <w:bottom w:w="100" w:type="dxa"/>
              <w:right w:w="80" w:type="dxa"/>
            </w:tcMar>
            <w:vAlign w:val="center"/>
          </w:tcPr>
          <w:p w:rsidR="00443EA8" w:rsidRPr="00993643" w:rsidRDefault="00443EA8" w:rsidP="00993643">
            <w:pPr>
              <w:pStyle w:val="Textvtabulce"/>
              <w:jc w:val="center"/>
            </w:pPr>
            <w:r w:rsidRPr="00993643">
              <w:t>1 300 000 000</w:t>
            </w:r>
          </w:p>
        </w:tc>
      </w:tr>
      <w:tr w:rsidR="00443EA8" w:rsidTr="00951BAD">
        <w:trPr>
          <w:trHeight w:val="20"/>
        </w:trPr>
        <w:tc>
          <w:tcPr>
            <w:tcW w:w="1956" w:type="dxa"/>
            <w:shd w:val="clear" w:color="auto" w:fill="auto"/>
            <w:tcMar>
              <w:top w:w="100" w:type="dxa"/>
              <w:left w:w="80" w:type="dxa"/>
              <w:bottom w:w="100" w:type="dxa"/>
              <w:right w:w="80" w:type="dxa"/>
            </w:tcMar>
            <w:vAlign w:val="center"/>
          </w:tcPr>
          <w:p w:rsidR="00443EA8" w:rsidRPr="00993643" w:rsidRDefault="00443EA8" w:rsidP="00993643">
            <w:pPr>
              <w:pStyle w:val="Textvtabulce"/>
              <w:jc w:val="center"/>
            </w:pPr>
          </w:p>
        </w:tc>
        <w:tc>
          <w:tcPr>
            <w:tcW w:w="1956" w:type="dxa"/>
            <w:shd w:val="clear" w:color="auto" w:fill="FFFFFF"/>
            <w:tcMar>
              <w:top w:w="100" w:type="dxa"/>
              <w:left w:w="80" w:type="dxa"/>
              <w:bottom w:w="100" w:type="dxa"/>
              <w:right w:w="80" w:type="dxa"/>
            </w:tcMar>
            <w:vAlign w:val="center"/>
          </w:tcPr>
          <w:p w:rsidR="00443EA8" w:rsidRPr="00993643" w:rsidRDefault="00443EA8" w:rsidP="00993643">
            <w:pPr>
              <w:pStyle w:val="Textvtabulce"/>
              <w:jc w:val="center"/>
            </w:pPr>
          </w:p>
        </w:tc>
        <w:tc>
          <w:tcPr>
            <w:tcW w:w="1956" w:type="dxa"/>
            <w:shd w:val="clear" w:color="auto" w:fill="FFFFFF"/>
            <w:tcMar>
              <w:top w:w="100" w:type="dxa"/>
              <w:left w:w="80" w:type="dxa"/>
              <w:bottom w:w="100" w:type="dxa"/>
              <w:right w:w="80" w:type="dxa"/>
            </w:tcMar>
            <w:vAlign w:val="center"/>
          </w:tcPr>
          <w:p w:rsidR="00443EA8" w:rsidRPr="00993643" w:rsidRDefault="00443EA8" w:rsidP="00993643">
            <w:pPr>
              <w:pStyle w:val="Textvtabulce"/>
              <w:jc w:val="center"/>
            </w:pPr>
          </w:p>
        </w:tc>
        <w:tc>
          <w:tcPr>
            <w:tcW w:w="1956" w:type="dxa"/>
            <w:shd w:val="clear" w:color="auto" w:fill="D9D9D9" w:themeFill="background1" w:themeFillShade="D9"/>
            <w:tcMar>
              <w:top w:w="100" w:type="dxa"/>
              <w:left w:w="80" w:type="dxa"/>
              <w:bottom w:w="100" w:type="dxa"/>
              <w:right w:w="80" w:type="dxa"/>
            </w:tcMar>
            <w:vAlign w:val="center"/>
          </w:tcPr>
          <w:p w:rsidR="00443EA8" w:rsidRPr="00993643" w:rsidRDefault="00443EA8" w:rsidP="00993643">
            <w:pPr>
              <w:pStyle w:val="Textvtabulce"/>
              <w:jc w:val="left"/>
            </w:pPr>
            <w:r w:rsidRPr="00993643">
              <w:t>celkem</w:t>
            </w:r>
          </w:p>
        </w:tc>
        <w:tc>
          <w:tcPr>
            <w:tcW w:w="1957" w:type="dxa"/>
            <w:shd w:val="clear" w:color="auto" w:fill="F2F2F2" w:themeFill="background1" w:themeFillShade="F2"/>
            <w:tcMar>
              <w:top w:w="100" w:type="dxa"/>
              <w:left w:w="80" w:type="dxa"/>
              <w:bottom w:w="100" w:type="dxa"/>
              <w:right w:w="80" w:type="dxa"/>
            </w:tcMar>
            <w:vAlign w:val="center"/>
          </w:tcPr>
          <w:p w:rsidR="00443EA8" w:rsidRPr="00993643" w:rsidRDefault="00443EA8" w:rsidP="00993643">
            <w:pPr>
              <w:pStyle w:val="Textvtabulce"/>
              <w:jc w:val="center"/>
            </w:pPr>
            <w:r w:rsidRPr="00993643">
              <w:t>2 008 600 972</w:t>
            </w:r>
          </w:p>
        </w:tc>
      </w:tr>
    </w:tbl>
    <w:p w:rsidR="00443EA8" w:rsidRPr="00443EA8" w:rsidRDefault="00443EA8" w:rsidP="00443EA8"/>
    <w:sectPr w:rsidR="00443EA8" w:rsidRPr="00443EA8" w:rsidSect="00801259">
      <w:headerReference w:type="default" r:id="rId11"/>
      <w:footerReference w:type="default" r:id="rId12"/>
      <w:pgSz w:w="11906" w:h="16838"/>
      <w:pgMar w:top="1134" w:right="1134" w:bottom="1134" w:left="1134" w:header="2438"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8E3" w:rsidRDefault="00F248E3" w:rsidP="00851AD4">
      <w:r>
        <w:separator/>
      </w:r>
    </w:p>
  </w:endnote>
  <w:endnote w:type="continuationSeparator" w:id="0">
    <w:p w:rsidR="00F248E3" w:rsidRDefault="00F248E3" w:rsidP="00851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2FB" w:rsidRDefault="00A972FB" w:rsidP="00851AD4">
    <w:pPr>
      <w:pStyle w:val="Zpat1"/>
    </w:pPr>
  </w:p>
  <w:p w:rsidR="00A972FB" w:rsidRDefault="00A972FB" w:rsidP="00851AD4">
    <w:pPr>
      <w:pStyle w:val="Zpat1"/>
    </w:pPr>
  </w:p>
  <w:p w:rsidR="00A972FB" w:rsidRDefault="006500EC" w:rsidP="00851AD4">
    <w:pPr>
      <w:pStyle w:val="Zpat1"/>
    </w:pPr>
    <w:r w:rsidRPr="00E02B53">
      <w:drawing>
        <wp:anchor distT="0" distB="0" distL="114300" distR="114300" simplePos="0" relativeHeight="251656192" behindDoc="1" locked="1" layoutInCell="1" allowOverlap="1" wp14:anchorId="6CE3469B" wp14:editId="6618AB5B">
          <wp:simplePos x="899160" y="9403080"/>
          <wp:positionH relativeFrom="page">
            <wp:align>left</wp:align>
          </wp:positionH>
          <wp:positionV relativeFrom="page">
            <wp:align>bottom</wp:align>
          </wp:positionV>
          <wp:extent cx="3600000" cy="831600"/>
          <wp:effectExtent l="0" t="0" r="63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h_zapati_100x2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00000" cy="831600"/>
                  </a:xfrm>
                  <a:prstGeom prst="rect">
                    <a:avLst/>
                  </a:prstGeom>
                </pic:spPr>
              </pic:pic>
            </a:graphicData>
          </a:graphic>
          <wp14:sizeRelH relativeFrom="margin">
            <wp14:pctWidth>0</wp14:pctWidth>
          </wp14:sizeRelH>
          <wp14:sizeRelV relativeFrom="margin">
            <wp14:pctHeight>0</wp14:pctHeight>
          </wp14:sizeRelV>
        </wp:anchor>
      </w:drawing>
    </w:r>
    <w:r w:rsidR="00A972FB" w:rsidRPr="00E02B53">
      <w:drawing>
        <wp:anchor distT="0" distB="0" distL="114300" distR="114300" simplePos="0" relativeHeight="251677696" behindDoc="1" locked="1" layoutInCell="1" allowOverlap="1" wp14:anchorId="5B72B66C" wp14:editId="5ACD2A72">
          <wp:simplePos x="899160" y="9403080"/>
          <wp:positionH relativeFrom="page">
            <wp:align>left</wp:align>
          </wp:positionH>
          <wp:positionV relativeFrom="page">
            <wp:align>bottom</wp:align>
          </wp:positionV>
          <wp:extent cx="3600000" cy="831600"/>
          <wp:effectExtent l="0" t="0" r="63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h_zapati_100x2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00000" cy="831600"/>
                  </a:xfrm>
                  <a:prstGeom prst="rect">
                    <a:avLst/>
                  </a:prstGeom>
                </pic:spPr>
              </pic:pic>
            </a:graphicData>
          </a:graphic>
          <wp14:sizeRelH relativeFrom="margin">
            <wp14:pctWidth>0</wp14:pctWidth>
          </wp14:sizeRelH>
          <wp14:sizeRelV relativeFrom="margin">
            <wp14:pctHeight>0</wp14:pctHeight>
          </wp14:sizeRelV>
        </wp:anchor>
      </w:drawing>
    </w:r>
  </w:p>
  <w:p w:rsidR="00A972FB" w:rsidRDefault="00A972FB" w:rsidP="00851AD4">
    <w:pPr>
      <w:pStyle w:val="Zpat1"/>
    </w:pPr>
  </w:p>
  <w:p w:rsidR="00A972FB" w:rsidRPr="001071ED" w:rsidRDefault="00A972FB" w:rsidP="00851AD4">
    <w:pPr>
      <w:pStyle w:val="Zpat1"/>
    </w:pPr>
    <w:r>
      <w:t xml:space="preserve">Strana </w:t>
    </w:r>
    <w:r>
      <w:fldChar w:fldCharType="begin"/>
    </w:r>
    <w:r>
      <w:instrText>PAGE   \* MERGEFORMAT</w:instrText>
    </w:r>
    <w:r>
      <w:fldChar w:fldCharType="separate"/>
    </w:r>
    <w:r w:rsidR="00BF3B9A">
      <w:t>1</w:t>
    </w:r>
    <w:r>
      <w:fldChar w:fldCharType="end"/>
    </w:r>
    <w:r>
      <w:t>/</w:t>
    </w:r>
    <w:r w:rsidR="00BF3B9A">
      <w:fldChar w:fldCharType="begin"/>
    </w:r>
    <w:r w:rsidR="00BF3B9A">
      <w:instrText xml:space="preserve"> NUMPAGES  \* Arabic  \* MERGEFORMAT </w:instrText>
    </w:r>
    <w:r w:rsidR="00BF3B9A">
      <w:fldChar w:fldCharType="separate"/>
    </w:r>
    <w:r w:rsidR="00BF3B9A">
      <w:t>9</w:t>
    </w:r>
    <w:r w:rsidR="00BF3B9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8E3" w:rsidRDefault="00F248E3" w:rsidP="00851AD4">
      <w:r>
        <w:separator/>
      </w:r>
    </w:p>
  </w:footnote>
  <w:footnote w:type="continuationSeparator" w:id="0">
    <w:p w:rsidR="00F248E3" w:rsidRDefault="00F248E3" w:rsidP="00851A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0EC" w:rsidRPr="00996A8A" w:rsidRDefault="006500EC" w:rsidP="00851AD4">
    <w:pPr>
      <w:pStyle w:val="Zpat1"/>
    </w:pPr>
    <w:r w:rsidRPr="00996A8A">
      <w:drawing>
        <wp:anchor distT="0" distB="0" distL="114300" distR="114300" simplePos="0" relativeHeight="251658240" behindDoc="1" locked="1" layoutInCell="1" allowOverlap="1" wp14:anchorId="093C202F" wp14:editId="62AB4E5D">
          <wp:simplePos x="899160" y="449580"/>
          <wp:positionH relativeFrom="page">
            <wp:align>left</wp:align>
          </wp:positionH>
          <wp:positionV relativeFrom="page">
            <wp:align>top</wp:align>
          </wp:positionV>
          <wp:extent cx="1440000" cy="1440000"/>
          <wp:effectExtent l="0" t="0" r="8255" b="825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40x40mm_do_roh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096C"/>
    <w:multiLevelType w:val="multilevel"/>
    <w:tmpl w:val="459615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31CB7B73"/>
    <w:multiLevelType w:val="multilevel"/>
    <w:tmpl w:val="B23669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427429A0"/>
    <w:multiLevelType w:val="hybridMultilevel"/>
    <w:tmpl w:val="8C0E8F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42B42CB8"/>
    <w:multiLevelType w:val="multilevel"/>
    <w:tmpl w:val="88CA25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469C230A"/>
    <w:multiLevelType w:val="multilevel"/>
    <w:tmpl w:val="F6C8DF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4C22013E"/>
    <w:multiLevelType w:val="multilevel"/>
    <w:tmpl w:val="94B8F9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63E63817"/>
    <w:multiLevelType w:val="multilevel"/>
    <w:tmpl w:val="F71448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65177C67"/>
    <w:multiLevelType w:val="hybridMultilevel"/>
    <w:tmpl w:val="9BDCB4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658F6F91"/>
    <w:multiLevelType w:val="multilevel"/>
    <w:tmpl w:val="C12C30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6EAB6AA2"/>
    <w:multiLevelType w:val="multilevel"/>
    <w:tmpl w:val="286067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6F0D184E"/>
    <w:multiLevelType w:val="multilevel"/>
    <w:tmpl w:val="FD262530"/>
    <w:lvl w:ilvl="0">
      <w:start w:val="1"/>
      <w:numFmt w:val="bullet"/>
      <w:lvlText w:val=""/>
      <w:lvlJc w:val="left"/>
      <w:pPr>
        <w:ind w:left="1068" w:hanging="360"/>
      </w:pPr>
      <w:rPr>
        <w:rFonts w:ascii="Symbol" w:hAnsi="Symbol" w:hint="default"/>
        <w:u w:val="none"/>
      </w:rPr>
    </w:lvl>
    <w:lvl w:ilvl="1">
      <w:start w:val="1"/>
      <w:numFmt w:val="bullet"/>
      <w:lvlText w:val="○"/>
      <w:lvlJc w:val="left"/>
      <w:pPr>
        <w:ind w:left="1788" w:hanging="360"/>
      </w:pPr>
      <w:rPr>
        <w:u w:val="none"/>
      </w:rPr>
    </w:lvl>
    <w:lvl w:ilvl="2">
      <w:start w:val="1"/>
      <w:numFmt w:val="bullet"/>
      <w:lvlText w:val="■"/>
      <w:lvlJc w:val="left"/>
      <w:pPr>
        <w:ind w:left="2508" w:hanging="360"/>
      </w:pPr>
      <w:rPr>
        <w:u w:val="none"/>
      </w:rPr>
    </w:lvl>
    <w:lvl w:ilvl="3">
      <w:start w:val="1"/>
      <w:numFmt w:val="bullet"/>
      <w:lvlText w:val="●"/>
      <w:lvlJc w:val="left"/>
      <w:pPr>
        <w:ind w:left="3228" w:hanging="360"/>
      </w:pPr>
      <w:rPr>
        <w:u w:val="none"/>
      </w:rPr>
    </w:lvl>
    <w:lvl w:ilvl="4">
      <w:start w:val="1"/>
      <w:numFmt w:val="bullet"/>
      <w:lvlText w:val="○"/>
      <w:lvlJc w:val="left"/>
      <w:pPr>
        <w:ind w:left="3948" w:hanging="360"/>
      </w:pPr>
      <w:rPr>
        <w:u w:val="none"/>
      </w:rPr>
    </w:lvl>
    <w:lvl w:ilvl="5">
      <w:start w:val="1"/>
      <w:numFmt w:val="bullet"/>
      <w:lvlText w:val="■"/>
      <w:lvlJc w:val="left"/>
      <w:pPr>
        <w:ind w:left="4668" w:hanging="360"/>
      </w:pPr>
      <w:rPr>
        <w:u w:val="none"/>
      </w:rPr>
    </w:lvl>
    <w:lvl w:ilvl="6">
      <w:start w:val="1"/>
      <w:numFmt w:val="bullet"/>
      <w:lvlText w:val="●"/>
      <w:lvlJc w:val="left"/>
      <w:pPr>
        <w:ind w:left="5388" w:hanging="360"/>
      </w:pPr>
      <w:rPr>
        <w:u w:val="none"/>
      </w:rPr>
    </w:lvl>
    <w:lvl w:ilvl="7">
      <w:start w:val="1"/>
      <w:numFmt w:val="bullet"/>
      <w:lvlText w:val="○"/>
      <w:lvlJc w:val="left"/>
      <w:pPr>
        <w:ind w:left="6108" w:hanging="360"/>
      </w:pPr>
      <w:rPr>
        <w:u w:val="none"/>
      </w:rPr>
    </w:lvl>
    <w:lvl w:ilvl="8">
      <w:start w:val="1"/>
      <w:numFmt w:val="bullet"/>
      <w:lvlText w:val="■"/>
      <w:lvlJc w:val="left"/>
      <w:pPr>
        <w:ind w:left="6828" w:hanging="360"/>
      </w:pPr>
      <w:rPr>
        <w:u w:val="none"/>
      </w:rPr>
    </w:lvl>
  </w:abstractNum>
  <w:abstractNum w:abstractNumId="11">
    <w:nsid w:val="74621FC6"/>
    <w:multiLevelType w:val="multilevel"/>
    <w:tmpl w:val="6F84AA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7DC41559"/>
    <w:multiLevelType w:val="multilevel"/>
    <w:tmpl w:val="70EEC9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7E37574C"/>
    <w:multiLevelType w:val="multilevel"/>
    <w:tmpl w:val="93EA18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0"/>
  </w:num>
  <w:num w:numId="2">
    <w:abstractNumId w:val="6"/>
  </w:num>
  <w:num w:numId="3">
    <w:abstractNumId w:val="5"/>
  </w:num>
  <w:num w:numId="4">
    <w:abstractNumId w:val="11"/>
  </w:num>
  <w:num w:numId="5">
    <w:abstractNumId w:val="0"/>
  </w:num>
  <w:num w:numId="6">
    <w:abstractNumId w:val="13"/>
  </w:num>
  <w:num w:numId="7">
    <w:abstractNumId w:val="4"/>
  </w:num>
  <w:num w:numId="8">
    <w:abstractNumId w:val="12"/>
  </w:num>
  <w:num w:numId="9">
    <w:abstractNumId w:val="9"/>
  </w:num>
  <w:num w:numId="10">
    <w:abstractNumId w:val="8"/>
  </w:num>
  <w:num w:numId="11">
    <w:abstractNumId w:val="1"/>
  </w:num>
  <w:num w:numId="12">
    <w:abstractNumId w:val="2"/>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0EC"/>
    <w:rsid w:val="000014DE"/>
    <w:rsid w:val="00003DCD"/>
    <w:rsid w:val="000154B2"/>
    <w:rsid w:val="000200DC"/>
    <w:rsid w:val="00021D0F"/>
    <w:rsid w:val="00022C8F"/>
    <w:rsid w:val="00022FC2"/>
    <w:rsid w:val="00023FBC"/>
    <w:rsid w:val="0002478D"/>
    <w:rsid w:val="00026403"/>
    <w:rsid w:val="000330D0"/>
    <w:rsid w:val="00034946"/>
    <w:rsid w:val="00037D12"/>
    <w:rsid w:val="00037F0A"/>
    <w:rsid w:val="00051D6C"/>
    <w:rsid w:val="00053779"/>
    <w:rsid w:val="00053BC8"/>
    <w:rsid w:val="00055C52"/>
    <w:rsid w:val="000608AA"/>
    <w:rsid w:val="000612BE"/>
    <w:rsid w:val="0006342A"/>
    <w:rsid w:val="00063C09"/>
    <w:rsid w:val="00063FEF"/>
    <w:rsid w:val="000652C9"/>
    <w:rsid w:val="00067914"/>
    <w:rsid w:val="0007112F"/>
    <w:rsid w:val="00076B05"/>
    <w:rsid w:val="000859AF"/>
    <w:rsid w:val="00086890"/>
    <w:rsid w:val="00090E1E"/>
    <w:rsid w:val="00092805"/>
    <w:rsid w:val="00093364"/>
    <w:rsid w:val="0009640D"/>
    <w:rsid w:val="00096D82"/>
    <w:rsid w:val="000A34C2"/>
    <w:rsid w:val="000A58D1"/>
    <w:rsid w:val="000B059D"/>
    <w:rsid w:val="000B531A"/>
    <w:rsid w:val="000B662F"/>
    <w:rsid w:val="000C797E"/>
    <w:rsid w:val="000D0758"/>
    <w:rsid w:val="000D684E"/>
    <w:rsid w:val="000D70F4"/>
    <w:rsid w:val="000E1696"/>
    <w:rsid w:val="000E2357"/>
    <w:rsid w:val="000E538D"/>
    <w:rsid w:val="000E6ED7"/>
    <w:rsid w:val="000E7B7F"/>
    <w:rsid w:val="000F3DDB"/>
    <w:rsid w:val="000F65D4"/>
    <w:rsid w:val="00100E23"/>
    <w:rsid w:val="001022A5"/>
    <w:rsid w:val="00107689"/>
    <w:rsid w:val="001103D2"/>
    <w:rsid w:val="0011233B"/>
    <w:rsid w:val="0011437D"/>
    <w:rsid w:val="0012369F"/>
    <w:rsid w:val="0012739B"/>
    <w:rsid w:val="00142AB2"/>
    <w:rsid w:val="001435D5"/>
    <w:rsid w:val="001449DB"/>
    <w:rsid w:val="001471FF"/>
    <w:rsid w:val="0016245F"/>
    <w:rsid w:val="00175FAB"/>
    <w:rsid w:val="00176E5A"/>
    <w:rsid w:val="001770D5"/>
    <w:rsid w:val="00177C1B"/>
    <w:rsid w:val="00183F2E"/>
    <w:rsid w:val="00184FB0"/>
    <w:rsid w:val="0019065A"/>
    <w:rsid w:val="0019555C"/>
    <w:rsid w:val="00195643"/>
    <w:rsid w:val="00196529"/>
    <w:rsid w:val="001B3C13"/>
    <w:rsid w:val="001B5181"/>
    <w:rsid w:val="001C4928"/>
    <w:rsid w:val="001C5C9E"/>
    <w:rsid w:val="001D050B"/>
    <w:rsid w:val="001D06BA"/>
    <w:rsid w:val="001E44B0"/>
    <w:rsid w:val="00203603"/>
    <w:rsid w:val="00223727"/>
    <w:rsid w:val="002250BC"/>
    <w:rsid w:val="00226BA9"/>
    <w:rsid w:val="00227E40"/>
    <w:rsid w:val="0024205F"/>
    <w:rsid w:val="002420F1"/>
    <w:rsid w:val="0024500F"/>
    <w:rsid w:val="002458FB"/>
    <w:rsid w:val="00251BA0"/>
    <w:rsid w:val="002528A9"/>
    <w:rsid w:val="00262A0E"/>
    <w:rsid w:val="00265074"/>
    <w:rsid w:val="00276C1C"/>
    <w:rsid w:val="002814BA"/>
    <w:rsid w:val="00284AED"/>
    <w:rsid w:val="00292016"/>
    <w:rsid w:val="002A265B"/>
    <w:rsid w:val="002A3C3C"/>
    <w:rsid w:val="002A4D20"/>
    <w:rsid w:val="002A4E48"/>
    <w:rsid w:val="002B2B43"/>
    <w:rsid w:val="002B44F6"/>
    <w:rsid w:val="002B7EE6"/>
    <w:rsid w:val="002D21C8"/>
    <w:rsid w:val="002D529C"/>
    <w:rsid w:val="002D580B"/>
    <w:rsid w:val="002D6E36"/>
    <w:rsid w:val="002F006F"/>
    <w:rsid w:val="002F00BC"/>
    <w:rsid w:val="002F16C7"/>
    <w:rsid w:val="002F27A3"/>
    <w:rsid w:val="0031084E"/>
    <w:rsid w:val="003123FB"/>
    <w:rsid w:val="0032159A"/>
    <w:rsid w:val="00324D0B"/>
    <w:rsid w:val="00324EE2"/>
    <w:rsid w:val="00326735"/>
    <w:rsid w:val="00327E8F"/>
    <w:rsid w:val="00330686"/>
    <w:rsid w:val="003329FE"/>
    <w:rsid w:val="00336464"/>
    <w:rsid w:val="00336DCA"/>
    <w:rsid w:val="0035518C"/>
    <w:rsid w:val="00361C40"/>
    <w:rsid w:val="003678D6"/>
    <w:rsid w:val="00367BB7"/>
    <w:rsid w:val="00372076"/>
    <w:rsid w:val="00376583"/>
    <w:rsid w:val="00380EE4"/>
    <w:rsid w:val="0038343A"/>
    <w:rsid w:val="00384534"/>
    <w:rsid w:val="00391463"/>
    <w:rsid w:val="0039154B"/>
    <w:rsid w:val="00391983"/>
    <w:rsid w:val="003A01B1"/>
    <w:rsid w:val="003A3605"/>
    <w:rsid w:val="003A3F6A"/>
    <w:rsid w:val="003B45E7"/>
    <w:rsid w:val="003C0ACD"/>
    <w:rsid w:val="003C40C2"/>
    <w:rsid w:val="003C5054"/>
    <w:rsid w:val="003D2A6F"/>
    <w:rsid w:val="003E27E6"/>
    <w:rsid w:val="003E2F50"/>
    <w:rsid w:val="003E4FC8"/>
    <w:rsid w:val="003F1CDE"/>
    <w:rsid w:val="0040553B"/>
    <w:rsid w:val="00407A1F"/>
    <w:rsid w:val="00411CC2"/>
    <w:rsid w:val="004212F4"/>
    <w:rsid w:val="0042584B"/>
    <w:rsid w:val="004277A4"/>
    <w:rsid w:val="00432CFD"/>
    <w:rsid w:val="00437B95"/>
    <w:rsid w:val="00440321"/>
    <w:rsid w:val="00443EA8"/>
    <w:rsid w:val="00455300"/>
    <w:rsid w:val="004569AB"/>
    <w:rsid w:val="00463F3B"/>
    <w:rsid w:val="00472F23"/>
    <w:rsid w:val="004850D8"/>
    <w:rsid w:val="00490889"/>
    <w:rsid w:val="00491A1B"/>
    <w:rsid w:val="00493AC0"/>
    <w:rsid w:val="004A56C5"/>
    <w:rsid w:val="004B23BC"/>
    <w:rsid w:val="004C3116"/>
    <w:rsid w:val="004C4C7F"/>
    <w:rsid w:val="004C62E6"/>
    <w:rsid w:val="004D0A0E"/>
    <w:rsid w:val="004D4F8C"/>
    <w:rsid w:val="004D5C2F"/>
    <w:rsid w:val="004D5E5A"/>
    <w:rsid w:val="004D60C6"/>
    <w:rsid w:val="004D7F38"/>
    <w:rsid w:val="004E1845"/>
    <w:rsid w:val="004E7604"/>
    <w:rsid w:val="004F5D0B"/>
    <w:rsid w:val="005022A5"/>
    <w:rsid w:val="00502D03"/>
    <w:rsid w:val="005052DD"/>
    <w:rsid w:val="0050656F"/>
    <w:rsid w:val="00507B31"/>
    <w:rsid w:val="00523A6C"/>
    <w:rsid w:val="005256FB"/>
    <w:rsid w:val="0053056F"/>
    <w:rsid w:val="00530BAF"/>
    <w:rsid w:val="00534BAB"/>
    <w:rsid w:val="005409C9"/>
    <w:rsid w:val="00543033"/>
    <w:rsid w:val="00550065"/>
    <w:rsid w:val="005511A4"/>
    <w:rsid w:val="0055201A"/>
    <w:rsid w:val="00552B5C"/>
    <w:rsid w:val="00557839"/>
    <w:rsid w:val="00560D39"/>
    <w:rsid w:val="0058056F"/>
    <w:rsid w:val="00586165"/>
    <w:rsid w:val="005863E6"/>
    <w:rsid w:val="00592D47"/>
    <w:rsid w:val="005A09B4"/>
    <w:rsid w:val="005A1F37"/>
    <w:rsid w:val="005B6A47"/>
    <w:rsid w:val="005D76FF"/>
    <w:rsid w:val="005E1382"/>
    <w:rsid w:val="005E297A"/>
    <w:rsid w:val="005E56A9"/>
    <w:rsid w:val="005E5A6D"/>
    <w:rsid w:val="005E6BB6"/>
    <w:rsid w:val="005F1B21"/>
    <w:rsid w:val="005F24CA"/>
    <w:rsid w:val="005F53E8"/>
    <w:rsid w:val="00606D02"/>
    <w:rsid w:val="006138D7"/>
    <w:rsid w:val="0061797D"/>
    <w:rsid w:val="00624040"/>
    <w:rsid w:val="00626A1E"/>
    <w:rsid w:val="00636FF1"/>
    <w:rsid w:val="00641C5C"/>
    <w:rsid w:val="006500EC"/>
    <w:rsid w:val="006555BF"/>
    <w:rsid w:val="00656383"/>
    <w:rsid w:val="00656599"/>
    <w:rsid w:val="00657257"/>
    <w:rsid w:val="00657EC1"/>
    <w:rsid w:val="0066145E"/>
    <w:rsid w:val="0066787A"/>
    <w:rsid w:val="00674CEC"/>
    <w:rsid w:val="006761C0"/>
    <w:rsid w:val="00677B7E"/>
    <w:rsid w:val="00680AE7"/>
    <w:rsid w:val="00683E16"/>
    <w:rsid w:val="00691E1A"/>
    <w:rsid w:val="006942D0"/>
    <w:rsid w:val="006971DC"/>
    <w:rsid w:val="006A4507"/>
    <w:rsid w:val="006B4D1B"/>
    <w:rsid w:val="006B5AEF"/>
    <w:rsid w:val="006B7E79"/>
    <w:rsid w:val="006C3F3D"/>
    <w:rsid w:val="006D1D3F"/>
    <w:rsid w:val="006D4887"/>
    <w:rsid w:val="006D5502"/>
    <w:rsid w:val="006D7169"/>
    <w:rsid w:val="006E063B"/>
    <w:rsid w:val="006E34D8"/>
    <w:rsid w:val="006E3995"/>
    <w:rsid w:val="006F0D13"/>
    <w:rsid w:val="006F5819"/>
    <w:rsid w:val="006F59C0"/>
    <w:rsid w:val="006F5A45"/>
    <w:rsid w:val="00707638"/>
    <w:rsid w:val="00710083"/>
    <w:rsid w:val="00712310"/>
    <w:rsid w:val="007124EC"/>
    <w:rsid w:val="00727589"/>
    <w:rsid w:val="00733545"/>
    <w:rsid w:val="00736B20"/>
    <w:rsid w:val="00736DC5"/>
    <w:rsid w:val="00740901"/>
    <w:rsid w:val="00743315"/>
    <w:rsid w:val="007457D7"/>
    <w:rsid w:val="00747934"/>
    <w:rsid w:val="007533B2"/>
    <w:rsid w:val="0075580A"/>
    <w:rsid w:val="007574F6"/>
    <w:rsid w:val="00761F03"/>
    <w:rsid w:val="00770D67"/>
    <w:rsid w:val="00771313"/>
    <w:rsid w:val="00773353"/>
    <w:rsid w:val="007736AF"/>
    <w:rsid w:val="00773CD0"/>
    <w:rsid w:val="007802BE"/>
    <w:rsid w:val="00781F5E"/>
    <w:rsid w:val="00787B57"/>
    <w:rsid w:val="007916D7"/>
    <w:rsid w:val="00793C0F"/>
    <w:rsid w:val="007A2064"/>
    <w:rsid w:val="007B3721"/>
    <w:rsid w:val="007B38D6"/>
    <w:rsid w:val="007B4F29"/>
    <w:rsid w:val="007B5E0E"/>
    <w:rsid w:val="007C3C18"/>
    <w:rsid w:val="007C4D77"/>
    <w:rsid w:val="007D2E4D"/>
    <w:rsid w:val="007D4617"/>
    <w:rsid w:val="007D691F"/>
    <w:rsid w:val="007E2D30"/>
    <w:rsid w:val="007E3C09"/>
    <w:rsid w:val="007E538A"/>
    <w:rsid w:val="007E5442"/>
    <w:rsid w:val="007E621F"/>
    <w:rsid w:val="007F18BB"/>
    <w:rsid w:val="007F32C3"/>
    <w:rsid w:val="007F6268"/>
    <w:rsid w:val="00801259"/>
    <w:rsid w:val="00801CC8"/>
    <w:rsid w:val="00801DA5"/>
    <w:rsid w:val="00802A23"/>
    <w:rsid w:val="00815671"/>
    <w:rsid w:val="00821431"/>
    <w:rsid w:val="00822DAD"/>
    <w:rsid w:val="00832ADC"/>
    <w:rsid w:val="00834047"/>
    <w:rsid w:val="0083433A"/>
    <w:rsid w:val="00834CC0"/>
    <w:rsid w:val="00842E47"/>
    <w:rsid w:val="00843825"/>
    <w:rsid w:val="008458EE"/>
    <w:rsid w:val="00850371"/>
    <w:rsid w:val="0085051A"/>
    <w:rsid w:val="008516B2"/>
    <w:rsid w:val="00851AD4"/>
    <w:rsid w:val="00857BE8"/>
    <w:rsid w:val="0086511F"/>
    <w:rsid w:val="00874EDA"/>
    <w:rsid w:val="00875F25"/>
    <w:rsid w:val="0088249E"/>
    <w:rsid w:val="00887620"/>
    <w:rsid w:val="00891A09"/>
    <w:rsid w:val="00891B5F"/>
    <w:rsid w:val="008975C1"/>
    <w:rsid w:val="008A47C2"/>
    <w:rsid w:val="008A539D"/>
    <w:rsid w:val="008B2B7E"/>
    <w:rsid w:val="008B4E31"/>
    <w:rsid w:val="008B5595"/>
    <w:rsid w:val="008B58F8"/>
    <w:rsid w:val="008B7169"/>
    <w:rsid w:val="008C3725"/>
    <w:rsid w:val="008C49A1"/>
    <w:rsid w:val="008C4D28"/>
    <w:rsid w:val="008C4D79"/>
    <w:rsid w:val="008C5020"/>
    <w:rsid w:val="008D0103"/>
    <w:rsid w:val="008E20E2"/>
    <w:rsid w:val="008E238C"/>
    <w:rsid w:val="008E5B74"/>
    <w:rsid w:val="008E685C"/>
    <w:rsid w:val="008F278B"/>
    <w:rsid w:val="008F29A8"/>
    <w:rsid w:val="008F3249"/>
    <w:rsid w:val="008F7108"/>
    <w:rsid w:val="0090143C"/>
    <w:rsid w:val="009014E4"/>
    <w:rsid w:val="00903EA2"/>
    <w:rsid w:val="009068DB"/>
    <w:rsid w:val="00917DE4"/>
    <w:rsid w:val="00927B66"/>
    <w:rsid w:val="00930B37"/>
    <w:rsid w:val="009324DA"/>
    <w:rsid w:val="00943E90"/>
    <w:rsid w:val="00951BAD"/>
    <w:rsid w:val="00956FC7"/>
    <w:rsid w:val="0096209D"/>
    <w:rsid w:val="009626D7"/>
    <w:rsid w:val="00970DDF"/>
    <w:rsid w:val="00986A21"/>
    <w:rsid w:val="009904C6"/>
    <w:rsid w:val="009922E6"/>
    <w:rsid w:val="00992608"/>
    <w:rsid w:val="009932E3"/>
    <w:rsid w:val="00993643"/>
    <w:rsid w:val="00996A8A"/>
    <w:rsid w:val="009A1268"/>
    <w:rsid w:val="009A2296"/>
    <w:rsid w:val="009A4C59"/>
    <w:rsid w:val="009A63E4"/>
    <w:rsid w:val="009B425B"/>
    <w:rsid w:val="009B4A70"/>
    <w:rsid w:val="009B584A"/>
    <w:rsid w:val="009B76DC"/>
    <w:rsid w:val="009C1B89"/>
    <w:rsid w:val="009C1B91"/>
    <w:rsid w:val="009C6049"/>
    <w:rsid w:val="009D122C"/>
    <w:rsid w:val="009F3DA9"/>
    <w:rsid w:val="009F5754"/>
    <w:rsid w:val="00A0197F"/>
    <w:rsid w:val="00A15E3B"/>
    <w:rsid w:val="00A30550"/>
    <w:rsid w:val="00A31C35"/>
    <w:rsid w:val="00A3343E"/>
    <w:rsid w:val="00A42042"/>
    <w:rsid w:val="00A55765"/>
    <w:rsid w:val="00A72E0E"/>
    <w:rsid w:val="00A74D50"/>
    <w:rsid w:val="00A80FF6"/>
    <w:rsid w:val="00A83A0D"/>
    <w:rsid w:val="00A92163"/>
    <w:rsid w:val="00A936B5"/>
    <w:rsid w:val="00A9405A"/>
    <w:rsid w:val="00A9712A"/>
    <w:rsid w:val="00A972FB"/>
    <w:rsid w:val="00AB25B2"/>
    <w:rsid w:val="00AB6136"/>
    <w:rsid w:val="00AB73C7"/>
    <w:rsid w:val="00AD228B"/>
    <w:rsid w:val="00AD73CF"/>
    <w:rsid w:val="00AF1298"/>
    <w:rsid w:val="00AF33BB"/>
    <w:rsid w:val="00AF6866"/>
    <w:rsid w:val="00B01DDC"/>
    <w:rsid w:val="00B02E05"/>
    <w:rsid w:val="00B0360C"/>
    <w:rsid w:val="00B04BDF"/>
    <w:rsid w:val="00B05403"/>
    <w:rsid w:val="00B06B4C"/>
    <w:rsid w:val="00B1744B"/>
    <w:rsid w:val="00B1796E"/>
    <w:rsid w:val="00B30F23"/>
    <w:rsid w:val="00B335BE"/>
    <w:rsid w:val="00B34287"/>
    <w:rsid w:val="00B43218"/>
    <w:rsid w:val="00B459F4"/>
    <w:rsid w:val="00B47A08"/>
    <w:rsid w:val="00B47F93"/>
    <w:rsid w:val="00B64745"/>
    <w:rsid w:val="00B7596A"/>
    <w:rsid w:val="00B80543"/>
    <w:rsid w:val="00B80E94"/>
    <w:rsid w:val="00B811BC"/>
    <w:rsid w:val="00B81376"/>
    <w:rsid w:val="00B815A0"/>
    <w:rsid w:val="00B834A0"/>
    <w:rsid w:val="00B83E45"/>
    <w:rsid w:val="00B84EE1"/>
    <w:rsid w:val="00B914C7"/>
    <w:rsid w:val="00B91AB8"/>
    <w:rsid w:val="00B94A03"/>
    <w:rsid w:val="00B94FBF"/>
    <w:rsid w:val="00BA4B00"/>
    <w:rsid w:val="00BA5789"/>
    <w:rsid w:val="00BA712D"/>
    <w:rsid w:val="00BB10B5"/>
    <w:rsid w:val="00BB1925"/>
    <w:rsid w:val="00BB33A7"/>
    <w:rsid w:val="00BC4014"/>
    <w:rsid w:val="00BC5958"/>
    <w:rsid w:val="00BC6731"/>
    <w:rsid w:val="00BD3E62"/>
    <w:rsid w:val="00BE44EE"/>
    <w:rsid w:val="00BE6F83"/>
    <w:rsid w:val="00BF048D"/>
    <w:rsid w:val="00BF3B9A"/>
    <w:rsid w:val="00BF5566"/>
    <w:rsid w:val="00BF7673"/>
    <w:rsid w:val="00C05241"/>
    <w:rsid w:val="00C0554A"/>
    <w:rsid w:val="00C06510"/>
    <w:rsid w:val="00C14C7B"/>
    <w:rsid w:val="00C3014F"/>
    <w:rsid w:val="00C33EED"/>
    <w:rsid w:val="00C34E55"/>
    <w:rsid w:val="00C41AEC"/>
    <w:rsid w:val="00C451DA"/>
    <w:rsid w:val="00C53B1D"/>
    <w:rsid w:val="00C57697"/>
    <w:rsid w:val="00C60B8D"/>
    <w:rsid w:val="00C66061"/>
    <w:rsid w:val="00C71F1E"/>
    <w:rsid w:val="00C7329A"/>
    <w:rsid w:val="00C814F5"/>
    <w:rsid w:val="00C81813"/>
    <w:rsid w:val="00C86442"/>
    <w:rsid w:val="00C938EA"/>
    <w:rsid w:val="00C9424F"/>
    <w:rsid w:val="00CA765A"/>
    <w:rsid w:val="00CA7926"/>
    <w:rsid w:val="00CB3264"/>
    <w:rsid w:val="00CB5812"/>
    <w:rsid w:val="00CC0B7A"/>
    <w:rsid w:val="00CC4061"/>
    <w:rsid w:val="00CC4283"/>
    <w:rsid w:val="00CC5B33"/>
    <w:rsid w:val="00CC5C7F"/>
    <w:rsid w:val="00CC6450"/>
    <w:rsid w:val="00CC768F"/>
    <w:rsid w:val="00CC7C10"/>
    <w:rsid w:val="00CD21F2"/>
    <w:rsid w:val="00CD2A5F"/>
    <w:rsid w:val="00CE0BD4"/>
    <w:rsid w:val="00CE5283"/>
    <w:rsid w:val="00CE725F"/>
    <w:rsid w:val="00CF090D"/>
    <w:rsid w:val="00CF5820"/>
    <w:rsid w:val="00CF5B16"/>
    <w:rsid w:val="00CF7B9D"/>
    <w:rsid w:val="00D01BCB"/>
    <w:rsid w:val="00D026DE"/>
    <w:rsid w:val="00D10C34"/>
    <w:rsid w:val="00D14A79"/>
    <w:rsid w:val="00D14B4B"/>
    <w:rsid w:val="00D1709B"/>
    <w:rsid w:val="00D32D86"/>
    <w:rsid w:val="00D33BC6"/>
    <w:rsid w:val="00D372BA"/>
    <w:rsid w:val="00D43EDE"/>
    <w:rsid w:val="00D45233"/>
    <w:rsid w:val="00D467A7"/>
    <w:rsid w:val="00D47A20"/>
    <w:rsid w:val="00D5510A"/>
    <w:rsid w:val="00D56365"/>
    <w:rsid w:val="00D56D7E"/>
    <w:rsid w:val="00D57C27"/>
    <w:rsid w:val="00D6489E"/>
    <w:rsid w:val="00D73542"/>
    <w:rsid w:val="00D73AB4"/>
    <w:rsid w:val="00D7766C"/>
    <w:rsid w:val="00D90C88"/>
    <w:rsid w:val="00D90E2F"/>
    <w:rsid w:val="00D917F8"/>
    <w:rsid w:val="00D9384D"/>
    <w:rsid w:val="00D9719B"/>
    <w:rsid w:val="00DA36D0"/>
    <w:rsid w:val="00DB0115"/>
    <w:rsid w:val="00DB0AE1"/>
    <w:rsid w:val="00DB2C9C"/>
    <w:rsid w:val="00DB500A"/>
    <w:rsid w:val="00DB5E15"/>
    <w:rsid w:val="00DB7B42"/>
    <w:rsid w:val="00DC0DEA"/>
    <w:rsid w:val="00DC24B9"/>
    <w:rsid w:val="00DC2FDF"/>
    <w:rsid w:val="00DC3B91"/>
    <w:rsid w:val="00DC3F73"/>
    <w:rsid w:val="00DC4FE7"/>
    <w:rsid w:val="00DC5918"/>
    <w:rsid w:val="00DD2609"/>
    <w:rsid w:val="00DD3360"/>
    <w:rsid w:val="00DD559E"/>
    <w:rsid w:val="00DE12B4"/>
    <w:rsid w:val="00DE48AD"/>
    <w:rsid w:val="00DE5CDB"/>
    <w:rsid w:val="00DE6819"/>
    <w:rsid w:val="00DF0037"/>
    <w:rsid w:val="00DF066D"/>
    <w:rsid w:val="00DF3CB0"/>
    <w:rsid w:val="00DF46CA"/>
    <w:rsid w:val="00E02B53"/>
    <w:rsid w:val="00E02EE5"/>
    <w:rsid w:val="00E0534F"/>
    <w:rsid w:val="00E11B4E"/>
    <w:rsid w:val="00E21898"/>
    <w:rsid w:val="00E30F38"/>
    <w:rsid w:val="00E35EC1"/>
    <w:rsid w:val="00E406FB"/>
    <w:rsid w:val="00E425D0"/>
    <w:rsid w:val="00E45196"/>
    <w:rsid w:val="00E47F46"/>
    <w:rsid w:val="00E54FD2"/>
    <w:rsid w:val="00E601FD"/>
    <w:rsid w:val="00E64851"/>
    <w:rsid w:val="00E64F1C"/>
    <w:rsid w:val="00E6561E"/>
    <w:rsid w:val="00E66788"/>
    <w:rsid w:val="00E7124C"/>
    <w:rsid w:val="00E74013"/>
    <w:rsid w:val="00E805E7"/>
    <w:rsid w:val="00E81085"/>
    <w:rsid w:val="00E83094"/>
    <w:rsid w:val="00E944CB"/>
    <w:rsid w:val="00EA2093"/>
    <w:rsid w:val="00EA58AB"/>
    <w:rsid w:val="00EB3D1D"/>
    <w:rsid w:val="00EC2D33"/>
    <w:rsid w:val="00EC390E"/>
    <w:rsid w:val="00EC4B80"/>
    <w:rsid w:val="00EC76F3"/>
    <w:rsid w:val="00ED04F7"/>
    <w:rsid w:val="00ED176A"/>
    <w:rsid w:val="00ED1D2D"/>
    <w:rsid w:val="00ED27B8"/>
    <w:rsid w:val="00ED3A85"/>
    <w:rsid w:val="00ED48EA"/>
    <w:rsid w:val="00ED514A"/>
    <w:rsid w:val="00EE180D"/>
    <w:rsid w:val="00EE6E6A"/>
    <w:rsid w:val="00EF0586"/>
    <w:rsid w:val="00EF3DF0"/>
    <w:rsid w:val="00EF7271"/>
    <w:rsid w:val="00F10B67"/>
    <w:rsid w:val="00F1111D"/>
    <w:rsid w:val="00F140BB"/>
    <w:rsid w:val="00F14A48"/>
    <w:rsid w:val="00F21687"/>
    <w:rsid w:val="00F2282D"/>
    <w:rsid w:val="00F248E3"/>
    <w:rsid w:val="00F27065"/>
    <w:rsid w:val="00F311F2"/>
    <w:rsid w:val="00F33F04"/>
    <w:rsid w:val="00F34BF0"/>
    <w:rsid w:val="00F34CB8"/>
    <w:rsid w:val="00F54BB7"/>
    <w:rsid w:val="00F56C23"/>
    <w:rsid w:val="00F602BA"/>
    <w:rsid w:val="00F60DC9"/>
    <w:rsid w:val="00F6369A"/>
    <w:rsid w:val="00F65BAA"/>
    <w:rsid w:val="00F67886"/>
    <w:rsid w:val="00F75C64"/>
    <w:rsid w:val="00F76AA7"/>
    <w:rsid w:val="00F811E0"/>
    <w:rsid w:val="00F819D6"/>
    <w:rsid w:val="00F81E6F"/>
    <w:rsid w:val="00F82735"/>
    <w:rsid w:val="00F849D7"/>
    <w:rsid w:val="00F9184E"/>
    <w:rsid w:val="00F918BD"/>
    <w:rsid w:val="00F93B4D"/>
    <w:rsid w:val="00F93DEA"/>
    <w:rsid w:val="00FA3A34"/>
    <w:rsid w:val="00FB0F0A"/>
    <w:rsid w:val="00FC2424"/>
    <w:rsid w:val="00FE35F9"/>
    <w:rsid w:val="00FE70CF"/>
    <w:rsid w:val="00FE7385"/>
    <w:rsid w:val="00FF0231"/>
    <w:rsid w:val="00FF168E"/>
    <w:rsid w:val="00FF244C"/>
    <w:rsid w:val="00FF3A51"/>
    <w:rsid w:val="00FF7B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before="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1AD4"/>
    <w:pPr>
      <w:autoSpaceDE w:val="0"/>
      <w:autoSpaceDN w:val="0"/>
      <w:adjustRightInd w:val="0"/>
      <w:jc w:val="both"/>
      <w:textAlignment w:val="center"/>
    </w:pPr>
    <w:rPr>
      <w:rFonts w:ascii="Cambria" w:hAnsi="Cambria" w:cs="Cambria"/>
      <w:color w:val="000000"/>
    </w:rPr>
  </w:style>
  <w:style w:type="paragraph" w:styleId="Nadpis1">
    <w:name w:val="heading 1"/>
    <w:basedOn w:val="Normln"/>
    <w:next w:val="Normln"/>
    <w:link w:val="Nadpis1Char"/>
    <w:uiPriority w:val="9"/>
    <w:qFormat/>
    <w:rsid w:val="003B45E7"/>
    <w:pPr>
      <w:spacing w:before="240" w:after="120"/>
      <w:outlineLvl w:val="0"/>
    </w:pPr>
    <w:rPr>
      <w:b/>
      <w:sz w:val="28"/>
    </w:rPr>
  </w:style>
  <w:style w:type="paragraph" w:styleId="Nadpis2">
    <w:name w:val="heading 2"/>
    <w:basedOn w:val="Normln"/>
    <w:next w:val="Normln"/>
    <w:link w:val="Nadpis2Char"/>
    <w:uiPriority w:val="9"/>
    <w:unhideWhenUsed/>
    <w:qFormat/>
    <w:rsid w:val="003B45E7"/>
    <w:pPr>
      <w:spacing w:before="240" w:after="120"/>
      <w:outlineLvl w:val="1"/>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500EC"/>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00EC"/>
    <w:rPr>
      <w:rFonts w:ascii="Tahoma" w:hAnsi="Tahoma" w:cs="Tahoma"/>
      <w:sz w:val="16"/>
      <w:szCs w:val="16"/>
    </w:rPr>
  </w:style>
  <w:style w:type="paragraph" w:styleId="Zhlav">
    <w:name w:val="header"/>
    <w:basedOn w:val="Normln"/>
    <w:link w:val="ZhlavChar"/>
    <w:uiPriority w:val="99"/>
    <w:unhideWhenUsed/>
    <w:rsid w:val="006500EC"/>
    <w:pPr>
      <w:tabs>
        <w:tab w:val="center" w:pos="4536"/>
        <w:tab w:val="right" w:pos="9072"/>
      </w:tabs>
      <w:spacing w:line="240" w:lineRule="auto"/>
    </w:pPr>
  </w:style>
  <w:style w:type="character" w:customStyle="1" w:styleId="ZhlavChar">
    <w:name w:val="Záhlaví Char"/>
    <w:basedOn w:val="Standardnpsmoodstavce"/>
    <w:link w:val="Zhlav"/>
    <w:uiPriority w:val="99"/>
    <w:rsid w:val="006500EC"/>
  </w:style>
  <w:style w:type="paragraph" w:styleId="Zpat">
    <w:name w:val="footer"/>
    <w:basedOn w:val="Normln"/>
    <w:link w:val="ZpatChar1"/>
    <w:uiPriority w:val="99"/>
    <w:unhideWhenUsed/>
    <w:rsid w:val="006500EC"/>
    <w:pPr>
      <w:tabs>
        <w:tab w:val="center" w:pos="4536"/>
        <w:tab w:val="right" w:pos="9072"/>
      </w:tabs>
      <w:spacing w:line="240" w:lineRule="auto"/>
    </w:pPr>
  </w:style>
  <w:style w:type="character" w:customStyle="1" w:styleId="ZpatChar1">
    <w:name w:val="Zápatí Char1"/>
    <w:basedOn w:val="Standardnpsmoodstavce"/>
    <w:link w:val="Zpat"/>
    <w:uiPriority w:val="99"/>
    <w:rsid w:val="006500EC"/>
  </w:style>
  <w:style w:type="table" w:styleId="Mkatabulky">
    <w:name w:val="Table Grid"/>
    <w:basedOn w:val="Normlntabulka"/>
    <w:uiPriority w:val="59"/>
    <w:rsid w:val="006500E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rsid w:val="006500EC"/>
    <w:pPr>
      <w:spacing w:line="288" w:lineRule="auto"/>
    </w:pPr>
    <w:rPr>
      <w:rFonts w:ascii="Minion Pro" w:hAnsi="Minion Pro" w:cs="Minion Pro"/>
      <w:sz w:val="24"/>
      <w:szCs w:val="24"/>
    </w:rPr>
  </w:style>
  <w:style w:type="paragraph" w:customStyle="1" w:styleId="Nadpisdokumentu">
    <w:name w:val="Nadpis dokumentu"/>
    <w:basedOn w:val="Normln"/>
    <w:next w:val="Normln"/>
    <w:link w:val="NadpisdokumentuChar"/>
    <w:qFormat/>
    <w:rsid w:val="00996A8A"/>
    <w:pPr>
      <w:jc w:val="right"/>
    </w:pPr>
    <w:rPr>
      <w:rFonts w:asciiTheme="majorHAnsi" w:hAnsiTheme="majorHAnsi"/>
      <w:b/>
      <w:noProof/>
      <w:sz w:val="36"/>
      <w:lang w:eastAsia="cs-CZ"/>
    </w:rPr>
  </w:style>
  <w:style w:type="paragraph" w:customStyle="1" w:styleId="Textvtabulce">
    <w:name w:val="Text v tabulce"/>
    <w:basedOn w:val="Normln"/>
    <w:link w:val="TextvtabulceChar"/>
    <w:qFormat/>
    <w:rsid w:val="0096209D"/>
    <w:pPr>
      <w:spacing w:before="40" w:after="40" w:line="240" w:lineRule="auto"/>
    </w:pPr>
    <w:rPr>
      <w:sz w:val="20"/>
    </w:rPr>
  </w:style>
  <w:style w:type="character" w:customStyle="1" w:styleId="NadpisdokumentuChar">
    <w:name w:val="Nadpis dokumentu Char"/>
    <w:basedOn w:val="Standardnpsmoodstavce"/>
    <w:link w:val="Nadpisdokumentu"/>
    <w:rsid w:val="00996A8A"/>
    <w:rPr>
      <w:rFonts w:asciiTheme="majorHAnsi" w:hAnsiTheme="majorHAnsi"/>
      <w:b/>
      <w:noProof/>
      <w:sz w:val="36"/>
      <w:lang w:eastAsia="cs-CZ"/>
    </w:rPr>
  </w:style>
  <w:style w:type="paragraph" w:customStyle="1" w:styleId="Zpat1">
    <w:name w:val="Zápatí1"/>
    <w:basedOn w:val="Zpat"/>
    <w:link w:val="ZpatChar"/>
    <w:qFormat/>
    <w:rsid w:val="00523A6C"/>
    <w:pPr>
      <w:spacing w:before="0"/>
      <w:jc w:val="right"/>
    </w:pPr>
    <w:rPr>
      <w:noProof/>
      <w:sz w:val="16"/>
      <w:lang w:eastAsia="cs-CZ"/>
    </w:rPr>
  </w:style>
  <w:style w:type="character" w:customStyle="1" w:styleId="TextvtabulceChar">
    <w:name w:val="Text v tabulce Char"/>
    <w:basedOn w:val="Standardnpsmoodstavce"/>
    <w:link w:val="Textvtabulce"/>
    <w:rsid w:val="0096209D"/>
    <w:rPr>
      <w:rFonts w:ascii="Cambria" w:hAnsi="Cambria" w:cs="Cambria"/>
      <w:color w:val="000000"/>
      <w:sz w:val="20"/>
    </w:rPr>
  </w:style>
  <w:style w:type="character" w:customStyle="1" w:styleId="ZpatChar">
    <w:name w:val="Zápatí Char"/>
    <w:basedOn w:val="ZpatChar1"/>
    <w:link w:val="Zpat1"/>
    <w:rsid w:val="00523A6C"/>
    <w:rPr>
      <w:rFonts w:ascii="Cambria" w:hAnsi="Cambria" w:cs="Cambria"/>
      <w:noProof/>
      <w:color w:val="000000"/>
      <w:sz w:val="16"/>
      <w:lang w:eastAsia="cs-CZ"/>
    </w:rPr>
  </w:style>
  <w:style w:type="paragraph" w:styleId="Zkladntextodsazen">
    <w:name w:val="Body Text Indent"/>
    <w:basedOn w:val="Normln"/>
    <w:link w:val="ZkladntextodsazenChar"/>
    <w:rsid w:val="00802A23"/>
    <w:pPr>
      <w:overflowPunct w:val="0"/>
      <w:spacing w:line="240" w:lineRule="auto"/>
      <w:ind w:firstLine="709"/>
      <w:textAlignment w:val="baseline"/>
    </w:pPr>
    <w:rPr>
      <w:rFonts w:ascii="Times New Roman" w:eastAsia="Times New Roman" w:hAnsi="Times New Roman" w:cs="Times New Roman"/>
      <w:color w:val="auto"/>
      <w:sz w:val="24"/>
      <w:szCs w:val="20"/>
      <w:lang w:eastAsia="cs-CZ"/>
    </w:rPr>
  </w:style>
  <w:style w:type="character" w:customStyle="1" w:styleId="ZkladntextodsazenChar">
    <w:name w:val="Základní text odsazený Char"/>
    <w:basedOn w:val="Standardnpsmoodstavce"/>
    <w:link w:val="Zkladntextodsazen"/>
    <w:rsid w:val="00802A23"/>
    <w:rPr>
      <w:rFonts w:ascii="Times New Roman" w:eastAsia="Times New Roman" w:hAnsi="Times New Roman" w:cs="Times New Roman"/>
      <w:sz w:val="24"/>
      <w:szCs w:val="20"/>
      <w:lang w:eastAsia="cs-CZ"/>
    </w:rPr>
  </w:style>
  <w:style w:type="character" w:styleId="Zstupntext">
    <w:name w:val="Placeholder Text"/>
    <w:basedOn w:val="Standardnpsmoodstavce"/>
    <w:uiPriority w:val="99"/>
    <w:semiHidden/>
    <w:rsid w:val="00802A23"/>
    <w:rPr>
      <w:color w:val="808080"/>
    </w:rPr>
  </w:style>
  <w:style w:type="character" w:customStyle="1" w:styleId="Nadpis1Char">
    <w:name w:val="Nadpis 1 Char"/>
    <w:basedOn w:val="Standardnpsmoodstavce"/>
    <w:link w:val="Nadpis1"/>
    <w:uiPriority w:val="9"/>
    <w:rsid w:val="003B45E7"/>
    <w:rPr>
      <w:rFonts w:ascii="Cambria" w:hAnsi="Cambria" w:cs="Cambria"/>
      <w:b/>
      <w:color w:val="000000"/>
      <w:sz w:val="28"/>
    </w:rPr>
  </w:style>
  <w:style w:type="character" w:customStyle="1" w:styleId="Nadpis2Char">
    <w:name w:val="Nadpis 2 Char"/>
    <w:basedOn w:val="Standardnpsmoodstavce"/>
    <w:link w:val="Nadpis2"/>
    <w:uiPriority w:val="9"/>
    <w:rsid w:val="003B45E7"/>
    <w:rPr>
      <w:rFonts w:ascii="Cambria" w:hAnsi="Cambria" w:cs="Cambria"/>
      <w:b/>
      <w:color w:val="000000"/>
      <w:sz w:val="24"/>
    </w:rPr>
  </w:style>
  <w:style w:type="paragraph" w:styleId="Odstavecseseznamem">
    <w:name w:val="List Paragraph"/>
    <w:basedOn w:val="Normln"/>
    <w:uiPriority w:val="34"/>
    <w:qFormat/>
    <w:rsid w:val="003B45E7"/>
    <w:pPr>
      <w:ind w:left="720"/>
      <w:contextualSpacing/>
    </w:pPr>
  </w:style>
  <w:style w:type="paragraph" w:customStyle="1" w:styleId="Grafickprvek">
    <w:name w:val="Grafický prvek"/>
    <w:basedOn w:val="Normln"/>
    <w:link w:val="GrafickprvekChar"/>
    <w:qFormat/>
    <w:rsid w:val="003329FE"/>
    <w:pPr>
      <w:autoSpaceDE/>
      <w:autoSpaceDN/>
      <w:adjustRightInd/>
      <w:spacing w:before="0"/>
      <w:ind w:left="66"/>
      <w:contextualSpacing/>
      <w:jc w:val="left"/>
      <w:textAlignment w:val="auto"/>
    </w:pPr>
    <w:rPr>
      <w:b/>
    </w:rPr>
  </w:style>
  <w:style w:type="character" w:customStyle="1" w:styleId="GrafickprvekChar">
    <w:name w:val="Grafický prvek Char"/>
    <w:basedOn w:val="Standardnpsmoodstavce"/>
    <w:link w:val="Grafickprvek"/>
    <w:rsid w:val="003329FE"/>
    <w:rPr>
      <w:rFonts w:ascii="Cambria" w:hAnsi="Cambria" w:cs="Cambria"/>
      <w:b/>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before="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1AD4"/>
    <w:pPr>
      <w:autoSpaceDE w:val="0"/>
      <w:autoSpaceDN w:val="0"/>
      <w:adjustRightInd w:val="0"/>
      <w:jc w:val="both"/>
      <w:textAlignment w:val="center"/>
    </w:pPr>
    <w:rPr>
      <w:rFonts w:ascii="Cambria" w:hAnsi="Cambria" w:cs="Cambria"/>
      <w:color w:val="000000"/>
    </w:rPr>
  </w:style>
  <w:style w:type="paragraph" w:styleId="Nadpis1">
    <w:name w:val="heading 1"/>
    <w:basedOn w:val="Normln"/>
    <w:next w:val="Normln"/>
    <w:link w:val="Nadpis1Char"/>
    <w:uiPriority w:val="9"/>
    <w:qFormat/>
    <w:rsid w:val="003B45E7"/>
    <w:pPr>
      <w:spacing w:before="240" w:after="120"/>
      <w:outlineLvl w:val="0"/>
    </w:pPr>
    <w:rPr>
      <w:b/>
      <w:sz w:val="28"/>
    </w:rPr>
  </w:style>
  <w:style w:type="paragraph" w:styleId="Nadpis2">
    <w:name w:val="heading 2"/>
    <w:basedOn w:val="Normln"/>
    <w:next w:val="Normln"/>
    <w:link w:val="Nadpis2Char"/>
    <w:uiPriority w:val="9"/>
    <w:unhideWhenUsed/>
    <w:qFormat/>
    <w:rsid w:val="003B45E7"/>
    <w:pPr>
      <w:spacing w:before="240" w:after="120"/>
      <w:outlineLvl w:val="1"/>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500EC"/>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00EC"/>
    <w:rPr>
      <w:rFonts w:ascii="Tahoma" w:hAnsi="Tahoma" w:cs="Tahoma"/>
      <w:sz w:val="16"/>
      <w:szCs w:val="16"/>
    </w:rPr>
  </w:style>
  <w:style w:type="paragraph" w:styleId="Zhlav">
    <w:name w:val="header"/>
    <w:basedOn w:val="Normln"/>
    <w:link w:val="ZhlavChar"/>
    <w:uiPriority w:val="99"/>
    <w:unhideWhenUsed/>
    <w:rsid w:val="006500EC"/>
    <w:pPr>
      <w:tabs>
        <w:tab w:val="center" w:pos="4536"/>
        <w:tab w:val="right" w:pos="9072"/>
      </w:tabs>
      <w:spacing w:line="240" w:lineRule="auto"/>
    </w:pPr>
  </w:style>
  <w:style w:type="character" w:customStyle="1" w:styleId="ZhlavChar">
    <w:name w:val="Záhlaví Char"/>
    <w:basedOn w:val="Standardnpsmoodstavce"/>
    <w:link w:val="Zhlav"/>
    <w:uiPriority w:val="99"/>
    <w:rsid w:val="006500EC"/>
  </w:style>
  <w:style w:type="paragraph" w:styleId="Zpat">
    <w:name w:val="footer"/>
    <w:basedOn w:val="Normln"/>
    <w:link w:val="ZpatChar1"/>
    <w:uiPriority w:val="99"/>
    <w:unhideWhenUsed/>
    <w:rsid w:val="006500EC"/>
    <w:pPr>
      <w:tabs>
        <w:tab w:val="center" w:pos="4536"/>
        <w:tab w:val="right" w:pos="9072"/>
      </w:tabs>
      <w:spacing w:line="240" w:lineRule="auto"/>
    </w:pPr>
  </w:style>
  <w:style w:type="character" w:customStyle="1" w:styleId="ZpatChar1">
    <w:name w:val="Zápatí Char1"/>
    <w:basedOn w:val="Standardnpsmoodstavce"/>
    <w:link w:val="Zpat"/>
    <w:uiPriority w:val="99"/>
    <w:rsid w:val="006500EC"/>
  </w:style>
  <w:style w:type="table" w:styleId="Mkatabulky">
    <w:name w:val="Table Grid"/>
    <w:basedOn w:val="Normlntabulka"/>
    <w:uiPriority w:val="59"/>
    <w:rsid w:val="006500E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rsid w:val="006500EC"/>
    <w:pPr>
      <w:spacing w:line="288" w:lineRule="auto"/>
    </w:pPr>
    <w:rPr>
      <w:rFonts w:ascii="Minion Pro" w:hAnsi="Minion Pro" w:cs="Minion Pro"/>
      <w:sz w:val="24"/>
      <w:szCs w:val="24"/>
    </w:rPr>
  </w:style>
  <w:style w:type="paragraph" w:customStyle="1" w:styleId="Nadpisdokumentu">
    <w:name w:val="Nadpis dokumentu"/>
    <w:basedOn w:val="Normln"/>
    <w:next w:val="Normln"/>
    <w:link w:val="NadpisdokumentuChar"/>
    <w:qFormat/>
    <w:rsid w:val="00996A8A"/>
    <w:pPr>
      <w:jc w:val="right"/>
    </w:pPr>
    <w:rPr>
      <w:rFonts w:asciiTheme="majorHAnsi" w:hAnsiTheme="majorHAnsi"/>
      <w:b/>
      <w:noProof/>
      <w:sz w:val="36"/>
      <w:lang w:eastAsia="cs-CZ"/>
    </w:rPr>
  </w:style>
  <w:style w:type="paragraph" w:customStyle="1" w:styleId="Textvtabulce">
    <w:name w:val="Text v tabulce"/>
    <w:basedOn w:val="Normln"/>
    <w:link w:val="TextvtabulceChar"/>
    <w:qFormat/>
    <w:rsid w:val="0096209D"/>
    <w:pPr>
      <w:spacing w:before="40" w:after="40" w:line="240" w:lineRule="auto"/>
    </w:pPr>
    <w:rPr>
      <w:sz w:val="20"/>
    </w:rPr>
  </w:style>
  <w:style w:type="character" w:customStyle="1" w:styleId="NadpisdokumentuChar">
    <w:name w:val="Nadpis dokumentu Char"/>
    <w:basedOn w:val="Standardnpsmoodstavce"/>
    <w:link w:val="Nadpisdokumentu"/>
    <w:rsid w:val="00996A8A"/>
    <w:rPr>
      <w:rFonts w:asciiTheme="majorHAnsi" w:hAnsiTheme="majorHAnsi"/>
      <w:b/>
      <w:noProof/>
      <w:sz w:val="36"/>
      <w:lang w:eastAsia="cs-CZ"/>
    </w:rPr>
  </w:style>
  <w:style w:type="paragraph" w:customStyle="1" w:styleId="Zpat1">
    <w:name w:val="Zápatí1"/>
    <w:basedOn w:val="Zpat"/>
    <w:link w:val="ZpatChar"/>
    <w:qFormat/>
    <w:rsid w:val="00523A6C"/>
    <w:pPr>
      <w:spacing w:before="0"/>
      <w:jc w:val="right"/>
    </w:pPr>
    <w:rPr>
      <w:noProof/>
      <w:sz w:val="16"/>
      <w:lang w:eastAsia="cs-CZ"/>
    </w:rPr>
  </w:style>
  <w:style w:type="character" w:customStyle="1" w:styleId="TextvtabulceChar">
    <w:name w:val="Text v tabulce Char"/>
    <w:basedOn w:val="Standardnpsmoodstavce"/>
    <w:link w:val="Textvtabulce"/>
    <w:rsid w:val="0096209D"/>
    <w:rPr>
      <w:rFonts w:ascii="Cambria" w:hAnsi="Cambria" w:cs="Cambria"/>
      <w:color w:val="000000"/>
      <w:sz w:val="20"/>
    </w:rPr>
  </w:style>
  <w:style w:type="character" w:customStyle="1" w:styleId="ZpatChar">
    <w:name w:val="Zápatí Char"/>
    <w:basedOn w:val="ZpatChar1"/>
    <w:link w:val="Zpat1"/>
    <w:rsid w:val="00523A6C"/>
    <w:rPr>
      <w:rFonts w:ascii="Cambria" w:hAnsi="Cambria" w:cs="Cambria"/>
      <w:noProof/>
      <w:color w:val="000000"/>
      <w:sz w:val="16"/>
      <w:lang w:eastAsia="cs-CZ"/>
    </w:rPr>
  </w:style>
  <w:style w:type="paragraph" w:styleId="Zkladntextodsazen">
    <w:name w:val="Body Text Indent"/>
    <w:basedOn w:val="Normln"/>
    <w:link w:val="ZkladntextodsazenChar"/>
    <w:rsid w:val="00802A23"/>
    <w:pPr>
      <w:overflowPunct w:val="0"/>
      <w:spacing w:line="240" w:lineRule="auto"/>
      <w:ind w:firstLine="709"/>
      <w:textAlignment w:val="baseline"/>
    </w:pPr>
    <w:rPr>
      <w:rFonts w:ascii="Times New Roman" w:eastAsia="Times New Roman" w:hAnsi="Times New Roman" w:cs="Times New Roman"/>
      <w:color w:val="auto"/>
      <w:sz w:val="24"/>
      <w:szCs w:val="20"/>
      <w:lang w:eastAsia="cs-CZ"/>
    </w:rPr>
  </w:style>
  <w:style w:type="character" w:customStyle="1" w:styleId="ZkladntextodsazenChar">
    <w:name w:val="Základní text odsazený Char"/>
    <w:basedOn w:val="Standardnpsmoodstavce"/>
    <w:link w:val="Zkladntextodsazen"/>
    <w:rsid w:val="00802A23"/>
    <w:rPr>
      <w:rFonts w:ascii="Times New Roman" w:eastAsia="Times New Roman" w:hAnsi="Times New Roman" w:cs="Times New Roman"/>
      <w:sz w:val="24"/>
      <w:szCs w:val="20"/>
      <w:lang w:eastAsia="cs-CZ"/>
    </w:rPr>
  </w:style>
  <w:style w:type="character" w:styleId="Zstupntext">
    <w:name w:val="Placeholder Text"/>
    <w:basedOn w:val="Standardnpsmoodstavce"/>
    <w:uiPriority w:val="99"/>
    <w:semiHidden/>
    <w:rsid w:val="00802A23"/>
    <w:rPr>
      <w:color w:val="808080"/>
    </w:rPr>
  </w:style>
  <w:style w:type="character" w:customStyle="1" w:styleId="Nadpis1Char">
    <w:name w:val="Nadpis 1 Char"/>
    <w:basedOn w:val="Standardnpsmoodstavce"/>
    <w:link w:val="Nadpis1"/>
    <w:uiPriority w:val="9"/>
    <w:rsid w:val="003B45E7"/>
    <w:rPr>
      <w:rFonts w:ascii="Cambria" w:hAnsi="Cambria" w:cs="Cambria"/>
      <w:b/>
      <w:color w:val="000000"/>
      <w:sz w:val="28"/>
    </w:rPr>
  </w:style>
  <w:style w:type="character" w:customStyle="1" w:styleId="Nadpis2Char">
    <w:name w:val="Nadpis 2 Char"/>
    <w:basedOn w:val="Standardnpsmoodstavce"/>
    <w:link w:val="Nadpis2"/>
    <w:uiPriority w:val="9"/>
    <w:rsid w:val="003B45E7"/>
    <w:rPr>
      <w:rFonts w:ascii="Cambria" w:hAnsi="Cambria" w:cs="Cambria"/>
      <w:b/>
      <w:color w:val="000000"/>
      <w:sz w:val="24"/>
    </w:rPr>
  </w:style>
  <w:style w:type="paragraph" w:styleId="Odstavecseseznamem">
    <w:name w:val="List Paragraph"/>
    <w:basedOn w:val="Normln"/>
    <w:uiPriority w:val="34"/>
    <w:qFormat/>
    <w:rsid w:val="003B45E7"/>
    <w:pPr>
      <w:ind w:left="720"/>
      <w:contextualSpacing/>
    </w:pPr>
  </w:style>
  <w:style w:type="paragraph" w:customStyle="1" w:styleId="Grafickprvek">
    <w:name w:val="Grafický prvek"/>
    <w:basedOn w:val="Normln"/>
    <w:link w:val="GrafickprvekChar"/>
    <w:qFormat/>
    <w:rsid w:val="003329FE"/>
    <w:pPr>
      <w:autoSpaceDE/>
      <w:autoSpaceDN/>
      <w:adjustRightInd/>
      <w:spacing w:before="0"/>
      <w:ind w:left="66"/>
      <w:contextualSpacing/>
      <w:jc w:val="left"/>
      <w:textAlignment w:val="auto"/>
    </w:pPr>
    <w:rPr>
      <w:b/>
    </w:rPr>
  </w:style>
  <w:style w:type="character" w:customStyle="1" w:styleId="GrafickprvekChar">
    <w:name w:val="Grafický prvek Char"/>
    <w:basedOn w:val="Standardnpsmoodstavce"/>
    <w:link w:val="Grafickprvek"/>
    <w:rsid w:val="003329FE"/>
    <w:rPr>
      <w:rFonts w:ascii="Cambria" w:hAnsi="Cambria" w:cs="Cambria"/>
      <w:b/>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ocs.google.com/spreadsheets/d/105IvNbMdO59yOoyg00334b2Yluny7qMw4-IJ4tA0oV8/edit"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TAČR1">
      <a:dk1>
        <a:srgbClr val="000000"/>
      </a:dk1>
      <a:lt1>
        <a:srgbClr val="FFFFFF"/>
      </a:lt1>
      <a:dk2>
        <a:srgbClr val="F03741"/>
      </a:dk2>
      <a:lt2>
        <a:srgbClr val="F9ADAD"/>
      </a:lt2>
      <a:accent1>
        <a:srgbClr val="F03741"/>
      </a:accent1>
      <a:accent2>
        <a:srgbClr val="F9ADAD"/>
      </a:accent2>
      <a:accent3>
        <a:srgbClr val="FBD1D3"/>
      </a:accent3>
      <a:accent4>
        <a:srgbClr val="595959"/>
      </a:accent4>
      <a:accent5>
        <a:srgbClr val="7F7F7F"/>
      </a:accent5>
      <a:accent6>
        <a:srgbClr val="A5A5A5"/>
      </a:accent6>
      <a:hlink>
        <a:srgbClr val="D8D8D8"/>
      </a:hlink>
      <a:folHlink>
        <a:srgbClr val="F2F2F2"/>
      </a:folHlink>
    </a:clrScheme>
    <a:fontScheme name="TAČR1">
      <a:majorFont>
        <a:latin typeface="Cambria"/>
        <a:ea typeface=""/>
        <a:cs typeface=""/>
      </a:majorFont>
      <a:minorFont>
        <a:latin typeface="Cambria"/>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2165</Words>
  <Characters>12777</Characters>
  <Application>Microsoft Office Word</Application>
  <DocSecurity>0</DocSecurity>
  <Lines>106</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TA ČR</Company>
  <LinksUpToDate>false</LinksUpToDate>
  <CharactersWithSpaces>14913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Miluše Rollerová</dc:creator>
  <cp:lastModifiedBy>Špičková Hana</cp:lastModifiedBy>
  <cp:revision>2</cp:revision>
  <cp:lastPrinted>2018-10-25T13:29:00Z</cp:lastPrinted>
  <dcterms:created xsi:type="dcterms:W3CDTF">2018-11-14T16:48:00Z</dcterms:created>
  <dcterms:modified xsi:type="dcterms:W3CDTF">2018-11-14T16:48:00Z</dcterms:modified>
</cp:coreProperties>
</file>