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4.xml" ContentType="application/vnd.openxmlformats-officedocument.wordprocessingml.header+xml"/>
  <Override PartName="/word/footer6.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drawings/drawing1.xml" ContentType="application/vnd.openxmlformats-officedocument.drawingml.chartshapes+xml"/>
  <Override PartName="/word/charts/chart9.xml" ContentType="application/vnd.openxmlformats-officedocument.drawingml.chart+xml"/>
  <Override PartName="/word/charts/chart10.xml" ContentType="application/vnd.openxmlformats-officedocument.drawingml.chart+xml"/>
  <Override PartName="/word/drawings/drawing2.xml" ContentType="application/vnd.openxmlformats-officedocument.drawingml.chartshapes+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C4B3F" w:rsidRDefault="005C4B3F" w:rsidP="005F5A7B">
      <w:pPr>
        <w:spacing w:before="6000"/>
        <w:jc w:val="center"/>
        <w:rPr>
          <w:rFonts w:asciiTheme="majorHAnsi" w:hAnsiTheme="majorHAnsi"/>
          <w:color w:val="365F91" w:themeColor="accent1" w:themeShade="BF"/>
          <w:sz w:val="36"/>
          <w:szCs w:val="36"/>
        </w:rPr>
      </w:pPr>
      <w:r w:rsidRPr="005C4B3F">
        <w:rPr>
          <w:rFonts w:asciiTheme="majorHAnsi" w:hAnsiTheme="majorHAnsi"/>
          <w:color w:val="365F91" w:themeColor="accent1" w:themeShade="BF"/>
          <w:sz w:val="36"/>
          <w:szCs w:val="36"/>
        </w:rPr>
        <w:t>Analýza stavu výzkumu, vývoje a inovací</w:t>
      </w:r>
      <w:r w:rsidR="00EB0FF6">
        <w:rPr>
          <w:rFonts w:asciiTheme="majorHAnsi" w:hAnsiTheme="majorHAnsi"/>
          <w:color w:val="365F91" w:themeColor="accent1" w:themeShade="BF"/>
          <w:sz w:val="36"/>
          <w:szCs w:val="36"/>
        </w:rPr>
        <w:t xml:space="preserve"> v </w:t>
      </w:r>
      <w:r w:rsidRPr="005C4B3F">
        <w:rPr>
          <w:rFonts w:asciiTheme="majorHAnsi" w:hAnsiTheme="majorHAnsi"/>
          <w:color w:val="365F91" w:themeColor="accent1" w:themeShade="BF"/>
          <w:sz w:val="36"/>
          <w:szCs w:val="36"/>
        </w:rPr>
        <w:t>České republice a</w:t>
      </w:r>
      <w:r w:rsidR="00F10606">
        <w:rPr>
          <w:rFonts w:asciiTheme="majorHAnsi" w:hAnsiTheme="majorHAnsi"/>
          <w:color w:val="365F91" w:themeColor="accent1" w:themeShade="BF"/>
          <w:sz w:val="36"/>
          <w:szCs w:val="36"/>
        </w:rPr>
        <w:t> </w:t>
      </w:r>
      <w:r w:rsidRPr="005C4B3F">
        <w:rPr>
          <w:rFonts w:asciiTheme="majorHAnsi" w:hAnsiTheme="majorHAnsi"/>
          <w:color w:val="365F91" w:themeColor="accent1" w:themeShade="BF"/>
          <w:sz w:val="36"/>
          <w:szCs w:val="36"/>
        </w:rPr>
        <w:t>jejich srovnání se zahraničím</w:t>
      </w:r>
      <w:r w:rsidR="00EB0FF6">
        <w:rPr>
          <w:rFonts w:asciiTheme="majorHAnsi" w:hAnsiTheme="majorHAnsi"/>
          <w:color w:val="365F91" w:themeColor="accent1" w:themeShade="BF"/>
          <w:sz w:val="36"/>
          <w:szCs w:val="36"/>
        </w:rPr>
        <w:t xml:space="preserve"> v </w:t>
      </w:r>
      <w:r w:rsidRPr="005C4B3F">
        <w:rPr>
          <w:rFonts w:asciiTheme="majorHAnsi" w:hAnsiTheme="majorHAnsi"/>
          <w:color w:val="365F91" w:themeColor="accent1" w:themeShade="BF"/>
          <w:sz w:val="36"/>
          <w:szCs w:val="36"/>
        </w:rPr>
        <w:t xml:space="preserve">roce </w:t>
      </w:r>
      <w:r w:rsidR="00D617E7">
        <w:rPr>
          <w:rFonts w:asciiTheme="majorHAnsi" w:hAnsiTheme="majorHAnsi"/>
          <w:color w:val="365F91" w:themeColor="accent1" w:themeShade="BF"/>
          <w:sz w:val="36"/>
          <w:szCs w:val="36"/>
        </w:rPr>
        <w:t>201</w:t>
      </w:r>
      <w:r w:rsidR="00A92D5B">
        <w:rPr>
          <w:rFonts w:asciiTheme="majorHAnsi" w:hAnsiTheme="majorHAnsi"/>
          <w:color w:val="365F91" w:themeColor="accent1" w:themeShade="BF"/>
          <w:sz w:val="36"/>
          <w:szCs w:val="36"/>
        </w:rPr>
        <w:t>7</w:t>
      </w:r>
    </w:p>
    <w:p w:rsidR="00F07005" w:rsidRDefault="00F07005" w:rsidP="005F5A7B">
      <w:pPr>
        <w:spacing w:before="6000"/>
        <w:jc w:val="center"/>
        <w:rPr>
          <w:rFonts w:asciiTheme="majorHAnsi" w:hAnsiTheme="majorHAnsi"/>
          <w:color w:val="365F91" w:themeColor="accent1" w:themeShade="BF"/>
          <w:sz w:val="36"/>
          <w:szCs w:val="36"/>
        </w:rPr>
        <w:sectPr w:rsidR="00F07005" w:rsidSect="00057D91">
          <w:headerReference w:type="default" r:id="rId9"/>
          <w:footerReference w:type="default" r:id="rId10"/>
          <w:headerReference w:type="first" r:id="rId11"/>
          <w:footerReference w:type="first" r:id="rId12"/>
          <w:pgSz w:w="11906" w:h="16838"/>
          <w:pgMar w:top="1134" w:right="1134" w:bottom="1134" w:left="1134" w:header="709" w:footer="709" w:gutter="0"/>
          <w:cols w:space="708"/>
          <w:titlePg/>
          <w:docGrid w:linePitch="360"/>
        </w:sectPr>
      </w:pPr>
    </w:p>
    <w:sdt>
      <w:sdtPr>
        <w:rPr>
          <w:rFonts w:asciiTheme="minorHAnsi" w:eastAsiaTheme="minorHAnsi" w:hAnsiTheme="minorHAnsi" w:cstheme="minorBidi"/>
          <w:b w:val="0"/>
          <w:bCs w:val="0"/>
          <w:color w:val="auto"/>
          <w:sz w:val="22"/>
          <w:szCs w:val="22"/>
          <w:lang w:eastAsia="en-US"/>
        </w:rPr>
        <w:id w:val="-1975675140"/>
        <w:docPartObj>
          <w:docPartGallery w:val="Table of Contents"/>
          <w:docPartUnique/>
        </w:docPartObj>
      </w:sdtPr>
      <w:sdtContent>
        <w:p w:rsidR="00D51D03" w:rsidRPr="000562FA" w:rsidRDefault="00D51D03" w:rsidP="009A4B85">
          <w:pPr>
            <w:pStyle w:val="Nadpisobsahu"/>
            <w:spacing w:before="0" w:after="0" w:line="360" w:lineRule="auto"/>
            <w:rPr>
              <w:sz w:val="32"/>
              <w:szCs w:val="32"/>
            </w:rPr>
          </w:pPr>
          <w:r w:rsidRPr="000562FA">
            <w:rPr>
              <w:sz w:val="32"/>
              <w:szCs w:val="32"/>
            </w:rPr>
            <w:t>Obsah</w:t>
          </w:r>
        </w:p>
        <w:bookmarkStart w:id="0" w:name="_GoBack"/>
        <w:bookmarkEnd w:id="0"/>
        <w:p w:rsidR="001963D5" w:rsidRDefault="00D51D03">
          <w:pPr>
            <w:pStyle w:val="Obsah1"/>
            <w:rPr>
              <w:rFonts w:asciiTheme="minorHAnsi" w:eastAsiaTheme="minorEastAsia" w:hAnsiTheme="minorHAnsi"/>
              <w:lang w:eastAsia="cs-CZ"/>
            </w:rPr>
          </w:pPr>
          <w:r w:rsidRPr="001D0211">
            <w:rPr>
              <w:sz w:val="20"/>
              <w:szCs w:val="20"/>
            </w:rPr>
            <w:fldChar w:fldCharType="begin"/>
          </w:r>
          <w:r w:rsidRPr="001D0211">
            <w:rPr>
              <w:sz w:val="20"/>
              <w:szCs w:val="20"/>
            </w:rPr>
            <w:instrText xml:space="preserve"> TOC \o "1-3" \h \z \u </w:instrText>
          </w:r>
          <w:r w:rsidRPr="001D0211">
            <w:rPr>
              <w:sz w:val="20"/>
              <w:szCs w:val="20"/>
            </w:rPr>
            <w:fldChar w:fldCharType="separate"/>
          </w:r>
          <w:hyperlink w:anchor="_Toc529974098" w:history="1">
            <w:r w:rsidR="001963D5" w:rsidRPr="00514891">
              <w:rPr>
                <w:rStyle w:val="Hypertextovodkaz"/>
              </w:rPr>
              <w:t>SOUHRN</w:t>
            </w:r>
            <w:r w:rsidR="001963D5">
              <w:rPr>
                <w:webHidden/>
              </w:rPr>
              <w:tab/>
            </w:r>
            <w:r w:rsidR="001963D5">
              <w:rPr>
                <w:webHidden/>
              </w:rPr>
              <w:fldChar w:fldCharType="begin"/>
            </w:r>
            <w:r w:rsidR="001963D5">
              <w:rPr>
                <w:webHidden/>
              </w:rPr>
              <w:instrText xml:space="preserve"> PAGEREF _Toc529974098 \h </w:instrText>
            </w:r>
            <w:r w:rsidR="001963D5">
              <w:rPr>
                <w:webHidden/>
              </w:rPr>
            </w:r>
            <w:r w:rsidR="001963D5">
              <w:rPr>
                <w:webHidden/>
              </w:rPr>
              <w:fldChar w:fldCharType="separate"/>
            </w:r>
            <w:r w:rsidR="001963D5">
              <w:rPr>
                <w:webHidden/>
              </w:rPr>
              <w:t>1</w:t>
            </w:r>
            <w:r w:rsidR="001963D5">
              <w:rPr>
                <w:webHidden/>
              </w:rPr>
              <w:fldChar w:fldCharType="end"/>
            </w:r>
          </w:hyperlink>
        </w:p>
        <w:p w:rsidR="001963D5" w:rsidRDefault="001963D5">
          <w:pPr>
            <w:pStyle w:val="Obsah1"/>
            <w:rPr>
              <w:rFonts w:asciiTheme="minorHAnsi" w:eastAsiaTheme="minorEastAsia" w:hAnsiTheme="minorHAnsi"/>
              <w:lang w:eastAsia="cs-CZ"/>
            </w:rPr>
          </w:pPr>
          <w:hyperlink w:anchor="_Toc529974099" w:history="1">
            <w:r w:rsidRPr="00514891">
              <w:rPr>
                <w:rStyle w:val="Hypertextovodkaz"/>
              </w:rPr>
              <w:t>VÝKLADOVÁ ČÁST</w:t>
            </w:r>
            <w:r>
              <w:rPr>
                <w:webHidden/>
              </w:rPr>
              <w:tab/>
            </w:r>
            <w:r>
              <w:rPr>
                <w:webHidden/>
              </w:rPr>
              <w:fldChar w:fldCharType="begin"/>
            </w:r>
            <w:r>
              <w:rPr>
                <w:webHidden/>
              </w:rPr>
              <w:instrText xml:space="preserve"> PAGEREF _Toc529974099 \h </w:instrText>
            </w:r>
            <w:r>
              <w:rPr>
                <w:webHidden/>
              </w:rPr>
            </w:r>
            <w:r>
              <w:rPr>
                <w:webHidden/>
              </w:rPr>
              <w:fldChar w:fldCharType="separate"/>
            </w:r>
            <w:r>
              <w:rPr>
                <w:webHidden/>
              </w:rPr>
              <w:t>3</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00" w:history="1">
            <w:r w:rsidRPr="00514891">
              <w:rPr>
                <w:rStyle w:val="Hypertextovodkaz"/>
              </w:rPr>
              <w:t>1.</w:t>
            </w:r>
            <w:r>
              <w:rPr>
                <w:rFonts w:asciiTheme="minorHAnsi" w:eastAsiaTheme="minorEastAsia" w:hAnsiTheme="minorHAnsi"/>
                <w:lang w:eastAsia="cs-CZ"/>
              </w:rPr>
              <w:tab/>
            </w:r>
            <w:r w:rsidRPr="00514891">
              <w:rPr>
                <w:rStyle w:val="Hypertextovodkaz"/>
              </w:rPr>
              <w:t>Finanční toky ve výzkumu a vývoji</w:t>
            </w:r>
            <w:r>
              <w:rPr>
                <w:webHidden/>
              </w:rPr>
              <w:tab/>
            </w:r>
            <w:r>
              <w:rPr>
                <w:webHidden/>
              </w:rPr>
              <w:fldChar w:fldCharType="begin"/>
            </w:r>
            <w:r>
              <w:rPr>
                <w:webHidden/>
              </w:rPr>
              <w:instrText xml:space="preserve"> PAGEREF _Toc529974100 \h </w:instrText>
            </w:r>
            <w:r>
              <w:rPr>
                <w:webHidden/>
              </w:rPr>
            </w:r>
            <w:r>
              <w:rPr>
                <w:webHidden/>
              </w:rPr>
              <w:fldChar w:fldCharType="separate"/>
            </w:r>
            <w:r>
              <w:rPr>
                <w:webHidden/>
              </w:rPr>
              <w:t>3</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01" w:history="1">
            <w:r w:rsidRPr="00514891">
              <w:rPr>
                <w:rStyle w:val="Hypertextovodkaz"/>
                <w:rFonts w:eastAsia="Times New Roman"/>
              </w:rPr>
              <w:t>1.1.</w:t>
            </w:r>
            <w:r>
              <w:rPr>
                <w:rFonts w:asciiTheme="minorHAnsi" w:eastAsiaTheme="minorEastAsia" w:hAnsiTheme="minorHAnsi"/>
                <w:lang w:eastAsia="cs-CZ"/>
              </w:rPr>
              <w:tab/>
            </w:r>
            <w:r w:rsidRPr="00514891">
              <w:rPr>
                <w:rStyle w:val="Hypertextovodkaz"/>
                <w:rFonts w:eastAsia="Times New Roman"/>
              </w:rPr>
              <w:t>Celkové výdaje na výzkum a vývoj</w:t>
            </w:r>
            <w:r>
              <w:rPr>
                <w:webHidden/>
              </w:rPr>
              <w:tab/>
            </w:r>
            <w:r>
              <w:rPr>
                <w:webHidden/>
              </w:rPr>
              <w:fldChar w:fldCharType="begin"/>
            </w:r>
            <w:r>
              <w:rPr>
                <w:webHidden/>
              </w:rPr>
              <w:instrText xml:space="preserve"> PAGEREF _Toc529974101 \h </w:instrText>
            </w:r>
            <w:r>
              <w:rPr>
                <w:webHidden/>
              </w:rPr>
            </w:r>
            <w:r>
              <w:rPr>
                <w:webHidden/>
              </w:rPr>
              <w:fldChar w:fldCharType="separate"/>
            </w:r>
            <w:r>
              <w:rPr>
                <w:webHidden/>
              </w:rPr>
              <w:t>3</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02" w:history="1">
            <w:r w:rsidRPr="00514891">
              <w:rPr>
                <w:rStyle w:val="Hypertextovodkaz"/>
                <w:rFonts w:eastAsia="Times New Roman"/>
              </w:rPr>
              <w:t>1.2.</w:t>
            </w:r>
            <w:r>
              <w:rPr>
                <w:rFonts w:asciiTheme="minorHAnsi" w:eastAsiaTheme="minorEastAsia" w:hAnsiTheme="minorHAnsi"/>
                <w:lang w:eastAsia="cs-CZ"/>
              </w:rPr>
              <w:tab/>
            </w:r>
            <w:r w:rsidRPr="00514891">
              <w:rPr>
                <w:rStyle w:val="Hypertextovodkaz"/>
                <w:rFonts w:eastAsia="Times New Roman"/>
              </w:rPr>
              <w:t>Finanční toky mezi sektory</w:t>
            </w:r>
            <w:r>
              <w:rPr>
                <w:webHidden/>
              </w:rPr>
              <w:tab/>
            </w:r>
            <w:r>
              <w:rPr>
                <w:webHidden/>
              </w:rPr>
              <w:fldChar w:fldCharType="begin"/>
            </w:r>
            <w:r>
              <w:rPr>
                <w:webHidden/>
              </w:rPr>
              <w:instrText xml:space="preserve"> PAGEREF _Toc529974102 \h </w:instrText>
            </w:r>
            <w:r>
              <w:rPr>
                <w:webHidden/>
              </w:rPr>
            </w:r>
            <w:r>
              <w:rPr>
                <w:webHidden/>
              </w:rPr>
              <w:fldChar w:fldCharType="separate"/>
            </w:r>
            <w:r>
              <w:rPr>
                <w:webHidden/>
              </w:rPr>
              <w:t>3</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03" w:history="1">
            <w:r w:rsidRPr="00514891">
              <w:rPr>
                <w:rStyle w:val="Hypertextovodkaz"/>
                <w:rFonts w:eastAsia="Times New Roman"/>
              </w:rPr>
              <w:t>1.3.</w:t>
            </w:r>
            <w:r>
              <w:rPr>
                <w:rFonts w:asciiTheme="minorHAnsi" w:eastAsiaTheme="minorEastAsia" w:hAnsiTheme="minorHAnsi"/>
                <w:lang w:eastAsia="cs-CZ"/>
              </w:rPr>
              <w:tab/>
            </w:r>
            <w:r w:rsidRPr="00514891">
              <w:rPr>
                <w:rStyle w:val="Hypertextovodkaz"/>
                <w:rFonts w:eastAsia="Times New Roman"/>
              </w:rPr>
              <w:t>Přímá a nepřímá podpora výzkumu a vývoje v podnikatelském sektoru</w:t>
            </w:r>
            <w:r>
              <w:rPr>
                <w:webHidden/>
              </w:rPr>
              <w:tab/>
            </w:r>
            <w:r>
              <w:rPr>
                <w:webHidden/>
              </w:rPr>
              <w:fldChar w:fldCharType="begin"/>
            </w:r>
            <w:r>
              <w:rPr>
                <w:webHidden/>
              </w:rPr>
              <w:instrText xml:space="preserve"> PAGEREF _Toc529974103 \h </w:instrText>
            </w:r>
            <w:r>
              <w:rPr>
                <w:webHidden/>
              </w:rPr>
            </w:r>
            <w:r>
              <w:rPr>
                <w:webHidden/>
              </w:rPr>
              <w:fldChar w:fldCharType="separate"/>
            </w:r>
            <w:r>
              <w:rPr>
                <w:webHidden/>
              </w:rPr>
              <w:t>3</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04" w:history="1">
            <w:r w:rsidRPr="00514891">
              <w:rPr>
                <w:rStyle w:val="Hypertextovodkaz"/>
              </w:rPr>
              <w:t>2.</w:t>
            </w:r>
            <w:r>
              <w:rPr>
                <w:rFonts w:asciiTheme="minorHAnsi" w:eastAsiaTheme="minorEastAsia" w:hAnsiTheme="minorHAnsi"/>
                <w:lang w:eastAsia="cs-CZ"/>
              </w:rPr>
              <w:tab/>
            </w:r>
            <w:r w:rsidRPr="00514891">
              <w:rPr>
                <w:rStyle w:val="Hypertextovodkaz"/>
              </w:rPr>
              <w:t>Financování výzkumu a vývoje ze státního rozpočtu</w:t>
            </w:r>
            <w:r>
              <w:rPr>
                <w:webHidden/>
              </w:rPr>
              <w:tab/>
            </w:r>
            <w:r>
              <w:rPr>
                <w:webHidden/>
              </w:rPr>
              <w:fldChar w:fldCharType="begin"/>
            </w:r>
            <w:r>
              <w:rPr>
                <w:webHidden/>
              </w:rPr>
              <w:instrText xml:space="preserve"> PAGEREF _Toc529974104 \h </w:instrText>
            </w:r>
            <w:r>
              <w:rPr>
                <w:webHidden/>
              </w:rPr>
            </w:r>
            <w:r>
              <w:rPr>
                <w:webHidden/>
              </w:rPr>
              <w:fldChar w:fldCharType="separate"/>
            </w:r>
            <w:r>
              <w:rPr>
                <w:webHidden/>
              </w:rPr>
              <w:t>4</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05" w:history="1">
            <w:r w:rsidRPr="00514891">
              <w:rPr>
                <w:rStyle w:val="Hypertextovodkaz"/>
                <w:rFonts w:eastAsia="Times New Roman"/>
              </w:rPr>
              <w:t>2.1.</w:t>
            </w:r>
            <w:r>
              <w:rPr>
                <w:rFonts w:asciiTheme="minorHAnsi" w:eastAsiaTheme="minorEastAsia" w:hAnsiTheme="minorHAnsi"/>
                <w:lang w:eastAsia="cs-CZ"/>
              </w:rPr>
              <w:tab/>
            </w:r>
            <w:r w:rsidRPr="00514891">
              <w:rPr>
                <w:rStyle w:val="Hypertextovodkaz"/>
                <w:rFonts w:eastAsia="Times New Roman"/>
              </w:rPr>
              <w:t>Proces tvorby návrhu státního rozpočtu na výzkum a vývoj</w:t>
            </w:r>
            <w:r>
              <w:rPr>
                <w:webHidden/>
              </w:rPr>
              <w:tab/>
            </w:r>
            <w:r>
              <w:rPr>
                <w:webHidden/>
              </w:rPr>
              <w:fldChar w:fldCharType="begin"/>
            </w:r>
            <w:r>
              <w:rPr>
                <w:webHidden/>
              </w:rPr>
              <w:instrText xml:space="preserve"> PAGEREF _Toc529974105 \h </w:instrText>
            </w:r>
            <w:r>
              <w:rPr>
                <w:webHidden/>
              </w:rPr>
            </w:r>
            <w:r>
              <w:rPr>
                <w:webHidden/>
              </w:rPr>
              <w:fldChar w:fldCharType="separate"/>
            </w:r>
            <w:r>
              <w:rPr>
                <w:webHidden/>
              </w:rPr>
              <w:t>4</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06" w:history="1">
            <w:r w:rsidRPr="00514891">
              <w:rPr>
                <w:rStyle w:val="Hypertextovodkaz"/>
                <w:rFonts w:eastAsia="Times New Roman"/>
              </w:rPr>
              <w:t>2.2.</w:t>
            </w:r>
            <w:r>
              <w:rPr>
                <w:rFonts w:asciiTheme="minorHAnsi" w:eastAsiaTheme="minorEastAsia" w:hAnsiTheme="minorHAnsi"/>
                <w:lang w:eastAsia="cs-CZ"/>
              </w:rPr>
              <w:tab/>
            </w:r>
            <w:r w:rsidRPr="00514891">
              <w:rPr>
                <w:rStyle w:val="Hypertextovodkaz"/>
                <w:rFonts w:eastAsia="Times New Roman"/>
              </w:rPr>
              <w:t>Kategorie podpory VaV v ČR a struktura poskytovatelů a příjemců</w:t>
            </w:r>
            <w:r>
              <w:rPr>
                <w:webHidden/>
              </w:rPr>
              <w:tab/>
            </w:r>
            <w:r>
              <w:rPr>
                <w:webHidden/>
              </w:rPr>
              <w:fldChar w:fldCharType="begin"/>
            </w:r>
            <w:r>
              <w:rPr>
                <w:webHidden/>
              </w:rPr>
              <w:instrText xml:space="preserve"> PAGEREF _Toc529974106 \h </w:instrText>
            </w:r>
            <w:r>
              <w:rPr>
                <w:webHidden/>
              </w:rPr>
            </w:r>
            <w:r>
              <w:rPr>
                <w:webHidden/>
              </w:rPr>
              <w:fldChar w:fldCharType="separate"/>
            </w:r>
            <w:r>
              <w:rPr>
                <w:webHidden/>
              </w:rPr>
              <w:t>7</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07" w:history="1">
            <w:r w:rsidRPr="00514891">
              <w:rPr>
                <w:rStyle w:val="Hypertextovodkaz"/>
                <w:rFonts w:eastAsia="Times New Roman"/>
              </w:rPr>
              <w:t>2.3.</w:t>
            </w:r>
            <w:r>
              <w:rPr>
                <w:rFonts w:asciiTheme="minorHAnsi" w:eastAsiaTheme="minorEastAsia" w:hAnsiTheme="minorHAnsi"/>
                <w:lang w:eastAsia="cs-CZ"/>
              </w:rPr>
              <w:tab/>
            </w:r>
            <w:r w:rsidRPr="00514891">
              <w:rPr>
                <w:rStyle w:val="Hypertextovodkaz"/>
                <w:rFonts w:eastAsia="Times New Roman"/>
              </w:rPr>
              <w:t>Oborová struktura účelové podpory výzkumu a vývoje</w:t>
            </w:r>
            <w:r>
              <w:rPr>
                <w:webHidden/>
              </w:rPr>
              <w:tab/>
            </w:r>
            <w:r>
              <w:rPr>
                <w:webHidden/>
              </w:rPr>
              <w:fldChar w:fldCharType="begin"/>
            </w:r>
            <w:r>
              <w:rPr>
                <w:webHidden/>
              </w:rPr>
              <w:instrText xml:space="preserve"> PAGEREF _Toc529974107 \h </w:instrText>
            </w:r>
            <w:r>
              <w:rPr>
                <w:webHidden/>
              </w:rPr>
            </w:r>
            <w:r>
              <w:rPr>
                <w:webHidden/>
              </w:rPr>
              <w:fldChar w:fldCharType="separate"/>
            </w:r>
            <w:r>
              <w:rPr>
                <w:webHidden/>
              </w:rPr>
              <w:t>12</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08" w:history="1">
            <w:r w:rsidRPr="00514891">
              <w:rPr>
                <w:rStyle w:val="Hypertextovodkaz"/>
              </w:rPr>
              <w:t>3.</w:t>
            </w:r>
            <w:r>
              <w:rPr>
                <w:rFonts w:asciiTheme="minorHAnsi" w:eastAsiaTheme="minorEastAsia" w:hAnsiTheme="minorHAnsi"/>
                <w:lang w:eastAsia="cs-CZ"/>
              </w:rPr>
              <w:tab/>
            </w:r>
            <w:r w:rsidRPr="00514891">
              <w:rPr>
                <w:rStyle w:val="Hypertextovodkaz"/>
              </w:rPr>
              <w:t>Podpora výzkumu, vývoje a inovací v ČR z evropských prostředků</w:t>
            </w:r>
            <w:r>
              <w:rPr>
                <w:webHidden/>
              </w:rPr>
              <w:tab/>
            </w:r>
            <w:r>
              <w:rPr>
                <w:webHidden/>
              </w:rPr>
              <w:fldChar w:fldCharType="begin"/>
            </w:r>
            <w:r>
              <w:rPr>
                <w:webHidden/>
              </w:rPr>
              <w:instrText xml:space="preserve"> PAGEREF _Toc529974108 \h </w:instrText>
            </w:r>
            <w:r>
              <w:rPr>
                <w:webHidden/>
              </w:rPr>
            </w:r>
            <w:r>
              <w:rPr>
                <w:webHidden/>
              </w:rPr>
              <w:fldChar w:fldCharType="separate"/>
            </w:r>
            <w:r>
              <w:rPr>
                <w:webHidden/>
              </w:rPr>
              <w:t>17</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09" w:history="1">
            <w:r w:rsidRPr="00514891">
              <w:rPr>
                <w:rStyle w:val="Hypertextovodkaz"/>
                <w:rFonts w:eastAsia="Times New Roman"/>
              </w:rPr>
              <w:t>3.1.</w:t>
            </w:r>
            <w:r>
              <w:rPr>
                <w:rFonts w:asciiTheme="minorHAnsi" w:eastAsiaTheme="minorEastAsia" w:hAnsiTheme="minorHAnsi"/>
                <w:lang w:eastAsia="cs-CZ"/>
              </w:rPr>
              <w:tab/>
            </w:r>
            <w:r w:rsidRPr="00514891">
              <w:rPr>
                <w:rStyle w:val="Hypertextovodkaz"/>
                <w:rFonts w:eastAsia="Times New Roman"/>
              </w:rPr>
              <w:t>Rámec podpory výzkumu, vývoje a inovací v ČR z Evropských strukturálních a investičních fondů</w:t>
            </w:r>
            <w:r>
              <w:rPr>
                <w:webHidden/>
              </w:rPr>
              <w:tab/>
            </w:r>
            <w:r>
              <w:rPr>
                <w:webHidden/>
              </w:rPr>
              <w:fldChar w:fldCharType="begin"/>
            </w:r>
            <w:r>
              <w:rPr>
                <w:webHidden/>
              </w:rPr>
              <w:instrText xml:space="preserve"> PAGEREF _Toc529974109 \h </w:instrText>
            </w:r>
            <w:r>
              <w:rPr>
                <w:webHidden/>
              </w:rPr>
            </w:r>
            <w:r>
              <w:rPr>
                <w:webHidden/>
              </w:rPr>
              <w:fldChar w:fldCharType="separate"/>
            </w:r>
            <w:r>
              <w:rPr>
                <w:webHidden/>
              </w:rPr>
              <w:t>18</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10" w:history="1">
            <w:r w:rsidRPr="00514891">
              <w:rPr>
                <w:rStyle w:val="Hypertextovodkaz"/>
                <w:rFonts w:eastAsia="Times New Roman"/>
              </w:rPr>
              <w:t>3.2.</w:t>
            </w:r>
            <w:r>
              <w:rPr>
                <w:rFonts w:asciiTheme="minorHAnsi" w:eastAsiaTheme="minorEastAsia" w:hAnsiTheme="minorHAnsi"/>
                <w:lang w:eastAsia="cs-CZ"/>
              </w:rPr>
              <w:tab/>
            </w:r>
            <w:r w:rsidRPr="00514891">
              <w:rPr>
                <w:rStyle w:val="Hypertextovodkaz"/>
                <w:rFonts w:eastAsia="Times New Roman"/>
              </w:rPr>
              <w:t>Rámcový program HORIZONT 2020</w:t>
            </w:r>
            <w:r>
              <w:rPr>
                <w:webHidden/>
              </w:rPr>
              <w:tab/>
            </w:r>
            <w:r>
              <w:rPr>
                <w:webHidden/>
              </w:rPr>
              <w:fldChar w:fldCharType="begin"/>
            </w:r>
            <w:r>
              <w:rPr>
                <w:webHidden/>
              </w:rPr>
              <w:instrText xml:space="preserve"> PAGEREF _Toc529974110 \h </w:instrText>
            </w:r>
            <w:r>
              <w:rPr>
                <w:webHidden/>
              </w:rPr>
            </w:r>
            <w:r>
              <w:rPr>
                <w:webHidden/>
              </w:rPr>
              <w:fldChar w:fldCharType="separate"/>
            </w:r>
            <w:r>
              <w:rPr>
                <w:webHidden/>
              </w:rPr>
              <w:t>22</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11" w:history="1">
            <w:r w:rsidRPr="00514891">
              <w:rPr>
                <w:rStyle w:val="Hypertextovodkaz"/>
              </w:rPr>
              <w:t>4.</w:t>
            </w:r>
            <w:r>
              <w:rPr>
                <w:rFonts w:asciiTheme="minorHAnsi" w:eastAsiaTheme="minorEastAsia" w:hAnsiTheme="minorHAnsi"/>
                <w:lang w:eastAsia="cs-CZ"/>
              </w:rPr>
              <w:tab/>
            </w:r>
            <w:r w:rsidRPr="00514891">
              <w:rPr>
                <w:rStyle w:val="Hypertextovodkaz"/>
              </w:rPr>
              <w:t>Implementace Národní výzkumné a inovační strategie pro inteligentní specializaci ČR</w:t>
            </w:r>
            <w:r>
              <w:rPr>
                <w:webHidden/>
              </w:rPr>
              <w:tab/>
            </w:r>
            <w:r>
              <w:rPr>
                <w:webHidden/>
              </w:rPr>
              <w:fldChar w:fldCharType="begin"/>
            </w:r>
            <w:r>
              <w:rPr>
                <w:webHidden/>
              </w:rPr>
              <w:instrText xml:space="preserve"> PAGEREF _Toc529974111 \h </w:instrText>
            </w:r>
            <w:r>
              <w:rPr>
                <w:webHidden/>
              </w:rPr>
            </w:r>
            <w:r>
              <w:rPr>
                <w:webHidden/>
              </w:rPr>
              <w:fldChar w:fldCharType="separate"/>
            </w:r>
            <w:r>
              <w:rPr>
                <w:webHidden/>
              </w:rPr>
              <w:t>30</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12" w:history="1">
            <w:r w:rsidRPr="00514891">
              <w:rPr>
                <w:rStyle w:val="Hypertextovodkaz"/>
                <w:rFonts w:eastAsia="Times New Roman"/>
              </w:rPr>
              <w:t>4.1.</w:t>
            </w:r>
            <w:r>
              <w:rPr>
                <w:rFonts w:asciiTheme="minorHAnsi" w:eastAsiaTheme="minorEastAsia" w:hAnsiTheme="minorHAnsi"/>
                <w:lang w:eastAsia="cs-CZ"/>
              </w:rPr>
              <w:tab/>
            </w:r>
            <w:r w:rsidRPr="00514891">
              <w:rPr>
                <w:rStyle w:val="Hypertextovodkaz"/>
                <w:rFonts w:eastAsia="Times New Roman"/>
              </w:rPr>
              <w:t>Charakteristika Národní RIS3 strategie</w:t>
            </w:r>
            <w:r>
              <w:rPr>
                <w:webHidden/>
              </w:rPr>
              <w:tab/>
            </w:r>
            <w:r>
              <w:rPr>
                <w:webHidden/>
              </w:rPr>
              <w:fldChar w:fldCharType="begin"/>
            </w:r>
            <w:r>
              <w:rPr>
                <w:webHidden/>
              </w:rPr>
              <w:instrText xml:space="preserve"> PAGEREF _Toc529974112 \h </w:instrText>
            </w:r>
            <w:r>
              <w:rPr>
                <w:webHidden/>
              </w:rPr>
            </w:r>
            <w:r>
              <w:rPr>
                <w:webHidden/>
              </w:rPr>
              <w:fldChar w:fldCharType="separate"/>
            </w:r>
            <w:r>
              <w:rPr>
                <w:webHidden/>
              </w:rPr>
              <w:t>30</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13" w:history="1">
            <w:r w:rsidRPr="00514891">
              <w:rPr>
                <w:rStyle w:val="Hypertextovodkaz"/>
                <w:rFonts w:eastAsia="Times New Roman"/>
              </w:rPr>
              <w:t>4.2.</w:t>
            </w:r>
            <w:r>
              <w:rPr>
                <w:rFonts w:asciiTheme="minorHAnsi" w:eastAsiaTheme="minorEastAsia" w:hAnsiTheme="minorHAnsi"/>
                <w:lang w:eastAsia="cs-CZ"/>
              </w:rPr>
              <w:tab/>
            </w:r>
            <w:r w:rsidRPr="00514891">
              <w:rPr>
                <w:rStyle w:val="Hypertextovodkaz"/>
                <w:rFonts w:eastAsia="Times New Roman"/>
              </w:rPr>
              <w:t>Financování, naplňování specifických cílů a zacílení na aplikační odvětví se zohledněním krajské dimenze</w:t>
            </w:r>
            <w:r>
              <w:rPr>
                <w:webHidden/>
              </w:rPr>
              <w:tab/>
            </w:r>
            <w:r>
              <w:rPr>
                <w:webHidden/>
              </w:rPr>
              <w:fldChar w:fldCharType="begin"/>
            </w:r>
            <w:r>
              <w:rPr>
                <w:webHidden/>
              </w:rPr>
              <w:instrText xml:space="preserve"> PAGEREF _Toc529974113 \h </w:instrText>
            </w:r>
            <w:r>
              <w:rPr>
                <w:webHidden/>
              </w:rPr>
            </w:r>
            <w:r>
              <w:rPr>
                <w:webHidden/>
              </w:rPr>
              <w:fldChar w:fldCharType="separate"/>
            </w:r>
            <w:r>
              <w:rPr>
                <w:webHidden/>
              </w:rPr>
              <w:t>34</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14" w:history="1">
            <w:r w:rsidRPr="00514891">
              <w:rPr>
                <w:rStyle w:val="Hypertextovodkaz"/>
              </w:rPr>
              <w:t>5.</w:t>
            </w:r>
            <w:r>
              <w:rPr>
                <w:rFonts w:asciiTheme="minorHAnsi" w:eastAsiaTheme="minorEastAsia" w:hAnsiTheme="minorHAnsi"/>
                <w:lang w:eastAsia="cs-CZ"/>
              </w:rPr>
              <w:tab/>
            </w:r>
            <w:r w:rsidRPr="00514891">
              <w:rPr>
                <w:rStyle w:val="Hypertextovodkaz"/>
              </w:rPr>
              <w:t>Lidské zdroje ve výzkumu a vývoji</w:t>
            </w:r>
            <w:r>
              <w:rPr>
                <w:webHidden/>
              </w:rPr>
              <w:tab/>
            </w:r>
            <w:r>
              <w:rPr>
                <w:webHidden/>
              </w:rPr>
              <w:fldChar w:fldCharType="begin"/>
            </w:r>
            <w:r>
              <w:rPr>
                <w:webHidden/>
              </w:rPr>
              <w:instrText xml:space="preserve"> PAGEREF _Toc529974114 \h </w:instrText>
            </w:r>
            <w:r>
              <w:rPr>
                <w:webHidden/>
              </w:rPr>
            </w:r>
            <w:r>
              <w:rPr>
                <w:webHidden/>
              </w:rPr>
              <w:fldChar w:fldCharType="separate"/>
            </w:r>
            <w:r>
              <w:rPr>
                <w:webHidden/>
              </w:rPr>
              <w:t>41</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15" w:history="1">
            <w:r w:rsidRPr="00514891">
              <w:rPr>
                <w:rStyle w:val="Hypertextovodkaz"/>
                <w:rFonts w:eastAsia="Times New Roman"/>
              </w:rPr>
              <w:t>5.1.</w:t>
            </w:r>
            <w:r>
              <w:rPr>
                <w:rFonts w:asciiTheme="minorHAnsi" w:eastAsiaTheme="minorEastAsia" w:hAnsiTheme="minorHAnsi"/>
                <w:lang w:eastAsia="cs-CZ"/>
              </w:rPr>
              <w:tab/>
            </w:r>
            <w:r w:rsidRPr="00514891">
              <w:rPr>
                <w:rStyle w:val="Hypertextovodkaz"/>
                <w:rFonts w:eastAsia="Times New Roman"/>
              </w:rPr>
              <w:t>Počty osob zaměstnaných ve výzkumu a vývoji</w:t>
            </w:r>
            <w:r>
              <w:rPr>
                <w:webHidden/>
              </w:rPr>
              <w:tab/>
            </w:r>
            <w:r>
              <w:rPr>
                <w:webHidden/>
              </w:rPr>
              <w:fldChar w:fldCharType="begin"/>
            </w:r>
            <w:r>
              <w:rPr>
                <w:webHidden/>
              </w:rPr>
              <w:instrText xml:space="preserve"> PAGEREF _Toc529974115 \h </w:instrText>
            </w:r>
            <w:r>
              <w:rPr>
                <w:webHidden/>
              </w:rPr>
            </w:r>
            <w:r>
              <w:rPr>
                <w:webHidden/>
              </w:rPr>
              <w:fldChar w:fldCharType="separate"/>
            </w:r>
            <w:r>
              <w:rPr>
                <w:webHidden/>
              </w:rPr>
              <w:t>41</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16" w:history="1">
            <w:r w:rsidRPr="00514891">
              <w:rPr>
                <w:rStyle w:val="Hypertextovodkaz"/>
                <w:rFonts w:eastAsia="Times New Roman"/>
              </w:rPr>
              <w:t>5.2.</w:t>
            </w:r>
            <w:r>
              <w:rPr>
                <w:rFonts w:asciiTheme="minorHAnsi" w:eastAsiaTheme="minorEastAsia" w:hAnsiTheme="minorHAnsi"/>
                <w:lang w:eastAsia="cs-CZ"/>
              </w:rPr>
              <w:tab/>
            </w:r>
            <w:r w:rsidRPr="00514891">
              <w:rPr>
                <w:rStyle w:val="Hypertextovodkaz"/>
                <w:rFonts w:eastAsia="Times New Roman"/>
              </w:rPr>
              <w:t>Počty výzkumných pracovníků</w:t>
            </w:r>
            <w:r>
              <w:rPr>
                <w:webHidden/>
              </w:rPr>
              <w:tab/>
            </w:r>
            <w:r>
              <w:rPr>
                <w:webHidden/>
              </w:rPr>
              <w:fldChar w:fldCharType="begin"/>
            </w:r>
            <w:r>
              <w:rPr>
                <w:webHidden/>
              </w:rPr>
              <w:instrText xml:space="preserve"> PAGEREF _Toc529974116 \h </w:instrText>
            </w:r>
            <w:r>
              <w:rPr>
                <w:webHidden/>
              </w:rPr>
            </w:r>
            <w:r>
              <w:rPr>
                <w:webHidden/>
              </w:rPr>
              <w:fldChar w:fldCharType="separate"/>
            </w:r>
            <w:r>
              <w:rPr>
                <w:webHidden/>
              </w:rPr>
              <w:t>41</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17" w:history="1">
            <w:r w:rsidRPr="00514891">
              <w:rPr>
                <w:rStyle w:val="Hypertextovodkaz"/>
                <w:rFonts w:eastAsia="Times New Roman"/>
              </w:rPr>
              <w:t>5.3.</w:t>
            </w:r>
            <w:r>
              <w:rPr>
                <w:rFonts w:asciiTheme="minorHAnsi" w:eastAsiaTheme="minorEastAsia" w:hAnsiTheme="minorHAnsi"/>
                <w:lang w:eastAsia="cs-CZ"/>
              </w:rPr>
              <w:tab/>
            </w:r>
            <w:r w:rsidRPr="00514891">
              <w:rPr>
                <w:rStyle w:val="Hypertextovodkaz"/>
                <w:rFonts w:eastAsia="Times New Roman"/>
              </w:rPr>
              <w:t>Výzkumní pracovníci ve vazbě na obor dosaženého vzdělání</w:t>
            </w:r>
            <w:r>
              <w:rPr>
                <w:webHidden/>
              </w:rPr>
              <w:tab/>
            </w:r>
            <w:r>
              <w:rPr>
                <w:webHidden/>
              </w:rPr>
              <w:fldChar w:fldCharType="begin"/>
            </w:r>
            <w:r>
              <w:rPr>
                <w:webHidden/>
              </w:rPr>
              <w:instrText xml:space="preserve"> PAGEREF _Toc529974117 \h </w:instrText>
            </w:r>
            <w:r>
              <w:rPr>
                <w:webHidden/>
              </w:rPr>
            </w:r>
            <w:r>
              <w:rPr>
                <w:webHidden/>
              </w:rPr>
              <w:fldChar w:fldCharType="separate"/>
            </w:r>
            <w:r>
              <w:rPr>
                <w:webHidden/>
              </w:rPr>
              <w:t>41</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18" w:history="1">
            <w:r w:rsidRPr="00514891">
              <w:rPr>
                <w:rStyle w:val="Hypertextovodkaz"/>
                <w:rFonts w:eastAsia="Times New Roman"/>
              </w:rPr>
              <w:t>5.4.</w:t>
            </w:r>
            <w:r>
              <w:rPr>
                <w:rFonts w:asciiTheme="minorHAnsi" w:eastAsiaTheme="minorEastAsia" w:hAnsiTheme="minorHAnsi"/>
                <w:lang w:eastAsia="cs-CZ"/>
              </w:rPr>
              <w:tab/>
            </w:r>
            <w:r w:rsidRPr="00514891">
              <w:rPr>
                <w:rStyle w:val="Hypertextovodkaz"/>
                <w:rFonts w:eastAsia="Times New Roman"/>
              </w:rPr>
              <w:t>Genderové hledisko</w:t>
            </w:r>
            <w:r>
              <w:rPr>
                <w:webHidden/>
              </w:rPr>
              <w:tab/>
            </w:r>
            <w:r>
              <w:rPr>
                <w:webHidden/>
              </w:rPr>
              <w:fldChar w:fldCharType="begin"/>
            </w:r>
            <w:r>
              <w:rPr>
                <w:webHidden/>
              </w:rPr>
              <w:instrText xml:space="preserve"> PAGEREF _Toc529974118 \h </w:instrText>
            </w:r>
            <w:r>
              <w:rPr>
                <w:webHidden/>
              </w:rPr>
            </w:r>
            <w:r>
              <w:rPr>
                <w:webHidden/>
              </w:rPr>
              <w:fldChar w:fldCharType="separate"/>
            </w:r>
            <w:r>
              <w:rPr>
                <w:webHidden/>
              </w:rPr>
              <w:t>41</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19" w:history="1">
            <w:r w:rsidRPr="00514891">
              <w:rPr>
                <w:rStyle w:val="Hypertextovodkaz"/>
              </w:rPr>
              <w:t>6.</w:t>
            </w:r>
            <w:r>
              <w:rPr>
                <w:rFonts w:asciiTheme="minorHAnsi" w:eastAsiaTheme="minorEastAsia" w:hAnsiTheme="minorHAnsi"/>
                <w:lang w:eastAsia="cs-CZ"/>
              </w:rPr>
              <w:tab/>
            </w:r>
            <w:r w:rsidRPr="00514891">
              <w:rPr>
                <w:rStyle w:val="Hypertextovodkaz"/>
              </w:rPr>
              <w:t>Výzkumné infrastruktury a centra výzkumu a vývoje</w:t>
            </w:r>
            <w:r>
              <w:rPr>
                <w:webHidden/>
              </w:rPr>
              <w:tab/>
            </w:r>
            <w:r>
              <w:rPr>
                <w:webHidden/>
              </w:rPr>
              <w:fldChar w:fldCharType="begin"/>
            </w:r>
            <w:r>
              <w:rPr>
                <w:webHidden/>
              </w:rPr>
              <w:instrText xml:space="preserve"> PAGEREF _Toc529974119 \h </w:instrText>
            </w:r>
            <w:r>
              <w:rPr>
                <w:webHidden/>
              </w:rPr>
            </w:r>
            <w:r>
              <w:rPr>
                <w:webHidden/>
              </w:rPr>
              <w:fldChar w:fldCharType="separate"/>
            </w:r>
            <w:r>
              <w:rPr>
                <w:webHidden/>
              </w:rPr>
              <w:t>42</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20" w:history="1">
            <w:r w:rsidRPr="00514891">
              <w:rPr>
                <w:rStyle w:val="Hypertextovodkaz"/>
              </w:rPr>
              <w:t>7.</w:t>
            </w:r>
            <w:r>
              <w:rPr>
                <w:rFonts w:asciiTheme="minorHAnsi" w:eastAsiaTheme="minorEastAsia" w:hAnsiTheme="minorHAnsi"/>
                <w:lang w:eastAsia="cs-CZ"/>
              </w:rPr>
              <w:tab/>
            </w:r>
            <w:r w:rsidRPr="00514891">
              <w:rPr>
                <w:rStyle w:val="Hypertextovodkaz"/>
              </w:rPr>
              <w:t>Výsledky výzkumu a vývoje</w:t>
            </w:r>
            <w:r>
              <w:rPr>
                <w:webHidden/>
              </w:rPr>
              <w:tab/>
            </w:r>
            <w:r>
              <w:rPr>
                <w:webHidden/>
              </w:rPr>
              <w:fldChar w:fldCharType="begin"/>
            </w:r>
            <w:r>
              <w:rPr>
                <w:webHidden/>
              </w:rPr>
              <w:instrText xml:space="preserve"> PAGEREF _Toc529974120 \h </w:instrText>
            </w:r>
            <w:r>
              <w:rPr>
                <w:webHidden/>
              </w:rPr>
            </w:r>
            <w:r>
              <w:rPr>
                <w:webHidden/>
              </w:rPr>
              <w:fldChar w:fldCharType="separate"/>
            </w:r>
            <w:r>
              <w:rPr>
                <w:webHidden/>
              </w:rPr>
              <w:t>43</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21" w:history="1">
            <w:r w:rsidRPr="00514891">
              <w:rPr>
                <w:rStyle w:val="Hypertextovodkaz"/>
                <w:rFonts w:eastAsia="Times New Roman"/>
              </w:rPr>
              <w:t>7.1.</w:t>
            </w:r>
            <w:r>
              <w:rPr>
                <w:rFonts w:asciiTheme="minorHAnsi" w:eastAsiaTheme="minorEastAsia" w:hAnsiTheme="minorHAnsi"/>
                <w:lang w:eastAsia="cs-CZ"/>
              </w:rPr>
              <w:tab/>
            </w:r>
            <w:r w:rsidRPr="00514891">
              <w:rPr>
                <w:rStyle w:val="Hypertextovodkaz"/>
                <w:rFonts w:eastAsia="Times New Roman"/>
              </w:rPr>
              <w:t>Druhy výsledků a časový trend jejich počtů</w:t>
            </w:r>
            <w:r>
              <w:rPr>
                <w:webHidden/>
              </w:rPr>
              <w:tab/>
            </w:r>
            <w:r>
              <w:rPr>
                <w:webHidden/>
              </w:rPr>
              <w:fldChar w:fldCharType="begin"/>
            </w:r>
            <w:r>
              <w:rPr>
                <w:webHidden/>
              </w:rPr>
              <w:instrText xml:space="preserve"> PAGEREF _Toc529974121 \h </w:instrText>
            </w:r>
            <w:r>
              <w:rPr>
                <w:webHidden/>
              </w:rPr>
            </w:r>
            <w:r>
              <w:rPr>
                <w:webHidden/>
              </w:rPr>
              <w:fldChar w:fldCharType="separate"/>
            </w:r>
            <w:r>
              <w:rPr>
                <w:webHidden/>
              </w:rPr>
              <w:t>44</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22" w:history="1">
            <w:r w:rsidRPr="00514891">
              <w:rPr>
                <w:rStyle w:val="Hypertextovodkaz"/>
                <w:rFonts w:eastAsia="Times New Roman"/>
              </w:rPr>
              <w:t>7.2.</w:t>
            </w:r>
            <w:r>
              <w:rPr>
                <w:rFonts w:asciiTheme="minorHAnsi" w:eastAsiaTheme="minorEastAsia" w:hAnsiTheme="minorHAnsi"/>
                <w:lang w:eastAsia="cs-CZ"/>
              </w:rPr>
              <w:tab/>
            </w:r>
            <w:r w:rsidRPr="00514891">
              <w:rPr>
                <w:rStyle w:val="Hypertextovodkaz"/>
                <w:rFonts w:eastAsia="Times New Roman"/>
              </w:rPr>
              <w:t>Oborová struktura výsledků a její změny v čase</w:t>
            </w:r>
            <w:r>
              <w:rPr>
                <w:webHidden/>
              </w:rPr>
              <w:tab/>
            </w:r>
            <w:r>
              <w:rPr>
                <w:webHidden/>
              </w:rPr>
              <w:fldChar w:fldCharType="begin"/>
            </w:r>
            <w:r>
              <w:rPr>
                <w:webHidden/>
              </w:rPr>
              <w:instrText xml:space="preserve"> PAGEREF _Toc529974122 \h </w:instrText>
            </w:r>
            <w:r>
              <w:rPr>
                <w:webHidden/>
              </w:rPr>
            </w:r>
            <w:r>
              <w:rPr>
                <w:webHidden/>
              </w:rPr>
              <w:fldChar w:fldCharType="separate"/>
            </w:r>
            <w:r>
              <w:rPr>
                <w:webHidden/>
              </w:rPr>
              <w:t>48</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23" w:history="1">
            <w:r w:rsidRPr="00514891">
              <w:rPr>
                <w:rStyle w:val="Hypertextovodkaz"/>
                <w:rFonts w:eastAsia="Times New Roman"/>
              </w:rPr>
              <w:t>7.3.</w:t>
            </w:r>
            <w:r>
              <w:rPr>
                <w:rFonts w:asciiTheme="minorHAnsi" w:eastAsiaTheme="minorEastAsia" w:hAnsiTheme="minorHAnsi"/>
                <w:lang w:eastAsia="cs-CZ"/>
              </w:rPr>
              <w:tab/>
            </w:r>
            <w:r w:rsidRPr="00514891">
              <w:rPr>
                <w:rStyle w:val="Hypertextovodkaz"/>
                <w:rFonts w:eastAsia="Times New Roman"/>
              </w:rPr>
              <w:t>Kvalita výsledků a jejich mezinárodní srovnání</w:t>
            </w:r>
            <w:r>
              <w:rPr>
                <w:webHidden/>
              </w:rPr>
              <w:tab/>
            </w:r>
            <w:r>
              <w:rPr>
                <w:webHidden/>
              </w:rPr>
              <w:fldChar w:fldCharType="begin"/>
            </w:r>
            <w:r>
              <w:rPr>
                <w:webHidden/>
              </w:rPr>
              <w:instrText xml:space="preserve"> PAGEREF _Toc529974123 \h </w:instrText>
            </w:r>
            <w:r>
              <w:rPr>
                <w:webHidden/>
              </w:rPr>
            </w:r>
            <w:r>
              <w:rPr>
                <w:webHidden/>
              </w:rPr>
              <w:fldChar w:fldCharType="separate"/>
            </w:r>
            <w:r>
              <w:rPr>
                <w:webHidden/>
              </w:rPr>
              <w:t>50</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24" w:history="1">
            <w:r w:rsidRPr="00514891">
              <w:rPr>
                <w:rStyle w:val="Hypertextovodkaz"/>
              </w:rPr>
              <w:t>8.</w:t>
            </w:r>
            <w:r>
              <w:rPr>
                <w:rFonts w:asciiTheme="minorHAnsi" w:eastAsiaTheme="minorEastAsia" w:hAnsiTheme="minorHAnsi"/>
                <w:lang w:eastAsia="cs-CZ"/>
              </w:rPr>
              <w:tab/>
            </w:r>
            <w:r w:rsidRPr="00514891">
              <w:rPr>
                <w:rStyle w:val="Hypertextovodkaz"/>
              </w:rPr>
              <w:t>Inovační výkonnost české ekonomiky a její mezinárodní srovnání</w:t>
            </w:r>
            <w:r>
              <w:rPr>
                <w:webHidden/>
              </w:rPr>
              <w:tab/>
            </w:r>
            <w:r>
              <w:rPr>
                <w:webHidden/>
              </w:rPr>
              <w:fldChar w:fldCharType="begin"/>
            </w:r>
            <w:r>
              <w:rPr>
                <w:webHidden/>
              </w:rPr>
              <w:instrText xml:space="preserve"> PAGEREF _Toc529974124 \h </w:instrText>
            </w:r>
            <w:r>
              <w:rPr>
                <w:webHidden/>
              </w:rPr>
            </w:r>
            <w:r>
              <w:rPr>
                <w:webHidden/>
              </w:rPr>
              <w:fldChar w:fldCharType="separate"/>
            </w:r>
            <w:r>
              <w:rPr>
                <w:webHidden/>
              </w:rPr>
              <w:t>62</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25" w:history="1">
            <w:r w:rsidRPr="00514891">
              <w:rPr>
                <w:rStyle w:val="Hypertextovodkaz"/>
                <w:rFonts w:eastAsia="Times New Roman"/>
              </w:rPr>
              <w:t>8.1.</w:t>
            </w:r>
            <w:r>
              <w:rPr>
                <w:rFonts w:asciiTheme="minorHAnsi" w:eastAsiaTheme="minorEastAsia" w:hAnsiTheme="minorHAnsi"/>
                <w:lang w:eastAsia="cs-CZ"/>
              </w:rPr>
              <w:tab/>
            </w:r>
            <w:r w:rsidRPr="00514891">
              <w:rPr>
                <w:rStyle w:val="Hypertextovodkaz"/>
                <w:rFonts w:eastAsia="Times New Roman"/>
              </w:rPr>
              <w:t>Inovační výkon ČR na základě jednoduchých indikátorů</w:t>
            </w:r>
            <w:r>
              <w:rPr>
                <w:webHidden/>
              </w:rPr>
              <w:tab/>
            </w:r>
            <w:r>
              <w:rPr>
                <w:webHidden/>
              </w:rPr>
              <w:fldChar w:fldCharType="begin"/>
            </w:r>
            <w:r>
              <w:rPr>
                <w:webHidden/>
              </w:rPr>
              <w:instrText xml:space="preserve"> PAGEREF _Toc529974125 \h </w:instrText>
            </w:r>
            <w:r>
              <w:rPr>
                <w:webHidden/>
              </w:rPr>
            </w:r>
            <w:r>
              <w:rPr>
                <w:webHidden/>
              </w:rPr>
              <w:fldChar w:fldCharType="separate"/>
            </w:r>
            <w:r>
              <w:rPr>
                <w:webHidden/>
              </w:rPr>
              <w:t>62</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26" w:history="1">
            <w:r w:rsidRPr="00514891">
              <w:rPr>
                <w:rStyle w:val="Hypertextovodkaz"/>
                <w:rFonts w:eastAsia="Times New Roman"/>
              </w:rPr>
              <w:t>8.2.</w:t>
            </w:r>
            <w:r>
              <w:rPr>
                <w:rFonts w:asciiTheme="minorHAnsi" w:eastAsiaTheme="minorEastAsia" w:hAnsiTheme="minorHAnsi"/>
                <w:lang w:eastAsia="cs-CZ"/>
              </w:rPr>
              <w:tab/>
            </w:r>
            <w:r w:rsidRPr="00514891">
              <w:rPr>
                <w:rStyle w:val="Hypertextovodkaz"/>
                <w:rFonts w:eastAsia="Times New Roman"/>
              </w:rPr>
              <w:t>Inovační výkon na základě kompozitních indikátorů</w:t>
            </w:r>
            <w:r>
              <w:rPr>
                <w:webHidden/>
              </w:rPr>
              <w:tab/>
            </w:r>
            <w:r>
              <w:rPr>
                <w:webHidden/>
              </w:rPr>
              <w:fldChar w:fldCharType="begin"/>
            </w:r>
            <w:r>
              <w:rPr>
                <w:webHidden/>
              </w:rPr>
              <w:instrText xml:space="preserve"> PAGEREF _Toc529974126 \h </w:instrText>
            </w:r>
            <w:r>
              <w:rPr>
                <w:webHidden/>
              </w:rPr>
            </w:r>
            <w:r>
              <w:rPr>
                <w:webHidden/>
              </w:rPr>
              <w:fldChar w:fldCharType="separate"/>
            </w:r>
            <w:r>
              <w:rPr>
                <w:webHidden/>
              </w:rPr>
              <w:t>65</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27" w:history="1">
            <w:r w:rsidRPr="00514891">
              <w:rPr>
                <w:rStyle w:val="Hypertextovodkaz"/>
                <w:rFonts w:eastAsia="Times New Roman"/>
              </w:rPr>
              <w:t>8.3.</w:t>
            </w:r>
            <w:r>
              <w:rPr>
                <w:rFonts w:asciiTheme="minorHAnsi" w:eastAsiaTheme="minorEastAsia" w:hAnsiTheme="minorHAnsi"/>
                <w:lang w:eastAsia="cs-CZ"/>
              </w:rPr>
              <w:tab/>
            </w:r>
            <w:r w:rsidRPr="00514891">
              <w:rPr>
                <w:rStyle w:val="Hypertextovodkaz"/>
                <w:rFonts w:eastAsia="Times New Roman"/>
              </w:rPr>
              <w:t>Inovace v ČR</w:t>
            </w:r>
            <w:r>
              <w:rPr>
                <w:webHidden/>
              </w:rPr>
              <w:tab/>
            </w:r>
            <w:r>
              <w:rPr>
                <w:webHidden/>
              </w:rPr>
              <w:fldChar w:fldCharType="begin"/>
            </w:r>
            <w:r>
              <w:rPr>
                <w:webHidden/>
              </w:rPr>
              <w:instrText xml:space="preserve"> PAGEREF _Toc529974127 \h </w:instrText>
            </w:r>
            <w:r>
              <w:rPr>
                <w:webHidden/>
              </w:rPr>
            </w:r>
            <w:r>
              <w:rPr>
                <w:webHidden/>
              </w:rPr>
              <w:fldChar w:fldCharType="separate"/>
            </w:r>
            <w:r>
              <w:rPr>
                <w:webHidden/>
              </w:rPr>
              <w:t>77</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28" w:history="1">
            <w:r w:rsidRPr="00514891">
              <w:rPr>
                <w:rStyle w:val="Hypertextovodkaz"/>
              </w:rPr>
              <w:t>STRATEGICKÁ DOPORUČENÍ</w:t>
            </w:r>
            <w:r>
              <w:rPr>
                <w:webHidden/>
              </w:rPr>
              <w:tab/>
            </w:r>
            <w:r>
              <w:rPr>
                <w:webHidden/>
              </w:rPr>
              <w:fldChar w:fldCharType="begin"/>
            </w:r>
            <w:r>
              <w:rPr>
                <w:webHidden/>
              </w:rPr>
              <w:instrText xml:space="preserve"> PAGEREF _Toc529974128 \h </w:instrText>
            </w:r>
            <w:r>
              <w:rPr>
                <w:webHidden/>
              </w:rPr>
            </w:r>
            <w:r>
              <w:rPr>
                <w:webHidden/>
              </w:rPr>
              <w:fldChar w:fldCharType="separate"/>
            </w:r>
            <w:r>
              <w:rPr>
                <w:webHidden/>
              </w:rPr>
              <w:t>81</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29" w:history="1">
            <w:r w:rsidRPr="00514891">
              <w:rPr>
                <w:rStyle w:val="Hypertextovodkaz"/>
              </w:rPr>
              <w:t>Seznam zkratek</w:t>
            </w:r>
            <w:r>
              <w:rPr>
                <w:webHidden/>
              </w:rPr>
              <w:tab/>
            </w:r>
            <w:r>
              <w:rPr>
                <w:webHidden/>
              </w:rPr>
              <w:fldChar w:fldCharType="begin"/>
            </w:r>
            <w:r>
              <w:rPr>
                <w:webHidden/>
              </w:rPr>
              <w:instrText xml:space="preserve"> PAGEREF _Toc529974129 \h </w:instrText>
            </w:r>
            <w:r>
              <w:rPr>
                <w:webHidden/>
              </w:rPr>
            </w:r>
            <w:r>
              <w:rPr>
                <w:webHidden/>
              </w:rPr>
              <w:fldChar w:fldCharType="separate"/>
            </w:r>
            <w:r>
              <w:rPr>
                <w:webHidden/>
              </w:rPr>
              <w:t>82</w:t>
            </w:r>
            <w:r>
              <w:rPr>
                <w:webHidden/>
              </w:rPr>
              <w:fldChar w:fldCharType="end"/>
            </w:r>
          </w:hyperlink>
        </w:p>
        <w:p w:rsidR="001963D5" w:rsidRDefault="001963D5">
          <w:pPr>
            <w:pStyle w:val="Obsah1"/>
            <w:rPr>
              <w:rFonts w:asciiTheme="minorHAnsi" w:eastAsiaTheme="minorEastAsia" w:hAnsiTheme="minorHAnsi"/>
              <w:lang w:eastAsia="cs-CZ"/>
            </w:rPr>
          </w:pPr>
          <w:hyperlink w:anchor="_Toc529974130" w:history="1">
            <w:r w:rsidRPr="00514891">
              <w:rPr>
                <w:rStyle w:val="Hypertextovodkaz"/>
              </w:rPr>
              <w:t>PŘÍLOHA</w:t>
            </w:r>
            <w:r>
              <w:rPr>
                <w:webHidden/>
              </w:rPr>
              <w:tab/>
            </w:r>
            <w:r>
              <w:rPr>
                <w:webHidden/>
              </w:rPr>
              <w:fldChar w:fldCharType="begin"/>
            </w:r>
            <w:r>
              <w:rPr>
                <w:webHidden/>
              </w:rPr>
              <w:instrText xml:space="preserve"> PAGEREF _Toc529974130 \h </w:instrText>
            </w:r>
            <w:r>
              <w:rPr>
                <w:webHidden/>
              </w:rPr>
            </w:r>
            <w:r>
              <w:rPr>
                <w:webHidden/>
              </w:rPr>
              <w:fldChar w:fldCharType="separate"/>
            </w:r>
            <w:r>
              <w:rPr>
                <w:webHidden/>
              </w:rPr>
              <w:t>86</w:t>
            </w:r>
            <w:r>
              <w:rPr>
                <w:webHidden/>
              </w:rPr>
              <w:fldChar w:fldCharType="end"/>
            </w:r>
          </w:hyperlink>
        </w:p>
        <w:p w:rsidR="00D51D03" w:rsidRDefault="00D51D03" w:rsidP="001D0211">
          <w:pPr>
            <w:spacing w:after="0" w:line="360" w:lineRule="auto"/>
          </w:pPr>
          <w:r w:rsidRPr="001D0211">
            <w:rPr>
              <w:b/>
              <w:bCs/>
              <w:sz w:val="20"/>
              <w:szCs w:val="20"/>
            </w:rPr>
            <w:fldChar w:fldCharType="end"/>
          </w:r>
        </w:p>
      </w:sdtContent>
    </w:sdt>
    <w:p w:rsidR="00BF13E7" w:rsidRDefault="00BF13E7" w:rsidP="00BF13E7">
      <w:pPr>
        <w:spacing w:after="0" w:line="360" w:lineRule="auto"/>
        <w:jc w:val="both"/>
        <w:rPr>
          <w:rFonts w:asciiTheme="majorHAnsi" w:hAnsiTheme="majorHAnsi"/>
          <w:color w:val="365F91" w:themeColor="accent1" w:themeShade="BF"/>
          <w:sz w:val="36"/>
          <w:szCs w:val="36"/>
        </w:rPr>
        <w:sectPr w:rsidR="00BF13E7">
          <w:footerReference w:type="default" r:id="rId13"/>
          <w:pgSz w:w="11906" w:h="16838"/>
          <w:pgMar w:top="1134" w:right="1134" w:bottom="1134" w:left="1134" w:header="709" w:footer="709" w:gutter="0"/>
          <w:cols w:space="708"/>
        </w:sectPr>
      </w:pPr>
    </w:p>
    <w:p w:rsidR="004F4F18" w:rsidRDefault="004F4F18" w:rsidP="004F4F18">
      <w:pPr>
        <w:pStyle w:val="Nadpis1"/>
      </w:pPr>
      <w:bookmarkStart w:id="1" w:name="_Toc468107603"/>
      <w:bookmarkStart w:id="2" w:name="_Toc427676893"/>
      <w:bookmarkStart w:id="3" w:name="_Toc529974098"/>
      <w:r w:rsidRPr="001B2305">
        <w:lastRenderedPageBreak/>
        <w:t>SOUHRN</w:t>
      </w:r>
      <w:bookmarkEnd w:id="1"/>
      <w:bookmarkEnd w:id="3"/>
    </w:p>
    <w:p w:rsidR="00C92DF9" w:rsidRDefault="00C92DF9" w:rsidP="00397689">
      <w:pPr>
        <w:spacing w:after="0" w:line="360" w:lineRule="auto"/>
        <w:ind w:firstLine="709"/>
        <w:jc w:val="both"/>
        <w:rPr>
          <w:rFonts w:ascii="Arial" w:eastAsia="Times New Roman" w:hAnsi="Arial" w:cs="Arial"/>
          <w:lang w:eastAsia="cs-CZ"/>
        </w:rPr>
      </w:pPr>
    </w:p>
    <w:p w:rsidR="00C92DF9" w:rsidRDefault="00C92DF9">
      <w:pPr>
        <w:rPr>
          <w:rFonts w:ascii="Arial" w:eastAsia="Times New Roman" w:hAnsi="Arial" w:cs="Arial"/>
          <w:lang w:eastAsia="cs-CZ"/>
        </w:rPr>
      </w:pPr>
      <w:r>
        <w:rPr>
          <w:rFonts w:ascii="Arial" w:eastAsia="Times New Roman" w:hAnsi="Arial" w:cs="Arial"/>
          <w:lang w:eastAsia="cs-CZ"/>
        </w:rPr>
        <w:br w:type="page"/>
      </w:r>
    </w:p>
    <w:p w:rsidR="004F4F18" w:rsidRDefault="004F4F18" w:rsidP="004F4F18">
      <w:pPr>
        <w:spacing w:after="0" w:line="360" w:lineRule="auto"/>
        <w:ind w:firstLine="357"/>
        <w:jc w:val="both"/>
        <w:rPr>
          <w:rFonts w:ascii="Arial" w:eastAsia="Times New Roman" w:hAnsi="Arial" w:cs="Arial"/>
          <w:b/>
          <w:lang w:eastAsia="cs-CZ"/>
        </w:rPr>
      </w:pPr>
      <w:r w:rsidRPr="002B71BE">
        <w:rPr>
          <w:rFonts w:ascii="Arial" w:eastAsia="Times New Roman" w:hAnsi="Arial" w:cs="Arial"/>
          <w:b/>
          <w:lang w:eastAsia="cs-CZ"/>
        </w:rPr>
        <w:lastRenderedPageBreak/>
        <w:t>Kapitola Finanční toky</w:t>
      </w:r>
      <w:r w:rsidR="00892E32">
        <w:rPr>
          <w:rFonts w:ascii="Arial" w:eastAsia="Times New Roman" w:hAnsi="Arial" w:cs="Arial"/>
          <w:b/>
          <w:lang w:eastAsia="cs-CZ"/>
        </w:rPr>
        <w:t xml:space="preserve"> ve výzkumu a vývoji</w:t>
      </w:r>
      <w:r>
        <w:rPr>
          <w:rFonts w:ascii="Arial" w:eastAsia="Times New Roman" w:hAnsi="Arial" w:cs="Arial"/>
          <w:b/>
          <w:lang w:eastAsia="cs-CZ"/>
        </w:rPr>
        <w:t>:</w:t>
      </w:r>
    </w:p>
    <w:p w:rsidR="007D6778" w:rsidRDefault="007D6778" w:rsidP="00A92D5B">
      <w:pPr>
        <w:pStyle w:val="Odstavecseseznamem"/>
        <w:spacing w:after="0" w:line="360" w:lineRule="auto"/>
        <w:jc w:val="both"/>
        <w:rPr>
          <w:rFonts w:ascii="Arial" w:eastAsia="Times New Roman" w:hAnsi="Arial" w:cs="Arial"/>
          <w:lang w:eastAsia="cs-CZ"/>
        </w:rPr>
      </w:pPr>
    </w:p>
    <w:p w:rsidR="004F4F18" w:rsidRDefault="004F4F18" w:rsidP="004F4F18">
      <w:pPr>
        <w:spacing w:after="0" w:line="360" w:lineRule="auto"/>
        <w:ind w:firstLine="357"/>
        <w:jc w:val="both"/>
        <w:rPr>
          <w:rFonts w:ascii="Arial" w:eastAsia="Times New Roman" w:hAnsi="Arial" w:cs="Arial"/>
          <w:b/>
          <w:lang w:eastAsia="cs-CZ"/>
        </w:rPr>
      </w:pPr>
      <w:r w:rsidRPr="002B71BE">
        <w:rPr>
          <w:rFonts w:ascii="Arial" w:eastAsia="Times New Roman" w:hAnsi="Arial" w:cs="Arial"/>
          <w:b/>
          <w:lang w:eastAsia="cs-CZ"/>
        </w:rPr>
        <w:t>Kapitola Finan</w:t>
      </w:r>
      <w:r>
        <w:rPr>
          <w:rFonts w:ascii="Arial" w:eastAsia="Times New Roman" w:hAnsi="Arial" w:cs="Arial"/>
          <w:b/>
          <w:lang w:eastAsia="cs-CZ"/>
        </w:rPr>
        <w:t>cování výzkumu a vývoje ze státního rozpočtu</w:t>
      </w:r>
      <w:r w:rsidRPr="002B71BE">
        <w:rPr>
          <w:rFonts w:ascii="Arial" w:eastAsia="Times New Roman" w:hAnsi="Arial" w:cs="Arial"/>
          <w:b/>
          <w:lang w:eastAsia="cs-CZ"/>
        </w:rPr>
        <w:t>:</w:t>
      </w:r>
    </w:p>
    <w:p w:rsidR="004F4F18" w:rsidRDefault="004F4F18" w:rsidP="004F4F18">
      <w:pPr>
        <w:pStyle w:val="Odstavecseseznamem"/>
        <w:spacing w:after="0" w:line="360" w:lineRule="auto"/>
        <w:jc w:val="both"/>
        <w:rPr>
          <w:rFonts w:ascii="Arial" w:eastAsia="Times New Roman" w:hAnsi="Arial" w:cs="Arial"/>
          <w:lang w:eastAsia="cs-CZ"/>
        </w:rPr>
      </w:pPr>
    </w:p>
    <w:p w:rsidR="004F4F18" w:rsidRDefault="004F4F18" w:rsidP="004F4F18">
      <w:pPr>
        <w:spacing w:after="0" w:line="360" w:lineRule="auto"/>
        <w:ind w:firstLine="357"/>
        <w:jc w:val="both"/>
        <w:rPr>
          <w:rFonts w:ascii="Arial" w:eastAsia="Times New Roman" w:hAnsi="Arial" w:cs="Arial"/>
          <w:b/>
          <w:lang w:eastAsia="cs-CZ"/>
        </w:rPr>
      </w:pPr>
      <w:r w:rsidRPr="009201C7">
        <w:rPr>
          <w:rFonts w:ascii="Arial" w:eastAsia="Times New Roman" w:hAnsi="Arial" w:cs="Arial"/>
          <w:b/>
          <w:lang w:eastAsia="cs-CZ"/>
        </w:rPr>
        <w:t xml:space="preserve">Kapitola Podpora </w:t>
      </w:r>
      <w:r>
        <w:rPr>
          <w:rFonts w:ascii="Arial" w:eastAsia="Times New Roman" w:hAnsi="Arial" w:cs="Arial"/>
          <w:b/>
          <w:lang w:eastAsia="cs-CZ"/>
        </w:rPr>
        <w:t>výzkumu, vývoje a inovací</w:t>
      </w:r>
      <w:r w:rsidR="00EB0FF6">
        <w:rPr>
          <w:rFonts w:ascii="Arial" w:eastAsia="Times New Roman" w:hAnsi="Arial" w:cs="Arial"/>
          <w:b/>
          <w:lang w:eastAsia="cs-CZ"/>
        </w:rPr>
        <w:t xml:space="preserve"> v </w:t>
      </w:r>
      <w:r w:rsidRPr="009201C7">
        <w:rPr>
          <w:rFonts w:ascii="Arial" w:eastAsia="Times New Roman" w:hAnsi="Arial" w:cs="Arial"/>
          <w:b/>
          <w:lang w:eastAsia="cs-CZ"/>
        </w:rPr>
        <w:t>ČR z</w:t>
      </w:r>
      <w:r>
        <w:rPr>
          <w:rFonts w:ascii="Arial" w:eastAsia="Times New Roman" w:hAnsi="Arial" w:cs="Arial"/>
          <w:b/>
          <w:lang w:eastAsia="cs-CZ"/>
        </w:rPr>
        <w:t> </w:t>
      </w:r>
      <w:r w:rsidRPr="009201C7">
        <w:rPr>
          <w:rFonts w:ascii="Arial" w:eastAsia="Times New Roman" w:hAnsi="Arial" w:cs="Arial"/>
          <w:b/>
          <w:lang w:eastAsia="cs-CZ"/>
        </w:rPr>
        <w:t>evropských prostředků:</w:t>
      </w:r>
    </w:p>
    <w:p w:rsidR="00AC06A6" w:rsidRPr="00AC06A6" w:rsidRDefault="00AC06A6" w:rsidP="00AC06A6">
      <w:pPr>
        <w:pStyle w:val="Odstavecseseznamem"/>
        <w:spacing w:after="0" w:line="360" w:lineRule="auto"/>
        <w:jc w:val="both"/>
        <w:rPr>
          <w:rFonts w:ascii="Arial" w:eastAsia="Times New Roman" w:hAnsi="Arial" w:cs="Arial"/>
          <w:lang w:eastAsia="cs-CZ"/>
        </w:rPr>
      </w:pPr>
    </w:p>
    <w:p w:rsidR="00A92D5B" w:rsidRDefault="00A92D5B" w:rsidP="00A92D5B">
      <w:pPr>
        <w:spacing w:after="0" w:line="360" w:lineRule="auto"/>
        <w:ind w:firstLine="357"/>
        <w:jc w:val="both"/>
        <w:rPr>
          <w:rFonts w:ascii="Arial" w:eastAsia="Times New Roman" w:hAnsi="Arial" w:cs="Arial"/>
          <w:b/>
          <w:lang w:eastAsia="cs-CZ"/>
        </w:rPr>
      </w:pPr>
      <w:r w:rsidRPr="00AA5537">
        <w:rPr>
          <w:rFonts w:ascii="Arial" w:eastAsia="Times New Roman" w:hAnsi="Arial" w:cs="Arial"/>
          <w:b/>
          <w:lang w:eastAsia="cs-CZ"/>
        </w:rPr>
        <w:t xml:space="preserve">Kapitola Implementace </w:t>
      </w:r>
      <w:r>
        <w:rPr>
          <w:rFonts w:ascii="Arial" w:eastAsia="Times New Roman" w:hAnsi="Arial" w:cs="Arial"/>
          <w:b/>
          <w:lang w:eastAsia="cs-CZ"/>
        </w:rPr>
        <w:t>N</w:t>
      </w:r>
      <w:r w:rsidRPr="00AA5537">
        <w:rPr>
          <w:rFonts w:ascii="Arial" w:eastAsia="Times New Roman" w:hAnsi="Arial" w:cs="Arial"/>
          <w:b/>
          <w:lang w:eastAsia="cs-CZ"/>
        </w:rPr>
        <w:t>árodní výzkumné a inovační strategie pro inteligentní specializaci ČR</w:t>
      </w:r>
      <w:r>
        <w:rPr>
          <w:rFonts w:ascii="Arial" w:eastAsia="Times New Roman" w:hAnsi="Arial" w:cs="Arial"/>
          <w:b/>
          <w:lang w:eastAsia="cs-CZ"/>
        </w:rPr>
        <w:t>:</w:t>
      </w:r>
    </w:p>
    <w:p w:rsidR="00A92D5B" w:rsidRPr="00A92D5B" w:rsidRDefault="00A92D5B" w:rsidP="00A92D5B">
      <w:pPr>
        <w:pStyle w:val="Odstavecseseznamem"/>
        <w:spacing w:after="0" w:line="360" w:lineRule="auto"/>
        <w:jc w:val="both"/>
        <w:rPr>
          <w:rFonts w:ascii="Arial" w:eastAsia="Times New Roman" w:hAnsi="Arial" w:cs="Arial"/>
          <w:lang w:eastAsia="cs-CZ"/>
        </w:rPr>
      </w:pPr>
    </w:p>
    <w:p w:rsidR="004F4F18" w:rsidRDefault="004F4F18" w:rsidP="004F4F18">
      <w:pPr>
        <w:spacing w:after="0" w:line="360" w:lineRule="auto"/>
        <w:ind w:firstLine="357"/>
        <w:jc w:val="both"/>
        <w:rPr>
          <w:rFonts w:ascii="Arial" w:eastAsia="Times New Roman" w:hAnsi="Arial" w:cs="Arial"/>
          <w:b/>
          <w:lang w:eastAsia="cs-CZ"/>
        </w:rPr>
      </w:pPr>
      <w:r>
        <w:rPr>
          <w:rFonts w:ascii="Arial" w:eastAsia="Times New Roman" w:hAnsi="Arial" w:cs="Arial"/>
          <w:b/>
          <w:lang w:eastAsia="cs-CZ"/>
        </w:rPr>
        <w:t xml:space="preserve">Kapitola </w:t>
      </w:r>
      <w:r w:rsidRPr="00350176">
        <w:rPr>
          <w:rFonts w:ascii="Arial" w:eastAsia="Times New Roman" w:hAnsi="Arial" w:cs="Arial"/>
          <w:b/>
          <w:lang w:eastAsia="cs-CZ"/>
        </w:rPr>
        <w:t>Lidské zdroje ve výzkumu a vývoji</w:t>
      </w:r>
      <w:r>
        <w:rPr>
          <w:rFonts w:ascii="Arial" w:eastAsia="Times New Roman" w:hAnsi="Arial" w:cs="Arial"/>
          <w:b/>
          <w:lang w:eastAsia="cs-CZ"/>
        </w:rPr>
        <w:t>:</w:t>
      </w:r>
    </w:p>
    <w:p w:rsidR="004F4F18" w:rsidRPr="00F269D1" w:rsidRDefault="004F4F18" w:rsidP="006900A7">
      <w:pPr>
        <w:pStyle w:val="Odstavecseseznamem"/>
        <w:spacing w:after="0" w:line="360" w:lineRule="auto"/>
        <w:jc w:val="both"/>
        <w:rPr>
          <w:rFonts w:ascii="Arial" w:eastAsia="Times New Roman" w:hAnsi="Arial" w:cs="Arial"/>
          <w:lang w:eastAsia="cs-CZ"/>
        </w:rPr>
      </w:pPr>
    </w:p>
    <w:p w:rsidR="004F4F18" w:rsidRDefault="004F4F18" w:rsidP="004F4F18">
      <w:pPr>
        <w:spacing w:after="0" w:line="360" w:lineRule="auto"/>
        <w:ind w:firstLine="357"/>
        <w:jc w:val="both"/>
        <w:rPr>
          <w:rFonts w:ascii="Arial" w:eastAsia="Times New Roman" w:hAnsi="Arial" w:cs="Arial"/>
          <w:b/>
          <w:lang w:eastAsia="cs-CZ"/>
        </w:rPr>
      </w:pPr>
      <w:r w:rsidRPr="00AB5B69">
        <w:rPr>
          <w:rFonts w:ascii="Arial" w:eastAsia="Times New Roman" w:hAnsi="Arial" w:cs="Arial"/>
          <w:b/>
          <w:lang w:eastAsia="cs-CZ"/>
        </w:rPr>
        <w:t xml:space="preserve">Kapitola </w:t>
      </w:r>
      <w:r>
        <w:rPr>
          <w:rFonts w:ascii="Arial" w:eastAsia="Times New Roman" w:hAnsi="Arial" w:cs="Arial"/>
          <w:b/>
          <w:lang w:eastAsia="cs-CZ"/>
        </w:rPr>
        <w:t>Výzkumné i</w:t>
      </w:r>
      <w:r w:rsidRPr="00AB5B69">
        <w:rPr>
          <w:rFonts w:ascii="Arial" w:eastAsia="Times New Roman" w:hAnsi="Arial" w:cs="Arial"/>
          <w:b/>
          <w:lang w:eastAsia="cs-CZ"/>
        </w:rPr>
        <w:t xml:space="preserve">nfrastruktury </w:t>
      </w:r>
      <w:r>
        <w:rPr>
          <w:rFonts w:ascii="Arial" w:eastAsia="Times New Roman" w:hAnsi="Arial" w:cs="Arial"/>
          <w:b/>
          <w:lang w:eastAsia="cs-CZ"/>
        </w:rPr>
        <w:t>a centra výzkumu a vývoje</w:t>
      </w:r>
      <w:r w:rsidRPr="00AB5B69">
        <w:rPr>
          <w:rFonts w:ascii="Arial" w:eastAsia="Times New Roman" w:hAnsi="Arial" w:cs="Arial"/>
          <w:b/>
          <w:lang w:eastAsia="cs-CZ"/>
        </w:rPr>
        <w:t>:</w:t>
      </w:r>
    </w:p>
    <w:p w:rsidR="00A92D5B" w:rsidRPr="00A92D5B" w:rsidRDefault="00A92D5B" w:rsidP="00A92D5B">
      <w:pPr>
        <w:pStyle w:val="Odstavecseseznamem"/>
        <w:spacing w:after="0" w:line="360" w:lineRule="auto"/>
        <w:jc w:val="both"/>
        <w:rPr>
          <w:rFonts w:ascii="Arial" w:eastAsia="Times New Roman" w:hAnsi="Arial" w:cs="Arial"/>
          <w:lang w:eastAsia="cs-CZ"/>
        </w:rPr>
      </w:pPr>
    </w:p>
    <w:p w:rsidR="004F4F18" w:rsidRDefault="004F4F18" w:rsidP="004F4F18">
      <w:pPr>
        <w:spacing w:after="0" w:line="360" w:lineRule="auto"/>
        <w:ind w:firstLine="357"/>
        <w:jc w:val="both"/>
        <w:rPr>
          <w:rFonts w:ascii="Arial" w:eastAsia="Times New Roman" w:hAnsi="Arial" w:cs="Arial"/>
          <w:b/>
          <w:lang w:eastAsia="cs-CZ"/>
        </w:rPr>
      </w:pPr>
      <w:r>
        <w:rPr>
          <w:rFonts w:ascii="Arial" w:eastAsia="Times New Roman" w:hAnsi="Arial" w:cs="Arial"/>
          <w:b/>
          <w:lang w:eastAsia="cs-CZ"/>
        </w:rPr>
        <w:t xml:space="preserve">Kapitola </w:t>
      </w:r>
      <w:r w:rsidRPr="00350176">
        <w:rPr>
          <w:rFonts w:ascii="Arial" w:eastAsia="Times New Roman" w:hAnsi="Arial" w:cs="Arial"/>
          <w:b/>
          <w:lang w:eastAsia="cs-CZ"/>
        </w:rPr>
        <w:t>Výsledky výzkumu a vývoje</w:t>
      </w:r>
      <w:r>
        <w:rPr>
          <w:rFonts w:ascii="Arial" w:eastAsia="Times New Roman" w:hAnsi="Arial" w:cs="Arial"/>
          <w:b/>
          <w:lang w:eastAsia="cs-CZ"/>
        </w:rPr>
        <w:t>:</w:t>
      </w:r>
    </w:p>
    <w:p w:rsidR="004F4F18" w:rsidRPr="00C41DFC" w:rsidRDefault="004F4F18" w:rsidP="00A92D5B">
      <w:pPr>
        <w:pStyle w:val="Odstavecseseznamem"/>
        <w:spacing w:after="0" w:line="360" w:lineRule="auto"/>
        <w:jc w:val="both"/>
        <w:rPr>
          <w:rFonts w:ascii="Arial" w:eastAsia="Times New Roman" w:hAnsi="Arial" w:cs="Arial"/>
          <w:lang w:eastAsia="cs-CZ"/>
        </w:rPr>
      </w:pPr>
    </w:p>
    <w:p w:rsidR="004F4F18" w:rsidRDefault="004F4F18" w:rsidP="007D6778">
      <w:pPr>
        <w:keepNext/>
        <w:spacing w:after="0" w:line="360" w:lineRule="auto"/>
        <w:ind w:firstLine="357"/>
        <w:jc w:val="both"/>
        <w:rPr>
          <w:rFonts w:ascii="Arial" w:eastAsia="Times New Roman" w:hAnsi="Arial" w:cs="Arial"/>
          <w:b/>
          <w:lang w:eastAsia="cs-CZ"/>
        </w:rPr>
      </w:pPr>
      <w:r w:rsidRPr="0002177C">
        <w:rPr>
          <w:rFonts w:ascii="Arial" w:eastAsia="Times New Roman" w:hAnsi="Arial" w:cs="Arial"/>
          <w:b/>
          <w:lang w:eastAsia="cs-CZ"/>
        </w:rPr>
        <w:t>Kapitola Inovační výkonnost české ekonomiky a její mezinárodní srovnání:</w:t>
      </w:r>
    </w:p>
    <w:p w:rsidR="00CD1C40" w:rsidRPr="00CD1C40" w:rsidRDefault="00CD1C40" w:rsidP="00CD1C40">
      <w:pPr>
        <w:pStyle w:val="Odstavecseseznamem"/>
        <w:spacing w:after="0" w:line="360" w:lineRule="auto"/>
        <w:jc w:val="both"/>
        <w:rPr>
          <w:rFonts w:ascii="Arial" w:eastAsia="Times New Roman" w:hAnsi="Arial" w:cs="Arial"/>
          <w:lang w:eastAsia="cs-CZ"/>
        </w:rPr>
      </w:pPr>
    </w:p>
    <w:p w:rsidR="00A92D5B" w:rsidRDefault="00A92D5B">
      <w:pPr>
        <w:rPr>
          <w:rFonts w:ascii="Arial" w:eastAsia="Times New Roman" w:hAnsi="Arial" w:cs="Arial"/>
          <w:lang w:eastAsia="cs-CZ"/>
        </w:rPr>
      </w:pPr>
      <w:r>
        <w:rPr>
          <w:rFonts w:ascii="Arial" w:eastAsia="Times New Roman" w:hAnsi="Arial" w:cs="Arial"/>
          <w:lang w:eastAsia="cs-CZ"/>
        </w:rPr>
        <w:br w:type="page"/>
      </w:r>
    </w:p>
    <w:p w:rsidR="00053E38" w:rsidRDefault="00053E38" w:rsidP="00053E38">
      <w:pPr>
        <w:pStyle w:val="Nadpis1"/>
      </w:pPr>
      <w:bookmarkStart w:id="4" w:name="_Toc529974099"/>
      <w:r>
        <w:lastRenderedPageBreak/>
        <w:t>VÝKLADOVÁ ČÁST</w:t>
      </w:r>
      <w:bookmarkEnd w:id="4"/>
    </w:p>
    <w:p w:rsidR="002B71BE" w:rsidRDefault="002B71BE" w:rsidP="00CD1C40">
      <w:pPr>
        <w:pStyle w:val="NadpisurovenI"/>
        <w:numPr>
          <w:ilvl w:val="0"/>
          <w:numId w:val="33"/>
        </w:numPr>
        <w:jc w:val="both"/>
      </w:pPr>
      <w:bookmarkStart w:id="5" w:name="_Toc529974100"/>
      <w:r w:rsidRPr="002E2024">
        <w:t xml:space="preserve">Finanční </w:t>
      </w:r>
      <w:r w:rsidRPr="00AC06A6">
        <w:t>toky</w:t>
      </w:r>
      <w:bookmarkEnd w:id="2"/>
      <w:r w:rsidR="000D733A">
        <w:t xml:space="preserve"> ve výzkumu a vývoji</w:t>
      </w:r>
      <w:bookmarkEnd w:id="5"/>
    </w:p>
    <w:p w:rsidR="005F5A7B" w:rsidRPr="005F5A7B" w:rsidRDefault="005F5A7B" w:rsidP="005F5A7B">
      <w:pPr>
        <w:spacing w:after="0" w:line="360" w:lineRule="auto"/>
        <w:ind w:firstLine="708"/>
        <w:jc w:val="both"/>
        <w:rPr>
          <w:rFonts w:ascii="Arial" w:eastAsia="Times New Roman" w:hAnsi="Arial" w:cs="Arial"/>
          <w:lang w:eastAsia="cs-CZ"/>
        </w:rPr>
      </w:pPr>
    </w:p>
    <w:p w:rsidR="00A33B70" w:rsidRPr="00AC06A6" w:rsidRDefault="00A33B70" w:rsidP="00CD1C40">
      <w:pPr>
        <w:pStyle w:val="NadpisurovemII"/>
        <w:numPr>
          <w:ilvl w:val="1"/>
          <w:numId w:val="33"/>
        </w:numPr>
        <w:ind w:hanging="792"/>
        <w:jc w:val="both"/>
        <w:rPr>
          <w:rFonts w:eastAsia="Times New Roman"/>
        </w:rPr>
      </w:pPr>
      <w:bookmarkStart w:id="6" w:name="_Toc529974101"/>
      <w:r w:rsidRPr="00AC06A6">
        <w:rPr>
          <w:rFonts w:eastAsia="Times New Roman"/>
        </w:rPr>
        <w:t xml:space="preserve">Celkové výdaje na </w:t>
      </w:r>
      <w:r w:rsidR="00062D64" w:rsidRPr="00AC06A6">
        <w:rPr>
          <w:rFonts w:eastAsia="Times New Roman"/>
        </w:rPr>
        <w:t xml:space="preserve">výzkum </w:t>
      </w:r>
      <w:r w:rsidR="00D42C1C" w:rsidRPr="00AC06A6">
        <w:rPr>
          <w:rFonts w:eastAsia="Times New Roman"/>
        </w:rPr>
        <w:t>a vývoj</w:t>
      </w:r>
      <w:bookmarkEnd w:id="6"/>
    </w:p>
    <w:p w:rsidR="00AC06A6" w:rsidRPr="00AC06A6" w:rsidRDefault="00AC06A6" w:rsidP="00CD1C40">
      <w:pPr>
        <w:spacing w:after="0" w:line="360" w:lineRule="auto"/>
        <w:ind w:firstLine="708"/>
        <w:jc w:val="both"/>
        <w:rPr>
          <w:rFonts w:ascii="Arial" w:eastAsia="Times New Roman" w:hAnsi="Arial" w:cs="Arial"/>
          <w:lang w:eastAsia="cs-CZ"/>
        </w:rPr>
      </w:pPr>
    </w:p>
    <w:p w:rsidR="00516799" w:rsidRPr="00AC06A6" w:rsidRDefault="00516799" w:rsidP="00CD1C40">
      <w:pPr>
        <w:pStyle w:val="NadpisurovemII"/>
        <w:numPr>
          <w:ilvl w:val="1"/>
          <w:numId w:val="33"/>
        </w:numPr>
        <w:ind w:hanging="792"/>
        <w:jc w:val="both"/>
        <w:rPr>
          <w:rFonts w:eastAsia="Times New Roman"/>
        </w:rPr>
      </w:pPr>
      <w:bookmarkStart w:id="7" w:name="_Toc529974102"/>
      <w:r w:rsidRPr="00AC06A6">
        <w:rPr>
          <w:rFonts w:eastAsia="Times New Roman"/>
        </w:rPr>
        <w:t>Finanční toky mezi sektory</w:t>
      </w:r>
      <w:bookmarkEnd w:id="7"/>
    </w:p>
    <w:p w:rsidR="00AC06A6" w:rsidRPr="00AC06A6" w:rsidRDefault="00AC06A6" w:rsidP="00CD1C40">
      <w:pPr>
        <w:spacing w:after="0" w:line="360" w:lineRule="auto"/>
        <w:ind w:firstLine="708"/>
        <w:jc w:val="both"/>
        <w:rPr>
          <w:rFonts w:ascii="Arial" w:eastAsia="Times New Roman" w:hAnsi="Arial" w:cs="Arial"/>
          <w:lang w:eastAsia="cs-CZ"/>
        </w:rPr>
      </w:pPr>
    </w:p>
    <w:p w:rsidR="00516799" w:rsidRPr="00AC06A6" w:rsidRDefault="002D186F" w:rsidP="00CD1C40">
      <w:pPr>
        <w:pStyle w:val="NadpisurovemII"/>
        <w:numPr>
          <w:ilvl w:val="1"/>
          <w:numId w:val="33"/>
        </w:numPr>
        <w:ind w:hanging="792"/>
        <w:jc w:val="both"/>
        <w:rPr>
          <w:rFonts w:eastAsia="Times New Roman"/>
        </w:rPr>
      </w:pPr>
      <w:bookmarkStart w:id="8" w:name="_Toc529974103"/>
      <w:r w:rsidRPr="00AC06A6">
        <w:rPr>
          <w:rFonts w:eastAsia="Times New Roman"/>
        </w:rPr>
        <w:t>Přímá a n</w:t>
      </w:r>
      <w:r w:rsidR="00516799" w:rsidRPr="00AC06A6">
        <w:rPr>
          <w:rFonts w:eastAsia="Times New Roman"/>
        </w:rPr>
        <w:t>epřímá podpora výzkumu a vývoje</w:t>
      </w:r>
      <w:r w:rsidR="00EB0FF6" w:rsidRPr="00AC06A6">
        <w:rPr>
          <w:rFonts w:eastAsia="Times New Roman"/>
        </w:rPr>
        <w:t xml:space="preserve"> v </w:t>
      </w:r>
      <w:r w:rsidRPr="00AC06A6">
        <w:rPr>
          <w:rFonts w:eastAsia="Times New Roman"/>
        </w:rPr>
        <w:t>podnikatelském sektoru</w:t>
      </w:r>
      <w:bookmarkEnd w:id="8"/>
    </w:p>
    <w:p w:rsidR="000C39F7" w:rsidRDefault="000C39F7">
      <w:pPr>
        <w:rPr>
          <w:rFonts w:ascii="Arial" w:eastAsia="Times New Roman" w:hAnsi="Arial" w:cs="Arial"/>
          <w:lang w:eastAsia="cs-CZ"/>
        </w:rPr>
      </w:pPr>
      <w:r>
        <w:rPr>
          <w:rFonts w:ascii="Arial" w:eastAsia="Times New Roman" w:hAnsi="Arial" w:cs="Arial"/>
          <w:lang w:eastAsia="cs-CZ"/>
        </w:rPr>
        <w:br w:type="page"/>
      </w:r>
    </w:p>
    <w:p w:rsidR="00A92D5B" w:rsidRDefault="00A92D5B" w:rsidP="00CD1C40">
      <w:pPr>
        <w:pStyle w:val="NadpisurovenI"/>
        <w:numPr>
          <w:ilvl w:val="0"/>
          <w:numId w:val="33"/>
        </w:numPr>
        <w:jc w:val="both"/>
      </w:pPr>
      <w:bookmarkStart w:id="9" w:name="_Toc529974104"/>
      <w:r w:rsidRPr="00321A9B">
        <w:lastRenderedPageBreak/>
        <w:t xml:space="preserve">Financování </w:t>
      </w:r>
      <w:r>
        <w:t xml:space="preserve">výzkumu a vývoje </w:t>
      </w:r>
      <w:r w:rsidRPr="00321A9B">
        <w:t>ze státního rozpočtu</w:t>
      </w:r>
      <w:bookmarkEnd w:id="9"/>
    </w:p>
    <w:p w:rsidR="00AC06A6" w:rsidRPr="00AC06A6" w:rsidRDefault="00BF13E7" w:rsidP="00CD1C40">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Veřejné tuzemské zdroje určené k provádění VaVaI tvoří především státní rozpočet na výzkum, vývoj a inovace, jehož návrh každoročně schvaluje vláda způsobem definovaným zákonem č. 130/2002 Sb. o podpoře výzkumu, experimentálního vývoje a inovací z veřejných prostředků a o změně některých souvisejících zákonů (zákon o podpoře výzkumu, experimentálního vývoje a inovací), ve znění pozdějších předpisů. Po zapracování do systému státního rozpočtu je výše podpory VaVaI každoročně zařazena jako jmenovitá položka v jednotlivých kapitolách zákona o státním rozpočtu ČR. Výše podpory je každoročně stanovena zákonem o státním rozpočtu.</w:t>
      </w:r>
    </w:p>
    <w:p w:rsidR="000D733A" w:rsidRPr="00AC06A6" w:rsidRDefault="000D733A" w:rsidP="00CD1C40">
      <w:pPr>
        <w:pStyle w:val="NadpisurovemII"/>
        <w:numPr>
          <w:ilvl w:val="1"/>
          <w:numId w:val="33"/>
        </w:numPr>
        <w:ind w:hanging="792"/>
        <w:jc w:val="both"/>
        <w:rPr>
          <w:rFonts w:eastAsia="Times New Roman"/>
        </w:rPr>
      </w:pPr>
      <w:bookmarkStart w:id="10" w:name="_Toc529974105"/>
      <w:r w:rsidRPr="00AC06A6">
        <w:rPr>
          <w:rFonts w:eastAsia="Times New Roman"/>
        </w:rPr>
        <w:t>Proces tvorby návrhu státního rozpočtu na výzkum a vývoj</w:t>
      </w:r>
      <w:bookmarkEnd w:id="10"/>
    </w:p>
    <w:p w:rsidR="00BF13E7" w:rsidRDefault="00BF13E7" w:rsidP="00BF13E7">
      <w:pPr>
        <w:spacing w:after="0" w:line="360" w:lineRule="auto"/>
        <w:ind w:firstLine="708"/>
        <w:jc w:val="both"/>
        <w:rPr>
          <w:rFonts w:ascii="Arial" w:eastAsia="Times New Roman" w:hAnsi="Arial" w:cs="Arial"/>
          <w:lang w:eastAsia="cs-CZ"/>
        </w:rPr>
      </w:pPr>
      <w:r>
        <w:rPr>
          <w:rFonts w:ascii="Arial" w:hAnsi="Arial" w:cs="Arial"/>
          <w:color w:val="000000"/>
        </w:rPr>
        <w:t>Návrh výdajů státního rozpočtu vychází z dokumentu </w:t>
      </w:r>
      <w:r>
        <w:rPr>
          <w:rFonts w:ascii="Arial" w:hAnsi="Arial" w:cs="Arial"/>
          <w:i/>
          <w:color w:val="000000"/>
        </w:rPr>
        <w:t>Národní politika výzkumu, vývoje a</w:t>
      </w:r>
      <w:r w:rsidR="00712CCB">
        <w:rPr>
          <w:rFonts w:ascii="Arial" w:hAnsi="Arial" w:cs="Arial"/>
          <w:i/>
          <w:color w:val="000000"/>
        </w:rPr>
        <w:t> </w:t>
      </w:r>
      <w:r>
        <w:rPr>
          <w:rFonts w:ascii="Arial" w:hAnsi="Arial" w:cs="Arial"/>
          <w:i/>
          <w:color w:val="000000"/>
        </w:rPr>
        <w:t>inovací na léta 2016−2020</w:t>
      </w:r>
      <w:r>
        <w:rPr>
          <w:rFonts w:ascii="Arial" w:hAnsi="Arial" w:cs="Arial"/>
          <w:color w:val="000000"/>
        </w:rPr>
        <w:t xml:space="preserve"> (NP VaVaI), tento dokument byl schválen usnesením vlády ze dne 17. února 2016 č. 135. </w:t>
      </w:r>
      <w:r>
        <w:rPr>
          <w:rFonts w:ascii="Arial" w:eastAsia="Times New Roman" w:hAnsi="Arial" w:cs="Arial"/>
          <w:lang w:eastAsia="cs-CZ"/>
        </w:rPr>
        <w:t>Příprava návrhu státního rozpočtu na výzkum a vývoj a inovace je kontinuální a komplexní proces ilustrativně popsaný ve Schématu 2.1 níže. Podle § 35 odst. 2 písm. k) a l) zákona o podpoře výzkumu, experimentálního vývoje a inovací RVVI zabezpečuje zpracování návrhu výše celkových výdajů na VaVaI jednotlivých rozpočtových kapitol a jejich střednědobý výhled. Od roku 2015 je státní rozpočet VaVaI koncipován jako součást přípravy na období po roce 2020, kdy vzniká riziko poklesu podílu výdajů na VaVaI financovaných z veřejných zdrojů z 1 % HDP v roce 2017 až k hranici 0,6 % HDP po roce 2023 způsobenému útlumem zdrojů EU.</w:t>
      </w:r>
    </w:p>
    <w:p w:rsidR="00BF13E7" w:rsidRDefault="00BF13E7" w:rsidP="00BF13E7">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Návrh výdajů je od roku 2017 strukturován do 15 rozpočtových kapitol. Kapitola Úřadu vlády ČR zahrnuje pouze náklady na činnost RVVI a prostředky na věcné nebo finanční ocenění mimořádných výsledků. Kapitoly Akademie věd ČR, Grantová agentura ČR a Technologická agentura ČR obsahují náklady na činnost, některé další rozpočtové kapitoly zase obsahují prostředky na pořádání veřejných soutěží a hodnocení projektů a výdajů na věcné nebo finanční ocenění mimořádných výsledků. Všechny kapitoly kromě Úřadu vlády ČR pak zahrnují především výdaje určené k rozdělení jednotlivý</w:t>
      </w:r>
      <w:r w:rsidR="00614550">
        <w:rPr>
          <w:rFonts w:ascii="Arial" w:eastAsia="Times New Roman" w:hAnsi="Arial" w:cs="Arial"/>
          <w:lang w:eastAsia="cs-CZ"/>
        </w:rPr>
        <w:t>m subjektům provádějícím VaVaI.</w:t>
      </w:r>
    </w:p>
    <w:p w:rsidR="00BF13E7" w:rsidRDefault="00BF13E7" w:rsidP="00BF13E7">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Pro zpřesnění komunikace s jednotlivými rozpočtovými kapitolami byly od roku 2014 postupně zřizovány pracovní skupiny (PS Rozpočet I–V). Na tvorbě návrhu rozpočtu pro rok 2015 se podílely dvě pracovní skupiny tvořené zástupci tehdejších poskytovatelů, při přípravě návrhu rozpočtu na rok 2016 byla vzhledem ke specifikům financování výzkumných center ustavena PS Rozpočet III. S ohledem na důsledky reformy systému financování VaVaI z roku 2008, kdy byly některým resortům zrušeny rozpočtové ukazatele Výdaje na VaVaI v jejich rozpočtových kapitolách, nastala nutnost detailnější spolupráce s těmito resorty. Proto byla při přípravě návrhu rozpočtu na rok 2017 zřízena PS Rozpočet IV (členy byli zástupci MŽP, MD, MPSV, MSP, SÚJB a</w:t>
      </w:r>
      <w:r w:rsidR="00712CCB">
        <w:rPr>
          <w:rFonts w:ascii="Arial" w:eastAsia="Times New Roman" w:hAnsi="Arial" w:cs="Arial"/>
          <w:lang w:eastAsia="cs-CZ"/>
        </w:rPr>
        <w:t> </w:t>
      </w:r>
      <w:r>
        <w:rPr>
          <w:rFonts w:ascii="Arial" w:eastAsia="Times New Roman" w:hAnsi="Arial" w:cs="Arial"/>
          <w:lang w:eastAsia="cs-CZ"/>
        </w:rPr>
        <w:t xml:space="preserve">ČÚZK), jejímž úkolem bylo především řešit potřeby uvedených resortů v oblasti managementu jimi zřízených výzkumných subjektů (do roku 2017 financovaných zejména prostřednictvím MŠMT) </w:t>
      </w:r>
      <w:r>
        <w:rPr>
          <w:rFonts w:ascii="Arial" w:eastAsia="Times New Roman" w:hAnsi="Arial" w:cs="Arial"/>
          <w:lang w:eastAsia="cs-CZ"/>
        </w:rPr>
        <w:lastRenderedPageBreak/>
        <w:t>a financování výzkumných potřeb těchto resortů. V návrhu výdajů státního rozpočtu na VaVaI na</w:t>
      </w:r>
      <w:r w:rsidR="00712CCB">
        <w:rPr>
          <w:rFonts w:ascii="Arial" w:eastAsia="Times New Roman" w:hAnsi="Arial" w:cs="Arial"/>
          <w:lang w:eastAsia="cs-CZ"/>
        </w:rPr>
        <w:t> </w:t>
      </w:r>
      <w:r>
        <w:rPr>
          <w:rFonts w:ascii="Arial" w:eastAsia="Times New Roman" w:hAnsi="Arial" w:cs="Arial"/>
          <w:lang w:eastAsia="cs-CZ"/>
        </w:rPr>
        <w:t xml:space="preserve">rok 2017 byl na základě návrhu RVVI rozšířen počet rozpočtových kapitol s výdaji na VaVaI z 11 na 15. Nově byly zařazeny kapitoly MZV, MPSV, MŽP a MD, které mají počínaje rokem 2017 schváleny prostředky na institucionální podporu. MŠMT má jako ústřední správní orgán odpovědný podle kompetenčního zákona za výzkum a vývoj, jako poskytovatel výrazně nejvyššího podílu podpory VaVaI z veřejných prostředků (cca 40 % podpory ze státního rozpočtu) a jako řídící orgán OP VVV, programu s nejvyššími příjmy ze zdrojů ESIF, dlouhodobě značný vliv na zpracování návrhu rozpočtu VaVaI. Kromě mimořádně velkého objemu obvyklých výdajů za organizace zřízené a řízené MŠMT uplatňuje MŠMT v návrhu výdajů i specifické položky </w:t>
      </w:r>
      <w:proofErr w:type="spellStart"/>
      <w:r>
        <w:rPr>
          <w:rFonts w:ascii="Arial" w:eastAsia="Times New Roman" w:hAnsi="Arial" w:cs="Arial"/>
          <w:lang w:eastAsia="cs-CZ"/>
        </w:rPr>
        <w:t>mimoresortního</w:t>
      </w:r>
      <w:proofErr w:type="spellEnd"/>
      <w:r>
        <w:rPr>
          <w:rFonts w:ascii="Arial" w:eastAsia="Times New Roman" w:hAnsi="Arial" w:cs="Arial"/>
          <w:lang w:eastAsia="cs-CZ"/>
        </w:rPr>
        <w:t xml:space="preserve"> dosahu, jmenovitě výdaje </w:t>
      </w:r>
      <w:proofErr w:type="gramStart"/>
      <w:r>
        <w:rPr>
          <w:rFonts w:ascii="Arial" w:eastAsia="Times New Roman" w:hAnsi="Arial" w:cs="Arial"/>
          <w:lang w:eastAsia="cs-CZ"/>
        </w:rPr>
        <w:t>na</w:t>
      </w:r>
      <w:proofErr w:type="gramEnd"/>
      <w:r>
        <w:rPr>
          <w:rFonts w:ascii="Arial" w:eastAsia="Times New Roman" w:hAnsi="Arial" w:cs="Arial"/>
          <w:lang w:eastAsia="cs-CZ"/>
        </w:rPr>
        <w:t>:</w:t>
      </w:r>
    </w:p>
    <w:p w:rsidR="00BF13E7" w:rsidRDefault="00BF13E7" w:rsidP="00BF13E7">
      <w:pPr>
        <w:pStyle w:val="Odstavecseseznamem"/>
        <w:numPr>
          <w:ilvl w:val="0"/>
          <w:numId w:val="34"/>
        </w:numPr>
        <w:spacing w:after="0" w:line="360" w:lineRule="auto"/>
        <w:jc w:val="both"/>
        <w:rPr>
          <w:rFonts w:ascii="Arial" w:eastAsia="Times New Roman" w:hAnsi="Arial" w:cs="Arial"/>
          <w:lang w:eastAsia="cs-CZ"/>
        </w:rPr>
      </w:pPr>
      <w:r>
        <w:rPr>
          <w:rFonts w:ascii="Arial" w:eastAsia="Times New Roman" w:hAnsi="Arial" w:cs="Arial"/>
          <w:lang w:eastAsia="cs-CZ"/>
        </w:rPr>
        <w:t>rozvoj výzkumných organizací, jejichž nadřízený orgán není poskytovatelem podpory VaVaI,</w:t>
      </w:r>
    </w:p>
    <w:p w:rsidR="00BF13E7" w:rsidRDefault="00BF13E7" w:rsidP="00BF13E7">
      <w:pPr>
        <w:pStyle w:val="Odstavecseseznamem"/>
        <w:numPr>
          <w:ilvl w:val="0"/>
          <w:numId w:val="34"/>
        </w:numPr>
        <w:spacing w:after="0" w:line="360" w:lineRule="auto"/>
        <w:jc w:val="both"/>
        <w:rPr>
          <w:rFonts w:ascii="Arial" w:eastAsia="Times New Roman" w:hAnsi="Arial" w:cs="Arial"/>
          <w:lang w:eastAsia="cs-CZ"/>
        </w:rPr>
      </w:pPr>
      <w:r>
        <w:rPr>
          <w:rFonts w:ascii="Arial" w:eastAsia="Times New Roman" w:hAnsi="Arial" w:cs="Arial"/>
          <w:lang w:eastAsia="cs-CZ"/>
        </w:rPr>
        <w:t xml:space="preserve">mezinárodní spolupráci ČR ve </w:t>
      </w:r>
      <w:proofErr w:type="spellStart"/>
      <w:r>
        <w:rPr>
          <w:rFonts w:ascii="Arial" w:eastAsia="Times New Roman" w:hAnsi="Arial" w:cs="Arial"/>
          <w:lang w:eastAsia="cs-CZ"/>
        </w:rPr>
        <w:t>VaV</w:t>
      </w:r>
      <w:proofErr w:type="spellEnd"/>
      <w:r>
        <w:rPr>
          <w:rFonts w:ascii="Arial" w:eastAsia="Times New Roman" w:hAnsi="Arial" w:cs="Arial"/>
          <w:lang w:eastAsia="cs-CZ"/>
        </w:rPr>
        <w:t>,</w:t>
      </w:r>
    </w:p>
    <w:p w:rsidR="00BF13E7" w:rsidRDefault="00BF13E7" w:rsidP="00BF13E7">
      <w:pPr>
        <w:pStyle w:val="Odstavecseseznamem"/>
        <w:numPr>
          <w:ilvl w:val="0"/>
          <w:numId w:val="34"/>
        </w:numPr>
        <w:spacing w:after="120" w:line="360" w:lineRule="auto"/>
        <w:ind w:left="1423" w:hanging="357"/>
        <w:jc w:val="both"/>
        <w:rPr>
          <w:rFonts w:ascii="Arial" w:eastAsia="Times New Roman" w:hAnsi="Arial" w:cs="Arial"/>
          <w:lang w:eastAsia="cs-CZ"/>
        </w:rPr>
      </w:pPr>
      <w:r>
        <w:rPr>
          <w:rFonts w:ascii="Arial" w:eastAsia="Times New Roman" w:hAnsi="Arial" w:cs="Arial"/>
          <w:lang w:eastAsia="cs-CZ"/>
        </w:rPr>
        <w:t>podporu projektů velké výzkumné infrastruktury.</w:t>
      </w:r>
    </w:p>
    <w:p w:rsidR="00BF13E7" w:rsidRDefault="00BF13E7" w:rsidP="00BF13E7">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V roce 2017 byly pracovní skupiny Rozpočet I a Rozpočet II sloučeny do jedné PS, která je koordinována Odborem Rady pro výzkum, vývoj a inovace Úřadu vlády ČR. Prostředky státního rozpočtu byly v roce 2017 distribuovány subjektům provádějícím VaVaI prostřednictvím 14</w:t>
      </w:r>
      <w:r w:rsidR="00712CCB">
        <w:rPr>
          <w:rFonts w:ascii="Arial" w:eastAsia="Times New Roman" w:hAnsi="Arial" w:cs="Arial"/>
          <w:lang w:eastAsia="cs-CZ"/>
        </w:rPr>
        <w:t> </w:t>
      </w:r>
      <w:r>
        <w:rPr>
          <w:rFonts w:ascii="Arial" w:eastAsia="Times New Roman" w:hAnsi="Arial" w:cs="Arial"/>
          <w:lang w:eastAsia="cs-CZ"/>
        </w:rPr>
        <w:t>poskytovatelů, toto je patrné ze Schématu 2.2. Poskytovatelé k distribuci používají kategorie podpor vymezené zákonem o podpoře výzkumu, experimentálního vývoje a inovací. Většina poskytovatelů využívá programy a granty (v závislosti na tom, zda jsou směřovány do základního nebo aplikovaného výzkumu) jako hlavní kategorie účelové podpory a prostředky na dlouhodobý koncepční rozvoj výzkumných organizací jako hlavní kategorii institucionální podpory. Kategorie spolufinancování operačních programů ve VaVaI ze státního rozpočtu je vázána na strukturální fondy v oblasti VaVaI, proto s ní nakládají MŠMT a MPO. MŠMT navíc odpovídá za zbylé kategorie vymezené zákonem o podpoře výzkumu, experimentálního vývoje a inovací. Jedná se o</w:t>
      </w:r>
      <w:r w:rsidR="00614550">
        <w:rPr>
          <w:rFonts w:ascii="Arial" w:eastAsia="Times New Roman" w:hAnsi="Arial" w:cs="Arial"/>
          <w:lang w:eastAsia="cs-CZ"/>
        </w:rPr>
        <w:t> </w:t>
      </w:r>
      <w:r>
        <w:rPr>
          <w:rFonts w:ascii="Arial" w:eastAsia="Times New Roman" w:hAnsi="Arial" w:cs="Arial"/>
          <w:lang w:eastAsia="cs-CZ"/>
        </w:rPr>
        <w:t xml:space="preserve"> podporu velkých infrastruktur, mezinárodní spolupráci ČR ve výzkumu a vývoji realizovanou na základě mezinárodních smluv a podporu na specifický vysokoškolský výzkum. Zvláštní význam mají Národní programy udržitelnosti I a II, které jsou ve smyslu zákona o podpoře výzkumu, vývoje a inovací programem účelové podpory, avšak mají pomoci zajistit udržitelnost projektů financovaných z prioritních os 1 a 2 Operačního programu výzkum a vývoj pro inovace (Evropská centra excelence, Regionální centra výzkumu a vývoje), čímž se od jiných programů výrazně liší.</w:t>
      </w:r>
    </w:p>
    <w:p w:rsidR="00BF13E7" w:rsidRDefault="00BF13E7" w:rsidP="00BF13E7">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Zákonem č. 457/2016 Sb., o státním rozpočtu České republiky na rok 2017 byly schváleny výdaje na VaVaI ve výši 32,66 mld. Kč, což představovalo navýšení o 3,57 mld. Kč oproti roku 2016. V roce 2017 se podařilo zákonem č. 474/2017 Sb., o státním rozpočtu České republiky na rok 2018 docílit dalšího významného meziročního navýšení rozpočtu. Celkové výdaje pro rok 2018 vzrostly o 2,14 mld. Kč, tj. o 6,5 %, na 34,80 mld. Kč, kdy u institucionálních výdajů došlo k navýšení o 0,85 mld. Kč a u účelových výdajů o 1,29 mld. Kč. Největšího objemu navýšení bylo docíleno u TA ČR (765 mil. Kč), AV ČR (552 mil. Kč) a MŠMT (417 mil. Kč).</w:t>
      </w:r>
    </w:p>
    <w:p w:rsidR="00BF13E7" w:rsidRDefault="00BF13E7" w:rsidP="00BF13E7">
      <w:pPr>
        <w:spacing w:after="0" w:line="360" w:lineRule="auto"/>
        <w:rPr>
          <w:rFonts w:ascii="Arial" w:eastAsia="Times New Roman" w:hAnsi="Arial" w:cs="Arial"/>
          <w:lang w:eastAsia="cs-CZ"/>
        </w:rPr>
        <w:sectPr w:rsidR="00BF13E7" w:rsidSect="00D86295">
          <w:footerReference w:type="default" r:id="rId14"/>
          <w:pgSz w:w="11906" w:h="16838"/>
          <w:pgMar w:top="1134" w:right="1134" w:bottom="1134" w:left="1134" w:header="709" w:footer="709" w:gutter="0"/>
          <w:pgNumType w:start="1"/>
          <w:cols w:space="708"/>
        </w:sectPr>
      </w:pPr>
    </w:p>
    <w:p w:rsidR="00BF13E7" w:rsidRDefault="00BF13E7" w:rsidP="00BF13E7">
      <w:pPr>
        <w:pStyle w:val="Obrzek-nadpis"/>
        <w:spacing w:before="0" w:after="120"/>
      </w:pPr>
      <w:r>
        <w:lastRenderedPageBreak/>
        <w:t>Schéma 2.1: Odpovědnost kapitol, role ústředního orgánu a finanční toky (bez evropských finančních zdrojů a jejich spolufinancování ze SR)</w:t>
      </w:r>
    </w:p>
    <w:p w:rsidR="00BF13E7" w:rsidRDefault="00BF13E7" w:rsidP="00BF13E7">
      <w:pPr>
        <w:spacing w:after="0" w:line="360" w:lineRule="auto"/>
        <w:ind w:firstLine="708"/>
        <w:jc w:val="both"/>
        <w:rPr>
          <w:rFonts w:ascii="Arial" w:eastAsia="Times New Roman" w:hAnsi="Arial" w:cs="Arial"/>
          <w:lang w:eastAsia="cs-CZ"/>
        </w:rPr>
      </w:pPr>
      <w:r>
        <w:rPr>
          <w:rFonts w:ascii="Times New Roman" w:hAnsi="Times New Roman"/>
          <w:noProof/>
          <w:sz w:val="24"/>
          <w:lang w:eastAsia="cs-CZ"/>
        </w:rPr>
        <w:drawing>
          <wp:inline distT="0" distB="0" distL="0" distR="0" wp14:anchorId="3CB7836D" wp14:editId="6739CE01">
            <wp:extent cx="8450580" cy="5639060"/>
            <wp:effectExtent l="0" t="0" r="762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453834" cy="5641231"/>
                    </a:xfrm>
                    <a:prstGeom prst="rect">
                      <a:avLst/>
                    </a:prstGeom>
                    <a:noFill/>
                    <a:ln>
                      <a:noFill/>
                    </a:ln>
                  </pic:spPr>
                </pic:pic>
              </a:graphicData>
            </a:graphic>
          </wp:inline>
        </w:drawing>
      </w:r>
    </w:p>
    <w:p w:rsidR="00BF13E7" w:rsidRDefault="00BF13E7" w:rsidP="00BF13E7">
      <w:pPr>
        <w:spacing w:after="0" w:line="360" w:lineRule="auto"/>
        <w:ind w:firstLine="708"/>
        <w:jc w:val="both"/>
        <w:rPr>
          <w:rFonts w:ascii="Arial" w:eastAsia="Times New Roman" w:hAnsi="Arial" w:cs="Arial"/>
          <w:lang w:eastAsia="cs-CZ"/>
        </w:rPr>
        <w:sectPr w:rsidR="00BF13E7" w:rsidSect="00BF13E7">
          <w:headerReference w:type="first" r:id="rId16"/>
          <w:footerReference w:type="first" r:id="rId17"/>
          <w:pgSz w:w="16838" w:h="11906" w:orient="landscape"/>
          <w:pgMar w:top="1134" w:right="1134" w:bottom="1134" w:left="1134" w:header="709" w:footer="709" w:gutter="0"/>
          <w:cols w:space="708"/>
          <w:docGrid w:linePitch="360"/>
        </w:sectPr>
      </w:pPr>
    </w:p>
    <w:p w:rsidR="001D187F" w:rsidRDefault="001D187F" w:rsidP="00CD1C40">
      <w:pPr>
        <w:pStyle w:val="NadpisurovemII"/>
        <w:numPr>
          <w:ilvl w:val="1"/>
          <w:numId w:val="33"/>
        </w:numPr>
        <w:ind w:hanging="792"/>
        <w:jc w:val="both"/>
        <w:rPr>
          <w:rFonts w:eastAsia="Times New Roman"/>
        </w:rPr>
      </w:pPr>
      <w:bookmarkStart w:id="11" w:name="_Toc529974106"/>
      <w:r>
        <w:rPr>
          <w:rFonts w:eastAsia="Times New Roman"/>
        </w:rPr>
        <w:lastRenderedPageBreak/>
        <w:t xml:space="preserve">Kategorie podpory </w:t>
      </w:r>
      <w:proofErr w:type="spellStart"/>
      <w:r w:rsidR="00AC06A6">
        <w:rPr>
          <w:rFonts w:eastAsia="Times New Roman"/>
        </w:rPr>
        <w:t>VaV</w:t>
      </w:r>
      <w:proofErr w:type="spellEnd"/>
      <w:r>
        <w:rPr>
          <w:rFonts w:eastAsia="Times New Roman"/>
        </w:rPr>
        <w:t xml:space="preserve"> v</w:t>
      </w:r>
      <w:r w:rsidR="00C92A42">
        <w:rPr>
          <w:rFonts w:eastAsia="Times New Roman"/>
        </w:rPr>
        <w:t> ČR a struktura poskytovatelů a </w:t>
      </w:r>
      <w:r>
        <w:rPr>
          <w:rFonts w:eastAsia="Times New Roman"/>
        </w:rPr>
        <w:t>příjemců</w:t>
      </w:r>
      <w:bookmarkEnd w:id="11"/>
    </w:p>
    <w:p w:rsidR="00D86295" w:rsidRDefault="00D86295" w:rsidP="00D86295">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Schéma 2.2 znázorňuje, že jednotlivé skupiny příjemců mohou využívat všech kategorií podpor ze SR s výjimkou SVV, který je primárně určen vysokým školám.</w:t>
      </w:r>
      <w:r>
        <w:rPr>
          <w:rFonts w:ascii="Arial" w:eastAsia="Times New Roman" w:hAnsi="Arial" w:cs="Arial"/>
          <w:vertAlign w:val="superscript"/>
          <w:lang w:eastAsia="cs-CZ"/>
        </w:rPr>
        <w:footnoteReference w:id="2"/>
      </w:r>
      <w:r>
        <w:rPr>
          <w:rFonts w:ascii="Arial" w:eastAsia="Times New Roman" w:hAnsi="Arial" w:cs="Arial"/>
          <w:lang w:eastAsia="cs-CZ"/>
        </w:rPr>
        <w:t xml:space="preserve"> Vícezdrojové financování od několika poskytovatelů pomocí různých nástrojů má pro příjemce výhody v možnosti kombinování dle potřeb subjektu v souladu s jeho strategií provádění VaVaI. Nicméně situace, kdy vysoký podíl finančních prostředků činí velké množství časově nesouběžných účelových podpor, může způsobovat finanční nestabilitu subjektů a bránit dlouhodobému strategickému plánování v oblasti lidských zdrojů i výzkumných cílů. Navíc v situaci, kdy je možné takto kombinovat mnoho nástrojů od různých poskytovatelů, je velmi komplikované předcházet duplicitám či multiplicitám ve financování. Pro strategické plánování rozpočtových výdajů na VaVaI na národní úrovni je mimo jiné zásadní rozlišovat jednotlivé kategorie podpor ve smyslu jejich potenciálního přínosu.</w:t>
      </w:r>
    </w:p>
    <w:p w:rsidR="00D86295" w:rsidRDefault="00D86295" w:rsidP="00D86295">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Zákon o podpoře výzkumu, vývoje a inovací jednoznačně odděluje účelové a institucionální financování, avšak některé kategorie podpor jsou řazeny do účelového financování, přestože svým charakterem odpovídají spíše institucionálnímu. Z analytického pohledu by bylo vhodnější řadit kategorie SVV, INFRA a rovněž NPU k institucionálním podporám. Naopak kategorie SPOLUFIN a částečně také MEZINAR mají spíše účelový charakter, protože jsou spolufinancovány projekty vybranými na základě soutěže.</w:t>
      </w:r>
    </w:p>
    <w:p w:rsidR="00D86295" w:rsidRDefault="00D86295" w:rsidP="00D86295">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Kategorie SVV, INFRA a NPU mají podobné efekty jako RVO, tj. podporují stabilitu a rozvoj výzkumné základny.</w:t>
      </w:r>
      <w:r>
        <w:rPr>
          <w:rFonts w:ascii="Arial" w:eastAsia="Times New Roman" w:hAnsi="Arial" w:cs="Arial"/>
          <w:vertAlign w:val="superscript"/>
          <w:lang w:eastAsia="cs-CZ"/>
        </w:rPr>
        <w:footnoteReference w:id="3"/>
      </w:r>
      <w:r>
        <w:rPr>
          <w:rFonts w:ascii="Arial" w:eastAsia="Times New Roman" w:hAnsi="Arial" w:cs="Arial"/>
          <w:lang w:eastAsia="cs-CZ"/>
        </w:rPr>
        <w:t xml:space="preserve"> Pro jejich distribuci je zásadní, který subjekt zmíněnou podporu získá. Naproti tomu projekty mají konkrétní cíle, obvykle oborově specifické a předem vymezené ve strategických dokumentech na národní či resortní úrovni</w:t>
      </w:r>
      <w:r>
        <w:rPr>
          <w:rFonts w:ascii="Arial" w:eastAsia="Times New Roman" w:hAnsi="Arial" w:cs="Arial"/>
          <w:vertAlign w:val="superscript"/>
          <w:lang w:eastAsia="cs-CZ"/>
        </w:rPr>
        <w:footnoteReference w:id="4"/>
      </w:r>
      <w:r>
        <w:rPr>
          <w:rFonts w:ascii="Arial" w:eastAsia="Times New Roman" w:hAnsi="Arial" w:cs="Arial"/>
          <w:lang w:eastAsia="cs-CZ"/>
        </w:rPr>
        <w:t xml:space="preserve"> (výjimku tvoří projekty zaměřené na podporu tzv. horizontálních aktivit, např. mezinárodní spolupráce, excelence, konkurenceschopnost, apod.). Pro úspěch projektu není rozhodující, kdo je příjemcem podpory, ale zda je generován cílový výstup a je-li výstup přínosný pro konkrétní odvětví hospodářské činnosti nebo celou společnost.</w:t>
      </w:r>
    </w:p>
    <w:p w:rsidR="00D86295" w:rsidRDefault="00D86295" w:rsidP="00D86295">
      <w:pPr>
        <w:pStyle w:val="Obrzek-nadpis"/>
        <w:spacing w:before="0" w:after="120"/>
      </w:pPr>
      <w:r>
        <w:lastRenderedPageBreak/>
        <w:t>Schéma 2.2: Způsob financování výzkumu a vývoje ze státního rozpočtu s objemy vynaložených prostředků v roce 2017</w:t>
      </w:r>
    </w:p>
    <w:p w:rsidR="00D86295" w:rsidRDefault="00D86295" w:rsidP="00D86295">
      <w:pPr>
        <w:spacing w:after="0" w:line="360" w:lineRule="auto"/>
        <w:ind w:firstLine="708"/>
        <w:jc w:val="both"/>
        <w:rPr>
          <w:rFonts w:ascii="Arial" w:eastAsia="Times New Roman" w:hAnsi="Arial" w:cs="Arial"/>
          <w:lang w:eastAsia="cs-CZ"/>
        </w:rPr>
      </w:pPr>
      <w:r>
        <w:rPr>
          <w:noProof/>
          <w:lang w:eastAsia="cs-CZ"/>
        </w:rPr>
        <w:drawing>
          <wp:inline distT="0" distB="0" distL="0" distR="0" wp14:anchorId="2FA0DB4C" wp14:editId="4909D1C5">
            <wp:extent cx="5341620" cy="6454140"/>
            <wp:effectExtent l="0" t="0" r="0" b="3810"/>
            <wp:docPr id="2" name="Obrázek 2"/>
            <wp:cNvGraphicFramePr/>
            <a:graphic xmlns:a="http://schemas.openxmlformats.org/drawingml/2006/main">
              <a:graphicData uri="http://schemas.openxmlformats.org/drawingml/2006/picture">
                <pic:pic xmlns:pic="http://schemas.openxmlformats.org/drawingml/2006/picture">
                  <pic:nvPicPr>
                    <pic:cNvPr id="2" name="Obrázek 2"/>
                    <pic:cNvPicPr/>
                  </pic:nvPicPr>
                  <pic:blipFill>
                    <a:blip r:embed="rId18">
                      <a:extLst>
                        <a:ext uri="{28A0092B-C50C-407E-A947-70E740481C1C}">
                          <a14:useLocalDpi xmlns:a14="http://schemas.microsoft.com/office/drawing/2010/main" val="0"/>
                        </a:ext>
                      </a:extLst>
                    </a:blip>
                    <a:stretch>
                      <a:fillRect/>
                    </a:stretch>
                  </pic:blipFill>
                  <pic:spPr>
                    <a:xfrm>
                      <a:off x="0" y="0"/>
                      <a:ext cx="5341620" cy="6454140"/>
                    </a:xfrm>
                    <a:prstGeom prst="rect">
                      <a:avLst/>
                    </a:prstGeom>
                  </pic:spPr>
                </pic:pic>
              </a:graphicData>
            </a:graphic>
          </wp:inline>
        </w:drawing>
      </w:r>
    </w:p>
    <w:p w:rsidR="00D86295" w:rsidRDefault="00D86295" w:rsidP="00D86295">
      <w:pPr>
        <w:pStyle w:val="komentzaobrzkem"/>
      </w:pPr>
      <w:r>
        <w:t>Finance jsou uváděny v mil. Kč, bez kapitoly ÚV ČR. Finanční prostředky v prostředním sloupci neobsahují výdaje na činnost poskytovatelů vč. kontrol a finance na ocenění mimořádných výsledků VaVaI, částky v závorce jsou čerpané prostředky podle jednotlivých kategorií.</w:t>
      </w:r>
    </w:p>
    <w:p w:rsidR="00D86295" w:rsidRDefault="00D86295" w:rsidP="00D86295">
      <w:pPr>
        <w:pStyle w:val="komentzaobrzkem"/>
      </w:pPr>
      <w:r>
        <w:t xml:space="preserve">Finanční prostředky v pravém sloupci (subjekty provádějící VaVaI) neobsahují finance určené na poplatky za účast ČR v mezinárodních programech </w:t>
      </w:r>
      <w:proofErr w:type="spellStart"/>
      <w:r>
        <w:t>VaV</w:t>
      </w:r>
      <w:proofErr w:type="spellEnd"/>
      <w:r>
        <w:t xml:space="preserve"> a za členství v mezinárodních organizacích </w:t>
      </w:r>
      <w:proofErr w:type="spellStart"/>
      <w:r>
        <w:t>VaV</w:t>
      </w:r>
      <w:proofErr w:type="spellEnd"/>
      <w:r>
        <w:t xml:space="preserve"> (v celkové výši 928  mil. Kč), neboť byly z kapitoly MŠMT vyplaceny přímo mezinárodním organizacím.</w:t>
      </w:r>
    </w:p>
    <w:p w:rsidR="00D86295" w:rsidRDefault="00D86295" w:rsidP="00D86295">
      <w:pPr>
        <w:pStyle w:val="komentzaobrzkem"/>
      </w:pPr>
      <w:r>
        <w:rPr>
          <w:b/>
        </w:rPr>
        <w:t>AV</w:t>
      </w:r>
      <w:r>
        <w:t xml:space="preserve"> – veřejné výzkumné instituce, které zřídila AV ČR dle zákona č. 341/2005 Sb.; </w:t>
      </w:r>
      <w:r>
        <w:rPr>
          <w:b/>
        </w:rPr>
        <w:t>VS</w:t>
      </w:r>
      <w:r>
        <w:t xml:space="preserve"> – vysoké školy (veřejné a</w:t>
      </w:r>
      <w:r w:rsidR="00DA0191">
        <w:t> </w:t>
      </w:r>
      <w:r>
        <w:t xml:space="preserve">soukromé, jejichž zřizovatelem jsou právnické nebo fyzické osoby); </w:t>
      </w:r>
      <w:r>
        <w:rPr>
          <w:b/>
        </w:rPr>
        <w:t>SP</w:t>
      </w:r>
      <w:r>
        <w:t xml:space="preserve"> – státní příspěvkové organizace, organizační složky státu a veřejné výzkumné instituce mimo ústavů AV ČR; </w:t>
      </w:r>
      <w:r>
        <w:rPr>
          <w:b/>
        </w:rPr>
        <w:t>PF</w:t>
      </w:r>
      <w:r>
        <w:t xml:space="preserve"> – právnické a fyzické osoby, jednotlivci a instituce nespadající do žádné z výše uvedených skupin, např. akciová společnost, společnost s ručením omezeným, obecně prospěšná společnost, nadace, občanské sdružení.</w:t>
      </w:r>
    </w:p>
    <w:p w:rsidR="00D86295" w:rsidRDefault="00D86295" w:rsidP="00D86295">
      <w:pPr>
        <w:pStyle w:val="komentzaobrzkem"/>
        <w:rPr>
          <w:rFonts w:cs="Arial"/>
        </w:rPr>
      </w:pPr>
      <w:r>
        <w:rPr>
          <w:b/>
        </w:rPr>
        <w:t>PROJEKTY</w:t>
      </w:r>
      <w:r>
        <w:t xml:space="preserve"> – grantový nebo programový projekt</w:t>
      </w:r>
      <w:r>
        <w:rPr>
          <w:rFonts w:cs="Arial"/>
        </w:rPr>
        <w:t xml:space="preserve">; </w:t>
      </w:r>
      <w:r>
        <w:rPr>
          <w:rFonts w:cs="Arial"/>
          <w:b/>
        </w:rPr>
        <w:t>SVV</w:t>
      </w:r>
      <w:r>
        <w:rPr>
          <w:rFonts w:cs="Arial"/>
        </w:rPr>
        <w:t xml:space="preserve"> </w:t>
      </w:r>
      <w:r>
        <w:t xml:space="preserve">– specifický vysokoškolský výzkum; </w:t>
      </w:r>
      <w:r>
        <w:rPr>
          <w:b/>
        </w:rPr>
        <w:t>INFRA</w:t>
      </w:r>
      <w:r>
        <w:t xml:space="preserve"> – projekty velkých výzkumných infrastruktur; NPU – Národní program udržitelnosti I a II; SPOLUFIN – spolufinancování OP; </w:t>
      </w:r>
      <w:r>
        <w:rPr>
          <w:b/>
        </w:rPr>
        <w:t>MEZINAR</w:t>
      </w:r>
      <w:r>
        <w:t xml:space="preserve"> – mezinárodní spolupráce; </w:t>
      </w:r>
      <w:r>
        <w:rPr>
          <w:b/>
        </w:rPr>
        <w:t>RVO</w:t>
      </w:r>
      <w:r>
        <w:t xml:space="preserve"> – dlouhodobý koncepční rozvoj VO</w:t>
      </w:r>
    </w:p>
    <w:p w:rsidR="00D86295" w:rsidRPr="00D86295" w:rsidRDefault="00D86295" w:rsidP="00D86295">
      <w:pPr>
        <w:spacing w:after="0" w:line="360" w:lineRule="auto"/>
        <w:ind w:firstLine="709"/>
        <w:jc w:val="both"/>
        <w:rPr>
          <w:rFonts w:ascii="Arial" w:eastAsia="Times New Roman" w:hAnsi="Arial" w:cs="Arial"/>
          <w:lang w:eastAsia="cs-CZ"/>
        </w:rPr>
      </w:pPr>
      <w:r>
        <w:rPr>
          <w:rFonts w:ascii="Arial" w:eastAsia="Times New Roman" w:hAnsi="Arial" w:cs="Arial"/>
          <w:lang w:eastAsia="cs-CZ"/>
        </w:rPr>
        <w:lastRenderedPageBreak/>
        <w:t xml:space="preserve">Schéma 2.2 rovněž uvádí kvantifikované finanční toky za rok 2017. Je z něj patrné rozdělení na jednotlivé rozpočtové kapitoly (levý sloupec obrázku; bez kapitoly Úřad vlády ČR, který fakticky není poskytovatelem) ve výši schválené zákonem č. 457/2016 Sb. o státním rozpočtu České republiky na rok 2017. Dále jsou znázorněny finanční toky rozdělené na kategorie podpor (prostřední sloupec obrázku) ve výši schválené zákonem a navíc čerpaná podpora (uvedená v závorce). V pravém sloupci obrázku jsou finanční objemy </w:t>
      </w:r>
      <w:r w:rsidRPr="00D86295">
        <w:rPr>
          <w:rFonts w:ascii="Arial" w:eastAsia="Times New Roman" w:hAnsi="Arial" w:cs="Arial"/>
          <w:lang w:eastAsia="cs-CZ"/>
        </w:rPr>
        <w:t>čerpané subjekty provádějícími VaVaI. Rozdíl celkových výdajů SR a prostředků na jednotlivé kategorie podpor (v roce 2017 se jednalo o</w:t>
      </w:r>
      <w:r w:rsidR="00DA0191">
        <w:rPr>
          <w:rFonts w:ascii="Arial" w:eastAsia="Times New Roman" w:hAnsi="Arial" w:cs="Arial"/>
          <w:lang w:eastAsia="cs-CZ"/>
        </w:rPr>
        <w:t> </w:t>
      </w:r>
      <w:r w:rsidRPr="00D86295">
        <w:rPr>
          <w:rFonts w:ascii="Arial" w:eastAsia="Times New Roman" w:hAnsi="Arial" w:cs="Arial"/>
          <w:lang w:eastAsia="cs-CZ"/>
        </w:rPr>
        <w:t>1 890 mil. Kč) činí prostředky na vlastní činnost poskytovatelů vč. kontrol a prostředky na ocenění mimořádných výsledků VaVaI. Prostředky SR skutečně čerpané příjemci v roce 2017</w:t>
      </w:r>
      <w:r w:rsidRPr="00D86295">
        <w:rPr>
          <w:rFonts w:ascii="Arial" w:eastAsia="Times New Roman" w:hAnsi="Arial" w:cs="Arial"/>
          <w:lang w:eastAsia="cs-CZ"/>
        </w:rPr>
        <w:footnoteReference w:id="5"/>
      </w:r>
      <w:r w:rsidRPr="00D86295">
        <w:rPr>
          <w:rFonts w:ascii="Arial" w:eastAsia="Times New Roman" w:hAnsi="Arial" w:cs="Arial"/>
          <w:lang w:eastAsia="cs-CZ"/>
        </w:rPr>
        <w:t xml:space="preserve">  v součtu převýšily prostředky schválené na jednotlivé kategorie podpor (rozdíl činil cca 1 430 mil. Kč; tento rozdíl vznikne po odpočítání kategorie MEZINAR, neboť významná část není v pravém sloupci započítaná z důvodu vyplacení přímo mezinárodním organizacím). Diskrepance ve skutečně čerpané a zákonem schválené podpoře lze vysvětlit primárně zapojením nároků z</w:t>
      </w:r>
      <w:r w:rsidR="00614550">
        <w:rPr>
          <w:rFonts w:ascii="Arial" w:eastAsia="Times New Roman" w:hAnsi="Arial" w:cs="Arial"/>
          <w:lang w:eastAsia="cs-CZ"/>
        </w:rPr>
        <w:t> </w:t>
      </w:r>
      <w:r w:rsidRPr="00D86295">
        <w:rPr>
          <w:rFonts w:ascii="Arial" w:eastAsia="Times New Roman" w:hAnsi="Arial" w:cs="Arial"/>
          <w:lang w:eastAsia="cs-CZ"/>
        </w:rPr>
        <w:t>nespotřebovaných výdajů z předchozích let na úrovni rozpočtových kapitol, konkrétně se jednalo o kategorii podpory SPOLUFIN, u které byla schválená podpora 1 960 mil. Kč a skutečně čerpaná podpora byla ve výši 3 610 mil. Kč. Dalším možným vysvětlením konečného rozdílu může být časový posun při procesu rozdělování finančních prostředků na základě výsledků veřejných soutěží z minulého období k projektům schválených programů.</w:t>
      </w:r>
    </w:p>
    <w:p w:rsidR="00D86295" w:rsidRPr="00D86295" w:rsidRDefault="00D86295" w:rsidP="00D86295">
      <w:pPr>
        <w:spacing w:after="0" w:line="360" w:lineRule="auto"/>
        <w:ind w:firstLine="709"/>
        <w:jc w:val="both"/>
        <w:rPr>
          <w:rFonts w:ascii="Arial" w:eastAsia="Times New Roman" w:hAnsi="Arial" w:cs="Arial"/>
          <w:lang w:eastAsia="cs-CZ"/>
        </w:rPr>
      </w:pPr>
      <w:r>
        <w:rPr>
          <w:rFonts w:ascii="Arial" w:eastAsia="Times New Roman" w:hAnsi="Arial" w:cs="Arial"/>
          <w:lang w:eastAsia="cs-CZ"/>
        </w:rPr>
        <w:t>Ve srovnání s rokem 2016 došlo k nárůstu prostředků schválených zákonem na kategorie podpor o 3 291 mil. Kč, což se promítlo ve všech kategoriích kromě SVV. K nejmarkantnějšímu navýšení došlo ve prospěch kategorie PROJEKTY (meziroční nárůst o 1 480 mil. Kč), tento nárůst byl způsoben především nárůstem finanční alokace u programů EPSILON (TA ČR) a TRIO (MPO). Alokace u kategorie RVO vzrostla meziročně o 482 mil. Kč, dále alokace na podporu výzkumných infrastruktur meziročně vzrostla o 343 mil. Kč (součet za kategorie INFRA a NPU). Čerpání OP PIK a OP VVV se promítlo ve vyšších nárocích na spolufinancování těchto programů ze SR (meziroční nárůst kategorie SPOLUFIN o 690 mil. Kč).</w:t>
      </w:r>
    </w:p>
    <w:p w:rsidR="00D86295" w:rsidRDefault="00D86295" w:rsidP="00D86295">
      <w:pPr>
        <w:spacing w:after="0" w:line="360" w:lineRule="auto"/>
        <w:ind w:firstLine="708"/>
        <w:jc w:val="both"/>
      </w:pPr>
      <w:r>
        <w:rPr>
          <w:rFonts w:ascii="Arial" w:eastAsia="Times New Roman" w:hAnsi="Arial" w:cs="Arial"/>
          <w:lang w:eastAsia="cs-CZ"/>
        </w:rPr>
        <w:t xml:space="preserve">V  </w:t>
      </w:r>
      <w:r>
        <w:rPr>
          <w:rFonts w:ascii="Arial" w:eastAsia="Times New Roman" w:hAnsi="Arial" w:cs="Arial"/>
          <w:i/>
          <w:lang w:eastAsia="cs-CZ"/>
        </w:rPr>
        <w:t>Analýze 2016</w:t>
      </w:r>
      <w:r>
        <w:rPr>
          <w:rFonts w:ascii="Arial" w:eastAsia="Times New Roman" w:hAnsi="Arial" w:cs="Arial"/>
          <w:lang w:eastAsia="cs-CZ"/>
        </w:rPr>
        <w:t xml:space="preserve"> byly analyzovány přidělené prostředky dle subjektů provádějících VaVaI, z důvodu zpřesňování </w:t>
      </w:r>
      <w:r>
        <w:rPr>
          <w:rFonts w:ascii="Arial" w:eastAsia="Times New Roman" w:hAnsi="Arial" w:cs="Arial"/>
          <w:i/>
          <w:lang w:eastAsia="cs-CZ"/>
        </w:rPr>
        <w:t>Analýzy 2017</w:t>
      </w:r>
      <w:r>
        <w:rPr>
          <w:rFonts w:ascii="Arial" w:eastAsia="Times New Roman" w:hAnsi="Arial" w:cs="Arial"/>
          <w:lang w:eastAsia="cs-CZ"/>
        </w:rPr>
        <w:t xml:space="preserve"> byla nově zkoumána již čerpaná podpora za rok 2017. Konkrétní objemy institucionální a účelové podpory ve smyslu zákona na podporu výzkumu, experimentálního vývoje a inovací čerpané v roce 2017 jednotlivými skupinami příjemců uvádí obrázek 2.1. Je patrné, že u všech skupin příjemců tvoří účelová složka vysoký podíl celkové podpory. Zatímco v případě podniků lze její zásadní převahu (74 %) považovat za žádoucí, u veřejných subjektů indikuje zvýšené riziko meziroční nestability ve financování. Nestabilita je navíc zvýšena způsobem stanovení výše institucionálních prostředků, na což poukazují závěry </w:t>
      </w:r>
      <w:r>
        <w:rPr>
          <w:rFonts w:ascii="Arial" w:eastAsia="Times New Roman" w:hAnsi="Arial" w:cs="Arial"/>
          <w:lang w:eastAsia="cs-CZ"/>
        </w:rPr>
        <w:lastRenderedPageBreak/>
        <w:t>mezinárodního auditu systému VaVaI v ČR</w:t>
      </w:r>
      <w:r>
        <w:rPr>
          <w:vertAlign w:val="superscript"/>
        </w:rPr>
        <w:footnoteReference w:id="6"/>
      </w:r>
      <w:r>
        <w:rPr>
          <w:rFonts w:ascii="Arial" w:eastAsia="Times New Roman" w:hAnsi="Arial" w:cs="Arial"/>
          <w:lang w:eastAsia="cs-CZ"/>
        </w:rPr>
        <w:t xml:space="preserve"> provedeného v roce 2011. U vysokých škol činil v roce 2017 podíl účelového financování 50 % (v roce 2016 to bylo 53 %), u příspěvkových organizací státu dokonce 57 % (62 % v roce 2016). V případě ústavů AV ČR, které v roce 2016 vykázaly výraznější převahu přidělené institucionální podpory (59 %), činil v roce 2017 poměr čerpané institucionální podpory dokonce 61 %. Interpretace je výrazně ovlivněna začleněním nástrojů institucionálního charakteru do účelové podpory. U vysokých škol je nutno vzít v potaz vícezdrojové financování včetně prostředků na vzdělávací aktivity, které nejsou do výše zmíněných poměrů započteny. Nárůst podílu účelové složky byl v roce 2016 u vysokých škol ovlivněn zvýšením alokace na podporu výzkumných infrastruktur (VŠ dostaly v roce 2016 přiděleno z kategorií podpor INFRA a NPU v součtu o 669 mil. Kč více než v roce 2015). Naopak v roce 2017 sledujeme, že podíl účelové podpory klesl na 50 %, což bylo zapříčiněno především růstem kategorie SPOLUFIN. U příspěvkových organizací státu došlo v roce 2017 k růstu finančních prostředků na RVO, což bylo oproti minulým letům způsobeno z velké části nově přidělenými prostředky na RVO v kapitolách MZV, MPSV, MŽP a MD v celkové výši 189 mil. Kč, zároveň byly meziročně navýšeny prostředky na RVO u kapitol </w:t>
      </w:r>
      <w:proofErr w:type="spellStart"/>
      <w:r>
        <w:rPr>
          <w:rFonts w:ascii="Arial" w:eastAsia="Times New Roman" w:hAnsi="Arial" w:cs="Arial"/>
          <w:lang w:eastAsia="cs-CZ"/>
        </w:rPr>
        <w:t>MZe</w:t>
      </w:r>
      <w:proofErr w:type="spellEnd"/>
      <w:r>
        <w:rPr>
          <w:rFonts w:ascii="Arial" w:eastAsia="Times New Roman" w:hAnsi="Arial" w:cs="Arial"/>
          <w:lang w:eastAsia="cs-CZ"/>
        </w:rPr>
        <w:t>, MO, MV a MK v součtu o 66 mil. Kč za účelem podpory výzkumných subjektů zřizovaných uvedenými resorty.</w:t>
      </w:r>
    </w:p>
    <w:p w:rsidR="00B44C53" w:rsidRDefault="00B44C53" w:rsidP="00B44C53">
      <w:pPr>
        <w:pStyle w:val="Obrzek-nadpis"/>
      </w:pPr>
      <w:r>
        <w:t>Obrázek 2.1: Objem prostředků státního rozpočtu skutečně čerpaných skupinami příjemců v roce 2017 (v mil. Kč)</w:t>
      </w:r>
    </w:p>
    <w:p w:rsidR="00B44C53" w:rsidRDefault="00B44C53" w:rsidP="00B44C53">
      <w:pPr>
        <w:spacing w:after="0" w:line="240" w:lineRule="auto"/>
        <w:jc w:val="center"/>
        <w:rPr>
          <w:rFonts w:ascii="Times New Roman" w:eastAsia="Times New Roman" w:hAnsi="Times New Roman" w:cs="Times New Roman"/>
          <w:sz w:val="24"/>
          <w:szCs w:val="24"/>
          <w:lang w:eastAsia="cs-CZ"/>
        </w:rPr>
      </w:pPr>
      <w:r>
        <w:rPr>
          <w:rFonts w:ascii="Times New Roman" w:eastAsia="Times New Roman" w:hAnsi="Times New Roman" w:cs="Times New Roman"/>
          <w:noProof/>
          <w:sz w:val="24"/>
          <w:szCs w:val="24"/>
          <w:lang w:eastAsia="cs-CZ"/>
        </w:rPr>
        <w:drawing>
          <wp:inline distT="0" distB="0" distL="0" distR="0" wp14:anchorId="18C14045" wp14:editId="48CB5867">
            <wp:extent cx="5311140" cy="2604501"/>
            <wp:effectExtent l="0" t="0" r="3810" b="571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11140" cy="2604501"/>
                    </a:xfrm>
                    <a:prstGeom prst="rect">
                      <a:avLst/>
                    </a:prstGeom>
                    <a:noFill/>
                    <a:ln>
                      <a:noFill/>
                    </a:ln>
                  </pic:spPr>
                </pic:pic>
              </a:graphicData>
            </a:graphic>
          </wp:inline>
        </w:drawing>
      </w:r>
    </w:p>
    <w:p w:rsidR="00B44C53" w:rsidRDefault="00B44C53" w:rsidP="00B44C53">
      <w:pPr>
        <w:pStyle w:val="Zdroj"/>
      </w:pPr>
      <w:r>
        <w:t>Zdroj dat: IS VaVaI, export 1. 8. 2018</w:t>
      </w:r>
    </w:p>
    <w:p w:rsidR="00B44C53" w:rsidRDefault="00B44C53" w:rsidP="00B44C53">
      <w:pPr>
        <w:pStyle w:val="komentzaobrzkem"/>
      </w:pPr>
      <w:r>
        <w:t xml:space="preserve">Nejsou zahrnuty finance určené na poplatky za účast ČR v mezinárodních programech </w:t>
      </w:r>
      <w:proofErr w:type="spellStart"/>
      <w:r>
        <w:t>VaV</w:t>
      </w:r>
      <w:proofErr w:type="spellEnd"/>
      <w:r>
        <w:t xml:space="preserve"> a za členství v mezinárodních organizacích </w:t>
      </w:r>
      <w:proofErr w:type="spellStart"/>
      <w:r>
        <w:t>VaV</w:t>
      </w:r>
      <w:proofErr w:type="spellEnd"/>
      <w:r>
        <w:t>.</w:t>
      </w:r>
    </w:p>
    <w:p w:rsidR="00B44C53" w:rsidRDefault="00B44C53" w:rsidP="00B44C53">
      <w:pPr>
        <w:pStyle w:val="komentzaobrzkem"/>
      </w:pPr>
      <w:r>
        <w:t>Skupiny příjemců:</w:t>
      </w:r>
    </w:p>
    <w:p w:rsidR="00B44C53" w:rsidRDefault="00B44C53" w:rsidP="00B44C53">
      <w:pPr>
        <w:pStyle w:val="komentzaobrzkem"/>
        <w:spacing w:after="120"/>
      </w:pPr>
      <w:r>
        <w:rPr>
          <w:b/>
        </w:rPr>
        <w:t>AV</w:t>
      </w:r>
      <w:r>
        <w:t xml:space="preserve"> – veřejné výzkumné instituce, které zřídila AV ČR dle zákona č. 341/2005 Sb.; </w:t>
      </w:r>
      <w:r>
        <w:rPr>
          <w:b/>
        </w:rPr>
        <w:t>VS</w:t>
      </w:r>
      <w:r>
        <w:t xml:space="preserve"> – vysoké školy (veřejné a</w:t>
      </w:r>
      <w:r w:rsidR="00614550">
        <w:t> </w:t>
      </w:r>
      <w:r>
        <w:t xml:space="preserve">soukromé, jejichž zřizovatelem jsou právnické nebo fyzické osoby); </w:t>
      </w:r>
      <w:r>
        <w:rPr>
          <w:b/>
        </w:rPr>
        <w:t>SP</w:t>
      </w:r>
      <w:r>
        <w:t xml:space="preserve"> – státní příspěvkové organizace, organizační složky státu a veřejné výzkumné instituce mimo ústavů AV ČR; </w:t>
      </w:r>
      <w:r>
        <w:rPr>
          <w:b/>
        </w:rPr>
        <w:t>PF</w:t>
      </w:r>
      <w:r>
        <w:t xml:space="preserve"> – právnické a fyzické osoby, jednotlivci a instituce nespadající do žádné z výše uvedených skupin, např. akciová společnost, společnost s ručením omezeným, obecně prospěšná společnost, nadace, občanské sdružení.</w:t>
      </w:r>
    </w:p>
    <w:p w:rsidR="00B44C53" w:rsidRDefault="00B44C53" w:rsidP="00B44C53">
      <w:pPr>
        <w:spacing w:after="0" w:line="360" w:lineRule="auto"/>
        <w:ind w:firstLine="708"/>
        <w:jc w:val="both"/>
        <w:rPr>
          <w:rFonts w:ascii="Arial" w:eastAsia="Times New Roman" w:hAnsi="Arial" w:cs="Arial"/>
          <w:lang w:eastAsia="cs-CZ"/>
        </w:rPr>
      </w:pPr>
      <w:r>
        <w:rPr>
          <w:rFonts w:ascii="Arial" w:eastAsia="Times New Roman" w:hAnsi="Arial" w:cs="Arial"/>
          <w:lang w:eastAsia="cs-CZ"/>
        </w:rPr>
        <w:lastRenderedPageBreak/>
        <w:t>Podíl jednotlivých poskytovatelů na financování skupin příjemců ze státního rozpočtu v roce 2017 je patrný z obrázku 2.2.</w:t>
      </w:r>
      <w:r>
        <w:rPr>
          <w:rStyle w:val="Znakapoznpodarou"/>
          <w:rFonts w:ascii="Arial" w:eastAsia="Times New Roman" w:hAnsi="Arial" w:cs="Arial"/>
          <w:lang w:eastAsia="cs-CZ"/>
        </w:rPr>
        <w:footnoteReference w:id="7"/>
      </w:r>
      <w:r>
        <w:rPr>
          <w:rFonts w:ascii="Arial" w:eastAsia="Times New Roman" w:hAnsi="Arial" w:cs="Arial"/>
          <w:lang w:eastAsia="cs-CZ"/>
        </w:rPr>
        <w:t xml:space="preserve"> Účelové prostředky získávají všechny skupiny příjemců od všech poskytovatelů s výjimkou prostředků od AV ČR, neboť AV ČR poskytuje výhradně</w:t>
      </w:r>
      <w:r>
        <w:rPr>
          <w:rStyle w:val="Znakapoznpodarou"/>
          <w:rFonts w:ascii="Arial" w:eastAsia="Times New Roman" w:hAnsi="Arial" w:cs="Arial"/>
          <w:lang w:eastAsia="cs-CZ"/>
        </w:rPr>
        <w:footnoteReference w:id="8"/>
      </w:r>
      <w:r>
        <w:rPr>
          <w:rFonts w:ascii="Arial" w:eastAsia="Times New Roman" w:hAnsi="Arial" w:cs="Arial"/>
          <w:lang w:eastAsia="cs-CZ"/>
        </w:rPr>
        <w:t xml:space="preserve"> institucionální podporu (RVO) svým ústavům, a to ve výši 3 551 mil. Kč v roce 2017. Prostředky GA ČR využívají především vysoké školy (2 059 mil. Kč) a ústavy AV ČR (1 761 mil. Kč). Podpora TA ČR směřuje především do podniků (1 452 mil. Kč), ale významnou měrou také vysokým školám (1 020 mil. Kč). MPO podporuje </w:t>
      </w:r>
      <w:r w:rsidR="009A4B85">
        <w:rPr>
          <w:rFonts w:ascii="Arial" w:eastAsia="Times New Roman" w:hAnsi="Arial" w:cs="Arial"/>
          <w:lang w:eastAsia="cs-CZ"/>
        </w:rPr>
        <w:t>primárně</w:t>
      </w:r>
      <w:r>
        <w:rPr>
          <w:rFonts w:ascii="Arial" w:eastAsia="Times New Roman" w:hAnsi="Arial" w:cs="Arial"/>
          <w:lang w:eastAsia="cs-CZ"/>
        </w:rPr>
        <w:t xml:space="preserve"> podniky, a to jak účelově (536 mil. Kč), tak institucionálně (636 mil. Kč). MŠMT, jež je největším poskytovatelem z hlediska objemu distribuovaných prostředků, rozděluje zejména institucionální podporu vysokým školám (7 020 mil. Kč). Účelové prostředky MŠMT využívají nejvíce vysoké školy (2 874 mil. Kč), méně ústavy AV ČR (1 179 mil. Kč) a podniky (852 mil. Kč). Ostatní resorty, tj. MD, MK, MO, MPSV, MV, </w:t>
      </w:r>
      <w:proofErr w:type="spellStart"/>
      <w:r>
        <w:rPr>
          <w:rFonts w:ascii="Arial" w:eastAsia="Times New Roman" w:hAnsi="Arial" w:cs="Arial"/>
          <w:lang w:eastAsia="cs-CZ"/>
        </w:rPr>
        <w:t>MZd</w:t>
      </w:r>
      <w:proofErr w:type="spellEnd"/>
      <w:r>
        <w:rPr>
          <w:rFonts w:ascii="Arial" w:eastAsia="Times New Roman" w:hAnsi="Arial" w:cs="Arial"/>
          <w:lang w:eastAsia="cs-CZ"/>
        </w:rPr>
        <w:t xml:space="preserve">, </w:t>
      </w:r>
      <w:proofErr w:type="spellStart"/>
      <w:r>
        <w:rPr>
          <w:rFonts w:ascii="Arial" w:eastAsia="Times New Roman" w:hAnsi="Arial" w:cs="Arial"/>
          <w:lang w:eastAsia="cs-CZ"/>
        </w:rPr>
        <w:t>MZe</w:t>
      </w:r>
      <w:proofErr w:type="spellEnd"/>
      <w:r>
        <w:rPr>
          <w:rFonts w:ascii="Arial" w:eastAsia="Times New Roman" w:hAnsi="Arial" w:cs="Arial"/>
          <w:lang w:eastAsia="cs-CZ"/>
        </w:rPr>
        <w:t xml:space="preserve">, MZV a MŽP jsou zaměřeny především na ty subjekty, jejichž jsou zřizovateli (skupina SP). Podporují je institucionálně </w:t>
      </w:r>
      <w:r>
        <w:rPr>
          <w:rFonts w:ascii="Arial" w:eastAsia="Times New Roman" w:hAnsi="Arial" w:cs="Arial"/>
          <w:lang w:eastAsia="cs-CZ"/>
        </w:rPr>
        <w:br/>
        <w:t>(1 364 mil. Kč) a účelově (1 093 mil. Kč), s tím, že MD, MPSV, MZV a MŽP poskytují pouze podporu na RVO. Účelovou podporu těchto resortů však s úspěchem využívají také vysoké školy (881 mil. Kč) a podniky (461 mil. Kč). Nízký finanční podíl pracovišť AV ČR na čerpání účelové podpory z TA ČR a ostatních resortů může indikovat jejich zaměření spíše na základní výzkum, než na aplikovaný.</w:t>
      </w:r>
    </w:p>
    <w:p w:rsidR="00B44C53" w:rsidRDefault="00B44C53" w:rsidP="00B44C53">
      <w:pPr>
        <w:pStyle w:val="Obrzek-nadpis"/>
      </w:pPr>
      <w:r>
        <w:t>Obrázek 2.2: Distribuce čerpaných prostředků státního rozpočtu skupinami příjemců v roce 2017 podle jednotlivých poskytovatelů (v mil. Kč)</w:t>
      </w:r>
    </w:p>
    <w:p w:rsidR="00B44C53" w:rsidRDefault="00B44C53" w:rsidP="00B44C53">
      <w:pPr>
        <w:spacing w:after="0" w:line="240" w:lineRule="auto"/>
        <w:jc w:val="center"/>
        <w:rPr>
          <w:rFonts w:ascii="Times New Roman" w:eastAsia="Times New Roman" w:hAnsi="Times New Roman" w:cs="Times New Roman"/>
          <w:sz w:val="24"/>
          <w:szCs w:val="24"/>
          <w:lang w:eastAsia="cs-CZ"/>
        </w:rPr>
      </w:pPr>
      <w:r>
        <w:rPr>
          <w:rFonts w:ascii="Times New Roman" w:eastAsia="Times New Roman" w:hAnsi="Times New Roman" w:cs="Times New Roman"/>
          <w:noProof/>
          <w:sz w:val="24"/>
          <w:szCs w:val="24"/>
          <w:lang w:eastAsia="cs-CZ"/>
        </w:rPr>
        <w:drawing>
          <wp:inline distT="0" distB="0" distL="0" distR="0" wp14:anchorId="3C0B503E" wp14:editId="191238C9">
            <wp:extent cx="5681234" cy="2903220"/>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81234" cy="2903220"/>
                    </a:xfrm>
                    <a:prstGeom prst="rect">
                      <a:avLst/>
                    </a:prstGeom>
                    <a:noFill/>
                    <a:ln>
                      <a:noFill/>
                    </a:ln>
                  </pic:spPr>
                </pic:pic>
              </a:graphicData>
            </a:graphic>
          </wp:inline>
        </w:drawing>
      </w:r>
    </w:p>
    <w:p w:rsidR="00B44C53" w:rsidRDefault="00B44C53" w:rsidP="00B44C53">
      <w:pPr>
        <w:pStyle w:val="komentzaobrzkem"/>
      </w:pPr>
      <w:r>
        <w:t>Zdroj dat: IS VaVaI, export 1. 8. 2018</w:t>
      </w:r>
    </w:p>
    <w:p w:rsidR="00B44C53" w:rsidRDefault="00B44C53" w:rsidP="00B44C53">
      <w:pPr>
        <w:pStyle w:val="komentzaobrzkem"/>
        <w:spacing w:after="120"/>
        <w:rPr>
          <w:sz w:val="24"/>
        </w:rPr>
      </w:pPr>
      <w:r>
        <w:t xml:space="preserve">Nejsou zahrnuty finance určené na poplatky za účast ČR v mezinárodních programech </w:t>
      </w:r>
      <w:proofErr w:type="spellStart"/>
      <w:r>
        <w:t>VaV</w:t>
      </w:r>
      <w:proofErr w:type="spellEnd"/>
      <w:r>
        <w:t xml:space="preserve"> a za členství v mezinárodních organizacích </w:t>
      </w:r>
      <w:proofErr w:type="spellStart"/>
      <w:r>
        <w:t>VaV</w:t>
      </w:r>
      <w:proofErr w:type="spellEnd"/>
      <w:r>
        <w:t>.</w:t>
      </w:r>
    </w:p>
    <w:p w:rsidR="00CD1C40" w:rsidRPr="00CD1C40" w:rsidRDefault="00CD1C40" w:rsidP="00CD1C40">
      <w:pPr>
        <w:spacing w:after="0" w:line="360" w:lineRule="auto"/>
        <w:ind w:firstLine="708"/>
        <w:jc w:val="both"/>
        <w:rPr>
          <w:rFonts w:ascii="Arial" w:eastAsia="Times New Roman" w:hAnsi="Arial" w:cs="Arial"/>
          <w:lang w:eastAsia="cs-CZ"/>
        </w:rPr>
      </w:pPr>
    </w:p>
    <w:p w:rsidR="001D187F" w:rsidRPr="002A1810" w:rsidRDefault="001D187F" w:rsidP="00CD1C40">
      <w:pPr>
        <w:pStyle w:val="NadpisurovemII"/>
        <w:numPr>
          <w:ilvl w:val="1"/>
          <w:numId w:val="33"/>
        </w:numPr>
        <w:ind w:hanging="792"/>
        <w:jc w:val="both"/>
        <w:rPr>
          <w:rFonts w:eastAsia="Times New Roman"/>
        </w:rPr>
      </w:pPr>
      <w:bookmarkStart w:id="12" w:name="_Toc529974107"/>
      <w:r w:rsidRPr="002A1810">
        <w:rPr>
          <w:rFonts w:eastAsia="Times New Roman"/>
        </w:rPr>
        <w:lastRenderedPageBreak/>
        <w:t>Oborová struktura účelové podpory výzkumu a vývoje</w:t>
      </w:r>
      <w:bookmarkEnd w:id="12"/>
    </w:p>
    <w:p w:rsidR="00B44C53" w:rsidRDefault="00B44C53" w:rsidP="00B44C53">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 xml:space="preserve">V následující subkapitole jsou prezentována data členěná v oborové struktuře dle číselníku IS VaVaI, v současnosti dochází k vkládání nových dat ve struktuře OECD </w:t>
      </w:r>
      <w:proofErr w:type="spellStart"/>
      <w:r>
        <w:rPr>
          <w:rFonts w:ascii="Arial" w:eastAsia="Times New Roman" w:hAnsi="Arial" w:cs="Arial"/>
          <w:lang w:eastAsia="cs-CZ"/>
        </w:rPr>
        <w:t>Fields</w:t>
      </w:r>
      <w:proofErr w:type="spellEnd"/>
      <w:r>
        <w:rPr>
          <w:rFonts w:ascii="Arial" w:eastAsia="Times New Roman" w:hAnsi="Arial" w:cs="Arial"/>
          <w:lang w:eastAsia="cs-CZ"/>
        </w:rPr>
        <w:t xml:space="preserve"> </w:t>
      </w:r>
      <w:proofErr w:type="spellStart"/>
      <w:r>
        <w:rPr>
          <w:rFonts w:ascii="Arial" w:eastAsia="Times New Roman" w:hAnsi="Arial" w:cs="Arial"/>
          <w:lang w:eastAsia="cs-CZ"/>
        </w:rPr>
        <w:t>of</w:t>
      </w:r>
      <w:proofErr w:type="spellEnd"/>
      <w:r>
        <w:rPr>
          <w:rFonts w:ascii="Arial" w:eastAsia="Times New Roman" w:hAnsi="Arial" w:cs="Arial"/>
          <w:lang w:eastAsia="cs-CZ"/>
        </w:rPr>
        <w:t xml:space="preserve"> </w:t>
      </w:r>
      <w:proofErr w:type="spellStart"/>
      <w:r>
        <w:rPr>
          <w:rFonts w:ascii="Arial" w:eastAsia="Times New Roman" w:hAnsi="Arial" w:cs="Arial"/>
          <w:lang w:eastAsia="cs-CZ"/>
        </w:rPr>
        <w:t>Research</w:t>
      </w:r>
      <w:proofErr w:type="spellEnd"/>
      <w:r>
        <w:rPr>
          <w:rFonts w:ascii="Arial" w:eastAsia="Times New Roman" w:hAnsi="Arial" w:cs="Arial"/>
          <w:lang w:eastAsia="cs-CZ"/>
        </w:rPr>
        <w:t xml:space="preserve"> and </w:t>
      </w:r>
      <w:proofErr w:type="spellStart"/>
      <w:r>
        <w:rPr>
          <w:rFonts w:ascii="Arial" w:eastAsia="Times New Roman" w:hAnsi="Arial" w:cs="Arial"/>
          <w:lang w:eastAsia="cs-CZ"/>
        </w:rPr>
        <w:t>Development</w:t>
      </w:r>
      <w:proofErr w:type="spellEnd"/>
      <w:r>
        <w:rPr>
          <w:rFonts w:ascii="Arial" w:eastAsia="Times New Roman" w:hAnsi="Arial" w:cs="Arial"/>
          <w:lang w:eastAsia="cs-CZ"/>
        </w:rPr>
        <w:t xml:space="preserve">. Převedení číselníku do struktury OECD je nezbytné rovněž pro realizaci národní úrovně hodnocení výzkumných organizací podle </w:t>
      </w:r>
      <w:r>
        <w:rPr>
          <w:rFonts w:ascii="Arial" w:eastAsia="Times New Roman" w:hAnsi="Arial" w:cs="Arial"/>
          <w:i/>
          <w:lang w:eastAsia="cs-CZ"/>
        </w:rPr>
        <w:t>Metodiky hodnocení výzkumných organizací a</w:t>
      </w:r>
      <w:r w:rsidR="00DA0191">
        <w:rPr>
          <w:rFonts w:ascii="Arial" w:eastAsia="Times New Roman" w:hAnsi="Arial" w:cs="Arial"/>
          <w:i/>
          <w:lang w:eastAsia="cs-CZ"/>
        </w:rPr>
        <w:t> </w:t>
      </w:r>
      <w:r>
        <w:rPr>
          <w:rFonts w:ascii="Arial" w:eastAsia="Times New Roman" w:hAnsi="Arial" w:cs="Arial"/>
          <w:i/>
          <w:lang w:eastAsia="cs-CZ"/>
        </w:rPr>
        <w:t>hodnocení programů účelové podpory výzkumu, vývoje a inovací</w:t>
      </w:r>
      <w:r>
        <w:rPr>
          <w:rFonts w:ascii="Arial" w:eastAsia="Times New Roman" w:hAnsi="Arial" w:cs="Arial"/>
          <w:lang w:eastAsia="cs-CZ"/>
        </w:rPr>
        <w:t>, kterou schválila vláda svým usnesením ze dne 8. února 2017. Předpokládá se, že data z IS VaVaI pro následující období budou tak díky sjednocení číselníků lépe analyticky využitelná.</w:t>
      </w:r>
    </w:p>
    <w:p w:rsidR="00B44C53" w:rsidRDefault="00B44C53" w:rsidP="00B44C53">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Účelovou podporu podle oborových skupin a významných oborů v roce 2017 znázorňuje obrázek 2.3. Zahrnuty jsou pouze prostředky na programové a grantové projekty (celkem 33</w:t>
      </w:r>
      <w:r w:rsidR="00DA0191">
        <w:rPr>
          <w:rFonts w:ascii="Arial" w:eastAsia="Times New Roman" w:hAnsi="Arial" w:cs="Arial"/>
          <w:lang w:eastAsia="cs-CZ"/>
        </w:rPr>
        <w:t> </w:t>
      </w:r>
      <w:r>
        <w:rPr>
          <w:rFonts w:ascii="Arial" w:eastAsia="Times New Roman" w:hAnsi="Arial" w:cs="Arial"/>
          <w:lang w:eastAsia="cs-CZ"/>
        </w:rPr>
        <w:t>programů a skupin grantových projektů), navíc bez projektů velkých výzkumných infrastruktur a projektů financovaných prostřednictvím NPU, které mají z analytického pohledu institucionální charakter. Takto očištěná výše podpory (v mil. Kč) vypovídá o úspěšnosti vědeckých týmů jednotlivých oborových skupin a vybraných oborů VaVaI v soutěžích o národní prostředky. Interpretace je přesto omezena specifitou oborového členění v IS VaVaI a zaměřením některých programů na podporu horizontálních aktivit (viz tabulka 2.1). V tabulce 2.1 je možné nově sledovat rozpočtovanou podporu dle zákona, přidělenou a skutečně čerpanou podporu, tak jak ji předávají jednotliví poskytovatelé do IS VaVaI.</w:t>
      </w:r>
    </w:p>
    <w:p w:rsidR="00B44C53" w:rsidRDefault="00B44C53" w:rsidP="00B44C53">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 xml:space="preserve">Z hlediska oborového zaměření projektů byl nejvýrazněji podporovanou skupinou oborů Průmysl (3 137 mil. Kč) následovaný </w:t>
      </w:r>
      <w:proofErr w:type="spellStart"/>
      <w:r>
        <w:rPr>
          <w:rFonts w:ascii="Arial" w:eastAsia="Times New Roman" w:hAnsi="Arial" w:cs="Arial"/>
          <w:lang w:eastAsia="cs-CZ"/>
        </w:rPr>
        <w:t>Biovědami</w:t>
      </w:r>
      <w:proofErr w:type="spellEnd"/>
      <w:r>
        <w:rPr>
          <w:rFonts w:ascii="Arial" w:eastAsia="Times New Roman" w:hAnsi="Arial" w:cs="Arial"/>
          <w:lang w:eastAsia="cs-CZ"/>
        </w:rPr>
        <w:t xml:space="preserve"> (1 422 mil. Kč), Společenskými a humanitními vědami (1 410 mil. Kč) a Lékařskými vědami (1 252 mil. Kč). Finanční podporu dosahující téměř 1</w:t>
      </w:r>
      <w:r w:rsidR="00614550">
        <w:rPr>
          <w:rFonts w:ascii="Arial" w:eastAsia="Times New Roman" w:hAnsi="Arial" w:cs="Arial"/>
          <w:lang w:eastAsia="cs-CZ"/>
        </w:rPr>
        <w:t> </w:t>
      </w:r>
      <w:r>
        <w:rPr>
          <w:rFonts w:ascii="Arial" w:eastAsia="Times New Roman" w:hAnsi="Arial" w:cs="Arial"/>
          <w:lang w:eastAsia="cs-CZ"/>
        </w:rPr>
        <w:t>mld. Kč vykázaly také skupiny Chemie (988 mil. Kč) a Fyzika a matematika (913 mil. Kč). Mezi jednotlivými obory čerpala opět jednoznačně nejvyšší podporu Genetika a molekulární biologie (471 mil. Kč). V oborové skupině Průmysl byly nejvíce podpořeny obory Elektronika a optoelektronika, elektrotechnika (404 mil. Kč) a Strojní zařízení a nástroje (256 mil. Kč). Ve skupině společenských a humanitních věd získaly nejvyšší podporu obory Dokumentace, knihovnictví, práce s informacemi (285 mil. Kč, z toho 258 mil. Kč z programu MŠMT Informace – základ výzkumu) a Umění, architektura, kulturní dědictví (247 mil. Kč, z toho 150 mil. Kč díky podpoře MK z programů NAKI a NAKI II). Ve Fyzice a matematice převážila podpora Fyziky pevných látek a magnetismu (178 mil. Kč). Z Lékařských věd byla nejvíce podpořena Onkologie a</w:t>
      </w:r>
      <w:r w:rsidR="00614550">
        <w:rPr>
          <w:rFonts w:ascii="Arial" w:eastAsia="Times New Roman" w:hAnsi="Arial" w:cs="Arial"/>
          <w:lang w:eastAsia="cs-CZ"/>
        </w:rPr>
        <w:t> </w:t>
      </w:r>
      <w:r>
        <w:rPr>
          <w:rFonts w:ascii="Arial" w:eastAsia="Times New Roman" w:hAnsi="Arial" w:cs="Arial"/>
          <w:lang w:eastAsia="cs-CZ"/>
        </w:rPr>
        <w:t>hematologie (321 mil. Kč) a Neurologie, neurochirurgie, neurovědy (174 mil. Kč), z Chemických věd Analytická chemie, separace (184 mil. Kč) a Biochemie (151 mil. Kč). Ve Vědách o zemi převážila podpora oboru Znečištění a kontrola vody (184 mil. Kč). Ve skupině Zemědělství žádný obor nepřekročil hranici 140 mil. Kč, nicméně obor Choroby a škůdci zvířat, veterinární medicína překročil hranici 100 mil. Kč čerpané podpory. V případě skupin Informatika a Vojenství odpovídá čerpaná podpora oborové úrovni, neboť obsahují pouze jednu oborovou skupinu.</w:t>
      </w:r>
    </w:p>
    <w:p w:rsidR="00B44C53" w:rsidRDefault="00B44C53" w:rsidP="00B44C53">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 xml:space="preserve">Na příkladu vysokého podílu oborů Dokumentace, knihovnictví, práce s informacemi nebo Umění, architektura a kulturní dědictví je patrné, že některé obory jsou preferovány přímo </w:t>
      </w:r>
      <w:r>
        <w:rPr>
          <w:rFonts w:ascii="Arial" w:eastAsia="Times New Roman" w:hAnsi="Arial" w:cs="Arial"/>
          <w:lang w:eastAsia="cs-CZ"/>
        </w:rPr>
        <w:lastRenderedPageBreak/>
        <w:t>zaměřením programu. Obrázek 2.4 uvádí rozdělení prostředků na programové a grantové projekty oborovým skupinám podle poskytovatele. Je možné sledovat, že Společenské a humanitní vědy jsou kromě MK významně podporovány také GA ČR a MŠMT. Skupina oborů Průmysl je</w:t>
      </w:r>
      <w:r w:rsidR="00614550">
        <w:rPr>
          <w:rFonts w:ascii="Arial" w:eastAsia="Times New Roman" w:hAnsi="Arial" w:cs="Arial"/>
          <w:lang w:eastAsia="cs-CZ"/>
        </w:rPr>
        <w:t> </w:t>
      </w:r>
      <w:r>
        <w:rPr>
          <w:rFonts w:ascii="Arial" w:eastAsia="Times New Roman" w:hAnsi="Arial" w:cs="Arial"/>
          <w:lang w:eastAsia="cs-CZ"/>
        </w:rPr>
        <w:t xml:space="preserve">podporována především prostřednictvím programů TA ČR (celkem 60 % z celkové čerpané podpory u sledovaných programových projektů) a MPO. Na </w:t>
      </w:r>
      <w:proofErr w:type="spellStart"/>
      <w:r>
        <w:rPr>
          <w:rFonts w:ascii="Arial" w:eastAsia="Times New Roman" w:hAnsi="Arial" w:cs="Arial"/>
          <w:lang w:eastAsia="cs-CZ"/>
        </w:rPr>
        <w:t>Biovědy</w:t>
      </w:r>
      <w:proofErr w:type="spellEnd"/>
      <w:r>
        <w:rPr>
          <w:rFonts w:ascii="Arial" w:eastAsia="Times New Roman" w:hAnsi="Arial" w:cs="Arial"/>
          <w:lang w:eastAsia="cs-CZ"/>
        </w:rPr>
        <w:t xml:space="preserve"> je cílena především grantová podpora GA ČR, Fyziku a matematiku významně podporuje kromě GA ČR (celkem 26 % a 16 % z celkové čerpané podpory u sledovaných grantových projektů) také MŠMT (10 % z celkové čerpané podpory u sledovaných programových projektů), Lékařské vědy zejména </w:t>
      </w:r>
      <w:proofErr w:type="spellStart"/>
      <w:r>
        <w:rPr>
          <w:rFonts w:ascii="Arial" w:eastAsia="Times New Roman" w:hAnsi="Arial" w:cs="Arial"/>
          <w:lang w:eastAsia="cs-CZ"/>
        </w:rPr>
        <w:t>MZd</w:t>
      </w:r>
      <w:proofErr w:type="spellEnd"/>
      <w:r>
        <w:rPr>
          <w:rFonts w:ascii="Arial" w:eastAsia="Times New Roman" w:hAnsi="Arial" w:cs="Arial"/>
          <w:lang w:eastAsia="cs-CZ"/>
        </w:rPr>
        <w:t>.</w:t>
      </w:r>
    </w:p>
    <w:p w:rsidR="00B44C53" w:rsidRDefault="00B44C53" w:rsidP="00B44C53">
      <w:pPr>
        <w:pStyle w:val="Obrzek-nadpis"/>
      </w:pPr>
      <w:r>
        <w:t>Obrázek 2.3: Účelová podpora na programové a grantové projekty ze státního rozpočtu skupinám oborů a jednotlivým oborům v roce 2017 (v mil. Kč)</w:t>
      </w:r>
    </w:p>
    <w:p w:rsidR="00B44C53" w:rsidRDefault="00B44C53" w:rsidP="00B44C53">
      <w:pPr>
        <w:pStyle w:val="komentzaobrzkem"/>
        <w:jc w:val="center"/>
      </w:pPr>
      <w:r>
        <w:rPr>
          <w:noProof/>
        </w:rPr>
        <w:drawing>
          <wp:inline distT="0" distB="0" distL="0" distR="0" wp14:anchorId="6B193DD3" wp14:editId="4265BA71">
            <wp:extent cx="4800600" cy="444246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21">
                      <a:extLst>
                        <a:ext uri="{28A0092B-C50C-407E-A947-70E740481C1C}">
                          <a14:useLocalDpi xmlns:a14="http://schemas.microsoft.com/office/drawing/2010/main" val="0"/>
                        </a:ext>
                      </a:extLst>
                    </a:blip>
                    <a:srcRect b="1151"/>
                    <a:stretch>
                      <a:fillRect/>
                    </a:stretch>
                  </pic:blipFill>
                  <pic:spPr bwMode="auto">
                    <a:xfrm>
                      <a:off x="0" y="0"/>
                      <a:ext cx="4800600" cy="4442460"/>
                    </a:xfrm>
                    <a:prstGeom prst="rect">
                      <a:avLst/>
                    </a:prstGeom>
                    <a:noFill/>
                    <a:ln>
                      <a:noFill/>
                    </a:ln>
                  </pic:spPr>
                </pic:pic>
              </a:graphicData>
            </a:graphic>
          </wp:inline>
        </w:drawing>
      </w:r>
    </w:p>
    <w:p w:rsidR="00B44C53" w:rsidRDefault="00B44C53" w:rsidP="00B44C53">
      <w:pPr>
        <w:pStyle w:val="komentzaobrzkem"/>
      </w:pPr>
      <w:r>
        <w:t>Zdroj dat: IS VaVaI, export 1. 8. 2018</w:t>
      </w:r>
    </w:p>
    <w:p w:rsidR="00B44C53" w:rsidRDefault="00B44C53" w:rsidP="00B44C53">
      <w:pPr>
        <w:pStyle w:val="komentzaobrzkem"/>
        <w:rPr>
          <w:rFonts w:cs="Arial"/>
        </w:rPr>
      </w:pPr>
      <w:r>
        <w:t>Uvedeny jsou pouze obory, jejichž podpora v roce 2017 překročila 140 mil. Kč.</w:t>
      </w:r>
    </w:p>
    <w:p w:rsidR="00B44C53" w:rsidRDefault="00B44C53" w:rsidP="00CD1C40">
      <w:pPr>
        <w:spacing w:after="0" w:line="360" w:lineRule="auto"/>
        <w:ind w:firstLine="708"/>
        <w:jc w:val="both"/>
        <w:rPr>
          <w:rFonts w:ascii="Arial" w:eastAsia="Times New Roman" w:hAnsi="Arial" w:cs="Arial"/>
          <w:lang w:eastAsia="cs-CZ"/>
        </w:rPr>
        <w:sectPr w:rsidR="00B44C53" w:rsidSect="00BF13E7">
          <w:pgSz w:w="11906" w:h="16838"/>
          <w:pgMar w:top="1134" w:right="1134" w:bottom="1134" w:left="1134" w:header="709" w:footer="709" w:gutter="0"/>
          <w:cols w:space="708"/>
          <w:titlePg/>
          <w:docGrid w:linePitch="360"/>
        </w:sectPr>
      </w:pPr>
    </w:p>
    <w:p w:rsidR="00B44C53" w:rsidRDefault="00B44C53" w:rsidP="00B44C53">
      <w:pPr>
        <w:pStyle w:val="Obrzek-nadpis"/>
      </w:pPr>
      <w:r>
        <w:lastRenderedPageBreak/>
        <w:t>Obrázek 2.4: Účelová podpora na programové a grantové projekty ze státního rozpočtu skupinám oborů v roce 2017 podle poskytovatele</w:t>
      </w:r>
    </w:p>
    <w:p w:rsidR="00B44C53" w:rsidRDefault="00B44C53" w:rsidP="00B44C53">
      <w:pPr>
        <w:pStyle w:val="Obrzek-nadpis"/>
        <w:jc w:val="center"/>
      </w:pPr>
      <w:r>
        <w:rPr>
          <w:noProof/>
        </w:rPr>
        <w:drawing>
          <wp:inline distT="0" distB="0" distL="0" distR="0" wp14:anchorId="53AE6561" wp14:editId="64741C64">
            <wp:extent cx="9211047" cy="3337560"/>
            <wp:effectExtent l="0" t="0" r="952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rotWithShape="1">
                    <a:blip r:embed="rId22">
                      <a:extLst>
                        <a:ext uri="{28A0092B-C50C-407E-A947-70E740481C1C}">
                          <a14:useLocalDpi xmlns:a14="http://schemas.microsoft.com/office/drawing/2010/main" val="0"/>
                        </a:ext>
                      </a:extLst>
                    </a:blip>
                    <a:srcRect l="579" t="1367" r="523"/>
                    <a:stretch/>
                  </pic:blipFill>
                  <pic:spPr bwMode="auto">
                    <a:xfrm>
                      <a:off x="0" y="0"/>
                      <a:ext cx="9218926" cy="3340415"/>
                    </a:xfrm>
                    <a:prstGeom prst="rect">
                      <a:avLst/>
                    </a:prstGeom>
                    <a:noFill/>
                    <a:ln>
                      <a:noFill/>
                    </a:ln>
                    <a:extLst>
                      <a:ext uri="{53640926-AAD7-44D8-BBD7-CCE9431645EC}">
                        <a14:shadowObscured xmlns:a14="http://schemas.microsoft.com/office/drawing/2010/main"/>
                      </a:ext>
                    </a:extLst>
                  </pic:spPr>
                </pic:pic>
              </a:graphicData>
            </a:graphic>
          </wp:inline>
        </w:drawing>
      </w:r>
    </w:p>
    <w:p w:rsidR="001D187F" w:rsidRDefault="00B44C53" w:rsidP="00B44C53">
      <w:pPr>
        <w:pStyle w:val="Zdroj"/>
      </w:pPr>
      <w:r>
        <w:t>Zdroj dat: IS VaVaI, export 1. 8. 2018</w:t>
      </w:r>
    </w:p>
    <w:p w:rsidR="00B44C53" w:rsidRDefault="00B44C53" w:rsidP="00B44C53">
      <w:pPr>
        <w:pStyle w:val="Obrzek-nadpis"/>
      </w:pPr>
      <w:r>
        <w:t>Tabulka 2.1: Programy a skupiny grantových projektů výzkumu, vývoje a inovací financované ze státního rozpočtu v roce 2017</w:t>
      </w:r>
    </w:p>
    <w:tbl>
      <w:tblPr>
        <w:tblW w:w="4750" w:type="pct"/>
        <w:jc w:val="center"/>
        <w:tblCellMar>
          <w:left w:w="70" w:type="dxa"/>
          <w:right w:w="70" w:type="dxa"/>
        </w:tblCellMar>
        <w:tblLook w:val="04A0" w:firstRow="1" w:lastRow="0" w:firstColumn="1" w:lastColumn="0" w:noHBand="0" w:noVBand="1"/>
      </w:tblPr>
      <w:tblGrid>
        <w:gridCol w:w="1016"/>
        <w:gridCol w:w="4925"/>
        <w:gridCol w:w="2343"/>
        <w:gridCol w:w="1431"/>
        <w:gridCol w:w="1431"/>
        <w:gridCol w:w="1431"/>
        <w:gridCol w:w="1398"/>
      </w:tblGrid>
      <w:tr w:rsidR="00B44C53" w:rsidTr="00753850">
        <w:trPr>
          <w:cantSplit/>
          <w:trHeight w:val="565"/>
          <w:tblHeader/>
          <w:jc w:val="center"/>
        </w:trPr>
        <w:tc>
          <w:tcPr>
            <w:tcW w:w="0" w:type="auto"/>
            <w:vMerge w:val="restart"/>
            <w:tcBorders>
              <w:top w:val="nil"/>
              <w:left w:val="nil"/>
              <w:bottom w:val="single" w:sz="8" w:space="0" w:color="92CDDC"/>
              <w:right w:val="nil"/>
            </w:tcBorders>
            <w:shd w:val="clear" w:color="auto" w:fill="92CDDC"/>
            <w:vAlign w:val="center"/>
            <w:hideMark/>
          </w:tcPr>
          <w:p w:rsidR="00B44C53" w:rsidRDefault="00B44C53">
            <w:pPr>
              <w:spacing w:after="0" w:line="240" w:lineRule="auto"/>
              <w:jc w:val="center"/>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Poskyto-vatel</w:t>
            </w:r>
          </w:p>
        </w:tc>
        <w:tc>
          <w:tcPr>
            <w:tcW w:w="0" w:type="auto"/>
            <w:vMerge w:val="restart"/>
            <w:tcBorders>
              <w:top w:val="nil"/>
              <w:left w:val="nil"/>
              <w:bottom w:val="single" w:sz="8" w:space="0" w:color="92CDDC"/>
              <w:right w:val="nil"/>
            </w:tcBorders>
            <w:shd w:val="clear" w:color="auto" w:fill="92CDDC"/>
            <w:vAlign w:val="center"/>
            <w:hideMark/>
          </w:tcPr>
          <w:p w:rsidR="00B44C53" w:rsidRDefault="00B44C53">
            <w:pPr>
              <w:spacing w:after="0" w:line="240" w:lineRule="auto"/>
              <w:jc w:val="center"/>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Název programu</w:t>
            </w:r>
          </w:p>
        </w:tc>
        <w:tc>
          <w:tcPr>
            <w:tcW w:w="0" w:type="auto"/>
            <w:vMerge w:val="restart"/>
            <w:tcBorders>
              <w:top w:val="nil"/>
              <w:left w:val="nil"/>
              <w:bottom w:val="single" w:sz="8" w:space="0" w:color="92CDDC"/>
              <w:right w:val="single" w:sz="8" w:space="0" w:color="95B3D7"/>
            </w:tcBorders>
            <w:shd w:val="clear" w:color="auto" w:fill="92CDDC"/>
            <w:vAlign w:val="center"/>
            <w:hideMark/>
          </w:tcPr>
          <w:p w:rsidR="00B44C53" w:rsidRDefault="00B44C53">
            <w:pPr>
              <w:spacing w:after="0" w:line="240" w:lineRule="auto"/>
              <w:jc w:val="center"/>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Přidělená podpora ze SR na rok 2017 dle zák. č. 457/2016 (tis. Kč)</w:t>
            </w:r>
          </w:p>
        </w:tc>
        <w:tc>
          <w:tcPr>
            <w:tcW w:w="0" w:type="auto"/>
            <w:gridSpan w:val="2"/>
            <w:tcBorders>
              <w:top w:val="single" w:sz="8" w:space="0" w:color="95B3D7"/>
              <w:left w:val="nil"/>
              <w:bottom w:val="single" w:sz="8" w:space="0" w:color="95B3D7"/>
              <w:right w:val="single" w:sz="8" w:space="0" w:color="538DD5"/>
            </w:tcBorders>
            <w:shd w:val="clear" w:color="auto" w:fill="95B3D7"/>
            <w:vAlign w:val="center"/>
            <w:hideMark/>
          </w:tcPr>
          <w:p w:rsidR="00B44C53" w:rsidRDefault="00B44C53">
            <w:pPr>
              <w:spacing w:after="0" w:line="240" w:lineRule="auto"/>
              <w:jc w:val="center"/>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Přidělená podpora</w:t>
            </w:r>
          </w:p>
          <w:p w:rsidR="00B44C53" w:rsidRDefault="00B44C53">
            <w:pPr>
              <w:spacing w:after="0" w:line="240" w:lineRule="auto"/>
              <w:jc w:val="center"/>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poskytovatelem</w:t>
            </w:r>
          </w:p>
        </w:tc>
        <w:tc>
          <w:tcPr>
            <w:tcW w:w="0" w:type="auto"/>
            <w:gridSpan w:val="2"/>
            <w:tcBorders>
              <w:top w:val="single" w:sz="8" w:space="0" w:color="538DD5"/>
              <w:left w:val="nil"/>
              <w:bottom w:val="single" w:sz="8" w:space="0" w:color="538DD5"/>
              <w:right w:val="single" w:sz="8" w:space="0" w:color="538DD5"/>
            </w:tcBorders>
            <w:shd w:val="clear" w:color="auto" w:fill="538DD5"/>
            <w:vAlign w:val="center"/>
            <w:hideMark/>
          </w:tcPr>
          <w:p w:rsidR="00B44C53" w:rsidRDefault="00753850">
            <w:pPr>
              <w:spacing w:after="0" w:line="240" w:lineRule="auto"/>
              <w:jc w:val="center"/>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Č</w:t>
            </w:r>
            <w:r w:rsidR="00B44C53">
              <w:rPr>
                <w:rFonts w:ascii="Arial" w:eastAsia="Times New Roman" w:hAnsi="Arial" w:cs="Arial"/>
                <w:b/>
                <w:bCs/>
                <w:color w:val="FFFFFF"/>
                <w:sz w:val="18"/>
                <w:szCs w:val="18"/>
                <w:lang w:eastAsia="cs-CZ"/>
              </w:rPr>
              <w:t>erpaná podpora</w:t>
            </w:r>
          </w:p>
          <w:p w:rsidR="00B44C53" w:rsidRDefault="00B44C53">
            <w:pPr>
              <w:spacing w:after="0" w:line="240" w:lineRule="auto"/>
              <w:jc w:val="center"/>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příjemcem</w:t>
            </w:r>
          </w:p>
        </w:tc>
      </w:tr>
      <w:tr w:rsidR="00B44C53" w:rsidTr="00753850">
        <w:trPr>
          <w:cantSplit/>
          <w:trHeight w:val="20"/>
          <w:tblHeader/>
          <w:jc w:val="center"/>
        </w:trPr>
        <w:tc>
          <w:tcPr>
            <w:tcW w:w="0" w:type="auto"/>
            <w:vMerge/>
            <w:tcBorders>
              <w:top w:val="nil"/>
              <w:left w:val="nil"/>
              <w:bottom w:val="single" w:sz="8" w:space="0" w:color="92CDDC"/>
              <w:right w:val="nil"/>
            </w:tcBorders>
            <w:vAlign w:val="center"/>
            <w:hideMark/>
          </w:tcPr>
          <w:p w:rsidR="00B44C53" w:rsidRDefault="00B44C53">
            <w:pPr>
              <w:spacing w:after="0" w:line="240" w:lineRule="auto"/>
              <w:rPr>
                <w:rFonts w:ascii="Arial" w:eastAsia="Times New Roman" w:hAnsi="Arial" w:cs="Arial"/>
                <w:b/>
                <w:bCs/>
                <w:color w:val="FFFFFF"/>
                <w:sz w:val="18"/>
                <w:szCs w:val="18"/>
                <w:lang w:eastAsia="cs-CZ"/>
              </w:rPr>
            </w:pPr>
          </w:p>
        </w:tc>
        <w:tc>
          <w:tcPr>
            <w:tcW w:w="0" w:type="auto"/>
            <w:vMerge/>
            <w:tcBorders>
              <w:top w:val="nil"/>
              <w:left w:val="nil"/>
              <w:bottom w:val="single" w:sz="8" w:space="0" w:color="92CDDC"/>
              <w:right w:val="nil"/>
            </w:tcBorders>
            <w:vAlign w:val="center"/>
            <w:hideMark/>
          </w:tcPr>
          <w:p w:rsidR="00B44C53" w:rsidRDefault="00B44C53">
            <w:pPr>
              <w:spacing w:after="0" w:line="240" w:lineRule="auto"/>
              <w:rPr>
                <w:rFonts w:ascii="Arial" w:eastAsia="Times New Roman" w:hAnsi="Arial" w:cs="Arial"/>
                <w:b/>
                <w:bCs/>
                <w:color w:val="FFFFFF"/>
                <w:sz w:val="18"/>
                <w:szCs w:val="18"/>
                <w:lang w:eastAsia="cs-CZ"/>
              </w:rPr>
            </w:pPr>
          </w:p>
        </w:tc>
        <w:tc>
          <w:tcPr>
            <w:tcW w:w="0" w:type="auto"/>
            <w:vMerge/>
            <w:tcBorders>
              <w:top w:val="nil"/>
              <w:left w:val="nil"/>
              <w:bottom w:val="single" w:sz="8" w:space="0" w:color="92CDDC"/>
              <w:right w:val="single" w:sz="8" w:space="0" w:color="95B3D7"/>
            </w:tcBorders>
            <w:vAlign w:val="center"/>
            <w:hideMark/>
          </w:tcPr>
          <w:p w:rsidR="00B44C53" w:rsidRDefault="00B44C53">
            <w:pPr>
              <w:spacing w:after="0" w:line="240" w:lineRule="auto"/>
              <w:rPr>
                <w:rFonts w:ascii="Arial" w:eastAsia="Times New Roman" w:hAnsi="Arial" w:cs="Arial"/>
                <w:b/>
                <w:bCs/>
                <w:color w:val="FFFFFF"/>
                <w:sz w:val="18"/>
                <w:szCs w:val="18"/>
                <w:lang w:eastAsia="cs-CZ"/>
              </w:rPr>
            </w:pPr>
          </w:p>
        </w:tc>
        <w:tc>
          <w:tcPr>
            <w:tcW w:w="0" w:type="auto"/>
            <w:tcBorders>
              <w:top w:val="nil"/>
              <w:left w:val="nil"/>
              <w:bottom w:val="single" w:sz="8" w:space="0" w:color="95B3D7"/>
              <w:right w:val="single" w:sz="8" w:space="0" w:color="95B3D7"/>
            </w:tcBorders>
            <w:shd w:val="clear" w:color="auto" w:fill="95B3D7"/>
            <w:vAlign w:val="center"/>
            <w:hideMark/>
          </w:tcPr>
          <w:p w:rsidR="00B44C53" w:rsidRDefault="00B44C53">
            <w:pPr>
              <w:spacing w:after="0" w:line="240" w:lineRule="auto"/>
              <w:jc w:val="center"/>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 xml:space="preserve">Podpora ze SR v roce 2017 </w:t>
            </w:r>
          </w:p>
          <w:p w:rsidR="00B44C53" w:rsidRDefault="00B44C53">
            <w:pPr>
              <w:spacing w:after="0" w:line="240" w:lineRule="auto"/>
              <w:jc w:val="center"/>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(tis. Kč)</w:t>
            </w:r>
          </w:p>
        </w:tc>
        <w:tc>
          <w:tcPr>
            <w:tcW w:w="0" w:type="auto"/>
            <w:tcBorders>
              <w:top w:val="nil"/>
              <w:left w:val="nil"/>
              <w:bottom w:val="single" w:sz="8" w:space="0" w:color="95B3D7"/>
              <w:right w:val="single" w:sz="8" w:space="0" w:color="538DD5"/>
            </w:tcBorders>
            <w:shd w:val="clear" w:color="auto" w:fill="95B3D7"/>
            <w:vAlign w:val="center"/>
            <w:hideMark/>
          </w:tcPr>
          <w:p w:rsidR="00B44C53" w:rsidRDefault="00B44C53">
            <w:pPr>
              <w:spacing w:after="0" w:line="240" w:lineRule="auto"/>
              <w:jc w:val="center"/>
              <w:rPr>
                <w:rFonts w:ascii="Arial" w:eastAsia="Times New Roman" w:hAnsi="Arial" w:cs="Arial"/>
                <w:b/>
                <w:bCs/>
                <w:color w:val="FFFFFF"/>
                <w:sz w:val="18"/>
                <w:szCs w:val="18"/>
                <w:lang w:eastAsia="cs-CZ"/>
              </w:rPr>
            </w:pPr>
            <w:proofErr w:type="spellStart"/>
            <w:r>
              <w:rPr>
                <w:rFonts w:ascii="Arial" w:eastAsia="Times New Roman" w:hAnsi="Arial" w:cs="Arial"/>
                <w:b/>
                <w:bCs/>
                <w:color w:val="FFFFFF"/>
                <w:sz w:val="18"/>
                <w:szCs w:val="18"/>
                <w:lang w:eastAsia="cs-CZ"/>
              </w:rPr>
              <w:t>Celk</w:t>
            </w:r>
            <w:proofErr w:type="spellEnd"/>
            <w:r w:rsidR="00753850">
              <w:rPr>
                <w:rFonts w:ascii="Arial" w:eastAsia="Times New Roman" w:hAnsi="Arial" w:cs="Arial"/>
                <w:b/>
                <w:bCs/>
                <w:color w:val="FFFFFF"/>
                <w:sz w:val="18"/>
                <w:szCs w:val="18"/>
                <w:lang w:eastAsia="cs-CZ"/>
              </w:rPr>
              <w:t>.</w:t>
            </w:r>
            <w:r w:rsidR="00614550">
              <w:rPr>
                <w:rFonts w:ascii="Arial" w:eastAsia="Times New Roman" w:hAnsi="Arial" w:cs="Arial"/>
                <w:b/>
                <w:bCs/>
                <w:color w:val="FFFFFF"/>
                <w:sz w:val="18"/>
                <w:szCs w:val="18"/>
                <w:lang w:eastAsia="cs-CZ"/>
              </w:rPr>
              <w:t xml:space="preserve"> </w:t>
            </w:r>
            <w:r>
              <w:rPr>
                <w:rFonts w:ascii="Arial" w:eastAsia="Times New Roman" w:hAnsi="Arial" w:cs="Arial"/>
                <w:b/>
                <w:bCs/>
                <w:color w:val="FFFFFF"/>
                <w:sz w:val="18"/>
                <w:szCs w:val="18"/>
                <w:lang w:eastAsia="cs-CZ"/>
              </w:rPr>
              <w:t>náklady v roce 2017 *</w:t>
            </w:r>
          </w:p>
          <w:p w:rsidR="00B44C53" w:rsidRDefault="00B44C53">
            <w:pPr>
              <w:spacing w:after="0" w:line="240" w:lineRule="auto"/>
              <w:jc w:val="center"/>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 xml:space="preserve">(tis. Kč) </w:t>
            </w:r>
          </w:p>
        </w:tc>
        <w:tc>
          <w:tcPr>
            <w:tcW w:w="0" w:type="auto"/>
            <w:tcBorders>
              <w:top w:val="nil"/>
              <w:left w:val="nil"/>
              <w:bottom w:val="single" w:sz="8" w:space="0" w:color="538DD5"/>
              <w:right w:val="single" w:sz="8" w:space="0" w:color="538DD5"/>
            </w:tcBorders>
            <w:shd w:val="clear" w:color="auto" w:fill="538DD5"/>
            <w:vAlign w:val="center"/>
            <w:hideMark/>
          </w:tcPr>
          <w:p w:rsidR="00B44C53" w:rsidRDefault="00B44C53">
            <w:pPr>
              <w:spacing w:after="0" w:line="240" w:lineRule="auto"/>
              <w:jc w:val="center"/>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 xml:space="preserve">Podpora ze SR v roce 2017 </w:t>
            </w:r>
          </w:p>
          <w:p w:rsidR="00B44C53" w:rsidRDefault="00B44C53">
            <w:pPr>
              <w:spacing w:after="0" w:line="240" w:lineRule="auto"/>
              <w:jc w:val="center"/>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(tis. Kč)</w:t>
            </w:r>
          </w:p>
        </w:tc>
        <w:tc>
          <w:tcPr>
            <w:tcW w:w="0" w:type="auto"/>
            <w:tcBorders>
              <w:top w:val="nil"/>
              <w:left w:val="nil"/>
              <w:bottom w:val="single" w:sz="8" w:space="0" w:color="538DD5"/>
              <w:right w:val="single" w:sz="8" w:space="0" w:color="538DD5"/>
            </w:tcBorders>
            <w:shd w:val="clear" w:color="auto" w:fill="538DD5"/>
            <w:vAlign w:val="center"/>
            <w:hideMark/>
          </w:tcPr>
          <w:p w:rsidR="00B44C53" w:rsidRDefault="00753850">
            <w:pPr>
              <w:spacing w:after="0" w:line="240" w:lineRule="auto"/>
              <w:jc w:val="center"/>
              <w:rPr>
                <w:rFonts w:ascii="Arial" w:eastAsia="Times New Roman" w:hAnsi="Arial" w:cs="Arial"/>
                <w:b/>
                <w:bCs/>
                <w:color w:val="FFFFFF"/>
                <w:sz w:val="18"/>
                <w:szCs w:val="18"/>
                <w:lang w:eastAsia="cs-CZ"/>
              </w:rPr>
            </w:pPr>
            <w:proofErr w:type="spellStart"/>
            <w:r>
              <w:rPr>
                <w:rFonts w:ascii="Arial" w:eastAsia="Times New Roman" w:hAnsi="Arial" w:cs="Arial"/>
                <w:b/>
                <w:bCs/>
                <w:color w:val="FFFFFF"/>
                <w:sz w:val="18"/>
                <w:szCs w:val="18"/>
                <w:lang w:eastAsia="cs-CZ"/>
              </w:rPr>
              <w:t>Celk</w:t>
            </w:r>
            <w:proofErr w:type="spellEnd"/>
            <w:r>
              <w:rPr>
                <w:rFonts w:ascii="Arial" w:eastAsia="Times New Roman" w:hAnsi="Arial" w:cs="Arial"/>
                <w:b/>
                <w:bCs/>
                <w:color w:val="FFFFFF"/>
                <w:sz w:val="18"/>
                <w:szCs w:val="18"/>
                <w:lang w:eastAsia="cs-CZ"/>
              </w:rPr>
              <w:t>.</w:t>
            </w:r>
            <w:r w:rsidR="00B44C53">
              <w:rPr>
                <w:rFonts w:ascii="Arial" w:eastAsia="Times New Roman" w:hAnsi="Arial" w:cs="Arial"/>
                <w:b/>
                <w:bCs/>
                <w:color w:val="FFFFFF"/>
                <w:sz w:val="18"/>
                <w:szCs w:val="18"/>
                <w:lang w:eastAsia="cs-CZ"/>
              </w:rPr>
              <w:t xml:space="preserve"> náklady v roce 2017 </w:t>
            </w:r>
          </w:p>
          <w:p w:rsidR="00B44C53" w:rsidRDefault="00B44C53">
            <w:pPr>
              <w:spacing w:after="0" w:line="240" w:lineRule="auto"/>
              <w:jc w:val="center"/>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 xml:space="preserve">(tis. Kč) </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GA ČR</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Standardní projekty</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3 078 241</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3 082 006</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3 243 004</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3 074 078</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3 235 977</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GA ČR</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Projekty na podporu excelence v základním výzkumu</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483 479</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486 305</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487 659</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485 495</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486 237</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GA ČR</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Mezinárodní projekty</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103 824</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64 061</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68 856</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63 884</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68 679</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GA ČR</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LA granty</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72 100</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48 253</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49 421</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47 839</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49 007</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GA ČR</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Juniorské granty</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400 000</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359 117</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360 715</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358 579</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360 177</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lastRenderedPageBreak/>
              <w:t>GA ČR</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Postdoktorandské granty</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0</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7 575</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7 575</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7 142</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7 142</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GA ČR</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Podpora mezinárodní spolupráce pro získávání ERC grantů</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10 000</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0</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0</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0</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0</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MK</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Program aplikovaného výzkumu a vývoje národní a kulturní identity (NAKI)</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51 123</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51 635</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51 635</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50 756</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51 552</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MK</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Program na podporu aplikovaného výzkumu a experimentálního vývoje národní a kulturní identity na léta 2016 až 2022 (NAKI II)</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373 877</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230 970</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233 284</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228 005</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230 970</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MO</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Obranný aplikovaný výzkum, experimentální vývoj a inovace</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93 000</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99 379</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99 379</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99 299</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99 299</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MO</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Rozvoj ozbrojených sil České republiky</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240 000</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253 610</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253 610</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244 875</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244 875</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MPO</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TRIO</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1 050 252</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847 329</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1 189 988</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845 703</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1 190 308</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MŠMT</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COST CZ</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51 288</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51 288</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52 951</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51 288</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52 951</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MŠMT</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EUPRO II</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64 348</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82 891</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85 682</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82 891</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85 682</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MŠMT</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EUREKA CZ</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69 450</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69 647</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140 743</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69 647</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140 743</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MŠMT</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INGO II</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30 065</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30 193</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30 341</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30 993</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31 141</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MŠMT</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KONTAKT II</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24 014</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24 134</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24 648</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24 134</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24 648</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MŠMT</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ERC CZ</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39 793</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76 518</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76 518</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76 518</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76 518</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MŠMT</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Informace – základ výzkumu</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258 210</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258 161</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480 468</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258 161</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480 468</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MŠMT</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Inter – Excellence</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0</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135 372</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182 645</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135 372</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182 645</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MV</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Program bezpečnostního výzkumu pro potřeby státu 2016–2021</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100 000</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97 685</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97 685</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91 204</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92 437</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MV</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Bezpečnostní výzkum České republiky 2015–2020</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400 000</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552 311</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594 730</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523 832</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578 700</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MZ</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Program na podporu zdravotnického aplikovaného výzkumu a vývoje na léta 2015–2022</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900 000</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981 285</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999 979</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960 265</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980 735</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MZE</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Komplexní udržitelné systémy v zemědělství 2012–2018 „KUS“</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375 453</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374 308</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459 394</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374 767</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462 922</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MZE</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 xml:space="preserve">Program aplikovaného výzkumu </w:t>
            </w:r>
            <w:proofErr w:type="spellStart"/>
            <w:r>
              <w:rPr>
                <w:rFonts w:ascii="Arial" w:eastAsia="Times New Roman" w:hAnsi="Arial" w:cs="Arial"/>
                <w:color w:val="000000"/>
                <w:sz w:val="18"/>
                <w:szCs w:val="18"/>
                <w:lang w:eastAsia="cs-CZ"/>
              </w:rPr>
              <w:t>MZe</w:t>
            </w:r>
            <w:proofErr w:type="spellEnd"/>
            <w:r>
              <w:rPr>
                <w:rFonts w:ascii="Arial" w:eastAsia="Times New Roman" w:hAnsi="Arial" w:cs="Arial"/>
                <w:color w:val="000000"/>
                <w:sz w:val="18"/>
                <w:szCs w:val="18"/>
                <w:lang w:eastAsia="cs-CZ"/>
              </w:rPr>
              <w:t xml:space="preserve"> „Země“ 2017–2025</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50 647</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50 635</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53 350</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50 635</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53 350</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TA ČR</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Program na podporu aplikovaného výzkumu a experimentálního vývoje ALFA</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593 639</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601 344</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950 446</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601 344</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953 683</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TA ČR</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Program na podporu aplikovaného společenskovědního výzkumu a experimentálního vývoje OMEGA</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65 373</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64 721</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74 124</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64 721</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74 124</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TA ČR</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Centra kompetence</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930 006</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930 969</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1 352 459</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930 577</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1 367 353</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TA ČR</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Program podpory spolupráce v aplikovaném výzkumu a experimentálním vývoji prostřednictvím společných projektů technologických a inovačních agentur DELTA</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109 375</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71 839</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96 368</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71 839</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96 475</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TA ČR</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Program aplikovaného výzkumu, experimentálního vývoje a inovací GAMA</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155 469</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156 551</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159 158</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156 289</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158 896</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lastRenderedPageBreak/>
              <w:t>TA ČR</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Program na podporu aplikovaného výzkumu a experimentálního vývoje EPSILON</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1 201 649</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983 092</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1 629 680</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983 092</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1 633 739</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TA ČR</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Program veřejných zakázek v aplikovaném výzkumu a inovacích pro potřeby státní správy BETA2</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300 000</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4 540</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4 540</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4 540</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4 540</w:t>
            </w:r>
          </w:p>
        </w:tc>
      </w:tr>
      <w:tr w:rsidR="00B44C53" w:rsidTr="00753850">
        <w:trPr>
          <w:cantSplit/>
          <w:trHeight w:val="20"/>
          <w:jc w:val="center"/>
        </w:trPr>
        <w:tc>
          <w:tcPr>
            <w:tcW w:w="0" w:type="auto"/>
            <w:tcBorders>
              <w:top w:val="nil"/>
              <w:left w:val="single" w:sz="8" w:space="0" w:color="92CDDC"/>
              <w:bottom w:val="single" w:sz="8" w:space="0" w:color="92CDDC"/>
              <w:right w:val="single" w:sz="8" w:space="0" w:color="92CDDC"/>
            </w:tcBorders>
            <w:noWrap/>
            <w:vAlign w:val="center"/>
            <w:hideMark/>
          </w:tcPr>
          <w:p w:rsidR="00B44C53" w:rsidRDefault="00B44C53">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TA ČR</w:t>
            </w:r>
          </w:p>
        </w:tc>
        <w:tc>
          <w:tcPr>
            <w:tcW w:w="0" w:type="auto"/>
            <w:tcBorders>
              <w:top w:val="nil"/>
              <w:left w:val="nil"/>
              <w:bottom w:val="single" w:sz="8" w:space="0" w:color="92CDDC"/>
              <w:right w:val="single" w:sz="8" w:space="0" w:color="92CDDC"/>
            </w:tcBorders>
            <w:vAlign w:val="center"/>
            <w:hideMark/>
          </w:tcPr>
          <w:p w:rsidR="00B44C53" w:rsidRDefault="00B44C53">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Program na podporu aplikovaného výzkumu ZÉTA</w:t>
            </w:r>
          </w:p>
        </w:tc>
        <w:tc>
          <w:tcPr>
            <w:tcW w:w="0" w:type="auto"/>
            <w:tcBorders>
              <w:top w:val="nil"/>
              <w:left w:val="nil"/>
              <w:bottom w:val="single" w:sz="8" w:space="0" w:color="92CDDC"/>
              <w:right w:val="nil"/>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30 000</w:t>
            </w:r>
          </w:p>
        </w:tc>
        <w:tc>
          <w:tcPr>
            <w:tcW w:w="0" w:type="auto"/>
            <w:tcBorders>
              <w:top w:val="nil"/>
              <w:left w:val="single" w:sz="8" w:space="0" w:color="95B3D7"/>
              <w:bottom w:val="single" w:sz="8" w:space="0" w:color="95B3D7"/>
              <w:right w:val="single" w:sz="8" w:space="0" w:color="95B3D7"/>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0</w:t>
            </w:r>
          </w:p>
        </w:tc>
        <w:tc>
          <w:tcPr>
            <w:tcW w:w="0" w:type="auto"/>
            <w:tcBorders>
              <w:top w:val="nil"/>
              <w:left w:val="nil"/>
              <w:bottom w:val="single" w:sz="8" w:space="0" w:color="95B3D7"/>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0</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12 920</w:t>
            </w:r>
          </w:p>
        </w:tc>
        <w:tc>
          <w:tcPr>
            <w:tcW w:w="0" w:type="auto"/>
            <w:tcBorders>
              <w:top w:val="nil"/>
              <w:left w:val="nil"/>
              <w:bottom w:val="single" w:sz="8" w:space="0" w:color="538DD5"/>
              <w:right w:val="single" w:sz="8" w:space="0" w:color="538DD5"/>
            </w:tcBorders>
            <w:noWrap/>
            <w:vAlign w:val="center"/>
            <w:hideMark/>
          </w:tcPr>
          <w:p w:rsidR="00B44C53" w:rsidRDefault="00B44C53">
            <w:pPr>
              <w:spacing w:after="0" w:line="240" w:lineRule="auto"/>
              <w:ind w:firstLineChars="100" w:firstLine="180"/>
              <w:jc w:val="right"/>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15 621</w:t>
            </w:r>
          </w:p>
        </w:tc>
      </w:tr>
      <w:tr w:rsidR="00B44C53" w:rsidTr="00753850">
        <w:trPr>
          <w:cantSplit/>
          <w:trHeight w:val="20"/>
          <w:jc w:val="center"/>
        </w:trPr>
        <w:tc>
          <w:tcPr>
            <w:tcW w:w="0" w:type="auto"/>
            <w:gridSpan w:val="2"/>
            <w:tcBorders>
              <w:top w:val="single" w:sz="8" w:space="0" w:color="92CDDC"/>
              <w:left w:val="single" w:sz="8" w:space="0" w:color="92CDDC"/>
              <w:bottom w:val="single" w:sz="8" w:space="0" w:color="92CDDC"/>
              <w:right w:val="single" w:sz="8" w:space="0" w:color="92CDDC"/>
            </w:tcBorders>
            <w:shd w:val="clear" w:color="auto" w:fill="92CDDC"/>
            <w:noWrap/>
            <w:vAlign w:val="center"/>
            <w:hideMark/>
          </w:tcPr>
          <w:p w:rsidR="00B44C53" w:rsidRDefault="00B44C53">
            <w:pPr>
              <w:spacing w:after="0" w:line="240" w:lineRule="auto"/>
              <w:jc w:val="center"/>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Celkem</w:t>
            </w:r>
          </w:p>
        </w:tc>
        <w:tc>
          <w:tcPr>
            <w:tcW w:w="0" w:type="auto"/>
            <w:tcBorders>
              <w:top w:val="nil"/>
              <w:left w:val="nil"/>
              <w:bottom w:val="single" w:sz="8" w:space="0" w:color="92CDDC"/>
              <w:right w:val="nil"/>
            </w:tcBorders>
            <w:shd w:val="clear" w:color="auto" w:fill="92CDDC"/>
            <w:noWrap/>
            <w:vAlign w:val="center"/>
            <w:hideMark/>
          </w:tcPr>
          <w:p w:rsidR="00B44C53" w:rsidRDefault="00B44C53">
            <w:pPr>
              <w:spacing w:after="0" w:line="240" w:lineRule="auto"/>
              <w:ind w:firstLineChars="100" w:firstLine="181"/>
              <w:jc w:val="right"/>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11 704 675</w:t>
            </w:r>
          </w:p>
        </w:tc>
        <w:tc>
          <w:tcPr>
            <w:tcW w:w="0" w:type="auto"/>
            <w:tcBorders>
              <w:top w:val="nil"/>
              <w:left w:val="single" w:sz="8" w:space="0" w:color="95B3D7"/>
              <w:bottom w:val="single" w:sz="8" w:space="0" w:color="95B3D7"/>
              <w:right w:val="single" w:sz="8" w:space="0" w:color="95B3D7"/>
            </w:tcBorders>
            <w:shd w:val="clear" w:color="auto" w:fill="95B3D7"/>
            <w:noWrap/>
            <w:vAlign w:val="center"/>
            <w:hideMark/>
          </w:tcPr>
          <w:p w:rsidR="00B44C53" w:rsidRDefault="00B44C53">
            <w:pPr>
              <w:spacing w:after="0" w:line="240" w:lineRule="auto"/>
              <w:ind w:firstLineChars="100" w:firstLine="181"/>
              <w:jc w:val="right"/>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11 127 724</w:t>
            </w:r>
          </w:p>
        </w:tc>
        <w:tc>
          <w:tcPr>
            <w:tcW w:w="0" w:type="auto"/>
            <w:tcBorders>
              <w:top w:val="nil"/>
              <w:left w:val="nil"/>
              <w:bottom w:val="single" w:sz="8" w:space="0" w:color="95B3D7"/>
              <w:right w:val="single" w:sz="8" w:space="0" w:color="538DD5"/>
            </w:tcBorders>
            <w:shd w:val="clear" w:color="auto" w:fill="95B3D7"/>
            <w:noWrap/>
            <w:vAlign w:val="center"/>
            <w:hideMark/>
          </w:tcPr>
          <w:p w:rsidR="00B44C53" w:rsidRDefault="00B44C53">
            <w:pPr>
              <w:spacing w:after="0" w:line="240" w:lineRule="auto"/>
              <w:ind w:firstLineChars="100" w:firstLine="181"/>
              <w:jc w:val="right"/>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13 591 035</w:t>
            </w:r>
          </w:p>
        </w:tc>
        <w:tc>
          <w:tcPr>
            <w:tcW w:w="0" w:type="auto"/>
            <w:tcBorders>
              <w:top w:val="nil"/>
              <w:left w:val="nil"/>
              <w:bottom w:val="single" w:sz="8" w:space="0" w:color="538DD5"/>
              <w:right w:val="single" w:sz="8" w:space="0" w:color="538DD5"/>
            </w:tcBorders>
            <w:shd w:val="clear" w:color="auto" w:fill="538DD5"/>
            <w:noWrap/>
            <w:vAlign w:val="center"/>
            <w:hideMark/>
          </w:tcPr>
          <w:p w:rsidR="00B44C53" w:rsidRDefault="00B44C53">
            <w:pPr>
              <w:spacing w:after="0" w:line="240" w:lineRule="auto"/>
              <w:ind w:firstLineChars="100" w:firstLine="181"/>
              <w:jc w:val="right"/>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11 060 684</w:t>
            </w:r>
          </w:p>
        </w:tc>
        <w:tc>
          <w:tcPr>
            <w:tcW w:w="0" w:type="auto"/>
            <w:tcBorders>
              <w:top w:val="nil"/>
              <w:left w:val="nil"/>
              <w:bottom w:val="single" w:sz="8" w:space="0" w:color="538DD5"/>
              <w:right w:val="single" w:sz="8" w:space="0" w:color="538DD5"/>
            </w:tcBorders>
            <w:shd w:val="clear" w:color="auto" w:fill="538DD5"/>
            <w:noWrap/>
            <w:vAlign w:val="center"/>
            <w:hideMark/>
          </w:tcPr>
          <w:p w:rsidR="00B44C53" w:rsidRDefault="00B44C53">
            <w:pPr>
              <w:spacing w:after="0" w:line="240" w:lineRule="auto"/>
              <w:ind w:firstLineChars="100" w:firstLine="181"/>
              <w:jc w:val="right"/>
              <w:rPr>
                <w:rFonts w:ascii="Arial" w:eastAsia="Times New Roman" w:hAnsi="Arial" w:cs="Arial"/>
                <w:b/>
                <w:bCs/>
                <w:color w:val="FFFFFF"/>
                <w:sz w:val="18"/>
                <w:szCs w:val="18"/>
                <w:lang w:eastAsia="cs-CZ"/>
              </w:rPr>
            </w:pPr>
            <w:r>
              <w:rPr>
                <w:rFonts w:ascii="Arial" w:eastAsia="Times New Roman" w:hAnsi="Arial" w:cs="Arial"/>
                <w:b/>
                <w:bCs/>
                <w:color w:val="FFFFFF"/>
                <w:sz w:val="18"/>
                <w:szCs w:val="18"/>
                <w:lang w:eastAsia="cs-CZ"/>
              </w:rPr>
              <w:t>13 571 594</w:t>
            </w:r>
          </w:p>
        </w:tc>
      </w:tr>
    </w:tbl>
    <w:p w:rsidR="00B44C53" w:rsidRDefault="00B44C53" w:rsidP="00B44C53">
      <w:pPr>
        <w:pStyle w:val="Zdroj"/>
      </w:pPr>
      <w:r>
        <w:t>Zdroj dat: : IS VaVaI, export 1. 8. 2018., návrhy programů a skupin grantových projektů schválené vládou</w:t>
      </w:r>
    </w:p>
    <w:p w:rsidR="00B44C53" w:rsidRDefault="00B44C53" w:rsidP="00B44C53">
      <w:pPr>
        <w:pStyle w:val="komentzaobrzkem"/>
      </w:pPr>
      <w:r>
        <w:t>V tabulce nejsou zahrnuty Projekty velkých infrastruktur pro VaVaI (kód programu LM), Národní program udržitelnosti I (kód programu LO) a Národní program udržitelnosti II (kód programu LQ) pro jejich institucionální charakter.</w:t>
      </w:r>
    </w:p>
    <w:p w:rsidR="00B44C53" w:rsidRDefault="00B44C53" w:rsidP="00B44C53">
      <w:pPr>
        <w:pStyle w:val="komentzaobrzkem"/>
      </w:pPr>
      <w:r>
        <w:t>GA ČR: Postdoktorandské granty (GP) byly od roku 2015 nahrazeny projekty Juniorskými, financování (GP) zahrnuje pouze dobíhající projekty, proto je částka Přidělená podpora ze SR na rok 2017 dle zák. č. 457/2016 nulová.</w:t>
      </w:r>
    </w:p>
    <w:p w:rsidR="00B44C53" w:rsidRDefault="00B44C53" w:rsidP="00B44C53">
      <w:pPr>
        <w:pStyle w:val="komentzaobrzkem"/>
        <w:rPr>
          <w:rFonts w:cs="Arial"/>
        </w:rPr>
      </w:pPr>
      <w:r>
        <w:t>* Celkové náklady = finanční prostředky ze všech finančních zdrojů</w:t>
      </w:r>
    </w:p>
    <w:p w:rsidR="00B44C53" w:rsidRDefault="00B44C53" w:rsidP="00CD1C40">
      <w:pPr>
        <w:spacing w:after="0" w:line="360" w:lineRule="auto"/>
        <w:ind w:firstLine="708"/>
        <w:jc w:val="both"/>
        <w:rPr>
          <w:rFonts w:ascii="Arial" w:eastAsia="Times New Roman" w:hAnsi="Arial" w:cs="Arial"/>
          <w:lang w:eastAsia="cs-CZ"/>
        </w:rPr>
      </w:pPr>
    </w:p>
    <w:p w:rsidR="00B44C53" w:rsidRDefault="00B44C53" w:rsidP="00CD1C40">
      <w:pPr>
        <w:spacing w:after="0" w:line="360" w:lineRule="auto"/>
        <w:ind w:firstLine="708"/>
        <w:jc w:val="both"/>
        <w:rPr>
          <w:rFonts w:ascii="Arial" w:eastAsia="Times New Roman" w:hAnsi="Arial" w:cs="Arial"/>
          <w:lang w:eastAsia="cs-CZ"/>
        </w:rPr>
        <w:sectPr w:rsidR="00B44C53" w:rsidSect="00B44C53">
          <w:pgSz w:w="16838" w:h="11906" w:orient="landscape"/>
          <w:pgMar w:top="1134" w:right="1134" w:bottom="1134" w:left="1134" w:header="709" w:footer="709" w:gutter="0"/>
          <w:cols w:space="708"/>
          <w:docGrid w:linePitch="360"/>
        </w:sectPr>
      </w:pPr>
    </w:p>
    <w:p w:rsidR="006338C7" w:rsidRDefault="006338C7" w:rsidP="00CD1C40">
      <w:pPr>
        <w:pStyle w:val="NadpisurovenI"/>
        <w:numPr>
          <w:ilvl w:val="0"/>
          <w:numId w:val="33"/>
        </w:numPr>
        <w:jc w:val="both"/>
      </w:pPr>
      <w:bookmarkStart w:id="13" w:name="_Toc529974108"/>
      <w:r w:rsidRPr="006338C7">
        <w:lastRenderedPageBreak/>
        <w:t>P</w:t>
      </w:r>
      <w:r w:rsidR="00321A9B">
        <w:t>odpora</w:t>
      </w:r>
      <w:r w:rsidR="00846C9A">
        <w:t xml:space="preserve"> </w:t>
      </w:r>
      <w:r w:rsidR="005025F4">
        <w:t>výzkumu, vývoje a inovací</w:t>
      </w:r>
      <w:r w:rsidR="00EB0FF6">
        <w:t xml:space="preserve"> v </w:t>
      </w:r>
      <w:r w:rsidRPr="006338C7">
        <w:t xml:space="preserve">ČR </w:t>
      </w:r>
      <w:r w:rsidR="00321A9B">
        <w:t>z evropských prostředků</w:t>
      </w:r>
      <w:bookmarkEnd w:id="13"/>
    </w:p>
    <w:p w:rsidR="008E7867" w:rsidRPr="005F56F6" w:rsidRDefault="008E7867" w:rsidP="008E7867">
      <w:pPr>
        <w:pStyle w:val="Text"/>
      </w:pPr>
      <w:r w:rsidRPr="005F56F6">
        <w:t>Evropské prostředky směřované na podporu výzkumu a vývoje v ČR jsou součástí celkových zahraničních zdrojů, které jsou určeny k financování VaVaI v ČR. Obrázek 3.1 znázorňuje vývoj veřejné a soukromé složky výdajů ze zahraničních zdrojů.</w:t>
      </w:r>
    </w:p>
    <w:p w:rsidR="008E7867" w:rsidRPr="005F56F6" w:rsidRDefault="008E7867" w:rsidP="008E7867">
      <w:pPr>
        <w:pStyle w:val="Obrzek-nadpis"/>
        <w:rPr>
          <w:rFonts w:eastAsiaTheme="majorEastAsia"/>
        </w:rPr>
      </w:pPr>
      <w:r w:rsidRPr="005F56F6">
        <w:t>Obrázek</w:t>
      </w:r>
      <w:r w:rsidRPr="005F56F6">
        <w:rPr>
          <w:rFonts w:eastAsiaTheme="majorEastAsia"/>
        </w:rPr>
        <w:t xml:space="preserve"> 3.1: Výdaje na výzkum a vývoj ze zahraničních zdrojů, 2007</w:t>
      </w:r>
      <w:r w:rsidRPr="005F56F6">
        <w:rPr>
          <w:rFonts w:cs="Arial"/>
        </w:rPr>
        <w:t>–</w:t>
      </w:r>
      <w:r w:rsidRPr="005F56F6">
        <w:rPr>
          <w:rFonts w:eastAsiaTheme="majorEastAsia"/>
        </w:rPr>
        <w:t>2017 (mld. Kč)</w:t>
      </w:r>
    </w:p>
    <w:p w:rsidR="008E7867" w:rsidRPr="005F56F6" w:rsidRDefault="008E7867" w:rsidP="008E7867">
      <w:pPr>
        <w:jc w:val="center"/>
        <w:rPr>
          <w:lang w:eastAsia="cs-CZ"/>
        </w:rPr>
      </w:pPr>
      <w:r w:rsidRPr="005F56F6">
        <w:rPr>
          <w:noProof/>
          <w:lang w:eastAsia="cs-CZ"/>
        </w:rPr>
        <w:drawing>
          <wp:inline distT="0" distB="0" distL="0" distR="0" wp14:anchorId="317D13FF" wp14:editId="2674EB90">
            <wp:extent cx="5564394" cy="3422072"/>
            <wp:effectExtent l="0" t="0" r="0" b="698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kap03_g01_final.PNG"/>
                    <pic:cNvPicPr/>
                  </pic:nvPicPr>
                  <pic:blipFill>
                    <a:blip r:embed="rId23">
                      <a:extLst>
                        <a:ext uri="{28A0092B-C50C-407E-A947-70E740481C1C}">
                          <a14:useLocalDpi xmlns:a14="http://schemas.microsoft.com/office/drawing/2010/main" val="0"/>
                        </a:ext>
                      </a:extLst>
                    </a:blip>
                    <a:stretch>
                      <a:fillRect/>
                    </a:stretch>
                  </pic:blipFill>
                  <pic:spPr>
                    <a:xfrm>
                      <a:off x="0" y="0"/>
                      <a:ext cx="5567073" cy="3423719"/>
                    </a:xfrm>
                    <a:prstGeom prst="rect">
                      <a:avLst/>
                    </a:prstGeom>
                  </pic:spPr>
                </pic:pic>
              </a:graphicData>
            </a:graphic>
          </wp:inline>
        </w:drawing>
      </w:r>
    </w:p>
    <w:p w:rsidR="008E7867" w:rsidRPr="005F56F6" w:rsidRDefault="008E7867" w:rsidP="008E7867">
      <w:pPr>
        <w:pStyle w:val="Zdroj"/>
      </w:pPr>
      <w:r w:rsidRPr="005F56F6">
        <w:t>Zdroj dat: ČSÚ</w:t>
      </w:r>
    </w:p>
    <w:p w:rsidR="00CD1C40" w:rsidRPr="00CD1C40" w:rsidRDefault="008E7867" w:rsidP="008E7867">
      <w:pPr>
        <w:spacing w:after="0" w:line="360" w:lineRule="auto"/>
        <w:ind w:firstLine="708"/>
        <w:jc w:val="both"/>
        <w:rPr>
          <w:rFonts w:ascii="Arial" w:eastAsia="Times New Roman" w:hAnsi="Arial" w:cs="Arial"/>
          <w:lang w:eastAsia="cs-CZ"/>
        </w:rPr>
      </w:pPr>
      <w:r w:rsidRPr="005F56F6">
        <w:rPr>
          <w:rFonts w:ascii="Arial" w:hAnsi="Arial" w:cs="Arial"/>
          <w:lang w:eastAsia="cs-CZ"/>
        </w:rPr>
        <w:t>Z obrázku je patrné, že soukromá složka zahraničních zdrojů od roku 2007 trvale roste; od roku 2011 došlo téměř ke ztrojnásobení jejího objemu, a to z 6,2 na 18,3 mld. Kč. Prudký pokles veřejných zahraničních zdrojů z 13,8 mld. Kč v roce 2015 na 2,7 mld. Kč v roce 2016 se promítl do snížení celkového objemu zahraničních zdrojů, a to z 28,8 mld. Kč v roce 2015 na 19,2 mld. Kč v roce 2016. Tento vývoj vyplývá ze skutečnosti, že výše čerpání prostředků na VaVaI ze strukturálních fondů EU kulminovala právě v roce 2015. Je možné sledovat, že čerpání prostředků na VaVaI ze strukturálních fondů EU bylo soustředěno do druhé poloviny programového období 2007–2013, což je v souladu s pravidlem „n+2“ pro čerpání prostředků příjemci do konce roku 2015. V roce 2017 již můžeme sledovat postupný náběh a proplácení podpory pro projekty nově realizované v období 2014–2020 a tím opětovný nárůst veřejných zdrojů ze zahraničních zdrojů na 4,3 mld. Kč. Je pravděpodobné, že výše veřejných prostředků bude opět kulminovat spíše v druhé polovině programového období, tj. blízko roku 2023 (v souladu s pravidlem „n+3“). Je tedy zřejmé, že vývoj veřejných zahraničních zdrojů je silně ovlivněn mechanismy proplácení prostředků a</w:t>
      </w:r>
      <w:r w:rsidR="00DA0191">
        <w:rPr>
          <w:rFonts w:ascii="Arial" w:hAnsi="Arial" w:cs="Arial"/>
          <w:lang w:eastAsia="cs-CZ"/>
        </w:rPr>
        <w:t> </w:t>
      </w:r>
      <w:r w:rsidRPr="005F56F6">
        <w:rPr>
          <w:rFonts w:ascii="Arial" w:hAnsi="Arial" w:cs="Arial"/>
          <w:lang w:eastAsia="cs-CZ"/>
        </w:rPr>
        <w:t>samotným cyklem daného programového období.</w:t>
      </w:r>
    </w:p>
    <w:p w:rsidR="00CD1C40" w:rsidRDefault="00CD1C40" w:rsidP="00CD1C40">
      <w:pPr>
        <w:pStyle w:val="NadpisurovemII"/>
        <w:numPr>
          <w:ilvl w:val="1"/>
          <w:numId w:val="33"/>
        </w:numPr>
        <w:ind w:hanging="792"/>
        <w:jc w:val="both"/>
        <w:rPr>
          <w:rFonts w:eastAsia="Times New Roman"/>
        </w:rPr>
      </w:pPr>
      <w:bookmarkStart w:id="14" w:name="_Toc529974109"/>
      <w:r w:rsidRPr="00CD1C40">
        <w:rPr>
          <w:rFonts w:eastAsia="Times New Roman"/>
        </w:rPr>
        <w:lastRenderedPageBreak/>
        <w:t xml:space="preserve">Rámec podpory </w:t>
      </w:r>
      <w:r w:rsidR="008E7867">
        <w:rPr>
          <w:rFonts w:eastAsia="Times New Roman"/>
        </w:rPr>
        <w:t>výzkumu, vývoje a inovací</w:t>
      </w:r>
      <w:r w:rsidRPr="00CD1C40">
        <w:rPr>
          <w:rFonts w:eastAsia="Times New Roman"/>
        </w:rPr>
        <w:t xml:space="preserve"> v ČR z Evropských strukturálních a</w:t>
      </w:r>
      <w:r w:rsidR="00DA0191">
        <w:rPr>
          <w:rFonts w:eastAsia="Times New Roman"/>
        </w:rPr>
        <w:t> </w:t>
      </w:r>
      <w:r w:rsidRPr="00CD1C40">
        <w:rPr>
          <w:rFonts w:eastAsia="Times New Roman"/>
        </w:rPr>
        <w:t>investičních fondů</w:t>
      </w:r>
      <w:bookmarkEnd w:id="14"/>
    </w:p>
    <w:p w:rsidR="008E7867" w:rsidRPr="005F56F6" w:rsidRDefault="008E7867" w:rsidP="008E7867">
      <w:pPr>
        <w:spacing w:after="0" w:line="360" w:lineRule="auto"/>
        <w:ind w:firstLine="709"/>
        <w:jc w:val="both"/>
        <w:rPr>
          <w:rFonts w:ascii="Arial" w:eastAsia="Times New Roman" w:hAnsi="Arial" w:cs="Arial"/>
          <w:lang w:eastAsia="cs-CZ"/>
        </w:rPr>
      </w:pPr>
      <w:r w:rsidRPr="005F56F6">
        <w:rPr>
          <w:rFonts w:ascii="Arial" w:eastAsia="Times New Roman" w:hAnsi="Arial" w:cs="Arial"/>
          <w:lang w:eastAsia="cs-CZ"/>
        </w:rPr>
        <w:t>Politika hospodářské, sociální a územní soudržnosti je hlavní investiční politikou Evropské unie. Její cíle jsou naplňovány prostřednictvím sedmiletých cyklů za pomoci k tomu zřízených fondů. Pro období 2014–2020 byl  pro plnění cílů této politiky vyčleněn rozpočet ve výši 351,8 mld. EUR (32,5 % celkového rozpočtu EU), který je alokován v pěti Evropských strukturálních a</w:t>
      </w:r>
      <w:r w:rsidR="00DA0191">
        <w:rPr>
          <w:rFonts w:ascii="Arial" w:eastAsia="Times New Roman" w:hAnsi="Arial" w:cs="Arial"/>
          <w:lang w:eastAsia="cs-CZ"/>
        </w:rPr>
        <w:t> </w:t>
      </w:r>
      <w:r w:rsidRPr="005F56F6">
        <w:rPr>
          <w:rFonts w:ascii="Arial" w:eastAsia="Times New Roman" w:hAnsi="Arial" w:cs="Arial"/>
          <w:lang w:eastAsia="cs-CZ"/>
        </w:rPr>
        <w:t>investičních fondech (ESI fondy, ESIF). Do této skupiny kromě Evropského fondu pro regionální rozvoj (ERDF, EFRR), Evropského sociálního fondu (ESF) a Fondu soudržnosti (CF, FS) náleží v období 2014–2020 i Evropský zemědělský fond pro rozvoj venkova (EAFRD) a Evropský námořní a rybářský fond (ENRF).</w:t>
      </w:r>
      <w:r w:rsidRPr="005F56F6">
        <w:rPr>
          <w:rStyle w:val="Znakapoznpodarou"/>
          <w:rFonts w:ascii="Arial" w:eastAsia="Times New Roman" w:hAnsi="Arial" w:cs="Arial"/>
          <w:lang w:eastAsia="cs-CZ"/>
        </w:rPr>
        <w:footnoteReference w:id="9"/>
      </w:r>
      <w:r w:rsidRPr="005F56F6">
        <w:rPr>
          <w:rFonts w:ascii="Arial" w:eastAsia="Times New Roman" w:hAnsi="Arial" w:cs="Arial"/>
          <w:lang w:eastAsia="cs-CZ"/>
        </w:rPr>
        <w:t xml:space="preserve"> V rámci politiky soudržnosti bylo pro programovací období stanoveno 11 tematických cílů (TC). Ty věcně vymezují oblasti, na které se ESIF ve všech členských státech musí zaměřovat prostřednictvím intervencí definovaných v operačních programech. „Posilování výzkumu, technologického vývoje a inovací“ je Tematickým cílem č. 1 (TC1). Za účelem stanovení optimálních národních cílů spolupracovaly členské státy s Evropskou komisí na uzavření dohod o partnerství a přípravě jednotlivých operačních programů.</w:t>
      </w:r>
    </w:p>
    <w:p w:rsidR="008E7867" w:rsidRPr="005F56F6" w:rsidRDefault="008E7867" w:rsidP="008E7867">
      <w:pPr>
        <w:spacing w:after="0" w:line="360" w:lineRule="auto"/>
        <w:ind w:firstLine="624"/>
        <w:jc w:val="both"/>
        <w:rPr>
          <w:rFonts w:ascii="Arial" w:eastAsia="Times New Roman" w:hAnsi="Arial" w:cs="Arial"/>
          <w:lang w:eastAsia="cs-CZ"/>
        </w:rPr>
      </w:pPr>
      <w:r w:rsidRPr="005F56F6">
        <w:rPr>
          <w:rFonts w:ascii="Arial" w:eastAsia="Times New Roman" w:hAnsi="Arial" w:cs="Arial"/>
          <w:i/>
          <w:lang w:eastAsia="cs-CZ"/>
        </w:rPr>
        <w:t>Dohoda o partnerství</w:t>
      </w:r>
      <w:r w:rsidRPr="005F56F6">
        <w:rPr>
          <w:rFonts w:ascii="Arial" w:eastAsia="Times New Roman" w:hAnsi="Arial" w:cs="Arial"/>
          <w:lang w:eastAsia="cs-CZ"/>
        </w:rPr>
        <w:t xml:space="preserve"> (</w:t>
      </w:r>
      <w:proofErr w:type="spellStart"/>
      <w:r w:rsidRPr="005F56F6">
        <w:rPr>
          <w:rFonts w:ascii="Arial" w:eastAsia="Times New Roman" w:hAnsi="Arial" w:cs="Arial"/>
          <w:lang w:eastAsia="cs-CZ"/>
        </w:rPr>
        <w:t>DoP</w:t>
      </w:r>
      <w:proofErr w:type="spellEnd"/>
      <w:r w:rsidRPr="005F56F6">
        <w:rPr>
          <w:rFonts w:ascii="Arial" w:eastAsia="Times New Roman" w:hAnsi="Arial" w:cs="Arial"/>
          <w:lang w:eastAsia="cs-CZ"/>
        </w:rPr>
        <w:t>) je v ČR zastřešujícím dokumentem pro čerpání ESIF pro programové období 2014–2020. V tomto dokumentu je analyzována socioekonomická situace, rozvojové potřeby a potenciál České republiky. Jsou v ní definovány priority, cíle, očekávané výsledky a základní východiska, jejichž respektováním lze docílit maximální komplementarity a</w:t>
      </w:r>
      <w:r w:rsidR="00DA0191">
        <w:rPr>
          <w:rFonts w:ascii="Arial" w:eastAsia="Times New Roman" w:hAnsi="Arial" w:cs="Arial"/>
          <w:lang w:eastAsia="cs-CZ"/>
        </w:rPr>
        <w:t> </w:t>
      </w:r>
      <w:r w:rsidRPr="005F56F6">
        <w:rPr>
          <w:rFonts w:ascii="Arial" w:eastAsia="Times New Roman" w:hAnsi="Arial" w:cs="Arial"/>
          <w:lang w:eastAsia="cs-CZ"/>
        </w:rPr>
        <w:t xml:space="preserve">synergie (věcný, finanční a časový soulad) nejen mezi programy ESIF, ale také s dalšími finančními nástroji EU a případně i národními programy. </w:t>
      </w:r>
      <w:proofErr w:type="spellStart"/>
      <w:r w:rsidRPr="005F56F6">
        <w:rPr>
          <w:rFonts w:ascii="Arial" w:eastAsia="Times New Roman" w:hAnsi="Arial" w:cs="Arial"/>
          <w:lang w:eastAsia="cs-CZ"/>
        </w:rPr>
        <w:t>DoP</w:t>
      </w:r>
      <w:proofErr w:type="spellEnd"/>
      <w:r w:rsidRPr="005F56F6">
        <w:rPr>
          <w:rFonts w:ascii="Arial" w:eastAsia="Times New Roman" w:hAnsi="Arial" w:cs="Arial"/>
          <w:lang w:eastAsia="cs-CZ"/>
        </w:rPr>
        <w:t xml:space="preserve"> je navázána na strategické dokumenty na úrovni EU (</w:t>
      </w:r>
      <w:r w:rsidRPr="005F56F6">
        <w:rPr>
          <w:rFonts w:ascii="Arial" w:eastAsia="Times New Roman" w:hAnsi="Arial" w:cs="Arial"/>
          <w:i/>
          <w:lang w:eastAsia="cs-CZ"/>
        </w:rPr>
        <w:t>Strategie Evropa 2020</w:t>
      </w:r>
      <w:r w:rsidRPr="005F56F6">
        <w:rPr>
          <w:rFonts w:ascii="Arial" w:eastAsia="Times New Roman" w:hAnsi="Arial" w:cs="Arial"/>
          <w:lang w:eastAsia="cs-CZ"/>
        </w:rPr>
        <w:t xml:space="preserve">) i na národní úrovni (např. </w:t>
      </w:r>
      <w:r w:rsidRPr="005F56F6">
        <w:rPr>
          <w:rFonts w:ascii="Arial" w:eastAsia="Times New Roman" w:hAnsi="Arial" w:cs="Arial"/>
          <w:i/>
          <w:lang w:eastAsia="cs-CZ"/>
        </w:rPr>
        <w:t>Národní politika výzkumu, vývoje a inovací</w:t>
      </w:r>
      <w:r w:rsidRPr="005F56F6">
        <w:rPr>
          <w:rFonts w:ascii="Arial" w:eastAsia="Times New Roman" w:hAnsi="Arial" w:cs="Arial"/>
          <w:lang w:eastAsia="cs-CZ"/>
        </w:rPr>
        <w:t xml:space="preserve"> a </w:t>
      </w:r>
      <w:r w:rsidRPr="005F56F6">
        <w:rPr>
          <w:rFonts w:ascii="Arial" w:eastAsia="Times New Roman" w:hAnsi="Arial" w:cs="Arial"/>
          <w:i/>
          <w:lang w:eastAsia="cs-CZ"/>
        </w:rPr>
        <w:t>Národní RIS3 strategie</w:t>
      </w:r>
      <w:r w:rsidRPr="005F56F6">
        <w:rPr>
          <w:rFonts w:ascii="Arial" w:eastAsia="Times New Roman" w:hAnsi="Arial" w:cs="Arial"/>
          <w:lang w:eastAsia="cs-CZ"/>
        </w:rPr>
        <w:t xml:space="preserve">, jejíž vytvoření bylo v tomto programovém období předběžnou podmínkou pro čerpání finančních prostředků z ESIF). </w:t>
      </w:r>
    </w:p>
    <w:p w:rsidR="008E7867" w:rsidRPr="005F56F6" w:rsidRDefault="008E7867" w:rsidP="008E7867">
      <w:pPr>
        <w:spacing w:after="0" w:line="360" w:lineRule="auto"/>
        <w:ind w:firstLine="624"/>
        <w:jc w:val="both"/>
        <w:rPr>
          <w:rFonts w:ascii="Arial" w:eastAsia="Times New Roman" w:hAnsi="Arial" w:cs="Arial"/>
          <w:lang w:eastAsia="cs-CZ"/>
        </w:rPr>
      </w:pPr>
      <w:r w:rsidRPr="005F56F6">
        <w:rPr>
          <w:rFonts w:ascii="Arial" w:eastAsia="Times New Roman" w:hAnsi="Arial" w:cs="Arial"/>
          <w:lang w:eastAsia="cs-CZ"/>
        </w:rPr>
        <w:t xml:space="preserve">V rámci úvodní analýzy </w:t>
      </w:r>
      <w:proofErr w:type="spellStart"/>
      <w:r w:rsidRPr="005F56F6">
        <w:rPr>
          <w:rFonts w:ascii="Arial" w:eastAsia="Times New Roman" w:hAnsi="Arial" w:cs="Arial"/>
          <w:lang w:eastAsia="cs-CZ"/>
        </w:rPr>
        <w:t>DoP</w:t>
      </w:r>
      <w:proofErr w:type="spellEnd"/>
      <w:r w:rsidRPr="005F56F6">
        <w:rPr>
          <w:rFonts w:ascii="Arial" w:eastAsia="Times New Roman" w:hAnsi="Arial" w:cs="Arial"/>
          <w:lang w:eastAsia="cs-CZ"/>
        </w:rPr>
        <w:t xml:space="preserve"> bylo pro výzkumný a inovační systém v ČR identifikováno 6</w:t>
      </w:r>
      <w:r w:rsidR="00DA0191">
        <w:rPr>
          <w:rFonts w:ascii="Arial" w:eastAsia="Times New Roman" w:hAnsi="Arial" w:cs="Arial"/>
          <w:lang w:eastAsia="cs-CZ"/>
        </w:rPr>
        <w:t> </w:t>
      </w:r>
      <w:r w:rsidRPr="005F56F6">
        <w:rPr>
          <w:rFonts w:ascii="Arial" w:eastAsia="Times New Roman" w:hAnsi="Arial" w:cs="Arial"/>
          <w:lang w:eastAsia="cs-CZ"/>
        </w:rPr>
        <w:t>klíčových problémů:</w:t>
      </w:r>
    </w:p>
    <w:p w:rsidR="008E7867" w:rsidRPr="005F56F6" w:rsidRDefault="008E7867" w:rsidP="008E7867">
      <w:pPr>
        <w:pStyle w:val="Odstavecseseznamem"/>
        <w:numPr>
          <w:ilvl w:val="0"/>
          <w:numId w:val="36"/>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Nedostatečná kvalita a mezinárodní otevřenost výzkumu</w:t>
      </w:r>
    </w:p>
    <w:p w:rsidR="008E7867" w:rsidRPr="005F56F6" w:rsidRDefault="008E7867" w:rsidP="008E7867">
      <w:pPr>
        <w:pStyle w:val="Odstavecseseznamem"/>
        <w:numPr>
          <w:ilvl w:val="0"/>
          <w:numId w:val="36"/>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Slabá orientace výzkumu na přínosy pro společnost</w:t>
      </w:r>
    </w:p>
    <w:p w:rsidR="008E7867" w:rsidRPr="005F56F6" w:rsidRDefault="008E7867" w:rsidP="008E7867">
      <w:pPr>
        <w:pStyle w:val="Odstavecseseznamem"/>
        <w:numPr>
          <w:ilvl w:val="0"/>
          <w:numId w:val="36"/>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 xml:space="preserve">Nízká míra uplatnění výsledků </w:t>
      </w:r>
      <w:proofErr w:type="spellStart"/>
      <w:r w:rsidRPr="005F56F6">
        <w:rPr>
          <w:rFonts w:ascii="Arial" w:eastAsia="Times New Roman" w:hAnsi="Arial" w:cs="Arial"/>
          <w:lang w:eastAsia="cs-CZ"/>
        </w:rPr>
        <w:t>VaV</w:t>
      </w:r>
      <w:proofErr w:type="spellEnd"/>
      <w:r w:rsidRPr="005F56F6">
        <w:rPr>
          <w:rFonts w:ascii="Arial" w:eastAsia="Times New Roman" w:hAnsi="Arial" w:cs="Arial"/>
          <w:lang w:eastAsia="cs-CZ"/>
        </w:rPr>
        <w:t xml:space="preserve"> v inovacích </w:t>
      </w:r>
    </w:p>
    <w:p w:rsidR="008E7867" w:rsidRPr="005F56F6" w:rsidRDefault="008E7867" w:rsidP="008E7867">
      <w:pPr>
        <w:pStyle w:val="Odstavecseseznamem"/>
        <w:numPr>
          <w:ilvl w:val="0"/>
          <w:numId w:val="36"/>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 xml:space="preserve">Nedostatek kvalitních lidských zdrojů pro </w:t>
      </w:r>
      <w:proofErr w:type="spellStart"/>
      <w:r w:rsidRPr="005F56F6">
        <w:rPr>
          <w:rFonts w:ascii="Arial" w:eastAsia="Times New Roman" w:hAnsi="Arial" w:cs="Arial"/>
          <w:lang w:eastAsia="cs-CZ"/>
        </w:rPr>
        <w:t>VaV</w:t>
      </w:r>
      <w:proofErr w:type="spellEnd"/>
    </w:p>
    <w:p w:rsidR="008E7867" w:rsidRPr="005F56F6" w:rsidRDefault="008E7867" w:rsidP="008E7867">
      <w:pPr>
        <w:pStyle w:val="Odstavecseseznamem"/>
        <w:numPr>
          <w:ilvl w:val="0"/>
          <w:numId w:val="36"/>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Nedostatečná kvalita řízení výzkumu na národní a institucionální úrovni</w:t>
      </w:r>
    </w:p>
    <w:p w:rsidR="008E7867" w:rsidRPr="005F56F6" w:rsidRDefault="008E7867" w:rsidP="008E7867">
      <w:pPr>
        <w:pStyle w:val="Odstavecseseznamem"/>
        <w:numPr>
          <w:ilvl w:val="0"/>
          <w:numId w:val="36"/>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Nedostatečné využívání výsledků výzkumu a vývoje v oblasti zemědělství</w:t>
      </w:r>
      <w:r w:rsidRPr="005F56F6">
        <w:rPr>
          <w:rStyle w:val="Znakapoznpodarou"/>
          <w:rFonts w:ascii="Arial" w:eastAsia="Times New Roman" w:hAnsi="Arial" w:cs="Arial"/>
          <w:lang w:eastAsia="cs-CZ"/>
        </w:rPr>
        <w:footnoteReference w:id="10"/>
      </w:r>
    </w:p>
    <w:p w:rsidR="008E7867" w:rsidRPr="005F56F6" w:rsidRDefault="008E7867" w:rsidP="008E7867">
      <w:pPr>
        <w:spacing w:after="0" w:line="360" w:lineRule="auto"/>
        <w:jc w:val="both"/>
        <w:rPr>
          <w:rFonts w:ascii="Arial" w:eastAsia="Times New Roman" w:hAnsi="Arial" w:cs="Arial"/>
          <w:lang w:eastAsia="cs-CZ"/>
        </w:rPr>
      </w:pPr>
      <w:r w:rsidRPr="005F56F6">
        <w:rPr>
          <w:rFonts w:ascii="Arial" w:eastAsia="Times New Roman" w:hAnsi="Arial" w:cs="Arial"/>
          <w:lang w:eastAsia="cs-CZ"/>
        </w:rPr>
        <w:t>Na základě provedené analýzy a identifikovaných problémů byly v </w:t>
      </w:r>
      <w:proofErr w:type="spellStart"/>
      <w:proofErr w:type="gramStart"/>
      <w:r w:rsidRPr="005F56F6">
        <w:rPr>
          <w:rFonts w:ascii="Arial" w:eastAsia="Times New Roman" w:hAnsi="Arial" w:cs="Arial"/>
          <w:lang w:eastAsia="cs-CZ"/>
        </w:rPr>
        <w:t>DoP</w:t>
      </w:r>
      <w:proofErr w:type="spellEnd"/>
      <w:proofErr w:type="gramEnd"/>
      <w:r w:rsidRPr="005F56F6">
        <w:rPr>
          <w:rFonts w:ascii="Arial" w:eastAsia="Times New Roman" w:hAnsi="Arial" w:cs="Arial"/>
          <w:lang w:eastAsia="cs-CZ"/>
        </w:rPr>
        <w:t xml:space="preserve"> stanoveny dva hlavní strategické cíle a 8 hlavních priorit financování (PF) ČR pro období 2014–2020. Tematickému cíli 1 odpovídá zaměření PF 3 a částečně i PF4:</w:t>
      </w:r>
    </w:p>
    <w:p w:rsidR="008E7867" w:rsidRPr="005F56F6" w:rsidRDefault="008E7867" w:rsidP="008E7867">
      <w:pPr>
        <w:pStyle w:val="Odstavecseseznamem"/>
        <w:numPr>
          <w:ilvl w:val="0"/>
          <w:numId w:val="38"/>
        </w:numPr>
        <w:spacing w:after="0" w:line="360" w:lineRule="auto"/>
        <w:jc w:val="both"/>
        <w:rPr>
          <w:rFonts w:ascii="Arial" w:eastAsia="Times New Roman" w:hAnsi="Arial" w:cs="Arial"/>
          <w:lang w:eastAsia="cs-CZ"/>
        </w:rPr>
      </w:pPr>
      <w:r w:rsidRPr="005F56F6">
        <w:rPr>
          <w:rFonts w:ascii="Arial" w:eastAsia="Times New Roman" w:hAnsi="Arial" w:cs="Arial"/>
          <w:lang w:eastAsia="cs-CZ"/>
        </w:rPr>
        <w:lastRenderedPageBreak/>
        <w:t>PF3 – Výzkumný inovační systém založený na kvalitním výzkumu propojeném s aplikační sférou a směřujícím ke komerčně využitelným výsledkům (TC1)</w:t>
      </w:r>
    </w:p>
    <w:p w:rsidR="008E7867" w:rsidRPr="005F56F6" w:rsidRDefault="008E7867" w:rsidP="008E7867">
      <w:pPr>
        <w:pStyle w:val="Odstavecseseznamem"/>
        <w:numPr>
          <w:ilvl w:val="0"/>
          <w:numId w:val="38"/>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 xml:space="preserve">PF4 – Podniky využívající výsledků </w:t>
      </w:r>
      <w:proofErr w:type="spellStart"/>
      <w:r w:rsidRPr="005F56F6">
        <w:rPr>
          <w:rFonts w:ascii="Arial" w:eastAsia="Times New Roman" w:hAnsi="Arial" w:cs="Arial"/>
          <w:lang w:eastAsia="cs-CZ"/>
        </w:rPr>
        <w:t>VaV</w:t>
      </w:r>
      <w:proofErr w:type="spellEnd"/>
      <w:r w:rsidRPr="005F56F6">
        <w:rPr>
          <w:rFonts w:ascii="Arial" w:eastAsia="Times New Roman" w:hAnsi="Arial" w:cs="Arial"/>
          <w:lang w:eastAsia="cs-CZ"/>
        </w:rPr>
        <w:t>, konkurenceschopné na globálním trhu a</w:t>
      </w:r>
      <w:r w:rsidR="00DA0191">
        <w:rPr>
          <w:rFonts w:ascii="Arial" w:eastAsia="Times New Roman" w:hAnsi="Arial" w:cs="Arial"/>
          <w:lang w:eastAsia="cs-CZ"/>
        </w:rPr>
        <w:t> </w:t>
      </w:r>
      <w:r w:rsidRPr="005F56F6">
        <w:rPr>
          <w:rFonts w:ascii="Arial" w:eastAsia="Times New Roman" w:hAnsi="Arial" w:cs="Arial"/>
          <w:lang w:eastAsia="cs-CZ"/>
        </w:rPr>
        <w:t>přispívající k nízkouhlíkovému hospodářství (TC1, 3 a 4)</w:t>
      </w:r>
      <w:r w:rsidRPr="005F56F6">
        <w:rPr>
          <w:rStyle w:val="Znakapoznpodarou"/>
          <w:rFonts w:ascii="Arial" w:eastAsia="Times New Roman" w:hAnsi="Arial" w:cs="Arial"/>
          <w:lang w:eastAsia="cs-CZ"/>
        </w:rPr>
        <w:footnoteReference w:id="11"/>
      </w:r>
    </w:p>
    <w:p w:rsidR="008E7867" w:rsidRPr="005F56F6" w:rsidRDefault="008E7867" w:rsidP="008E7867">
      <w:pPr>
        <w:spacing w:after="0" w:line="360" w:lineRule="auto"/>
        <w:ind w:firstLine="708"/>
        <w:jc w:val="both"/>
        <w:rPr>
          <w:rFonts w:ascii="Arial" w:eastAsia="Times New Roman" w:hAnsi="Arial" w:cs="Arial"/>
          <w:lang w:eastAsia="cs-CZ"/>
        </w:rPr>
      </w:pPr>
      <w:r w:rsidRPr="005F56F6">
        <w:rPr>
          <w:rFonts w:ascii="Arial" w:eastAsia="Times New Roman" w:hAnsi="Arial" w:cs="Arial"/>
          <w:lang w:eastAsia="cs-CZ"/>
        </w:rPr>
        <w:t>Pro každý tematický cíl byly stanoveny hlavní výsledky, kterých má být pomocí ESIF dosaženo. Pro TC1 byly navrženy následující:</w:t>
      </w:r>
    </w:p>
    <w:p w:rsidR="008E7867" w:rsidRPr="005F56F6" w:rsidRDefault="008E7867" w:rsidP="008E7867">
      <w:pPr>
        <w:pStyle w:val="Odstavecseseznamem"/>
        <w:numPr>
          <w:ilvl w:val="0"/>
          <w:numId w:val="37"/>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Zvýšená kvalita výzkumu a jeho větší orientace na přínosy pro praxi a pro společnost včetně zvýšení mezinárodní otevřenosti veřejného výzkumu</w:t>
      </w:r>
    </w:p>
    <w:p w:rsidR="008E7867" w:rsidRPr="005F56F6" w:rsidRDefault="008E7867" w:rsidP="008E7867">
      <w:pPr>
        <w:pStyle w:val="Odstavecseseznamem"/>
        <w:numPr>
          <w:ilvl w:val="0"/>
          <w:numId w:val="37"/>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Zvýšené přínosy výzkumu a vývoje pro konkurenceschopnost</w:t>
      </w:r>
    </w:p>
    <w:p w:rsidR="008E7867" w:rsidRPr="005F56F6" w:rsidRDefault="008E7867" w:rsidP="008E7867">
      <w:pPr>
        <w:pStyle w:val="Odstavecseseznamem"/>
        <w:numPr>
          <w:ilvl w:val="0"/>
          <w:numId w:val="37"/>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Zvýšení počtu firem schopných mezinárodní technologické konkurence v oboru svého podnikání</w:t>
      </w:r>
      <w:r w:rsidRPr="005F56F6">
        <w:rPr>
          <w:rStyle w:val="Znakapoznpodarou"/>
          <w:rFonts w:ascii="Arial" w:eastAsia="Times New Roman" w:hAnsi="Arial" w:cs="Arial"/>
          <w:lang w:eastAsia="cs-CZ"/>
        </w:rPr>
        <w:footnoteReference w:id="12"/>
      </w:r>
    </w:p>
    <w:p w:rsidR="008E7867" w:rsidRPr="005F56F6" w:rsidRDefault="008E7867" w:rsidP="008E7867">
      <w:pPr>
        <w:spacing w:after="0" w:line="360" w:lineRule="auto"/>
        <w:ind w:firstLine="624"/>
        <w:jc w:val="both"/>
        <w:rPr>
          <w:rFonts w:ascii="Arial" w:eastAsia="Times New Roman" w:hAnsi="Arial" w:cs="Arial"/>
          <w:lang w:eastAsia="cs-CZ"/>
        </w:rPr>
      </w:pPr>
      <w:r w:rsidRPr="005F56F6">
        <w:rPr>
          <w:rFonts w:ascii="Arial" w:eastAsia="Times New Roman" w:hAnsi="Arial" w:cs="Arial"/>
          <w:lang w:eastAsia="cs-CZ"/>
        </w:rPr>
        <w:t>Na podporu řešení uvedených problémů a dosažení cílů byly pro ČR vyčleněny prostředky z ERDF v částce přes 2,4 mld. EUR (celková podpora EU obsahující i výkonnostní rezervu),</w:t>
      </w:r>
      <w:r w:rsidRPr="005F56F6">
        <w:rPr>
          <w:rStyle w:val="Znakapoznpodarou"/>
          <w:rFonts w:ascii="Arial" w:eastAsia="Times New Roman" w:hAnsi="Arial" w:cs="Arial"/>
          <w:lang w:eastAsia="cs-CZ"/>
        </w:rPr>
        <w:footnoteReference w:id="13"/>
      </w:r>
      <w:r w:rsidRPr="005F56F6">
        <w:rPr>
          <w:rFonts w:ascii="Arial" w:eastAsia="Times New Roman" w:hAnsi="Arial" w:cs="Arial"/>
          <w:lang w:eastAsia="cs-CZ"/>
        </w:rPr>
        <w:t xml:space="preserve"> které jsou poskytovány prostřednictvím operačních programů OP VVV (řídící orgán MŠMT), OP PIK (řídící orgán MPO) a OP Praha – pól růstu ČR (řídící orgán hl. m. Praha).</w:t>
      </w:r>
      <w:r w:rsidRPr="005F56F6">
        <w:rPr>
          <w:rStyle w:val="Znakapoznpodarou"/>
          <w:rFonts w:ascii="Arial" w:eastAsia="Times New Roman" w:hAnsi="Arial" w:cs="Arial"/>
          <w:lang w:eastAsia="cs-CZ"/>
        </w:rPr>
        <w:footnoteReference w:id="14"/>
      </w:r>
      <w:r w:rsidRPr="005F56F6">
        <w:rPr>
          <w:rFonts w:ascii="Arial" w:eastAsia="Times New Roman" w:hAnsi="Arial" w:cs="Arial"/>
          <w:lang w:eastAsia="cs-CZ"/>
        </w:rPr>
        <w:t xml:space="preserve"> Schéma 3.1 znázorňuje problémové okruhy a potřeby rozvoje VaVaI a jejich vazbu mezi intervencemi z výše zmíněných operačních programů.</w:t>
      </w:r>
    </w:p>
    <w:p w:rsidR="008E7867" w:rsidRPr="008E7867" w:rsidRDefault="008E7867" w:rsidP="008E7867">
      <w:pPr>
        <w:spacing w:after="0" w:line="360" w:lineRule="auto"/>
        <w:ind w:firstLine="708"/>
        <w:jc w:val="both"/>
        <w:rPr>
          <w:rFonts w:ascii="Arial" w:eastAsia="Times New Roman" w:hAnsi="Arial" w:cs="Arial"/>
          <w:lang w:eastAsia="cs-CZ"/>
        </w:rPr>
      </w:pPr>
      <w:r w:rsidRPr="005F56F6">
        <w:rPr>
          <w:rFonts w:ascii="Arial" w:eastAsia="Times New Roman" w:hAnsi="Arial" w:cs="Arial"/>
          <w:lang w:eastAsia="cs-CZ"/>
        </w:rPr>
        <w:t xml:space="preserve">Dále je vhodné zmínit, že </w:t>
      </w:r>
      <w:r w:rsidRPr="005F56F6">
        <w:rPr>
          <w:rFonts w:ascii="Arial" w:hAnsi="Arial" w:cs="Arial"/>
          <w:lang w:eastAsia="cs-CZ"/>
        </w:rPr>
        <w:t>předpoklad pro naplňování regionální a kohezní politiky EU a cílů strategie Evropa 2020 představuje</w:t>
      </w:r>
      <w:r w:rsidRPr="005F56F6">
        <w:rPr>
          <w:rFonts w:ascii="Arial" w:eastAsia="Times New Roman" w:hAnsi="Arial" w:cs="Arial"/>
          <w:lang w:eastAsia="cs-CZ"/>
        </w:rPr>
        <w:t xml:space="preserve"> </w:t>
      </w:r>
      <w:r w:rsidRPr="005F56F6">
        <w:rPr>
          <w:rFonts w:ascii="Arial" w:hAnsi="Arial" w:cs="Arial"/>
          <w:i/>
          <w:lang w:eastAsia="cs-CZ"/>
        </w:rPr>
        <w:t>Národní RIS3 strategie</w:t>
      </w:r>
      <w:r w:rsidRPr="005F56F6">
        <w:rPr>
          <w:rFonts w:ascii="Arial" w:hAnsi="Arial" w:cs="Arial"/>
          <w:lang w:eastAsia="cs-CZ"/>
        </w:rPr>
        <w:t>, která si klade za cíl efektivní zacílení evropských prostředků k posílení inovační aktivity. Financování této strategie zahrnuje mj. prostředky z </w:t>
      </w:r>
      <w:proofErr w:type="gramStart"/>
      <w:r w:rsidRPr="005F56F6">
        <w:rPr>
          <w:rFonts w:ascii="Arial" w:hAnsi="Arial" w:cs="Arial"/>
          <w:lang w:eastAsia="cs-CZ"/>
        </w:rPr>
        <w:t>OP</w:t>
      </w:r>
      <w:proofErr w:type="gramEnd"/>
      <w:r w:rsidRPr="005F56F6">
        <w:rPr>
          <w:rFonts w:ascii="Arial" w:hAnsi="Arial" w:cs="Arial"/>
          <w:lang w:eastAsia="cs-CZ"/>
        </w:rPr>
        <w:t xml:space="preserve"> VVV, OP PIK a </w:t>
      </w:r>
      <w:r w:rsidRPr="005F56F6">
        <w:rPr>
          <w:rFonts w:ascii="Arial" w:eastAsia="Times New Roman" w:hAnsi="Arial" w:cs="Arial"/>
          <w:lang w:eastAsia="cs-CZ"/>
        </w:rPr>
        <w:t xml:space="preserve">OP Praha – pól růstu ČR. Aktuální stav čerpání a míra plnění v členění na 6 klíčových oblastí změn, jež jsou definovány v této strategii, je blíže popsána v kapitole 4 – Implementace Národní výzkumné a inovační strategie pro inteligentní specializaci ČR, přičemž vazba na VaVaI byla identifikována u čtyř oblastí: </w:t>
      </w:r>
      <w:r w:rsidRPr="008E7867">
        <w:rPr>
          <w:rFonts w:ascii="Arial" w:eastAsia="Times New Roman" w:hAnsi="Arial" w:cs="Arial"/>
          <w:color w:val="000000"/>
          <w:lang w:eastAsia="cs-CZ"/>
        </w:rPr>
        <w:t>Vyšší inovační výkonnost firem; Zvýšení kvality výzkumu; Zvýšení ekonomických přínosů veřejného výzkumu; Lepší dostupnost lidských zdrojů v počtu i kvalitě pro inovační podnikání, výzkum a vývoj.</w:t>
      </w:r>
    </w:p>
    <w:p w:rsidR="008E7867" w:rsidRDefault="008E7867" w:rsidP="00CD1C40">
      <w:pPr>
        <w:spacing w:after="0" w:line="360" w:lineRule="auto"/>
        <w:ind w:firstLine="708"/>
        <w:jc w:val="both"/>
        <w:rPr>
          <w:rFonts w:ascii="Arial" w:eastAsia="Times New Roman" w:hAnsi="Arial" w:cs="Arial"/>
          <w:lang w:eastAsia="cs-CZ"/>
        </w:rPr>
        <w:sectPr w:rsidR="008E7867" w:rsidSect="008E7867">
          <w:pgSz w:w="11906" w:h="16838"/>
          <w:pgMar w:top="1134" w:right="1134" w:bottom="1134" w:left="1134" w:header="709" w:footer="709" w:gutter="0"/>
          <w:cols w:space="708"/>
          <w:docGrid w:linePitch="360"/>
        </w:sectPr>
      </w:pPr>
    </w:p>
    <w:p w:rsidR="008E7867" w:rsidRPr="005F56F6" w:rsidRDefault="008E7867" w:rsidP="008E7867">
      <w:pPr>
        <w:pStyle w:val="Obrzek"/>
      </w:pPr>
      <w:r w:rsidRPr="005F56F6">
        <w:lastRenderedPageBreak/>
        <w:t>Schéma 3.1: Problémy a rozvojové potřeby VaVaI, podpora z operačních programů v období 2014–2020</w:t>
      </w:r>
    </w:p>
    <w:p w:rsidR="008E7867" w:rsidRPr="005F56F6" w:rsidRDefault="008E7867" w:rsidP="008E7867">
      <w:pPr>
        <w:rPr>
          <w:sz w:val="18"/>
          <w:szCs w:val="18"/>
          <w:lang w:eastAsia="cs-CZ"/>
        </w:rPr>
      </w:pPr>
      <w:r w:rsidRPr="005F56F6">
        <w:rPr>
          <w:noProof/>
          <w:sz w:val="18"/>
          <w:szCs w:val="18"/>
          <w:lang w:eastAsia="cs-CZ"/>
        </w:rPr>
        <w:drawing>
          <wp:inline distT="0" distB="0" distL="0" distR="0" wp14:anchorId="41E4C910" wp14:editId="01023093">
            <wp:extent cx="8896350" cy="3686175"/>
            <wp:effectExtent l="0" t="0" r="0" b="952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895080" cy="3685649"/>
                    </a:xfrm>
                    <a:prstGeom prst="rect">
                      <a:avLst/>
                    </a:prstGeom>
                    <a:noFill/>
                  </pic:spPr>
                </pic:pic>
              </a:graphicData>
            </a:graphic>
          </wp:inline>
        </w:drawing>
      </w:r>
    </w:p>
    <w:p w:rsidR="008E7867" w:rsidRPr="005F56F6" w:rsidRDefault="008E7867" w:rsidP="008E7867">
      <w:pPr>
        <w:pStyle w:val="komentzaobrzkem"/>
      </w:pPr>
      <w:r w:rsidRPr="005F56F6">
        <w:t xml:space="preserve">Poznámka: </w:t>
      </w:r>
      <w:r w:rsidRPr="005F56F6">
        <w:tab/>
        <w:t>OP VVV SC 1.1: Zvýšení mezinárodní kvality výzkumu a jeho výsledků</w:t>
      </w:r>
    </w:p>
    <w:p w:rsidR="008E7867" w:rsidRPr="005F56F6" w:rsidRDefault="008E7867" w:rsidP="008E7867">
      <w:pPr>
        <w:pStyle w:val="komentzaobrzkem"/>
      </w:pPr>
      <w:r w:rsidRPr="005F56F6">
        <w:tab/>
      </w:r>
      <w:r w:rsidRPr="005F56F6">
        <w:tab/>
      </w:r>
      <w:r w:rsidRPr="005F56F6">
        <w:tab/>
        <w:t>SC 1.2: Budování kapacit a posílení dlouhodobé spolupráce VO s aplikační sférou</w:t>
      </w:r>
    </w:p>
    <w:p w:rsidR="008E7867" w:rsidRPr="005F56F6" w:rsidRDefault="008E7867" w:rsidP="008E7867">
      <w:pPr>
        <w:pStyle w:val="komentzaobrzkem"/>
      </w:pPr>
      <w:r w:rsidRPr="005F56F6">
        <w:tab/>
      </w:r>
      <w:r w:rsidRPr="005F56F6">
        <w:tab/>
      </w:r>
      <w:r w:rsidRPr="005F56F6">
        <w:tab/>
        <w:t>SC 1.3: Zkvalitnění infrastruktury pro výzkumně-vzdělávací účely</w:t>
      </w:r>
    </w:p>
    <w:p w:rsidR="008E7867" w:rsidRPr="005F56F6" w:rsidRDefault="008E7867" w:rsidP="008E7867">
      <w:pPr>
        <w:pStyle w:val="komentzaobrzkem"/>
      </w:pPr>
      <w:r w:rsidRPr="005F56F6">
        <w:tab/>
      </w:r>
      <w:r w:rsidRPr="005F56F6">
        <w:tab/>
      </w:r>
      <w:r w:rsidRPr="005F56F6">
        <w:tab/>
        <w:t>SC 1.4: Zlepšení strategického řízení výzkumu na národní úrovni</w:t>
      </w:r>
    </w:p>
    <w:p w:rsidR="008E7867" w:rsidRPr="005F56F6" w:rsidRDefault="008E7867" w:rsidP="008E7867">
      <w:pPr>
        <w:pStyle w:val="komentzaobrzkem"/>
      </w:pPr>
      <w:r w:rsidRPr="005F56F6">
        <w:tab/>
      </w:r>
      <w:r w:rsidRPr="005F56F6">
        <w:tab/>
        <w:t>OP PIK</w:t>
      </w:r>
      <w:r w:rsidRPr="005F56F6">
        <w:tab/>
        <w:t>SC 1.1: Zvýšit inovační výkonnost podniků</w:t>
      </w:r>
    </w:p>
    <w:p w:rsidR="008E7867" w:rsidRPr="005F56F6" w:rsidRDefault="008E7867" w:rsidP="008E7867">
      <w:pPr>
        <w:pStyle w:val="komentzaobrzkem"/>
      </w:pPr>
      <w:r w:rsidRPr="005F56F6">
        <w:tab/>
      </w:r>
      <w:r w:rsidRPr="005F56F6">
        <w:tab/>
      </w:r>
      <w:r w:rsidRPr="005F56F6">
        <w:tab/>
        <w:t xml:space="preserve">SC 1.2: Zvýšit intenzitu a účinnost spolupráce ve </w:t>
      </w:r>
      <w:proofErr w:type="spellStart"/>
      <w:r w:rsidRPr="005F56F6">
        <w:t>VaV</w:t>
      </w:r>
      <w:proofErr w:type="spellEnd"/>
    </w:p>
    <w:p w:rsidR="008E7867" w:rsidRPr="005F56F6" w:rsidRDefault="008E7867" w:rsidP="008E7867">
      <w:pPr>
        <w:pStyle w:val="komentzaobrzkem"/>
      </w:pPr>
      <w:r w:rsidRPr="005F56F6">
        <w:tab/>
      </w:r>
      <w:r w:rsidRPr="005F56F6">
        <w:tab/>
        <w:t>OP PPR</w:t>
      </w:r>
      <w:r w:rsidRPr="005F56F6">
        <w:tab/>
        <w:t>SC 1.1: Vyšší míra mezisektorové spolupráce stimulovaná regionální samosprávou</w:t>
      </w:r>
    </w:p>
    <w:p w:rsidR="008E7867" w:rsidRPr="005F56F6" w:rsidRDefault="008E7867" w:rsidP="008E7867">
      <w:pPr>
        <w:pStyle w:val="komentzaobrzkem"/>
      </w:pPr>
      <w:r w:rsidRPr="005F56F6">
        <w:tab/>
      </w:r>
      <w:r w:rsidRPr="005F56F6">
        <w:tab/>
        <w:t>SC 1.2: Snazší vznik a rozvoj znalostně intenzivních firem</w:t>
      </w:r>
    </w:p>
    <w:p w:rsidR="00CD1C40" w:rsidRPr="008E7867" w:rsidRDefault="008E7867" w:rsidP="008E7867">
      <w:pPr>
        <w:pStyle w:val="Zdroj"/>
      </w:pPr>
      <w:r w:rsidRPr="005F56F6">
        <w:t>Zdroj: Dohoda o partnerství; Evropské strukturální a investiční fondy 2014–2020 v kostce. MMR, 2017 (vlastní zpracování).</w:t>
      </w:r>
    </w:p>
    <w:p w:rsidR="008E7867" w:rsidRDefault="008E7867" w:rsidP="00CD1C40">
      <w:pPr>
        <w:spacing w:after="0" w:line="360" w:lineRule="auto"/>
        <w:ind w:firstLine="708"/>
        <w:jc w:val="both"/>
        <w:rPr>
          <w:rFonts w:ascii="Arial" w:eastAsia="Times New Roman" w:hAnsi="Arial" w:cs="Arial"/>
          <w:lang w:eastAsia="cs-CZ"/>
        </w:rPr>
      </w:pPr>
    </w:p>
    <w:p w:rsidR="008E7867" w:rsidRDefault="008E7867" w:rsidP="00CD1C40">
      <w:pPr>
        <w:spacing w:after="0" w:line="360" w:lineRule="auto"/>
        <w:ind w:firstLine="708"/>
        <w:jc w:val="both"/>
        <w:rPr>
          <w:rFonts w:ascii="Arial" w:eastAsia="Times New Roman" w:hAnsi="Arial" w:cs="Arial"/>
          <w:lang w:eastAsia="cs-CZ"/>
        </w:rPr>
        <w:sectPr w:rsidR="008E7867" w:rsidSect="008E7867">
          <w:pgSz w:w="16838" w:h="11906" w:orient="landscape"/>
          <w:pgMar w:top="1134" w:right="1134" w:bottom="1134" w:left="1134" w:header="709" w:footer="709" w:gutter="0"/>
          <w:cols w:space="708"/>
          <w:docGrid w:linePitch="360"/>
        </w:sectPr>
      </w:pPr>
    </w:p>
    <w:p w:rsidR="008E7867" w:rsidRPr="005F56F6" w:rsidRDefault="008E7867" w:rsidP="008E7867">
      <w:pPr>
        <w:spacing w:after="0" w:line="360" w:lineRule="auto"/>
        <w:ind w:firstLine="708"/>
        <w:jc w:val="both"/>
        <w:rPr>
          <w:rFonts w:ascii="Arial" w:eastAsia="Times New Roman" w:hAnsi="Arial" w:cs="Arial"/>
          <w:lang w:eastAsia="cs-CZ"/>
        </w:rPr>
      </w:pPr>
      <w:r w:rsidRPr="005F56F6">
        <w:rPr>
          <w:rFonts w:ascii="Arial" w:eastAsia="Times New Roman" w:hAnsi="Arial" w:cs="Arial"/>
          <w:lang w:eastAsia="cs-CZ"/>
        </w:rPr>
        <w:lastRenderedPageBreak/>
        <w:t>Členské státy mají povinnost informovat o tom, zda prostředky vynaložené prostřednictvím ESI fondů přispívají k naplnění cílů stanovených v </w:t>
      </w:r>
      <w:proofErr w:type="spellStart"/>
      <w:proofErr w:type="gramStart"/>
      <w:r w:rsidRPr="005F56F6">
        <w:rPr>
          <w:rFonts w:ascii="Arial" w:eastAsia="Times New Roman" w:hAnsi="Arial" w:cs="Arial"/>
          <w:lang w:eastAsia="cs-CZ"/>
        </w:rPr>
        <w:t>DoP</w:t>
      </w:r>
      <w:proofErr w:type="spellEnd"/>
      <w:proofErr w:type="gramEnd"/>
      <w:r w:rsidRPr="005F56F6">
        <w:rPr>
          <w:rFonts w:ascii="Arial" w:eastAsia="Times New Roman" w:hAnsi="Arial" w:cs="Arial"/>
          <w:lang w:eastAsia="cs-CZ"/>
        </w:rPr>
        <w:t xml:space="preserve"> prostřednictvím průběžných zpráv, které předkládají Evropské komisi 2krát za programové období (rok 2017 a 2019). V září 2017 byla Evropskou komisí přijata „Zpráva o pokroku při provádění Dohody o partnerství k 31. 12. 2016“ (ZoP2017), kterou vypracovalo Ministerstvo pro místní rozvoj ve spolupráci s Úřadem vlády a</w:t>
      </w:r>
      <w:r w:rsidR="00DA0191">
        <w:rPr>
          <w:rFonts w:ascii="Arial" w:eastAsia="Times New Roman" w:hAnsi="Arial" w:cs="Arial"/>
          <w:lang w:eastAsia="cs-CZ"/>
        </w:rPr>
        <w:t> </w:t>
      </w:r>
      <w:r w:rsidRPr="005F56F6">
        <w:rPr>
          <w:rFonts w:ascii="Arial" w:eastAsia="Times New Roman" w:hAnsi="Arial" w:cs="Arial"/>
          <w:lang w:eastAsia="cs-CZ"/>
        </w:rPr>
        <w:t>dalšími partnery. Tato zpráva uvádí, že u národního cíle strategie Evropa 2020 v oblasti veřejných výdajů na VaVaI bylo dosaženo výrazného pokroku, trend navyšování veřejných výdajů by měl pokračovat a v roce 2020 by mělo dojít k naplnění cíle 1 % HDP.</w:t>
      </w:r>
      <w:r w:rsidRPr="005F56F6">
        <w:rPr>
          <w:rStyle w:val="Znakapoznpodarou"/>
          <w:rFonts w:ascii="Arial" w:eastAsia="Times New Roman" w:hAnsi="Arial" w:cs="Arial"/>
          <w:lang w:eastAsia="cs-CZ"/>
        </w:rPr>
        <w:footnoteReference w:id="15"/>
      </w:r>
      <w:r w:rsidRPr="005F56F6">
        <w:rPr>
          <w:rFonts w:ascii="Arial" w:eastAsia="Times New Roman" w:hAnsi="Arial" w:cs="Arial"/>
          <w:lang w:eastAsia="cs-CZ"/>
        </w:rPr>
        <w:t xml:space="preserve"> V roce 2017 tvořily veřejné výdaje 0,7 % HDP, absolutní výše veřejných výdajů činila 35,5 mld. Kč, z toho 4,3 mld. Kč tvořily veřejné zdroje ze zahraničí. Vzhledem k tomu, že teprve dochází k náběhu čerpání ESIF pro období 2014–2020 a že pravděpodobně bude opět docházet ke kulminaci výše čerpaných prostředků v druhé polovině programového období, je možné přepokládat, že cíl 1 % HDP z veřejných zdrojů bude naplněn.</w:t>
      </w:r>
    </w:p>
    <w:p w:rsidR="008E7867" w:rsidRDefault="008E7867" w:rsidP="00614550">
      <w:pPr>
        <w:spacing w:after="0" w:line="360" w:lineRule="auto"/>
        <w:ind w:firstLine="708"/>
        <w:jc w:val="both"/>
        <w:rPr>
          <w:rFonts w:ascii="Arial" w:eastAsia="Times New Roman" w:hAnsi="Arial" w:cs="Arial"/>
          <w:lang w:eastAsia="cs-CZ"/>
        </w:rPr>
      </w:pPr>
      <w:r w:rsidRPr="005F56F6">
        <w:rPr>
          <w:rFonts w:ascii="Arial" w:eastAsia="Times New Roman" w:hAnsi="Arial" w:cs="Arial"/>
          <w:lang w:eastAsia="cs-CZ"/>
        </w:rPr>
        <w:t>Zdrojem informací o čerpání ESIF pro období 2014–2020 je „Čtvrtletní zpráva</w:t>
      </w:r>
      <w:r>
        <w:rPr>
          <w:rFonts w:ascii="Arial" w:eastAsia="Times New Roman" w:hAnsi="Arial" w:cs="Arial"/>
          <w:lang w:eastAsia="cs-CZ"/>
        </w:rPr>
        <w:t> </w:t>
      </w:r>
      <w:r w:rsidRPr="005F56F6">
        <w:rPr>
          <w:rFonts w:ascii="Arial" w:eastAsia="Times New Roman" w:hAnsi="Arial" w:cs="Arial"/>
          <w:lang w:eastAsia="cs-CZ"/>
        </w:rPr>
        <w:t>o implementaci ESI fondů v ČR a naplňování priorit financování“ (PF), kterou vydává MMR</w:t>
      </w:r>
      <w:r>
        <w:rPr>
          <w:rFonts w:ascii="Arial" w:eastAsia="Times New Roman" w:hAnsi="Arial" w:cs="Arial"/>
          <w:lang w:eastAsia="cs-CZ"/>
        </w:rPr>
        <w:t> </w:t>
      </w:r>
      <w:r w:rsidRPr="005F56F6">
        <w:rPr>
          <w:rFonts w:ascii="Arial" w:eastAsia="Times New Roman" w:hAnsi="Arial" w:cs="Arial"/>
          <w:lang w:eastAsia="cs-CZ"/>
        </w:rPr>
        <w:t>– Národní orgán pro koordinaci (NOK). V rámci naplňování PF 3 akcelerovalo dle této zprávy ke konci roku 2017 hodnocení projektů a počátek jejich realizace. Pro zvýšení excelence a</w:t>
      </w:r>
      <w:r w:rsidR="00DA0191">
        <w:rPr>
          <w:rFonts w:ascii="Arial" w:eastAsia="Times New Roman" w:hAnsi="Arial" w:cs="Arial"/>
          <w:lang w:eastAsia="cs-CZ"/>
        </w:rPr>
        <w:t> </w:t>
      </w:r>
      <w:r w:rsidRPr="005F56F6">
        <w:rPr>
          <w:rFonts w:ascii="Arial" w:eastAsia="Times New Roman" w:hAnsi="Arial" w:cs="Arial"/>
          <w:lang w:eastAsia="cs-CZ"/>
        </w:rPr>
        <w:t>mezinárodní otevřenosti výzkumu bylo podpořeno 121 projektů za bezmála 10 mld. Kč. Proplaceno bylo více než 4,1 mld. Kč. Výzva na excelentní výzkum byla navýšena z 6 na 8,1 mld. Kč (i tak se nepodařilo uspokojit vysoký zájem žadatelů). Příjemci se zavázali k vybudování nebo modernizaci 81 výzkumných infrastruktur a k vytvoření 1 764 odborných publikačních výstupů ve spolupráci s mezinárodními partnery. Ve spolupráci podniků a výzkumných organizací byly realizovány projekty k posílení orientace výzkumu na přínosy pro společnost. Bylo rozhodnuto o</w:t>
      </w:r>
      <w:r w:rsidR="00DA0191">
        <w:rPr>
          <w:rFonts w:ascii="Arial" w:eastAsia="Times New Roman" w:hAnsi="Arial" w:cs="Arial"/>
          <w:lang w:eastAsia="cs-CZ"/>
        </w:rPr>
        <w:t> </w:t>
      </w:r>
      <w:r w:rsidRPr="005F56F6">
        <w:rPr>
          <w:rFonts w:ascii="Arial" w:eastAsia="Times New Roman" w:hAnsi="Arial" w:cs="Arial"/>
          <w:lang w:eastAsia="cs-CZ"/>
        </w:rPr>
        <w:t>přidělení více než 14,6 mld. Kč a proplaceno bylo bezmála 1,8 mld. Kč. V počtu podniků spolupracujících s výzkumnými institucemi (276 podniků) bylo dosaženo cca 10 % cílové hodnoty. V případě inovačních voucherů byla cílová hodnota překročena.</w:t>
      </w:r>
      <w:r w:rsidRPr="005F56F6">
        <w:rPr>
          <w:rStyle w:val="Znakapoznpodarou"/>
          <w:rFonts w:ascii="Arial" w:eastAsia="Times New Roman" w:hAnsi="Arial" w:cs="Arial"/>
          <w:lang w:eastAsia="cs-CZ"/>
        </w:rPr>
        <w:footnoteReference w:id="16"/>
      </w:r>
      <w:r>
        <w:rPr>
          <w:rFonts w:ascii="Arial" w:eastAsia="Times New Roman" w:hAnsi="Arial" w:cs="Arial"/>
          <w:lang w:eastAsia="cs-CZ"/>
        </w:rPr>
        <w:br w:type="page"/>
      </w:r>
    </w:p>
    <w:p w:rsidR="00CD1C40" w:rsidRDefault="00CD1C40" w:rsidP="00CD1C40">
      <w:pPr>
        <w:pStyle w:val="NadpisurovemII"/>
        <w:numPr>
          <w:ilvl w:val="1"/>
          <w:numId w:val="33"/>
        </w:numPr>
        <w:ind w:hanging="792"/>
        <w:jc w:val="both"/>
        <w:rPr>
          <w:rFonts w:eastAsia="Times New Roman"/>
        </w:rPr>
      </w:pPr>
      <w:bookmarkStart w:id="15" w:name="_Toc529974110"/>
      <w:r w:rsidRPr="00CD1C40">
        <w:rPr>
          <w:rFonts w:eastAsia="Times New Roman"/>
        </w:rPr>
        <w:lastRenderedPageBreak/>
        <w:t>Rámcový program HORIZONT 2020</w:t>
      </w:r>
      <w:bookmarkEnd w:id="15"/>
    </w:p>
    <w:p w:rsidR="008E7867" w:rsidRPr="005F56F6" w:rsidRDefault="008E7867" w:rsidP="008E7867">
      <w:pPr>
        <w:spacing w:after="0" w:line="360" w:lineRule="auto"/>
        <w:ind w:firstLine="708"/>
        <w:jc w:val="both"/>
        <w:rPr>
          <w:rFonts w:ascii="Arial" w:eastAsia="Times New Roman" w:hAnsi="Arial" w:cs="Arial"/>
          <w:lang w:eastAsia="cs-CZ"/>
        </w:rPr>
      </w:pPr>
      <w:r w:rsidRPr="005F56F6">
        <w:rPr>
          <w:rFonts w:ascii="Arial" w:eastAsia="Times New Roman" w:hAnsi="Arial" w:cs="Arial"/>
          <w:lang w:eastAsia="cs-CZ"/>
        </w:rPr>
        <w:t>Hlavními nástroji EU pro financování výzkumu a inovací na evropské úrovni jsou rámcové programy. Horizont 2020 (H2020) pro léta 2014 až 2020 je již osmým, dosud nejambicióznějším rámcovým programem, v pořadí. Rozpočet ve výši 77,028 mld. EUR schválil Evropský parlament a</w:t>
      </w:r>
      <w:r w:rsidR="00DA0191">
        <w:rPr>
          <w:rFonts w:ascii="Arial" w:eastAsia="Times New Roman" w:hAnsi="Arial" w:cs="Arial"/>
          <w:lang w:eastAsia="cs-CZ"/>
        </w:rPr>
        <w:t> </w:t>
      </w:r>
      <w:r w:rsidRPr="005F56F6">
        <w:rPr>
          <w:rFonts w:ascii="Arial" w:eastAsia="Times New Roman" w:hAnsi="Arial" w:cs="Arial"/>
          <w:lang w:eastAsia="cs-CZ"/>
        </w:rPr>
        <w:t>Rada ministrů v polovině roku 2013. H2020 plynule navázal na předchozí rámcové programy pro výzkum, vývoj a inovace – zejména na 7. Rámcový program (7. RP).</w:t>
      </w:r>
      <w:r w:rsidRPr="005F56F6">
        <w:rPr>
          <w:rFonts w:ascii="Arial" w:eastAsia="Times New Roman" w:hAnsi="Arial" w:cs="Arial"/>
          <w:vertAlign w:val="superscript"/>
          <w:lang w:eastAsia="cs-CZ"/>
        </w:rPr>
        <w:footnoteReference w:id="17"/>
      </w:r>
      <w:r w:rsidRPr="005F56F6">
        <w:rPr>
          <w:rFonts w:ascii="Arial" w:eastAsia="Times New Roman" w:hAnsi="Arial" w:cs="Arial"/>
          <w:lang w:eastAsia="cs-CZ"/>
        </w:rPr>
        <w:t xml:space="preserve"> Program je zaměřen zejména na vědeckou excelenci  a masivnější podporu inovací, klade důraz na propojení výzkumu a inovací v návaznosti na trh, tvorbu podnikatelských příležitostí, společenské dopady a spolupráci mezi týmy v rámci EU i mimo ni. Cílem programu je podpořit hospodářský růst a vytvoření pracovních míst tím, že přispěje k budování společnosti a hospodářství založených na znalostech a inovacích. Podporována je komplementarita s ESIF.</w:t>
      </w:r>
    </w:p>
    <w:p w:rsidR="008E7867" w:rsidRPr="005F56F6" w:rsidRDefault="008E7867" w:rsidP="008E7867">
      <w:pPr>
        <w:spacing w:after="0" w:line="360" w:lineRule="auto"/>
        <w:ind w:firstLine="708"/>
        <w:jc w:val="both"/>
        <w:rPr>
          <w:rFonts w:ascii="Arial" w:eastAsia="Times New Roman" w:hAnsi="Arial" w:cs="Arial"/>
          <w:lang w:eastAsia="cs-CZ"/>
        </w:rPr>
      </w:pPr>
      <w:r w:rsidRPr="005F56F6">
        <w:rPr>
          <w:rFonts w:ascii="Arial" w:eastAsia="Times New Roman" w:hAnsi="Arial" w:cs="Arial"/>
          <w:lang w:eastAsia="cs-CZ"/>
        </w:rPr>
        <w:t>Struktura H2020 je tvořena třemi hlavními, vzájemně se posilujícími prioritami (pilíři):</w:t>
      </w:r>
    </w:p>
    <w:p w:rsidR="008E7867" w:rsidRPr="005F56F6" w:rsidRDefault="008E7867" w:rsidP="008E7867">
      <w:pPr>
        <w:pStyle w:val="Odstavecseseznamem"/>
        <w:numPr>
          <w:ilvl w:val="0"/>
          <w:numId w:val="16"/>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Vynikající věda</w:t>
      </w:r>
    </w:p>
    <w:p w:rsidR="008E7867" w:rsidRPr="005F56F6" w:rsidRDefault="008E7867" w:rsidP="008E7867">
      <w:pPr>
        <w:pStyle w:val="Odstavecseseznamem"/>
        <w:numPr>
          <w:ilvl w:val="0"/>
          <w:numId w:val="16"/>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Vedoucí postavení evropského průmyslu</w:t>
      </w:r>
    </w:p>
    <w:p w:rsidR="008E7867" w:rsidRPr="005F56F6" w:rsidRDefault="008E7867" w:rsidP="008E7867">
      <w:pPr>
        <w:pStyle w:val="Odstavecseseznamem"/>
        <w:numPr>
          <w:ilvl w:val="0"/>
          <w:numId w:val="16"/>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Společenské výzvy</w:t>
      </w:r>
    </w:p>
    <w:p w:rsidR="008E7867" w:rsidRPr="005F56F6" w:rsidRDefault="008E7867" w:rsidP="008E7867">
      <w:pPr>
        <w:spacing w:after="0" w:line="360" w:lineRule="auto"/>
        <w:ind w:firstLine="708"/>
        <w:jc w:val="both"/>
        <w:rPr>
          <w:rFonts w:ascii="Arial" w:eastAsia="Times New Roman" w:hAnsi="Arial" w:cs="Arial"/>
          <w:lang w:eastAsia="cs-CZ"/>
        </w:rPr>
      </w:pPr>
      <w:r w:rsidRPr="005F56F6">
        <w:rPr>
          <w:rFonts w:ascii="Arial" w:eastAsia="Times New Roman" w:hAnsi="Arial" w:cs="Arial"/>
          <w:lang w:eastAsia="cs-CZ"/>
        </w:rPr>
        <w:t>Dále jsou podpořeny tzv. horizontální oblasti:</w:t>
      </w:r>
    </w:p>
    <w:p w:rsidR="008E7867" w:rsidRPr="005F56F6" w:rsidRDefault="008E7867" w:rsidP="008E7867">
      <w:pPr>
        <w:pStyle w:val="Odstavecseseznamem"/>
        <w:numPr>
          <w:ilvl w:val="0"/>
          <w:numId w:val="14"/>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Šíření excelence a podpora účasti</w:t>
      </w:r>
    </w:p>
    <w:p w:rsidR="008E7867" w:rsidRPr="005F56F6" w:rsidRDefault="008E7867" w:rsidP="008E7867">
      <w:pPr>
        <w:pStyle w:val="Odstavecseseznamem"/>
        <w:numPr>
          <w:ilvl w:val="0"/>
          <w:numId w:val="14"/>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Věda se společností a pro společnost</w:t>
      </w:r>
    </w:p>
    <w:p w:rsidR="008E7867" w:rsidRPr="005F56F6" w:rsidRDefault="008E7867" w:rsidP="008E7867">
      <w:pPr>
        <w:spacing w:after="0" w:line="360" w:lineRule="auto"/>
        <w:ind w:firstLine="708"/>
        <w:jc w:val="both"/>
        <w:rPr>
          <w:rFonts w:ascii="Arial" w:eastAsia="Times New Roman" w:hAnsi="Arial" w:cs="Arial"/>
          <w:lang w:eastAsia="cs-CZ"/>
        </w:rPr>
      </w:pPr>
      <w:r w:rsidRPr="005F56F6">
        <w:rPr>
          <w:rFonts w:ascii="Arial" w:eastAsia="Times New Roman" w:hAnsi="Arial" w:cs="Arial"/>
          <w:lang w:eastAsia="cs-CZ"/>
        </w:rPr>
        <w:t>Rozpočet H2020 pokrývá také:</w:t>
      </w:r>
    </w:p>
    <w:p w:rsidR="008E7867" w:rsidRPr="005F56F6" w:rsidRDefault="008E7867" w:rsidP="008E7867">
      <w:pPr>
        <w:pStyle w:val="Odstavecseseznamem"/>
        <w:numPr>
          <w:ilvl w:val="0"/>
          <w:numId w:val="15"/>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Nejaderné přímé akce Společného výzkumného centra</w:t>
      </w:r>
    </w:p>
    <w:p w:rsidR="008E7867" w:rsidRPr="005F56F6" w:rsidRDefault="008E7867" w:rsidP="008E7867">
      <w:pPr>
        <w:pStyle w:val="Odstavecseseznamem"/>
        <w:numPr>
          <w:ilvl w:val="0"/>
          <w:numId w:val="15"/>
        </w:numPr>
        <w:spacing w:after="0" w:line="360" w:lineRule="auto"/>
        <w:jc w:val="both"/>
        <w:rPr>
          <w:rFonts w:ascii="Arial" w:eastAsia="Times New Roman" w:hAnsi="Arial" w:cs="Arial"/>
          <w:lang w:eastAsia="cs-CZ"/>
        </w:rPr>
      </w:pPr>
      <w:r w:rsidRPr="005F56F6">
        <w:rPr>
          <w:rFonts w:ascii="Arial" w:eastAsia="Times New Roman" w:hAnsi="Arial" w:cs="Arial"/>
          <w:lang w:eastAsia="cs-CZ"/>
        </w:rPr>
        <w:t>Aktivity Evropského inovačního a technologického institutu</w:t>
      </w:r>
    </w:p>
    <w:p w:rsidR="008E7867" w:rsidRPr="005F56F6" w:rsidRDefault="008E7867" w:rsidP="008E7867">
      <w:pPr>
        <w:spacing w:after="0" w:line="360" w:lineRule="auto"/>
        <w:ind w:firstLine="708"/>
        <w:jc w:val="both"/>
        <w:rPr>
          <w:rFonts w:ascii="Arial" w:eastAsia="Times New Roman" w:hAnsi="Arial" w:cs="Arial"/>
          <w:lang w:eastAsia="cs-CZ"/>
        </w:rPr>
      </w:pPr>
    </w:p>
    <w:p w:rsidR="008E7867" w:rsidRDefault="008E7867" w:rsidP="008E7867">
      <w:pPr>
        <w:spacing w:after="0" w:line="360" w:lineRule="auto"/>
        <w:ind w:firstLine="708"/>
        <w:jc w:val="both"/>
        <w:rPr>
          <w:rFonts w:ascii="Arial" w:eastAsia="Times New Roman" w:hAnsi="Arial" w:cs="Arial"/>
          <w:lang w:eastAsia="cs-CZ"/>
        </w:rPr>
      </w:pPr>
      <w:r w:rsidRPr="005F56F6">
        <w:rPr>
          <w:rFonts w:ascii="Arial" w:eastAsia="Times New Roman" w:hAnsi="Arial" w:cs="Arial"/>
          <w:lang w:eastAsia="cs-CZ"/>
        </w:rPr>
        <w:t>V tabulce 3.2 je uveden přehled rozpočtu H2020, tabulka 3.3 pak nabízí souhrn úspěšnosti návrhů projektů v jeho prioritních oblastech týkající se ČR.</w:t>
      </w:r>
    </w:p>
    <w:p w:rsidR="008E7867" w:rsidRDefault="008E7867">
      <w:pPr>
        <w:rPr>
          <w:rFonts w:ascii="Arial" w:eastAsia="Times New Roman" w:hAnsi="Arial" w:cs="Arial"/>
          <w:lang w:eastAsia="cs-CZ"/>
        </w:rPr>
      </w:pPr>
      <w:r>
        <w:rPr>
          <w:rFonts w:ascii="Arial" w:eastAsia="Times New Roman" w:hAnsi="Arial" w:cs="Arial"/>
          <w:lang w:eastAsia="cs-CZ"/>
        </w:rPr>
        <w:br w:type="page"/>
      </w:r>
    </w:p>
    <w:p w:rsidR="008E7867" w:rsidRPr="005F56F6" w:rsidRDefault="008E7867" w:rsidP="008E7867">
      <w:pPr>
        <w:pStyle w:val="Obrzek"/>
      </w:pPr>
      <w:r w:rsidRPr="005F56F6">
        <w:lastRenderedPageBreak/>
        <w:t>Tabulka 3.2: Rozpočet programu Horizont 2020</w:t>
      </w:r>
    </w:p>
    <w:tbl>
      <w:tblPr>
        <w:tblW w:w="5019" w:type="pct"/>
        <w:tblCellMar>
          <w:left w:w="70" w:type="dxa"/>
          <w:right w:w="70" w:type="dxa"/>
        </w:tblCellMar>
        <w:tblLook w:val="04A0" w:firstRow="1" w:lastRow="0" w:firstColumn="1" w:lastColumn="0" w:noHBand="0" w:noVBand="1"/>
      </w:tblPr>
      <w:tblGrid>
        <w:gridCol w:w="6720"/>
        <w:gridCol w:w="1576"/>
        <w:gridCol w:w="1519"/>
      </w:tblGrid>
      <w:tr w:rsidR="008E7867" w:rsidRPr="005F56F6" w:rsidTr="008E7867">
        <w:trPr>
          <w:trHeight w:val="321"/>
        </w:trPr>
        <w:tc>
          <w:tcPr>
            <w:tcW w:w="3423" w:type="pct"/>
            <w:tcBorders>
              <w:top w:val="nil"/>
              <w:left w:val="nil"/>
              <w:bottom w:val="nil"/>
              <w:right w:val="nil"/>
            </w:tcBorders>
            <w:shd w:val="clear" w:color="auto" w:fill="auto"/>
            <w:noWrap/>
            <w:vAlign w:val="center"/>
            <w:hideMark/>
          </w:tcPr>
          <w:p w:rsidR="008E7867" w:rsidRPr="005F56F6" w:rsidRDefault="008E7867" w:rsidP="001D0211">
            <w:pPr>
              <w:spacing w:line="240" w:lineRule="auto"/>
              <w:contextualSpacing/>
              <w:rPr>
                <w:rFonts w:ascii="Arial" w:eastAsia="Times New Roman" w:hAnsi="Arial" w:cs="Arial"/>
                <w:color w:val="000000"/>
                <w:sz w:val="18"/>
                <w:szCs w:val="18"/>
                <w:lang w:eastAsia="cs-CZ"/>
              </w:rPr>
            </w:pPr>
          </w:p>
        </w:tc>
        <w:tc>
          <w:tcPr>
            <w:tcW w:w="803" w:type="pct"/>
            <w:tcBorders>
              <w:top w:val="dashed" w:sz="8" w:space="0" w:color="31869B"/>
              <w:left w:val="dashed" w:sz="8" w:space="0" w:color="31869B"/>
              <w:bottom w:val="dashed" w:sz="8" w:space="0" w:color="31869B"/>
              <w:right w:val="dashed" w:sz="8" w:space="0" w:color="31869B"/>
            </w:tcBorders>
            <w:shd w:val="clear" w:color="000000" w:fill="B7DEE8"/>
            <w:vAlign w:val="center"/>
            <w:hideMark/>
          </w:tcPr>
          <w:p w:rsidR="008E7867" w:rsidRPr="005F56F6" w:rsidRDefault="008E7867" w:rsidP="001D0211">
            <w:pPr>
              <w:spacing w:line="240" w:lineRule="auto"/>
              <w:contextualSpacing/>
              <w:jc w:val="center"/>
              <w:rPr>
                <w:rFonts w:ascii="Arial" w:eastAsia="Times New Roman" w:hAnsi="Arial" w:cs="Arial"/>
                <w:b/>
                <w:bCs/>
                <w:color w:val="FFFFFF"/>
                <w:sz w:val="18"/>
                <w:szCs w:val="18"/>
                <w:lang w:eastAsia="cs-CZ"/>
              </w:rPr>
            </w:pPr>
            <w:r w:rsidRPr="005F56F6">
              <w:rPr>
                <w:rFonts w:ascii="Arial" w:eastAsia="Times New Roman" w:hAnsi="Arial" w:cs="Arial"/>
                <w:b/>
                <w:bCs/>
                <w:color w:val="FFFFFF"/>
                <w:sz w:val="18"/>
                <w:szCs w:val="18"/>
                <w:lang w:eastAsia="cs-CZ"/>
              </w:rPr>
              <w:t>% z celkového rozpočtu</w:t>
            </w:r>
          </w:p>
        </w:tc>
        <w:tc>
          <w:tcPr>
            <w:tcW w:w="774" w:type="pct"/>
            <w:tcBorders>
              <w:top w:val="dashed" w:sz="8" w:space="0" w:color="31869B"/>
              <w:left w:val="nil"/>
              <w:bottom w:val="dashed" w:sz="8" w:space="0" w:color="31869B"/>
              <w:right w:val="dashed" w:sz="8" w:space="0" w:color="31869B"/>
            </w:tcBorders>
            <w:shd w:val="clear" w:color="000000" w:fill="B7DEE8"/>
            <w:vAlign w:val="center"/>
            <w:hideMark/>
          </w:tcPr>
          <w:p w:rsidR="008E7867" w:rsidRPr="005F56F6" w:rsidRDefault="008E7867" w:rsidP="001D0211">
            <w:pPr>
              <w:spacing w:line="240" w:lineRule="auto"/>
              <w:contextualSpacing/>
              <w:jc w:val="center"/>
              <w:rPr>
                <w:rFonts w:ascii="Arial" w:eastAsia="Times New Roman" w:hAnsi="Arial" w:cs="Arial"/>
                <w:b/>
                <w:bCs/>
                <w:color w:val="FFFFFF"/>
                <w:sz w:val="18"/>
                <w:szCs w:val="18"/>
                <w:lang w:eastAsia="cs-CZ"/>
              </w:rPr>
            </w:pPr>
            <w:r w:rsidRPr="005F56F6">
              <w:rPr>
                <w:rFonts w:ascii="Arial" w:eastAsia="Times New Roman" w:hAnsi="Arial" w:cs="Arial"/>
                <w:b/>
                <w:bCs/>
                <w:color w:val="FFFFFF"/>
                <w:sz w:val="18"/>
                <w:szCs w:val="18"/>
                <w:lang w:eastAsia="cs-CZ"/>
              </w:rPr>
              <w:t>mil. EUR</w:t>
            </w:r>
          </w:p>
        </w:tc>
      </w:tr>
      <w:tr w:rsidR="008E7867" w:rsidRPr="005F56F6" w:rsidTr="008E7867">
        <w:trPr>
          <w:trHeight w:val="321"/>
        </w:trPr>
        <w:tc>
          <w:tcPr>
            <w:tcW w:w="3423" w:type="pct"/>
            <w:tcBorders>
              <w:top w:val="dashed" w:sz="8" w:space="0" w:color="31869B"/>
              <w:left w:val="dashed" w:sz="8" w:space="0" w:color="31869B"/>
              <w:bottom w:val="dashed" w:sz="4" w:space="0" w:color="31869B"/>
              <w:right w:val="dashed" w:sz="4" w:space="0" w:color="31869B"/>
            </w:tcBorders>
            <w:shd w:val="clear" w:color="000000" w:fill="DAEEF3"/>
            <w:vAlign w:val="center"/>
            <w:hideMark/>
          </w:tcPr>
          <w:p w:rsidR="008E7867" w:rsidRPr="005F56F6" w:rsidRDefault="008E7867" w:rsidP="001D0211">
            <w:pPr>
              <w:spacing w:line="240" w:lineRule="auto"/>
              <w:ind w:firstLineChars="100" w:firstLine="181"/>
              <w:contextualSpacing/>
              <w:rPr>
                <w:rFonts w:ascii="Arial" w:eastAsia="Times New Roman" w:hAnsi="Arial" w:cs="Arial"/>
                <w:b/>
                <w:bCs/>
                <w:color w:val="1F497D"/>
                <w:sz w:val="18"/>
                <w:szCs w:val="18"/>
                <w:lang w:eastAsia="cs-CZ"/>
              </w:rPr>
            </w:pPr>
            <w:r w:rsidRPr="005F56F6">
              <w:rPr>
                <w:rFonts w:ascii="Arial" w:eastAsia="Times New Roman" w:hAnsi="Arial" w:cs="Arial"/>
                <w:b/>
                <w:bCs/>
                <w:color w:val="1F497D"/>
                <w:sz w:val="18"/>
                <w:szCs w:val="18"/>
                <w:lang w:eastAsia="cs-CZ"/>
              </w:rPr>
              <w:t>Vynikající věda</w:t>
            </w:r>
          </w:p>
        </w:tc>
        <w:tc>
          <w:tcPr>
            <w:tcW w:w="803" w:type="pct"/>
            <w:tcBorders>
              <w:top w:val="nil"/>
              <w:left w:val="nil"/>
              <w:bottom w:val="dashed" w:sz="4" w:space="0" w:color="31869B"/>
              <w:right w:val="dashed" w:sz="4" w:space="0" w:color="31869B"/>
            </w:tcBorders>
            <w:shd w:val="clear" w:color="000000" w:fill="DAEEF3"/>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31,73</w:t>
            </w:r>
          </w:p>
        </w:tc>
        <w:tc>
          <w:tcPr>
            <w:tcW w:w="774" w:type="pct"/>
            <w:tcBorders>
              <w:top w:val="nil"/>
              <w:left w:val="nil"/>
              <w:bottom w:val="dashed" w:sz="4" w:space="0" w:color="31869B"/>
              <w:right w:val="dashed" w:sz="8" w:space="0" w:color="31869B"/>
            </w:tcBorders>
            <w:shd w:val="clear" w:color="000000" w:fill="DAEEF3"/>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24 441</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ind w:leftChars="193" w:left="425"/>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Evropská výzkumná rada</w:t>
            </w:r>
          </w:p>
        </w:tc>
        <w:tc>
          <w:tcPr>
            <w:tcW w:w="803" w:type="pct"/>
            <w:tcBorders>
              <w:top w:val="nil"/>
              <w:left w:val="nil"/>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17,00</w:t>
            </w:r>
          </w:p>
        </w:tc>
        <w:tc>
          <w:tcPr>
            <w:tcW w:w="774" w:type="pct"/>
            <w:tcBorders>
              <w:top w:val="nil"/>
              <w:left w:val="nil"/>
              <w:bottom w:val="dashed" w:sz="4" w:space="0" w:color="31869B"/>
              <w:right w:val="dashed" w:sz="8" w:space="0" w:color="31869B"/>
            </w:tcBorders>
            <w:shd w:val="clear" w:color="auto" w:fill="auto"/>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13 095</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ind w:leftChars="193" w:left="425"/>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Budoucí a vznikající technologie</w:t>
            </w:r>
          </w:p>
        </w:tc>
        <w:tc>
          <w:tcPr>
            <w:tcW w:w="803" w:type="pct"/>
            <w:tcBorders>
              <w:top w:val="nil"/>
              <w:left w:val="nil"/>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3,50</w:t>
            </w:r>
          </w:p>
        </w:tc>
        <w:tc>
          <w:tcPr>
            <w:tcW w:w="774" w:type="pct"/>
            <w:tcBorders>
              <w:top w:val="nil"/>
              <w:left w:val="nil"/>
              <w:bottom w:val="dashed" w:sz="4" w:space="0" w:color="31869B"/>
              <w:right w:val="dashed" w:sz="8" w:space="0" w:color="31869B"/>
            </w:tcBorders>
            <w:shd w:val="clear" w:color="auto" w:fill="auto"/>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2 696</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ind w:leftChars="193" w:left="425"/>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 xml:space="preserve">Akce Marie </w:t>
            </w:r>
            <w:proofErr w:type="spellStart"/>
            <w:r w:rsidRPr="005F56F6">
              <w:rPr>
                <w:rFonts w:ascii="Arial" w:eastAsia="Times New Roman" w:hAnsi="Arial" w:cs="Arial"/>
                <w:color w:val="215967"/>
                <w:sz w:val="18"/>
                <w:szCs w:val="18"/>
                <w:lang w:eastAsia="cs-CZ"/>
              </w:rPr>
              <w:t>Skłodowska</w:t>
            </w:r>
            <w:proofErr w:type="spellEnd"/>
            <w:r w:rsidRPr="005F56F6">
              <w:rPr>
                <w:rFonts w:ascii="Arial" w:eastAsia="Times New Roman" w:hAnsi="Arial" w:cs="Arial"/>
                <w:color w:val="215967"/>
                <w:sz w:val="18"/>
                <w:szCs w:val="18"/>
                <w:lang w:eastAsia="cs-CZ"/>
              </w:rPr>
              <w:t>-Curie</w:t>
            </w:r>
          </w:p>
        </w:tc>
        <w:tc>
          <w:tcPr>
            <w:tcW w:w="803" w:type="pct"/>
            <w:tcBorders>
              <w:top w:val="nil"/>
              <w:left w:val="nil"/>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8,00</w:t>
            </w:r>
          </w:p>
        </w:tc>
        <w:tc>
          <w:tcPr>
            <w:tcW w:w="774" w:type="pct"/>
            <w:tcBorders>
              <w:top w:val="nil"/>
              <w:left w:val="nil"/>
              <w:bottom w:val="dashed" w:sz="4" w:space="0" w:color="31869B"/>
              <w:right w:val="dashed" w:sz="8" w:space="0" w:color="31869B"/>
            </w:tcBorders>
            <w:shd w:val="clear" w:color="auto" w:fill="auto"/>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6 162</w:t>
            </w:r>
          </w:p>
        </w:tc>
      </w:tr>
      <w:tr w:rsidR="008E7867" w:rsidRPr="005F56F6" w:rsidTr="008E7867">
        <w:trPr>
          <w:trHeight w:val="321"/>
        </w:trPr>
        <w:tc>
          <w:tcPr>
            <w:tcW w:w="3423" w:type="pct"/>
            <w:tcBorders>
              <w:top w:val="nil"/>
              <w:left w:val="dashed" w:sz="8" w:space="0" w:color="31869B"/>
              <w:bottom w:val="nil"/>
              <w:right w:val="dashed" w:sz="4" w:space="0" w:color="31869B"/>
            </w:tcBorders>
            <w:shd w:val="clear" w:color="auto" w:fill="auto"/>
            <w:vAlign w:val="center"/>
            <w:hideMark/>
          </w:tcPr>
          <w:p w:rsidR="008E7867" w:rsidRPr="005F56F6" w:rsidRDefault="008E7867" w:rsidP="001D0211">
            <w:pPr>
              <w:spacing w:line="240" w:lineRule="auto"/>
              <w:ind w:leftChars="193" w:left="425"/>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Výzkumné infrastruktury</w:t>
            </w:r>
          </w:p>
        </w:tc>
        <w:tc>
          <w:tcPr>
            <w:tcW w:w="803" w:type="pct"/>
            <w:tcBorders>
              <w:top w:val="nil"/>
              <w:left w:val="nil"/>
              <w:bottom w:val="nil"/>
              <w:right w:val="dashed" w:sz="4" w:space="0" w:color="31869B"/>
            </w:tcBorders>
            <w:shd w:val="clear" w:color="auto" w:fill="auto"/>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3,23</w:t>
            </w:r>
          </w:p>
        </w:tc>
        <w:tc>
          <w:tcPr>
            <w:tcW w:w="774" w:type="pct"/>
            <w:tcBorders>
              <w:top w:val="nil"/>
              <w:left w:val="nil"/>
              <w:bottom w:val="nil"/>
              <w:right w:val="dashed" w:sz="8" w:space="0" w:color="31869B"/>
            </w:tcBorders>
            <w:shd w:val="clear" w:color="auto" w:fill="auto"/>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2 488</w:t>
            </w:r>
          </w:p>
        </w:tc>
      </w:tr>
      <w:tr w:rsidR="008E7867" w:rsidRPr="005F56F6" w:rsidTr="008E7867">
        <w:trPr>
          <w:trHeight w:val="321"/>
        </w:trPr>
        <w:tc>
          <w:tcPr>
            <w:tcW w:w="3423" w:type="pct"/>
            <w:tcBorders>
              <w:top w:val="dashed" w:sz="4" w:space="0" w:color="31869B"/>
              <w:left w:val="dashed" w:sz="8" w:space="0" w:color="31869B"/>
              <w:bottom w:val="dashed" w:sz="4" w:space="0" w:color="31869B"/>
              <w:right w:val="dashed" w:sz="4" w:space="0" w:color="31869B"/>
            </w:tcBorders>
            <w:shd w:val="clear" w:color="000000" w:fill="DAEEF3"/>
            <w:vAlign w:val="center"/>
            <w:hideMark/>
          </w:tcPr>
          <w:p w:rsidR="008E7867" w:rsidRPr="005F56F6" w:rsidRDefault="008E7867" w:rsidP="001D0211">
            <w:pPr>
              <w:spacing w:line="240" w:lineRule="auto"/>
              <w:ind w:firstLineChars="100" w:firstLine="181"/>
              <w:contextualSpacing/>
              <w:rPr>
                <w:rFonts w:ascii="Arial" w:eastAsia="Times New Roman" w:hAnsi="Arial" w:cs="Arial"/>
                <w:b/>
                <w:bCs/>
                <w:color w:val="1F497D"/>
                <w:sz w:val="18"/>
                <w:szCs w:val="18"/>
                <w:lang w:eastAsia="cs-CZ"/>
              </w:rPr>
            </w:pPr>
            <w:r w:rsidRPr="005F56F6">
              <w:rPr>
                <w:rFonts w:ascii="Arial" w:eastAsia="Times New Roman" w:hAnsi="Arial" w:cs="Arial"/>
                <w:b/>
                <w:bCs/>
                <w:color w:val="1F497D"/>
                <w:sz w:val="18"/>
                <w:szCs w:val="18"/>
                <w:lang w:eastAsia="cs-CZ"/>
              </w:rPr>
              <w:t>Vedoucí postavení průmyslu</w:t>
            </w:r>
          </w:p>
        </w:tc>
        <w:tc>
          <w:tcPr>
            <w:tcW w:w="803" w:type="pct"/>
            <w:tcBorders>
              <w:top w:val="dashed" w:sz="4" w:space="0" w:color="31869B"/>
              <w:left w:val="nil"/>
              <w:bottom w:val="dashed" w:sz="4" w:space="0" w:color="31869B"/>
              <w:right w:val="dashed" w:sz="4" w:space="0" w:color="31869B"/>
            </w:tcBorders>
            <w:shd w:val="clear" w:color="000000" w:fill="DAEEF3"/>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22,09</w:t>
            </w:r>
          </w:p>
        </w:tc>
        <w:tc>
          <w:tcPr>
            <w:tcW w:w="774" w:type="pct"/>
            <w:tcBorders>
              <w:top w:val="dashed" w:sz="4" w:space="0" w:color="31869B"/>
              <w:left w:val="nil"/>
              <w:bottom w:val="dashed" w:sz="4" w:space="0" w:color="31869B"/>
              <w:right w:val="dashed" w:sz="8" w:space="0" w:color="31869B"/>
            </w:tcBorders>
            <w:shd w:val="clear" w:color="000000" w:fill="DAEEF3"/>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17 016</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ind w:firstLineChars="200" w:firstLine="360"/>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Průlomové a průmyslové technologie</w:t>
            </w:r>
          </w:p>
        </w:tc>
        <w:tc>
          <w:tcPr>
            <w:tcW w:w="803" w:type="pct"/>
            <w:tcBorders>
              <w:top w:val="nil"/>
              <w:left w:val="nil"/>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17,60</w:t>
            </w:r>
          </w:p>
        </w:tc>
        <w:tc>
          <w:tcPr>
            <w:tcW w:w="774" w:type="pct"/>
            <w:tcBorders>
              <w:top w:val="nil"/>
              <w:left w:val="nil"/>
              <w:bottom w:val="dashed" w:sz="4" w:space="0" w:color="31869B"/>
              <w:right w:val="dashed" w:sz="8" w:space="0" w:color="31869B"/>
            </w:tcBorders>
            <w:shd w:val="clear" w:color="auto" w:fill="auto"/>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13 557</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ind w:firstLineChars="200" w:firstLine="360"/>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Přístup k rizikovému financování</w:t>
            </w:r>
          </w:p>
        </w:tc>
        <w:tc>
          <w:tcPr>
            <w:tcW w:w="803" w:type="pct"/>
            <w:tcBorders>
              <w:top w:val="nil"/>
              <w:left w:val="nil"/>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3,69</w:t>
            </w:r>
          </w:p>
        </w:tc>
        <w:tc>
          <w:tcPr>
            <w:tcW w:w="774" w:type="pct"/>
            <w:tcBorders>
              <w:top w:val="nil"/>
              <w:left w:val="nil"/>
              <w:bottom w:val="dashed" w:sz="4" w:space="0" w:color="31869B"/>
              <w:right w:val="dashed" w:sz="8" w:space="0" w:color="31869B"/>
            </w:tcBorders>
            <w:shd w:val="clear" w:color="auto" w:fill="auto"/>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2 842</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ind w:firstLineChars="200" w:firstLine="360"/>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Inovace v malých a středních podnicích</w:t>
            </w:r>
          </w:p>
        </w:tc>
        <w:tc>
          <w:tcPr>
            <w:tcW w:w="803" w:type="pct"/>
            <w:tcBorders>
              <w:top w:val="nil"/>
              <w:left w:val="nil"/>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0,80</w:t>
            </w:r>
          </w:p>
        </w:tc>
        <w:tc>
          <w:tcPr>
            <w:tcW w:w="774" w:type="pct"/>
            <w:tcBorders>
              <w:top w:val="nil"/>
              <w:left w:val="nil"/>
              <w:bottom w:val="dashed" w:sz="4" w:space="0" w:color="31869B"/>
              <w:right w:val="dashed" w:sz="8" w:space="0" w:color="31869B"/>
            </w:tcBorders>
            <w:shd w:val="clear" w:color="auto" w:fill="auto"/>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616</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000000" w:fill="DAEEF3"/>
            <w:vAlign w:val="center"/>
            <w:hideMark/>
          </w:tcPr>
          <w:p w:rsidR="008E7867" w:rsidRPr="005F56F6" w:rsidRDefault="008E7867" w:rsidP="001D0211">
            <w:pPr>
              <w:spacing w:line="240" w:lineRule="auto"/>
              <w:ind w:firstLineChars="100" w:firstLine="181"/>
              <w:contextualSpacing/>
              <w:rPr>
                <w:rFonts w:ascii="Arial" w:eastAsia="Times New Roman" w:hAnsi="Arial" w:cs="Arial"/>
                <w:b/>
                <w:bCs/>
                <w:color w:val="1F497D"/>
                <w:sz w:val="18"/>
                <w:szCs w:val="18"/>
                <w:lang w:eastAsia="cs-CZ"/>
              </w:rPr>
            </w:pPr>
            <w:r w:rsidRPr="005F56F6">
              <w:rPr>
                <w:rFonts w:ascii="Arial" w:eastAsia="Times New Roman" w:hAnsi="Arial" w:cs="Arial"/>
                <w:b/>
                <w:bCs/>
                <w:color w:val="1F497D"/>
                <w:sz w:val="18"/>
                <w:szCs w:val="18"/>
                <w:lang w:eastAsia="cs-CZ"/>
              </w:rPr>
              <w:t>Společenské výzvy</w:t>
            </w:r>
          </w:p>
        </w:tc>
        <w:tc>
          <w:tcPr>
            <w:tcW w:w="803" w:type="pct"/>
            <w:tcBorders>
              <w:top w:val="nil"/>
              <w:left w:val="nil"/>
              <w:bottom w:val="dashed" w:sz="4" w:space="0" w:color="31869B"/>
              <w:right w:val="dashed" w:sz="4" w:space="0" w:color="31869B"/>
            </w:tcBorders>
            <w:shd w:val="clear" w:color="000000" w:fill="DAEEF3"/>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38,53</w:t>
            </w:r>
          </w:p>
        </w:tc>
        <w:tc>
          <w:tcPr>
            <w:tcW w:w="774" w:type="pct"/>
            <w:tcBorders>
              <w:top w:val="nil"/>
              <w:left w:val="nil"/>
              <w:bottom w:val="dashed" w:sz="4" w:space="0" w:color="31869B"/>
              <w:right w:val="dashed" w:sz="8" w:space="0" w:color="31869B"/>
            </w:tcBorders>
            <w:shd w:val="clear" w:color="000000" w:fill="DAEEF3"/>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29 679</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ind w:left="426"/>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Zdraví, demografické změny a životní pohoda</w:t>
            </w:r>
          </w:p>
        </w:tc>
        <w:tc>
          <w:tcPr>
            <w:tcW w:w="803" w:type="pct"/>
            <w:tcBorders>
              <w:top w:val="nil"/>
              <w:left w:val="nil"/>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9,70</w:t>
            </w:r>
          </w:p>
        </w:tc>
        <w:tc>
          <w:tcPr>
            <w:tcW w:w="774" w:type="pct"/>
            <w:tcBorders>
              <w:top w:val="nil"/>
              <w:left w:val="nil"/>
              <w:bottom w:val="dashed" w:sz="4" w:space="0" w:color="31869B"/>
              <w:right w:val="dashed" w:sz="8" w:space="0" w:color="31869B"/>
            </w:tcBorders>
            <w:shd w:val="clear" w:color="auto" w:fill="auto"/>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7 472</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ind w:left="426"/>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Potravinové bezpečnost, udržitelné zemědělství a lesní hospodářství, mořský a námořní výzkum a výzkum vnitrozemských vod a biohospodářství</w:t>
            </w:r>
          </w:p>
        </w:tc>
        <w:tc>
          <w:tcPr>
            <w:tcW w:w="803" w:type="pct"/>
            <w:tcBorders>
              <w:top w:val="nil"/>
              <w:left w:val="nil"/>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5,00</w:t>
            </w:r>
          </w:p>
        </w:tc>
        <w:tc>
          <w:tcPr>
            <w:tcW w:w="774" w:type="pct"/>
            <w:tcBorders>
              <w:top w:val="nil"/>
              <w:left w:val="nil"/>
              <w:bottom w:val="dashed" w:sz="4" w:space="0" w:color="31869B"/>
              <w:right w:val="dashed" w:sz="8" w:space="0" w:color="31869B"/>
            </w:tcBorders>
            <w:shd w:val="clear" w:color="auto" w:fill="auto"/>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3 851</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ind w:left="426"/>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Zajištěná, čistá a účinná energie</w:t>
            </w:r>
          </w:p>
        </w:tc>
        <w:tc>
          <w:tcPr>
            <w:tcW w:w="803" w:type="pct"/>
            <w:tcBorders>
              <w:top w:val="nil"/>
              <w:left w:val="nil"/>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7,70</w:t>
            </w:r>
          </w:p>
        </w:tc>
        <w:tc>
          <w:tcPr>
            <w:tcW w:w="774" w:type="pct"/>
            <w:tcBorders>
              <w:top w:val="nil"/>
              <w:left w:val="nil"/>
              <w:bottom w:val="dashed" w:sz="4" w:space="0" w:color="31869B"/>
              <w:right w:val="dashed" w:sz="8" w:space="0" w:color="31869B"/>
            </w:tcBorders>
            <w:shd w:val="clear" w:color="auto" w:fill="auto"/>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5 931</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ind w:left="426"/>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Inteligentní, ekologická a integrovaná doprava</w:t>
            </w:r>
          </w:p>
        </w:tc>
        <w:tc>
          <w:tcPr>
            <w:tcW w:w="803" w:type="pct"/>
            <w:tcBorders>
              <w:top w:val="nil"/>
              <w:left w:val="nil"/>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8,23</w:t>
            </w:r>
          </w:p>
        </w:tc>
        <w:tc>
          <w:tcPr>
            <w:tcW w:w="774" w:type="pct"/>
            <w:tcBorders>
              <w:top w:val="nil"/>
              <w:left w:val="nil"/>
              <w:bottom w:val="dashed" w:sz="4" w:space="0" w:color="31869B"/>
              <w:right w:val="dashed" w:sz="8" w:space="0" w:color="31869B"/>
            </w:tcBorders>
            <w:shd w:val="clear" w:color="auto" w:fill="auto"/>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6 339</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ind w:left="426"/>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Ochrana klimatu, životní prostředí, účinné využívání zdrojů a suroviny</w:t>
            </w:r>
          </w:p>
        </w:tc>
        <w:tc>
          <w:tcPr>
            <w:tcW w:w="803" w:type="pct"/>
            <w:tcBorders>
              <w:top w:val="nil"/>
              <w:left w:val="nil"/>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4,00</w:t>
            </w:r>
          </w:p>
        </w:tc>
        <w:tc>
          <w:tcPr>
            <w:tcW w:w="774" w:type="pct"/>
            <w:tcBorders>
              <w:top w:val="nil"/>
              <w:left w:val="nil"/>
              <w:bottom w:val="dashed" w:sz="4" w:space="0" w:color="31869B"/>
              <w:right w:val="dashed" w:sz="8" w:space="0" w:color="31869B"/>
            </w:tcBorders>
            <w:shd w:val="clear" w:color="auto" w:fill="auto"/>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3 081</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ind w:left="426"/>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Evropa v měnícím se světě – inkluzivní, inovativní a reflektivní společnosti</w:t>
            </w:r>
          </w:p>
        </w:tc>
        <w:tc>
          <w:tcPr>
            <w:tcW w:w="803" w:type="pct"/>
            <w:tcBorders>
              <w:top w:val="nil"/>
              <w:left w:val="nil"/>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1,70</w:t>
            </w:r>
          </w:p>
        </w:tc>
        <w:tc>
          <w:tcPr>
            <w:tcW w:w="774" w:type="pct"/>
            <w:tcBorders>
              <w:top w:val="nil"/>
              <w:left w:val="nil"/>
              <w:bottom w:val="dashed" w:sz="4" w:space="0" w:color="31869B"/>
              <w:right w:val="dashed" w:sz="8" w:space="0" w:color="31869B"/>
            </w:tcBorders>
            <w:shd w:val="clear" w:color="auto" w:fill="auto"/>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1 309</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ind w:left="426"/>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Bezpečné společnosti: ochrana svobody a bezpečnosti Evropy a jejích občanů</w:t>
            </w:r>
          </w:p>
        </w:tc>
        <w:tc>
          <w:tcPr>
            <w:tcW w:w="803" w:type="pct"/>
            <w:tcBorders>
              <w:top w:val="nil"/>
              <w:left w:val="nil"/>
              <w:bottom w:val="dashed" w:sz="4" w:space="0" w:color="31869B"/>
              <w:right w:val="dashed" w:sz="4" w:space="0" w:color="31869B"/>
            </w:tcBorders>
            <w:shd w:val="clear" w:color="auto" w:fill="auto"/>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2,20</w:t>
            </w:r>
          </w:p>
        </w:tc>
        <w:tc>
          <w:tcPr>
            <w:tcW w:w="774" w:type="pct"/>
            <w:tcBorders>
              <w:top w:val="nil"/>
              <w:left w:val="nil"/>
              <w:bottom w:val="dashed" w:sz="4" w:space="0" w:color="31869B"/>
              <w:right w:val="dashed" w:sz="8" w:space="0" w:color="31869B"/>
            </w:tcBorders>
            <w:shd w:val="clear" w:color="auto" w:fill="auto"/>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1 695</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000000" w:fill="DAEEF3"/>
            <w:vAlign w:val="center"/>
            <w:hideMark/>
          </w:tcPr>
          <w:p w:rsidR="008E7867" w:rsidRPr="005F56F6" w:rsidRDefault="008E7867" w:rsidP="001D0211">
            <w:pPr>
              <w:spacing w:line="240" w:lineRule="auto"/>
              <w:ind w:firstLineChars="100" w:firstLine="181"/>
              <w:contextualSpacing/>
              <w:rPr>
                <w:rFonts w:ascii="Arial" w:eastAsia="Times New Roman" w:hAnsi="Arial" w:cs="Arial"/>
                <w:b/>
                <w:bCs/>
                <w:color w:val="1F497D"/>
                <w:sz w:val="18"/>
                <w:szCs w:val="18"/>
                <w:lang w:eastAsia="cs-CZ"/>
              </w:rPr>
            </w:pPr>
            <w:r w:rsidRPr="005F56F6">
              <w:rPr>
                <w:rFonts w:ascii="Arial" w:eastAsia="Times New Roman" w:hAnsi="Arial" w:cs="Arial"/>
                <w:b/>
                <w:bCs/>
                <w:color w:val="1F497D"/>
                <w:sz w:val="18"/>
                <w:szCs w:val="18"/>
                <w:lang w:eastAsia="cs-CZ"/>
              </w:rPr>
              <w:t>Věda se společností a pro společnost</w:t>
            </w:r>
          </w:p>
        </w:tc>
        <w:tc>
          <w:tcPr>
            <w:tcW w:w="803" w:type="pct"/>
            <w:tcBorders>
              <w:top w:val="nil"/>
              <w:left w:val="nil"/>
              <w:bottom w:val="dashed" w:sz="4" w:space="0" w:color="31869B"/>
              <w:right w:val="dashed" w:sz="4" w:space="0" w:color="31869B"/>
            </w:tcBorders>
            <w:shd w:val="clear" w:color="000000" w:fill="DAEEF3"/>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0,60</w:t>
            </w:r>
          </w:p>
        </w:tc>
        <w:tc>
          <w:tcPr>
            <w:tcW w:w="774" w:type="pct"/>
            <w:tcBorders>
              <w:top w:val="nil"/>
              <w:left w:val="nil"/>
              <w:bottom w:val="dashed" w:sz="4" w:space="0" w:color="31869B"/>
              <w:right w:val="dashed" w:sz="8" w:space="0" w:color="31869B"/>
            </w:tcBorders>
            <w:shd w:val="clear" w:color="000000" w:fill="DAEEF3"/>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462</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000000" w:fill="DAEEF3"/>
            <w:vAlign w:val="center"/>
            <w:hideMark/>
          </w:tcPr>
          <w:p w:rsidR="008E7867" w:rsidRPr="005F56F6" w:rsidRDefault="008E7867" w:rsidP="001D0211">
            <w:pPr>
              <w:spacing w:line="240" w:lineRule="auto"/>
              <w:ind w:firstLineChars="100" w:firstLine="181"/>
              <w:contextualSpacing/>
              <w:rPr>
                <w:rFonts w:ascii="Arial" w:eastAsia="Times New Roman" w:hAnsi="Arial" w:cs="Arial"/>
                <w:b/>
                <w:bCs/>
                <w:color w:val="1F497D"/>
                <w:sz w:val="18"/>
                <w:szCs w:val="18"/>
                <w:lang w:eastAsia="cs-CZ"/>
              </w:rPr>
            </w:pPr>
            <w:r w:rsidRPr="005F56F6">
              <w:rPr>
                <w:rFonts w:ascii="Arial" w:eastAsia="Times New Roman" w:hAnsi="Arial" w:cs="Arial"/>
                <w:b/>
                <w:bCs/>
                <w:color w:val="1F497D"/>
                <w:sz w:val="18"/>
                <w:szCs w:val="18"/>
                <w:lang w:eastAsia="cs-CZ"/>
              </w:rPr>
              <w:t>Šíření excelence a podpora účasti</w:t>
            </w:r>
          </w:p>
        </w:tc>
        <w:tc>
          <w:tcPr>
            <w:tcW w:w="803" w:type="pct"/>
            <w:tcBorders>
              <w:top w:val="nil"/>
              <w:left w:val="nil"/>
              <w:bottom w:val="dashed" w:sz="4" w:space="0" w:color="31869B"/>
              <w:right w:val="dashed" w:sz="4" w:space="0" w:color="31869B"/>
            </w:tcBorders>
            <w:shd w:val="clear" w:color="000000" w:fill="DAEEF3"/>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1,06</w:t>
            </w:r>
          </w:p>
        </w:tc>
        <w:tc>
          <w:tcPr>
            <w:tcW w:w="774" w:type="pct"/>
            <w:tcBorders>
              <w:top w:val="nil"/>
              <w:left w:val="nil"/>
              <w:bottom w:val="dashed" w:sz="4" w:space="0" w:color="31869B"/>
              <w:right w:val="dashed" w:sz="8" w:space="0" w:color="31869B"/>
            </w:tcBorders>
            <w:shd w:val="clear" w:color="000000" w:fill="DAEEF3"/>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816</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000000" w:fill="DAEEF3"/>
            <w:vAlign w:val="center"/>
            <w:hideMark/>
          </w:tcPr>
          <w:p w:rsidR="008E7867" w:rsidRPr="005F56F6" w:rsidRDefault="008E7867" w:rsidP="001D0211">
            <w:pPr>
              <w:spacing w:line="240" w:lineRule="auto"/>
              <w:ind w:firstLineChars="100" w:firstLine="181"/>
              <w:contextualSpacing/>
              <w:rPr>
                <w:rFonts w:ascii="Arial" w:eastAsia="Times New Roman" w:hAnsi="Arial" w:cs="Arial"/>
                <w:b/>
                <w:bCs/>
                <w:color w:val="1F497D"/>
                <w:sz w:val="18"/>
                <w:szCs w:val="18"/>
                <w:lang w:eastAsia="cs-CZ"/>
              </w:rPr>
            </w:pPr>
            <w:r w:rsidRPr="005F56F6">
              <w:rPr>
                <w:rFonts w:ascii="Arial" w:eastAsia="Times New Roman" w:hAnsi="Arial" w:cs="Arial"/>
                <w:b/>
                <w:bCs/>
                <w:color w:val="1F497D"/>
                <w:sz w:val="18"/>
                <w:szCs w:val="18"/>
                <w:lang w:eastAsia="cs-CZ"/>
              </w:rPr>
              <w:t>Evropský inovační a technologický institut (EIT)</w:t>
            </w:r>
          </w:p>
        </w:tc>
        <w:tc>
          <w:tcPr>
            <w:tcW w:w="803" w:type="pct"/>
            <w:tcBorders>
              <w:top w:val="nil"/>
              <w:left w:val="nil"/>
              <w:bottom w:val="dashed" w:sz="4" w:space="0" w:color="31869B"/>
              <w:right w:val="dashed" w:sz="4" w:space="0" w:color="31869B"/>
            </w:tcBorders>
            <w:shd w:val="clear" w:color="000000" w:fill="DAEEF3"/>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3,52</w:t>
            </w:r>
          </w:p>
        </w:tc>
        <w:tc>
          <w:tcPr>
            <w:tcW w:w="774" w:type="pct"/>
            <w:tcBorders>
              <w:top w:val="nil"/>
              <w:left w:val="nil"/>
              <w:bottom w:val="dashed" w:sz="4" w:space="0" w:color="31869B"/>
              <w:right w:val="dashed" w:sz="8" w:space="0" w:color="31869B"/>
            </w:tcBorders>
            <w:shd w:val="clear" w:color="000000" w:fill="DAEEF3"/>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2 711</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000000" w:fill="DAEEF3"/>
            <w:vAlign w:val="center"/>
            <w:hideMark/>
          </w:tcPr>
          <w:p w:rsidR="008E7867" w:rsidRPr="005F56F6" w:rsidRDefault="008E7867" w:rsidP="001D0211">
            <w:pPr>
              <w:spacing w:line="240" w:lineRule="auto"/>
              <w:ind w:firstLineChars="100" w:firstLine="181"/>
              <w:contextualSpacing/>
              <w:rPr>
                <w:rFonts w:ascii="Arial" w:eastAsia="Times New Roman" w:hAnsi="Arial" w:cs="Arial"/>
                <w:b/>
                <w:bCs/>
                <w:color w:val="1F497D"/>
                <w:sz w:val="18"/>
                <w:szCs w:val="18"/>
                <w:lang w:eastAsia="cs-CZ"/>
              </w:rPr>
            </w:pPr>
            <w:r w:rsidRPr="005F56F6">
              <w:rPr>
                <w:rFonts w:ascii="Arial" w:eastAsia="Times New Roman" w:hAnsi="Arial" w:cs="Arial"/>
                <w:b/>
                <w:bCs/>
                <w:color w:val="1F497D"/>
                <w:sz w:val="18"/>
                <w:szCs w:val="18"/>
                <w:lang w:eastAsia="cs-CZ"/>
              </w:rPr>
              <w:t>Nejaderné přímé akce Společného výzkumného centra (JRC)</w:t>
            </w:r>
          </w:p>
        </w:tc>
        <w:tc>
          <w:tcPr>
            <w:tcW w:w="803" w:type="pct"/>
            <w:tcBorders>
              <w:top w:val="nil"/>
              <w:left w:val="nil"/>
              <w:bottom w:val="dashed" w:sz="4" w:space="0" w:color="31869B"/>
              <w:right w:val="dashed" w:sz="4" w:space="0" w:color="31869B"/>
            </w:tcBorders>
            <w:shd w:val="clear" w:color="000000" w:fill="DAEEF3"/>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2,47</w:t>
            </w:r>
          </w:p>
        </w:tc>
        <w:tc>
          <w:tcPr>
            <w:tcW w:w="774" w:type="pct"/>
            <w:tcBorders>
              <w:top w:val="nil"/>
              <w:left w:val="nil"/>
              <w:bottom w:val="dashed" w:sz="4" w:space="0" w:color="31869B"/>
              <w:right w:val="dashed" w:sz="8" w:space="0" w:color="31869B"/>
            </w:tcBorders>
            <w:shd w:val="clear" w:color="000000" w:fill="DAEEF3"/>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1 903</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000000" w:fill="DAEEF3"/>
            <w:vAlign w:val="center"/>
            <w:hideMark/>
          </w:tcPr>
          <w:p w:rsidR="008E7867" w:rsidRPr="005F56F6" w:rsidRDefault="008E7867" w:rsidP="001D0211">
            <w:pPr>
              <w:spacing w:line="240" w:lineRule="auto"/>
              <w:ind w:firstLineChars="100" w:firstLine="181"/>
              <w:contextualSpacing/>
              <w:rPr>
                <w:rFonts w:ascii="Arial" w:eastAsia="Times New Roman" w:hAnsi="Arial" w:cs="Arial"/>
                <w:b/>
                <w:bCs/>
                <w:color w:val="1F497D"/>
                <w:sz w:val="18"/>
                <w:szCs w:val="18"/>
                <w:lang w:eastAsia="cs-CZ"/>
              </w:rPr>
            </w:pPr>
            <w:r w:rsidRPr="005F56F6">
              <w:rPr>
                <w:rFonts w:ascii="Arial" w:eastAsia="Times New Roman" w:hAnsi="Arial" w:cs="Arial"/>
                <w:b/>
                <w:bCs/>
                <w:color w:val="1F497D"/>
                <w:sz w:val="18"/>
                <w:szCs w:val="18"/>
                <w:lang w:eastAsia="cs-CZ"/>
              </w:rPr>
              <w:t>CELKOVÝ PŘÍSPĚVEK EU H2020 2014–2020</w:t>
            </w:r>
          </w:p>
        </w:tc>
        <w:tc>
          <w:tcPr>
            <w:tcW w:w="803" w:type="pct"/>
            <w:tcBorders>
              <w:top w:val="nil"/>
              <w:left w:val="nil"/>
              <w:bottom w:val="dashed" w:sz="4" w:space="0" w:color="31869B"/>
              <w:right w:val="dashed" w:sz="4" w:space="0" w:color="31869B"/>
            </w:tcBorders>
            <w:shd w:val="clear" w:color="000000" w:fill="DAEEF3"/>
            <w:vAlign w:val="center"/>
            <w:hideMark/>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100,00</w:t>
            </w:r>
          </w:p>
        </w:tc>
        <w:tc>
          <w:tcPr>
            <w:tcW w:w="774" w:type="pct"/>
            <w:tcBorders>
              <w:top w:val="nil"/>
              <w:left w:val="nil"/>
              <w:bottom w:val="dashed" w:sz="4" w:space="0" w:color="31869B"/>
              <w:right w:val="dashed" w:sz="8" w:space="0" w:color="31869B"/>
            </w:tcBorders>
            <w:shd w:val="clear" w:color="000000" w:fill="DAEEF3"/>
            <w:vAlign w:val="center"/>
            <w:hideMark/>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77 028</w:t>
            </w:r>
          </w:p>
        </w:tc>
      </w:tr>
      <w:tr w:rsidR="008E7867" w:rsidRPr="005F56F6" w:rsidTr="008E7867">
        <w:trPr>
          <w:trHeight w:val="321"/>
        </w:trPr>
        <w:tc>
          <w:tcPr>
            <w:tcW w:w="3423" w:type="pct"/>
            <w:tcBorders>
              <w:top w:val="dashed" w:sz="4" w:space="0" w:color="31869B"/>
              <w:left w:val="dashed" w:sz="8" w:space="0" w:color="31869B"/>
              <w:bottom w:val="dashed" w:sz="4" w:space="0" w:color="31869B"/>
              <w:right w:val="dashed" w:sz="4" w:space="0" w:color="31869B"/>
            </w:tcBorders>
            <w:shd w:val="clear" w:color="auto" w:fill="auto"/>
            <w:vAlign w:val="center"/>
          </w:tcPr>
          <w:p w:rsidR="008E7867" w:rsidRPr="005F56F6" w:rsidRDefault="008E7867" w:rsidP="001D0211">
            <w:pPr>
              <w:spacing w:line="240" w:lineRule="auto"/>
              <w:ind w:left="426"/>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Jaderná fúze – nepřímé akce</w:t>
            </w:r>
          </w:p>
        </w:tc>
        <w:tc>
          <w:tcPr>
            <w:tcW w:w="803" w:type="pct"/>
            <w:tcBorders>
              <w:top w:val="dashed" w:sz="4" w:space="0" w:color="31869B"/>
              <w:left w:val="nil"/>
              <w:bottom w:val="dashed" w:sz="4" w:space="0" w:color="31869B"/>
              <w:right w:val="dashed" w:sz="4" w:space="0" w:color="31869B"/>
            </w:tcBorders>
            <w:shd w:val="clear" w:color="auto" w:fill="auto"/>
            <w:vAlign w:val="center"/>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45,42</w:t>
            </w:r>
          </w:p>
        </w:tc>
        <w:tc>
          <w:tcPr>
            <w:tcW w:w="774" w:type="pct"/>
            <w:tcBorders>
              <w:top w:val="dashed" w:sz="4" w:space="0" w:color="31869B"/>
              <w:left w:val="nil"/>
              <w:bottom w:val="dashed" w:sz="4" w:space="0" w:color="31869B"/>
              <w:right w:val="dashed" w:sz="8" w:space="0" w:color="31869B"/>
            </w:tcBorders>
            <w:shd w:val="clear" w:color="auto" w:fill="auto"/>
            <w:vAlign w:val="center"/>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728</w:t>
            </w:r>
          </w:p>
        </w:tc>
      </w:tr>
      <w:tr w:rsidR="008E7867" w:rsidRPr="005F56F6" w:rsidTr="008E7867">
        <w:trPr>
          <w:trHeight w:val="321"/>
        </w:trPr>
        <w:tc>
          <w:tcPr>
            <w:tcW w:w="3423" w:type="pct"/>
            <w:tcBorders>
              <w:top w:val="dashed" w:sz="4" w:space="0" w:color="31869B"/>
              <w:left w:val="dashed" w:sz="8" w:space="0" w:color="31869B"/>
              <w:bottom w:val="dashed" w:sz="4" w:space="0" w:color="31869B"/>
              <w:right w:val="dashed" w:sz="4" w:space="0" w:color="31869B"/>
            </w:tcBorders>
            <w:shd w:val="clear" w:color="auto" w:fill="auto"/>
            <w:vAlign w:val="center"/>
          </w:tcPr>
          <w:p w:rsidR="008E7867" w:rsidRPr="005F56F6" w:rsidRDefault="008E7867" w:rsidP="001D0211">
            <w:pPr>
              <w:spacing w:line="240" w:lineRule="auto"/>
              <w:ind w:left="426"/>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Jaderné štěpení  - nepřímé akce</w:t>
            </w:r>
          </w:p>
        </w:tc>
        <w:tc>
          <w:tcPr>
            <w:tcW w:w="803" w:type="pct"/>
            <w:tcBorders>
              <w:top w:val="dashed" w:sz="4" w:space="0" w:color="31869B"/>
              <w:left w:val="nil"/>
              <w:bottom w:val="dashed" w:sz="4" w:space="0" w:color="31869B"/>
              <w:right w:val="dashed" w:sz="4" w:space="0" w:color="31869B"/>
            </w:tcBorders>
            <w:shd w:val="clear" w:color="auto" w:fill="auto"/>
            <w:vAlign w:val="center"/>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19,68</w:t>
            </w:r>
          </w:p>
        </w:tc>
        <w:tc>
          <w:tcPr>
            <w:tcW w:w="774" w:type="pct"/>
            <w:tcBorders>
              <w:top w:val="dashed" w:sz="4" w:space="0" w:color="31869B"/>
              <w:left w:val="nil"/>
              <w:bottom w:val="dashed" w:sz="4" w:space="0" w:color="31869B"/>
              <w:right w:val="dashed" w:sz="8" w:space="0" w:color="31869B"/>
            </w:tcBorders>
            <w:shd w:val="clear" w:color="auto" w:fill="auto"/>
            <w:vAlign w:val="center"/>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316</w:t>
            </w:r>
          </w:p>
        </w:tc>
      </w:tr>
      <w:tr w:rsidR="008E7867" w:rsidRPr="005F56F6" w:rsidTr="008E7867">
        <w:trPr>
          <w:trHeight w:val="321"/>
        </w:trPr>
        <w:tc>
          <w:tcPr>
            <w:tcW w:w="3423" w:type="pct"/>
            <w:tcBorders>
              <w:top w:val="dashed" w:sz="4" w:space="0" w:color="31869B"/>
              <w:left w:val="dashed" w:sz="8" w:space="0" w:color="31869B"/>
              <w:bottom w:val="dashed" w:sz="4" w:space="0" w:color="31869B"/>
              <w:right w:val="dashed" w:sz="4" w:space="0" w:color="31869B"/>
            </w:tcBorders>
            <w:shd w:val="clear" w:color="auto" w:fill="auto"/>
            <w:vAlign w:val="center"/>
          </w:tcPr>
          <w:p w:rsidR="008E7867" w:rsidRPr="005F56F6" w:rsidRDefault="008E7867" w:rsidP="001D0211">
            <w:pPr>
              <w:spacing w:line="240" w:lineRule="auto"/>
              <w:ind w:left="426"/>
              <w:contextualSpacing/>
              <w:rPr>
                <w:rFonts w:ascii="Arial" w:eastAsia="Times New Roman" w:hAnsi="Arial" w:cs="Arial"/>
                <w:color w:val="215967"/>
                <w:sz w:val="18"/>
                <w:szCs w:val="18"/>
                <w:lang w:eastAsia="cs-CZ"/>
              </w:rPr>
            </w:pPr>
            <w:r w:rsidRPr="005F56F6">
              <w:rPr>
                <w:rFonts w:ascii="Arial" w:eastAsia="Times New Roman" w:hAnsi="Arial" w:cs="Arial"/>
                <w:color w:val="215967"/>
                <w:sz w:val="18"/>
                <w:szCs w:val="18"/>
                <w:lang w:eastAsia="cs-CZ"/>
              </w:rPr>
              <w:t>Přímé akce Společného výzkumného centra</w:t>
            </w:r>
          </w:p>
        </w:tc>
        <w:tc>
          <w:tcPr>
            <w:tcW w:w="803" w:type="pct"/>
            <w:tcBorders>
              <w:top w:val="dashed" w:sz="4" w:space="0" w:color="31869B"/>
              <w:left w:val="nil"/>
              <w:bottom w:val="dashed" w:sz="4" w:space="0" w:color="31869B"/>
              <w:right w:val="dashed" w:sz="4" w:space="0" w:color="31869B"/>
            </w:tcBorders>
            <w:shd w:val="clear" w:color="auto" w:fill="auto"/>
            <w:vAlign w:val="center"/>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34,90</w:t>
            </w:r>
          </w:p>
        </w:tc>
        <w:tc>
          <w:tcPr>
            <w:tcW w:w="774" w:type="pct"/>
            <w:tcBorders>
              <w:top w:val="dashed" w:sz="4" w:space="0" w:color="31869B"/>
              <w:left w:val="nil"/>
              <w:bottom w:val="dashed" w:sz="4" w:space="0" w:color="31869B"/>
              <w:right w:val="dashed" w:sz="8" w:space="0" w:color="31869B"/>
            </w:tcBorders>
            <w:shd w:val="clear" w:color="auto" w:fill="auto"/>
            <w:vAlign w:val="center"/>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560</w:t>
            </w:r>
          </w:p>
        </w:tc>
      </w:tr>
      <w:tr w:rsidR="008E7867" w:rsidRPr="005F56F6" w:rsidTr="008E7867">
        <w:trPr>
          <w:trHeight w:val="321"/>
        </w:trPr>
        <w:tc>
          <w:tcPr>
            <w:tcW w:w="3423" w:type="pct"/>
            <w:tcBorders>
              <w:top w:val="nil"/>
              <w:left w:val="dashed" w:sz="8" w:space="0" w:color="31869B"/>
              <w:bottom w:val="dashed" w:sz="4" w:space="0" w:color="31869B"/>
              <w:right w:val="dashed" w:sz="4" w:space="0" w:color="31869B"/>
            </w:tcBorders>
            <w:shd w:val="clear" w:color="000000" w:fill="DAEEF3"/>
            <w:vAlign w:val="center"/>
          </w:tcPr>
          <w:p w:rsidR="008E7867" w:rsidRPr="005F56F6" w:rsidRDefault="008E7867" w:rsidP="001D0211">
            <w:pPr>
              <w:spacing w:line="240" w:lineRule="auto"/>
              <w:ind w:firstLineChars="100" w:firstLine="181"/>
              <w:contextualSpacing/>
              <w:rPr>
                <w:rFonts w:ascii="Arial" w:eastAsia="Times New Roman" w:hAnsi="Arial" w:cs="Arial"/>
                <w:b/>
                <w:bCs/>
                <w:color w:val="1F497D"/>
                <w:sz w:val="18"/>
                <w:szCs w:val="18"/>
                <w:lang w:eastAsia="cs-CZ"/>
              </w:rPr>
            </w:pPr>
          </w:p>
        </w:tc>
        <w:tc>
          <w:tcPr>
            <w:tcW w:w="803" w:type="pct"/>
            <w:tcBorders>
              <w:top w:val="nil"/>
              <w:left w:val="nil"/>
              <w:bottom w:val="dashed" w:sz="4" w:space="0" w:color="31869B"/>
              <w:right w:val="dashed" w:sz="4" w:space="0" w:color="31869B"/>
            </w:tcBorders>
            <w:shd w:val="clear" w:color="000000" w:fill="DAEEF3"/>
            <w:vAlign w:val="center"/>
          </w:tcPr>
          <w:p w:rsidR="008E7867" w:rsidRPr="005F56F6" w:rsidRDefault="008E7867" w:rsidP="001D0211">
            <w:pPr>
              <w:spacing w:line="240" w:lineRule="auto"/>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100,00</w:t>
            </w:r>
          </w:p>
        </w:tc>
        <w:tc>
          <w:tcPr>
            <w:tcW w:w="774" w:type="pct"/>
            <w:tcBorders>
              <w:top w:val="nil"/>
              <w:left w:val="nil"/>
              <w:bottom w:val="dashed" w:sz="4" w:space="0" w:color="31869B"/>
              <w:right w:val="dashed" w:sz="8" w:space="0" w:color="31869B"/>
            </w:tcBorders>
            <w:shd w:val="clear" w:color="000000" w:fill="DAEEF3"/>
            <w:vAlign w:val="center"/>
          </w:tcPr>
          <w:p w:rsidR="008E7867" w:rsidRPr="005F56F6" w:rsidRDefault="008E7867" w:rsidP="001D0211">
            <w:pPr>
              <w:spacing w:line="240" w:lineRule="auto"/>
              <w:ind w:firstLineChars="6" w:firstLine="11"/>
              <w:contextualSpacing/>
              <w:jc w:val="right"/>
              <w:rPr>
                <w:rFonts w:ascii="Arial" w:eastAsia="Times New Roman" w:hAnsi="Arial" w:cs="Arial"/>
                <w:b/>
                <w:bCs/>
                <w:color w:val="215967"/>
                <w:sz w:val="18"/>
                <w:szCs w:val="18"/>
                <w:lang w:eastAsia="cs-CZ"/>
              </w:rPr>
            </w:pPr>
            <w:r w:rsidRPr="005F56F6">
              <w:rPr>
                <w:rFonts w:ascii="Arial" w:eastAsia="Times New Roman" w:hAnsi="Arial" w:cs="Arial"/>
                <w:b/>
                <w:bCs/>
                <w:color w:val="215967"/>
                <w:sz w:val="18"/>
                <w:szCs w:val="18"/>
                <w:lang w:eastAsia="cs-CZ"/>
              </w:rPr>
              <w:t>1 603</w:t>
            </w:r>
          </w:p>
        </w:tc>
      </w:tr>
    </w:tbl>
    <w:p w:rsidR="008E7867" w:rsidRPr="005F56F6" w:rsidRDefault="008E7867" w:rsidP="008E7867">
      <w:pPr>
        <w:rPr>
          <w:rFonts w:ascii="Arial" w:eastAsia="Times New Roman" w:hAnsi="Arial" w:cs="Times New Roman"/>
          <w:i/>
          <w:sz w:val="18"/>
          <w:szCs w:val="18"/>
          <w:lang w:eastAsia="cs-CZ"/>
        </w:rPr>
      </w:pPr>
    </w:p>
    <w:p w:rsidR="008E7867" w:rsidRPr="005F56F6" w:rsidRDefault="008E7867" w:rsidP="008E7867">
      <w:pPr>
        <w:rPr>
          <w:rFonts w:ascii="Arial" w:eastAsia="Times New Roman" w:hAnsi="Arial" w:cs="Times New Roman"/>
          <w:i/>
          <w:sz w:val="18"/>
          <w:szCs w:val="24"/>
          <w:lang w:eastAsia="cs-CZ"/>
        </w:rPr>
      </w:pPr>
      <w:r w:rsidRPr="005F56F6">
        <w:rPr>
          <w:rFonts w:ascii="Arial" w:eastAsia="Times New Roman" w:hAnsi="Arial" w:cs="Times New Roman"/>
          <w:i/>
          <w:sz w:val="18"/>
          <w:szCs w:val="24"/>
          <w:lang w:eastAsia="cs-CZ"/>
        </w:rPr>
        <w:t>Zdroj: Evropská komise, Technologické centrum AV ČR</w:t>
      </w:r>
    </w:p>
    <w:p w:rsidR="008E7867" w:rsidRPr="005F56F6" w:rsidRDefault="008E7867" w:rsidP="008E7867">
      <w:pPr>
        <w:pStyle w:val="Text"/>
      </w:pPr>
      <w:r w:rsidRPr="005F56F6">
        <w:t xml:space="preserve">V květnu 2017 Evropská komise zveřejnila průběžné hodnocení programu Horizont 2020, které má přispět ke zlepšení implementace programu v jeho konečné fázi v letech 2018−2020. Dle tohoto hodnocení je Horizont 2020 atraktivní, dobře fungující program, který je vysoce relevantní pro zúčastněné strany i z hlediska společenských potřeb. Zjednodušení pravidel účasti a zejména modelu financování oproti 7. Rámcovému programu přineslo menší administrativní zátěž i náklady. Horizont 2020 zhodnocuje vynaložené prostředky a je na dobré cestě splnit své cíle a přispět k ekonomickému růstu a tvorbě nových pracovních míst. Cíle programu byly ověřeny, jsou stále relevantní, program je zároveň dostatečně flexibilní, aby reagoval na aktuální výzvy. Podporuje excelenci ve vědě a spolupráci akademického a soukromého sektoru. Ukázal také jasnou přidanou </w:t>
      </w:r>
      <w:r w:rsidRPr="005F56F6">
        <w:lastRenderedPageBreak/>
        <w:t xml:space="preserve">hodnotu EU pro oblast výzkumu, která spočívá v jedinečných příležitostech spolupráce, konkurence a přístupu k novým poznatkům. </w:t>
      </w:r>
    </w:p>
    <w:p w:rsidR="008E7867" w:rsidRPr="005F56F6" w:rsidRDefault="008E7867" w:rsidP="008E7867">
      <w:pPr>
        <w:spacing w:after="0" w:line="360" w:lineRule="auto"/>
        <w:jc w:val="both"/>
        <w:rPr>
          <w:rFonts w:ascii="Arial" w:hAnsi="Arial" w:cs="Arial"/>
          <w:color w:val="212121"/>
          <w:shd w:val="clear" w:color="auto" w:fill="FFFFFF"/>
        </w:rPr>
      </w:pPr>
      <w:r w:rsidRPr="005F56F6">
        <w:rPr>
          <w:rFonts w:ascii="Arial" w:hAnsi="Arial" w:cs="Arial"/>
          <w:color w:val="212121"/>
          <w:shd w:val="clear" w:color="auto" w:fill="FFFFFF"/>
        </w:rPr>
        <w:t xml:space="preserve">Jako oblasti pro zlepšení byly identifikovány zejména podfinancování programu (nadměrná poptávka, míra úspěšnosti je menší než v 7.RP zejména u kvalitních projektů) a posílení podpory průlomových inovací vytvářejících tržní příležitosti zejména pomocí nástrojů pro malé a střední podniky. Průběžné hodnocení rovněž doporučilo posílit informování občanů </w:t>
      </w:r>
    </w:p>
    <w:p w:rsidR="008E7867" w:rsidRPr="005F56F6" w:rsidRDefault="008E7867" w:rsidP="008E7867">
      <w:pPr>
        <w:spacing w:after="0" w:line="360" w:lineRule="auto"/>
        <w:jc w:val="both"/>
        <w:rPr>
          <w:rFonts w:ascii="Arial" w:hAnsi="Arial" w:cs="Arial"/>
          <w:color w:val="212121"/>
          <w:shd w:val="clear" w:color="auto" w:fill="FFFFFF"/>
        </w:rPr>
      </w:pPr>
      <w:r w:rsidRPr="005F56F6">
        <w:rPr>
          <w:rFonts w:ascii="Arial" w:hAnsi="Arial" w:cs="Arial"/>
          <w:color w:val="212121"/>
          <w:shd w:val="clear" w:color="auto" w:fill="FFFFFF"/>
        </w:rPr>
        <w:t>o přínosu programu a evropského výzkumu obecně a podpořit i jejich větší zapojení.</w:t>
      </w:r>
      <w:r w:rsidRPr="005F56F6">
        <w:rPr>
          <w:rStyle w:val="Znakapoznpodarou"/>
          <w:rFonts w:ascii="Arial" w:hAnsi="Arial" w:cs="Arial"/>
          <w:color w:val="212121"/>
          <w:shd w:val="clear" w:color="auto" w:fill="FFFFFF"/>
        </w:rPr>
        <w:footnoteReference w:id="18"/>
      </w:r>
    </w:p>
    <w:p w:rsidR="008E7867" w:rsidRPr="005F56F6" w:rsidRDefault="008E7867" w:rsidP="008E7867">
      <w:pPr>
        <w:spacing w:after="0" w:line="360" w:lineRule="auto"/>
        <w:ind w:firstLine="708"/>
        <w:jc w:val="both"/>
        <w:rPr>
          <w:rFonts w:ascii="Arial" w:eastAsia="Times New Roman" w:hAnsi="Arial" w:cs="Arial"/>
          <w:lang w:eastAsia="cs-CZ"/>
        </w:rPr>
      </w:pPr>
      <w:r w:rsidRPr="005F56F6">
        <w:rPr>
          <w:rFonts w:ascii="Arial" w:eastAsia="Times New Roman" w:hAnsi="Arial" w:cs="Arial"/>
          <w:lang w:eastAsia="cs-CZ"/>
        </w:rPr>
        <w:t>Dne 7. června 2018 představila Evropská komise návrh rámcového programu pro výzkum, vývoj a inovace pro léta 2021–2027. Pro program Horizont Evropa (</w:t>
      </w:r>
      <w:proofErr w:type="spellStart"/>
      <w:r w:rsidRPr="005F56F6">
        <w:rPr>
          <w:rFonts w:ascii="Arial" w:eastAsia="Times New Roman" w:hAnsi="Arial" w:cs="Arial"/>
          <w:lang w:eastAsia="cs-CZ"/>
        </w:rPr>
        <w:t>Horizon</w:t>
      </w:r>
      <w:proofErr w:type="spellEnd"/>
      <w:r w:rsidRPr="005F56F6">
        <w:rPr>
          <w:rFonts w:ascii="Arial" w:eastAsia="Times New Roman" w:hAnsi="Arial" w:cs="Arial"/>
          <w:lang w:eastAsia="cs-CZ"/>
        </w:rPr>
        <w:t xml:space="preserve"> </w:t>
      </w:r>
      <w:proofErr w:type="spellStart"/>
      <w:r w:rsidRPr="005F56F6">
        <w:rPr>
          <w:rFonts w:ascii="Arial" w:eastAsia="Times New Roman" w:hAnsi="Arial" w:cs="Arial"/>
          <w:lang w:eastAsia="cs-CZ"/>
        </w:rPr>
        <w:t>Europe</w:t>
      </w:r>
      <w:proofErr w:type="spellEnd"/>
      <w:r w:rsidRPr="005F56F6">
        <w:rPr>
          <w:rFonts w:ascii="Arial" w:eastAsia="Times New Roman" w:hAnsi="Arial" w:cs="Arial"/>
          <w:lang w:eastAsia="cs-CZ"/>
        </w:rPr>
        <w:t xml:space="preserve">) a doplňující program </w:t>
      </w:r>
      <w:proofErr w:type="spellStart"/>
      <w:r w:rsidRPr="005F56F6">
        <w:rPr>
          <w:rFonts w:ascii="Arial" w:eastAsia="Times New Roman" w:hAnsi="Arial" w:cs="Arial"/>
          <w:lang w:eastAsia="cs-CZ"/>
        </w:rPr>
        <w:t>Euroatom</w:t>
      </w:r>
      <w:proofErr w:type="spellEnd"/>
      <w:r w:rsidRPr="005F56F6">
        <w:rPr>
          <w:rFonts w:ascii="Arial" w:eastAsia="Times New Roman" w:hAnsi="Arial" w:cs="Arial"/>
          <w:lang w:eastAsia="cs-CZ"/>
        </w:rPr>
        <w:t xml:space="preserve"> je navržen rozpočet ve výši téměř 100 mld. EUR. Pro program Horizont Evropa bude alokováno 97,6 mld. EUR (z toho 3,5 mld. EUR pro fond </w:t>
      </w:r>
      <w:proofErr w:type="spellStart"/>
      <w:r w:rsidRPr="005F56F6">
        <w:rPr>
          <w:rFonts w:ascii="Arial" w:eastAsia="Times New Roman" w:hAnsi="Arial" w:cs="Arial"/>
          <w:lang w:eastAsia="cs-CZ"/>
        </w:rPr>
        <w:t>InvestEU</w:t>
      </w:r>
      <w:proofErr w:type="spellEnd"/>
      <w:r w:rsidRPr="005F56F6">
        <w:rPr>
          <w:rFonts w:ascii="Arial" w:eastAsia="Times New Roman" w:hAnsi="Arial" w:cs="Arial"/>
          <w:lang w:eastAsia="cs-CZ"/>
        </w:rPr>
        <w:t>) a 2,7 mld. jsou určeny pro program Euratom. Horizont Evropa navazuje na programu Horizont 2020, ale přináší i tyto novinky:</w:t>
      </w:r>
    </w:p>
    <w:p w:rsidR="008E7867" w:rsidRPr="005F56F6" w:rsidRDefault="008E7867" w:rsidP="008E7867">
      <w:pPr>
        <w:spacing w:after="0" w:line="360" w:lineRule="auto"/>
        <w:ind w:firstLine="708"/>
        <w:jc w:val="both"/>
        <w:rPr>
          <w:rFonts w:ascii="Arial" w:eastAsia="Times New Roman" w:hAnsi="Arial" w:cs="Arial"/>
          <w:lang w:eastAsia="cs-CZ"/>
        </w:rPr>
      </w:pPr>
    </w:p>
    <w:p w:rsidR="008E7867" w:rsidRPr="005F56F6" w:rsidRDefault="008E7867" w:rsidP="008E7867">
      <w:pPr>
        <w:pStyle w:val="Odstavecseseznamem"/>
        <w:numPr>
          <w:ilvl w:val="0"/>
          <w:numId w:val="39"/>
        </w:numPr>
        <w:spacing w:after="0" w:line="360" w:lineRule="auto"/>
        <w:jc w:val="both"/>
        <w:rPr>
          <w:rFonts w:ascii="Arial" w:eastAsia="Times New Roman" w:hAnsi="Arial" w:cs="Arial"/>
          <w:lang w:eastAsia="cs-CZ"/>
        </w:rPr>
      </w:pPr>
      <w:r w:rsidRPr="005F56F6">
        <w:rPr>
          <w:rFonts w:ascii="Arial" w:eastAsia="Times New Roman" w:hAnsi="Arial" w:cs="Arial"/>
          <w:b/>
          <w:lang w:eastAsia="cs-CZ"/>
        </w:rPr>
        <w:t>Evropská rada pro inovace</w:t>
      </w:r>
      <w:r w:rsidRPr="005F56F6">
        <w:rPr>
          <w:rFonts w:ascii="Arial" w:eastAsia="Times New Roman" w:hAnsi="Arial" w:cs="Arial"/>
          <w:lang w:eastAsia="cs-CZ"/>
        </w:rPr>
        <w:t xml:space="preserve"> – finanční podpora vysoce rizikových průlomových inovací, které mohou vytvořit nové tržní příležitosti </w:t>
      </w:r>
    </w:p>
    <w:p w:rsidR="008E7867" w:rsidRPr="005F56F6" w:rsidRDefault="008E7867" w:rsidP="008E7867">
      <w:pPr>
        <w:pStyle w:val="Odstavecseseznamem"/>
        <w:numPr>
          <w:ilvl w:val="0"/>
          <w:numId w:val="39"/>
        </w:numPr>
        <w:spacing w:after="0" w:line="360" w:lineRule="auto"/>
        <w:jc w:val="both"/>
        <w:rPr>
          <w:rFonts w:ascii="Arial" w:eastAsia="Times New Roman" w:hAnsi="Arial" w:cs="Arial"/>
          <w:lang w:eastAsia="cs-CZ"/>
        </w:rPr>
      </w:pPr>
      <w:r w:rsidRPr="005F56F6">
        <w:rPr>
          <w:rFonts w:ascii="Arial" w:eastAsia="Times New Roman" w:hAnsi="Arial" w:cs="Arial"/>
          <w:b/>
          <w:lang w:eastAsia="cs-CZ"/>
        </w:rPr>
        <w:t xml:space="preserve">Nové </w:t>
      </w:r>
      <w:proofErr w:type="spellStart"/>
      <w:r w:rsidRPr="005F56F6">
        <w:rPr>
          <w:rFonts w:ascii="Arial" w:eastAsia="Times New Roman" w:hAnsi="Arial" w:cs="Arial"/>
          <w:b/>
          <w:lang w:eastAsia="cs-CZ"/>
        </w:rPr>
        <w:t>celounijní</w:t>
      </w:r>
      <w:proofErr w:type="spellEnd"/>
      <w:r w:rsidRPr="005F56F6">
        <w:rPr>
          <w:rFonts w:ascii="Arial" w:eastAsia="Times New Roman" w:hAnsi="Arial" w:cs="Arial"/>
          <w:b/>
          <w:lang w:eastAsia="cs-CZ"/>
        </w:rPr>
        <w:t xml:space="preserve"> výzkumné a inovační cíle (mise)</w:t>
      </w:r>
      <w:r w:rsidRPr="005F56F6">
        <w:rPr>
          <w:rFonts w:ascii="Arial" w:eastAsia="Times New Roman" w:hAnsi="Arial" w:cs="Arial"/>
          <w:lang w:eastAsia="cs-CZ"/>
        </w:rPr>
        <w:t xml:space="preserve"> – tyto cíle budou zaměřeny na společenské a ekonomické výzvy, které řeší jednotlivé státy. Na jejich definování budou spolupracovat občané, zúčastněné subjekty, členské státy a Evropský parlament</w:t>
      </w:r>
    </w:p>
    <w:p w:rsidR="008E7867" w:rsidRPr="005F56F6" w:rsidRDefault="008E7867" w:rsidP="008E7867">
      <w:pPr>
        <w:pStyle w:val="Odstavecseseznamem"/>
        <w:numPr>
          <w:ilvl w:val="0"/>
          <w:numId w:val="39"/>
        </w:numPr>
        <w:spacing w:after="0" w:line="360" w:lineRule="auto"/>
        <w:jc w:val="both"/>
        <w:rPr>
          <w:rFonts w:ascii="Arial" w:eastAsia="Times New Roman" w:hAnsi="Arial" w:cs="Arial"/>
          <w:b/>
          <w:lang w:eastAsia="cs-CZ"/>
        </w:rPr>
      </w:pPr>
      <w:r w:rsidRPr="005F56F6">
        <w:rPr>
          <w:rFonts w:ascii="Arial" w:eastAsia="Times New Roman" w:hAnsi="Arial" w:cs="Arial"/>
          <w:b/>
          <w:lang w:eastAsia="cs-CZ"/>
        </w:rPr>
        <w:t>Maximalizace inovačního potenciálu napříč EU</w:t>
      </w:r>
    </w:p>
    <w:p w:rsidR="008E7867" w:rsidRPr="005F56F6" w:rsidRDefault="008E7867" w:rsidP="008E7867">
      <w:pPr>
        <w:pStyle w:val="Odstavecseseznamem"/>
        <w:numPr>
          <w:ilvl w:val="0"/>
          <w:numId w:val="39"/>
        </w:numPr>
        <w:spacing w:after="0" w:line="360" w:lineRule="auto"/>
        <w:jc w:val="both"/>
        <w:rPr>
          <w:rFonts w:ascii="Arial" w:eastAsia="Times New Roman" w:hAnsi="Arial" w:cs="Arial"/>
          <w:lang w:eastAsia="cs-CZ"/>
        </w:rPr>
      </w:pPr>
      <w:r w:rsidRPr="005F56F6">
        <w:rPr>
          <w:rFonts w:ascii="Arial" w:eastAsia="Times New Roman" w:hAnsi="Arial" w:cs="Arial"/>
          <w:b/>
          <w:lang w:eastAsia="cs-CZ"/>
        </w:rPr>
        <w:t>Větší otevřenost</w:t>
      </w:r>
      <w:r w:rsidRPr="005F56F6">
        <w:rPr>
          <w:rFonts w:ascii="Arial" w:eastAsia="Times New Roman" w:hAnsi="Arial" w:cs="Arial"/>
          <w:lang w:eastAsia="cs-CZ"/>
        </w:rPr>
        <w:t xml:space="preserve"> – zásada „otevřené vědy“, otevřený přístup k údajům a publikacím</w:t>
      </w:r>
    </w:p>
    <w:p w:rsidR="008E7867" w:rsidRPr="005F56F6" w:rsidRDefault="008E7867" w:rsidP="008E7867">
      <w:pPr>
        <w:pStyle w:val="Odstavecseseznamem"/>
        <w:numPr>
          <w:ilvl w:val="0"/>
          <w:numId w:val="39"/>
        </w:numPr>
        <w:spacing w:after="0" w:line="360" w:lineRule="auto"/>
        <w:jc w:val="both"/>
        <w:rPr>
          <w:rFonts w:ascii="Arial" w:eastAsia="Times New Roman" w:hAnsi="Arial" w:cs="Arial"/>
          <w:lang w:eastAsia="cs-CZ"/>
        </w:rPr>
      </w:pPr>
      <w:r w:rsidRPr="005F56F6">
        <w:rPr>
          <w:rFonts w:ascii="Arial" w:eastAsia="Times New Roman" w:hAnsi="Arial" w:cs="Arial"/>
          <w:b/>
          <w:lang w:eastAsia="cs-CZ"/>
        </w:rPr>
        <w:t>Nová generace evropských partnerství</w:t>
      </w:r>
      <w:r w:rsidRPr="005F56F6">
        <w:rPr>
          <w:rFonts w:ascii="Arial" w:eastAsia="Times New Roman" w:hAnsi="Arial" w:cs="Arial"/>
          <w:lang w:eastAsia="cs-CZ"/>
        </w:rPr>
        <w:t xml:space="preserve"> a širší spolupráce s ostatními programy EU </w:t>
      </w:r>
    </w:p>
    <w:p w:rsidR="008E7867" w:rsidRPr="005F56F6" w:rsidRDefault="008E7867" w:rsidP="008E7867">
      <w:pPr>
        <w:rPr>
          <w:rFonts w:ascii="Arial" w:eastAsia="Times New Roman" w:hAnsi="Arial" w:cs="Times New Roman"/>
          <w:i/>
          <w:sz w:val="18"/>
          <w:szCs w:val="24"/>
          <w:lang w:eastAsia="cs-CZ"/>
        </w:rPr>
      </w:pPr>
    </w:p>
    <w:p w:rsidR="008E7867" w:rsidRPr="005F56F6" w:rsidRDefault="008E7867" w:rsidP="008E7867">
      <w:pPr>
        <w:spacing w:after="0" w:line="360" w:lineRule="auto"/>
        <w:ind w:firstLine="708"/>
        <w:jc w:val="both"/>
        <w:rPr>
          <w:rFonts w:ascii="Arial" w:eastAsia="Times New Roman" w:hAnsi="Arial" w:cs="Arial"/>
          <w:lang w:eastAsia="cs-CZ"/>
        </w:rPr>
      </w:pPr>
      <w:r w:rsidRPr="005F56F6">
        <w:rPr>
          <w:rFonts w:ascii="Arial" w:eastAsia="Times New Roman" w:hAnsi="Arial" w:cs="Arial"/>
          <w:lang w:eastAsia="cs-CZ"/>
        </w:rPr>
        <w:t>V obrázku 3.1 je porovnána projektová úspěšnost ČR v programu H2020 s Rakouskem (AT) a průměrem států (ALL),</w:t>
      </w:r>
      <w:r w:rsidRPr="005F56F6">
        <w:rPr>
          <w:rFonts w:ascii="Arial" w:eastAsia="Times New Roman" w:hAnsi="Arial" w:cs="Arial"/>
          <w:vertAlign w:val="superscript"/>
          <w:lang w:eastAsia="cs-CZ"/>
        </w:rPr>
        <w:footnoteReference w:id="19"/>
      </w:r>
      <w:r w:rsidRPr="005F56F6">
        <w:rPr>
          <w:rFonts w:ascii="Arial" w:eastAsia="Times New Roman" w:hAnsi="Arial" w:cs="Arial"/>
          <w:lang w:eastAsia="cs-CZ"/>
        </w:rPr>
        <w:t xml:space="preserve"> které se dosud zapojily do programu H2020.  Na druhém schématu v obrázku je porovnán objem finanční podpory v ČR a Rakousku. </w:t>
      </w:r>
    </w:p>
    <w:p w:rsidR="008E7867" w:rsidRPr="005F56F6" w:rsidRDefault="008E7867" w:rsidP="008E7867">
      <w:pPr>
        <w:spacing w:after="0" w:line="360" w:lineRule="auto"/>
        <w:ind w:firstLine="708"/>
        <w:jc w:val="both"/>
        <w:rPr>
          <w:rFonts w:ascii="Arial" w:eastAsia="Times New Roman" w:hAnsi="Arial" w:cs="Arial"/>
          <w:lang w:eastAsia="cs-CZ"/>
        </w:rPr>
      </w:pPr>
      <w:r w:rsidRPr="005F56F6">
        <w:rPr>
          <w:rFonts w:ascii="Arial" w:eastAsia="Times New Roman" w:hAnsi="Arial" w:cs="Arial"/>
          <w:lang w:eastAsia="cs-CZ"/>
        </w:rPr>
        <w:t>Z hlediska objemu finanční podpory jsou alokačně nejvýznamnější tematické oblasti v</w:t>
      </w:r>
      <w:r w:rsidR="00DA0191">
        <w:rPr>
          <w:rFonts w:ascii="Arial" w:eastAsia="Times New Roman" w:hAnsi="Arial" w:cs="Arial"/>
          <w:lang w:eastAsia="cs-CZ"/>
        </w:rPr>
        <w:t> </w:t>
      </w:r>
      <w:r w:rsidRPr="005F56F6">
        <w:rPr>
          <w:rFonts w:ascii="Arial" w:eastAsia="Times New Roman" w:hAnsi="Arial" w:cs="Arial"/>
          <w:lang w:eastAsia="cs-CZ"/>
        </w:rPr>
        <w:t xml:space="preserve">pilířích Vynikající věda, Vedoucí postavení průmyslu a Společenské výzvy. ČR doposud vykázala v tematických oblastech těchto pilířů s výjimkou dvou tematických oblastí (INFRA a FOOD) nižší projektovou úspěšnost než Rakousko. Zároveň je však potřeba zmínit, že Rakousko v projektové </w:t>
      </w:r>
      <w:r w:rsidRPr="005F56F6">
        <w:rPr>
          <w:rFonts w:ascii="Arial" w:eastAsia="Times New Roman" w:hAnsi="Arial" w:cs="Arial"/>
          <w:lang w:eastAsia="cs-CZ"/>
        </w:rPr>
        <w:lastRenderedPageBreak/>
        <w:t>úspěšnosti většině aktivit převyšuje průměr zúčastněných zemí. V pilíři Vynikající věda dosáhla ČR z hlediska projektové úspěšnosti (poměr mezi počtem přihlášených návrhů projektů a počtem zahájených projektů) lepších výsledků než Rakousko v tematické oblasti INFRA, která je zaměřena na výzkumné infrastruktury (ČR 51 %, AT 28,06 %). Rakousko však v této oblasti získalo vyšší absolutní finanční podporu (projekty doporučené k financování). V dalších tematických oblastech tohoto pilíře dosahovala ČR ve srovnání s Rakouskem úspěšnosti nižší. V tematické oblasti Evropská výzkumná rada (ERC) vykázala ČR podprůměrnou projektovou úspěšnost, Rakousko naopak dosáhlo vyšší úspěšnosti než průměr zúčastněných zemí. V tematické oblasti Budoucí a</w:t>
      </w:r>
      <w:r w:rsidR="00DA0191">
        <w:rPr>
          <w:rFonts w:ascii="Arial" w:eastAsia="Times New Roman" w:hAnsi="Arial" w:cs="Arial"/>
          <w:lang w:eastAsia="cs-CZ"/>
        </w:rPr>
        <w:t> </w:t>
      </w:r>
      <w:r w:rsidRPr="005F56F6">
        <w:rPr>
          <w:rFonts w:ascii="Arial" w:eastAsia="Times New Roman" w:hAnsi="Arial" w:cs="Arial"/>
          <w:lang w:eastAsia="cs-CZ"/>
        </w:rPr>
        <w:t>vznikající technologie (FET) byla ČR průměrně úspěšná, Rakousko vykázalo nadprůměrnou úspěšnost. Rakousko bylo úspěšnější než ČR i v aktivitách zaměřených na lidské zdroje (Akce Marie-</w:t>
      </w:r>
      <w:proofErr w:type="spellStart"/>
      <w:r w:rsidRPr="005F56F6">
        <w:rPr>
          <w:rFonts w:ascii="Arial" w:eastAsia="Times New Roman" w:hAnsi="Arial" w:cs="Arial"/>
          <w:lang w:eastAsia="cs-CZ"/>
        </w:rPr>
        <w:t>Sklodowska</w:t>
      </w:r>
      <w:proofErr w:type="spellEnd"/>
      <w:r w:rsidRPr="005F56F6">
        <w:rPr>
          <w:rFonts w:ascii="Arial" w:eastAsia="Times New Roman" w:hAnsi="Arial" w:cs="Arial"/>
          <w:lang w:eastAsia="cs-CZ"/>
        </w:rPr>
        <w:t>-Curie – MSCA).</w:t>
      </w:r>
    </w:p>
    <w:p w:rsidR="008E7867" w:rsidRPr="005F56F6" w:rsidRDefault="008E7867" w:rsidP="008E7867">
      <w:pPr>
        <w:spacing w:after="0" w:line="360" w:lineRule="auto"/>
        <w:ind w:firstLine="708"/>
        <w:jc w:val="both"/>
        <w:rPr>
          <w:rFonts w:ascii="Arial" w:eastAsia="Times New Roman" w:hAnsi="Arial" w:cs="Arial"/>
          <w:lang w:eastAsia="cs-CZ"/>
        </w:rPr>
      </w:pPr>
      <w:r w:rsidRPr="005F56F6">
        <w:rPr>
          <w:rFonts w:ascii="Arial" w:eastAsia="Times New Roman" w:hAnsi="Arial" w:cs="Arial"/>
          <w:lang w:eastAsia="cs-CZ"/>
        </w:rPr>
        <w:t>V pilíři Vedoucí postavení průmyslu je nejvíce prostředků alokováno na tematickou oblast Průlomové a průmyslové technologie. Z těchto technologií byly pro ČR finančně nejvýznamnější Informační a komunikační technologie (ICT), u kterých je projektová úspěšnost ČR jen nepatrně nižší než v případě Rakouska (ČR 13,29 %, AT 14,16 %). Úspěšnost obou sledovaných států se pohybovala nad evropským průměrem. V oblastech Pokročilé materiály (ADVMAT) a Pokročilé výrobní systémy (ADVMANU) dosáhly oba sledované státy v projektové úspěšnosti celkového průměru, Rakousko však bylo úspěšnější z hlediska absolutní finanční podpory projektů doporučených k financování. V Nanotechnologiích (NMP) a Biotechnologiích (BIOTECH) ČR v projektové úspěšnosti za Rakouskem významně zaostávala, Rakousko ale v těchto oblastech dosahovalo výrazně lepších výsledků, než byl evropský průměr.</w:t>
      </w:r>
    </w:p>
    <w:p w:rsidR="008E7867" w:rsidRPr="005F56F6" w:rsidRDefault="008E7867" w:rsidP="008E7867">
      <w:pPr>
        <w:spacing w:after="0" w:line="360" w:lineRule="auto"/>
        <w:ind w:firstLine="708"/>
        <w:jc w:val="both"/>
        <w:rPr>
          <w:rFonts w:ascii="Arial" w:eastAsia="Times New Roman" w:hAnsi="Arial" w:cs="Arial"/>
          <w:lang w:eastAsia="cs-CZ"/>
        </w:rPr>
      </w:pPr>
      <w:r w:rsidRPr="005F56F6">
        <w:rPr>
          <w:rFonts w:ascii="Arial" w:eastAsia="Times New Roman" w:hAnsi="Arial" w:cs="Arial"/>
          <w:lang w:eastAsia="cs-CZ"/>
        </w:rPr>
        <w:t xml:space="preserve">V pilíři Společenské výzvy ČR dosahuje nižší projektové úspěšnosti než Rakousko ve všech aktivitách, kromě tematické oblasti FOOD zaměřené na potravinové zabezpečení, udržitelné zemědělství, mořský výzkum a biohospodářství. S projektovou úspěšností 21,26% byla ČR v této oblasti mírně úspěšnější než Rakousko, které dosáhlo úspěšnosti 21,07%. </w:t>
      </w:r>
      <w:r w:rsidRPr="005F56F6">
        <w:rPr>
          <w:rFonts w:ascii="Arial" w:eastAsia="Times New Roman" w:hAnsi="Arial" w:cs="Arial"/>
          <w:lang w:eastAsia="cs-CZ"/>
        </w:rPr>
        <w:br/>
        <w:t xml:space="preserve">U ostatních aktivit tohoto pilíře dosáhla v projektové úspěšnosti ČR horších výsledků než Rakousko, ale u téměř všech aktivit je nad průměrem ostatních států, pouze u oblasti zaměřené na Ochranu svobody a bezpečnosti v Evropě (SEC) je lehce pod průměrem. </w:t>
      </w:r>
    </w:p>
    <w:p w:rsidR="008E7867" w:rsidRDefault="008E7867" w:rsidP="008E7867">
      <w:pPr>
        <w:spacing w:after="0" w:line="360" w:lineRule="auto"/>
        <w:ind w:firstLine="708"/>
        <w:jc w:val="both"/>
        <w:rPr>
          <w:rFonts w:ascii="Arial" w:eastAsia="Times New Roman" w:hAnsi="Arial" w:cs="Arial"/>
          <w:lang w:eastAsia="cs-CZ"/>
        </w:rPr>
      </w:pPr>
      <w:r w:rsidRPr="005F56F6">
        <w:rPr>
          <w:rFonts w:ascii="Arial" w:eastAsia="Times New Roman" w:hAnsi="Arial" w:cs="Arial"/>
          <w:lang w:eastAsia="cs-CZ"/>
        </w:rPr>
        <w:t xml:space="preserve">Z ostatních horizontálních aktivit H2020  byla ČR velmi úspěšná v oblasti Program </w:t>
      </w:r>
      <w:proofErr w:type="spellStart"/>
      <w:r w:rsidRPr="005F56F6">
        <w:rPr>
          <w:rFonts w:ascii="Arial" w:eastAsia="Times New Roman" w:hAnsi="Arial" w:cs="Arial"/>
          <w:lang w:eastAsia="cs-CZ"/>
        </w:rPr>
        <w:t>Euroatom</w:t>
      </w:r>
      <w:proofErr w:type="spellEnd"/>
      <w:r w:rsidRPr="005F56F6">
        <w:rPr>
          <w:rFonts w:ascii="Arial" w:eastAsia="Times New Roman" w:hAnsi="Arial" w:cs="Arial"/>
          <w:lang w:eastAsia="cs-CZ"/>
        </w:rPr>
        <w:t xml:space="preserve"> 2014–2018 (EUROATOM), kde bylo doporučeno k financování 31 ze 79 podaných projektů. Subjekty z ČR tak získaly podporu 6 746 tis. EUR. Rakousko podalo v této oblasti pouze 10 projektů, 4 byly uznány jako způsobilé k financování a celková částka činila 863 tis. EUR. V oblasti Šíření excelence a rozšiřování účasti se ČR podařilo dosáhnout 8% projektové úspěšnosti a získat finanční podporu ve výši bezmála 2,5 mil. EUR v rámci opatření ERA CHAIRS (ERA), které je zaměřeno na přijímání vynikajících vědeckých pracovníků na univerzity a</w:t>
      </w:r>
      <w:r w:rsidR="00DA0191">
        <w:rPr>
          <w:rFonts w:ascii="Arial" w:eastAsia="Times New Roman" w:hAnsi="Arial" w:cs="Arial"/>
          <w:lang w:eastAsia="cs-CZ"/>
        </w:rPr>
        <w:t> </w:t>
      </w:r>
      <w:r w:rsidRPr="005F56F6">
        <w:rPr>
          <w:rFonts w:ascii="Arial" w:eastAsia="Times New Roman" w:hAnsi="Arial" w:cs="Arial"/>
          <w:lang w:eastAsia="cs-CZ"/>
        </w:rPr>
        <w:t xml:space="preserve">výzkumné instituce, které mají vysoký potenciál pro rozvoj výzkumné excelence (Rakousko v rámci </w:t>
      </w:r>
      <w:r w:rsidRPr="005F56F6">
        <w:rPr>
          <w:rFonts w:ascii="Arial" w:eastAsia="Times New Roman" w:hAnsi="Arial" w:cs="Arial"/>
          <w:lang w:eastAsia="cs-CZ"/>
        </w:rPr>
        <w:lastRenderedPageBreak/>
        <w:t>tohoto opatření neparticipovalo).</w:t>
      </w:r>
      <w:r w:rsidRPr="005F56F6">
        <w:rPr>
          <w:rStyle w:val="Znakapoznpodarou"/>
          <w:rFonts w:ascii="Arial" w:eastAsia="Times New Roman" w:hAnsi="Arial" w:cs="Arial"/>
          <w:lang w:eastAsia="cs-CZ"/>
        </w:rPr>
        <w:footnoteReference w:id="20"/>
      </w:r>
      <w:r w:rsidRPr="005F56F6">
        <w:rPr>
          <w:rFonts w:ascii="Arial" w:eastAsia="Times New Roman" w:hAnsi="Arial" w:cs="Arial"/>
          <w:lang w:eastAsia="cs-CZ"/>
        </w:rPr>
        <w:t xml:space="preserve"> V oblasti Odpovědného výzkumu a inovací (GOV) a oblasti zaměřené na </w:t>
      </w:r>
      <w:proofErr w:type="spellStart"/>
      <w:r w:rsidRPr="005F56F6">
        <w:rPr>
          <w:rFonts w:ascii="Arial" w:eastAsia="Times New Roman" w:hAnsi="Arial" w:cs="Arial"/>
          <w:lang w:eastAsia="cs-CZ"/>
        </w:rPr>
        <w:t>Teaming</w:t>
      </w:r>
      <w:proofErr w:type="spellEnd"/>
      <w:r w:rsidRPr="005F56F6">
        <w:rPr>
          <w:rFonts w:ascii="Arial" w:eastAsia="Times New Roman" w:hAnsi="Arial" w:cs="Arial"/>
          <w:lang w:eastAsia="cs-CZ"/>
        </w:rPr>
        <w:t xml:space="preserve"> mezi excelentními výzkumnými organizacemi a regiony, které vykazují nižší efektivitu v oblasti výzkumu (WIDSPREAD), měla ČR vyšší projektovou úspěšnost než Rakousko. V případě druhé jmenované oblasti se ČR podařilo získat vyšší finanční podporu. Z pohledu získané finanční podpory byla ČR úspěšnější rovněž v oblasti zaměřené na partnerství výzkumných organizací (TWINNING). Jak je patrné ze schématu, ve sledovaném období předložily subjekty z Rakouska více než dvounásobné množství způsobilých projektů oproti subjektům z ČR, což při celkové vyšší projektové úspěšnosti znamenalo také výrazně vyšší celkovou finanční podporu pro tyto subjekty (920 mil. EUR) oproti subjektům z ČR (198 mil. EUR).</w:t>
      </w:r>
    </w:p>
    <w:p w:rsidR="008E7867" w:rsidRDefault="008E7867">
      <w:pPr>
        <w:rPr>
          <w:rFonts w:ascii="Arial" w:eastAsia="Times New Roman" w:hAnsi="Arial" w:cs="Arial"/>
          <w:lang w:eastAsia="cs-CZ"/>
        </w:rPr>
      </w:pPr>
      <w:r>
        <w:rPr>
          <w:rFonts w:ascii="Arial" w:eastAsia="Times New Roman" w:hAnsi="Arial" w:cs="Arial"/>
          <w:lang w:eastAsia="cs-CZ"/>
        </w:rPr>
        <w:br w:type="page"/>
      </w:r>
    </w:p>
    <w:p w:rsidR="008E7867" w:rsidRPr="005F56F6" w:rsidRDefault="008E7867" w:rsidP="008E7867">
      <w:pPr>
        <w:pStyle w:val="Obrzek"/>
      </w:pPr>
      <w:r w:rsidRPr="005F56F6">
        <w:lastRenderedPageBreak/>
        <w:t>Obrázek 3.1: Úspěšnost ČR v programu H2020 v mezinárodním srovnání</w:t>
      </w:r>
    </w:p>
    <w:p w:rsidR="008E7867" w:rsidRPr="005F56F6" w:rsidRDefault="008E7867" w:rsidP="008E7867">
      <w:pPr>
        <w:spacing w:after="0"/>
        <w:jc w:val="center"/>
      </w:pPr>
      <w:r w:rsidRPr="005F56F6">
        <w:rPr>
          <w:noProof/>
          <w:lang w:eastAsia="cs-CZ"/>
        </w:rPr>
        <w:drawing>
          <wp:inline distT="0" distB="0" distL="0" distR="0" wp14:anchorId="683610D4" wp14:editId="7D30882D">
            <wp:extent cx="4290748" cy="3623094"/>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291160" cy="3623442"/>
                    </a:xfrm>
                    <a:prstGeom prst="rect">
                      <a:avLst/>
                    </a:prstGeom>
                    <a:noFill/>
                  </pic:spPr>
                </pic:pic>
              </a:graphicData>
            </a:graphic>
          </wp:inline>
        </w:drawing>
      </w:r>
    </w:p>
    <w:p w:rsidR="008E7867" w:rsidRPr="005F56F6" w:rsidRDefault="008E7867" w:rsidP="008E7867">
      <w:pPr>
        <w:spacing w:after="360"/>
        <w:jc w:val="center"/>
      </w:pPr>
      <w:r w:rsidRPr="005F56F6">
        <w:rPr>
          <w:noProof/>
          <w:lang w:eastAsia="cs-CZ"/>
        </w:rPr>
        <mc:AlternateContent>
          <mc:Choice Requires="wpg">
            <w:drawing>
              <wp:inline distT="0" distB="0" distL="0" distR="0" wp14:anchorId="1373764D" wp14:editId="4F8E27BC">
                <wp:extent cx="5410200" cy="3950725"/>
                <wp:effectExtent l="19050" t="0" r="552450" b="164465"/>
                <wp:docPr id="42" name="Skupina 42"/>
                <wp:cNvGraphicFramePr/>
                <a:graphic xmlns:a="http://schemas.openxmlformats.org/drawingml/2006/main">
                  <a:graphicData uri="http://schemas.microsoft.com/office/word/2010/wordprocessingGroup">
                    <wpg:wgp>
                      <wpg:cNvGrpSpPr/>
                      <wpg:grpSpPr>
                        <a:xfrm>
                          <a:off x="0" y="0"/>
                          <a:ext cx="5410200" cy="3950725"/>
                          <a:chOff x="0" y="0"/>
                          <a:chExt cx="6133263" cy="4216102"/>
                        </a:xfrm>
                      </wpg:grpSpPr>
                      <wpg:grpSp>
                        <wpg:cNvPr id="43" name="Skupina 43"/>
                        <wpg:cNvGrpSpPr/>
                        <wpg:grpSpPr>
                          <a:xfrm>
                            <a:off x="0" y="0"/>
                            <a:ext cx="6133263" cy="4216102"/>
                            <a:chOff x="0" y="0"/>
                            <a:chExt cx="6799341" cy="4674712"/>
                          </a:xfrm>
                        </wpg:grpSpPr>
                        <wpg:graphicFrame>
                          <wpg:cNvPr id="44" name="Diagram 44"/>
                          <wpg:cNvFrPr/>
                          <wpg:xfrm>
                            <a:off x="0" y="3062132"/>
                            <a:ext cx="3066457" cy="1508708"/>
                          </wpg:xfrm>
                          <a:graphic>
                            <a:graphicData uri="http://schemas.openxmlformats.org/drawingml/2006/diagram">
                              <dgm:relIds xmlns:dgm="http://schemas.openxmlformats.org/drawingml/2006/diagram" xmlns:r="http://schemas.openxmlformats.org/officeDocument/2006/relationships" r:dm="rId26" r:lo="rId27" r:qs="rId28" r:cs="rId29"/>
                            </a:graphicData>
                          </a:graphic>
                        </wpg:graphicFrame>
                        <wpg:graphicFrame>
                          <wpg:cNvPr id="45" name="Diagram 45"/>
                          <wpg:cNvFrPr/>
                          <wpg:xfrm>
                            <a:off x="971428" y="457200"/>
                            <a:ext cx="4080293" cy="3079630"/>
                          </wpg:xfrm>
                          <a:graphic>
                            <a:graphicData uri="http://schemas.openxmlformats.org/drawingml/2006/diagram">
                              <dgm:relIds xmlns:dgm="http://schemas.openxmlformats.org/drawingml/2006/diagram" xmlns:r="http://schemas.openxmlformats.org/officeDocument/2006/relationships" r:dm="rId31" r:lo="rId32" r:qs="rId33" r:cs="rId34"/>
                            </a:graphicData>
                          </a:graphic>
                        </wpg:graphicFrame>
                        <wpg:graphicFrame>
                          <wpg:cNvPr id="46" name="Diagram 46"/>
                          <wpg:cNvFrPr/>
                          <wpg:xfrm>
                            <a:off x="2788058" y="2871791"/>
                            <a:ext cx="4011283" cy="1802921"/>
                          </wpg:xfrm>
                          <a:graphic>
                            <a:graphicData uri="http://schemas.openxmlformats.org/drawingml/2006/diagram">
                              <dgm:relIds xmlns:dgm="http://schemas.openxmlformats.org/drawingml/2006/diagram" xmlns:r="http://schemas.openxmlformats.org/officeDocument/2006/relationships" r:dm="rId36" r:lo="rId37" r:qs="rId38" r:cs="rId39"/>
                            </a:graphicData>
                          </a:graphic>
                        </wpg:graphicFrame>
                        <wps:wsp>
                          <wps:cNvPr id="47" name="Textové pole 2"/>
                          <wps:cNvSpPr txBox="1">
                            <a:spLocks noChangeArrowheads="1"/>
                          </wps:cNvSpPr>
                          <wps:spPr bwMode="auto">
                            <a:xfrm>
                              <a:off x="1878519" y="0"/>
                              <a:ext cx="2303253" cy="353683"/>
                            </a:xfrm>
                            <a:prstGeom prst="rect">
                              <a:avLst/>
                            </a:prstGeom>
                            <a:noFill/>
                            <a:ln w="9525">
                              <a:noFill/>
                              <a:miter lim="800000"/>
                              <a:headEnd/>
                              <a:tailEnd/>
                            </a:ln>
                          </wps:spPr>
                          <wps:txbx>
                            <w:txbxContent>
                              <w:p w:rsidR="00250396" w:rsidRPr="004226C2" w:rsidRDefault="00250396" w:rsidP="008E7867">
                                <w:pPr>
                                  <w:spacing w:after="0"/>
                                  <w:jc w:val="center"/>
                                  <w:rPr>
                                    <w:b/>
                                    <w:sz w:val="28"/>
                                    <w:u w:val="single"/>
                                  </w:rPr>
                                </w:pPr>
                                <w:r w:rsidRPr="004226C2">
                                  <w:rPr>
                                    <w:b/>
                                    <w:sz w:val="28"/>
                                  </w:rPr>
                                  <w:t>Finanční podpora</w:t>
                                </w:r>
                              </w:p>
                            </w:txbxContent>
                          </wps:txbx>
                          <wps:bodyPr rot="0" vert="horz" wrap="square" lIns="91440" tIns="45720" rIns="91440" bIns="45720" anchor="t" anchorCtr="0">
                            <a:noAutofit/>
                          </wps:bodyPr>
                        </wps:wsp>
                      </wpg:grpSp>
                      <wps:wsp>
                        <wps:cNvPr id="48" name="Textové pole 2"/>
                        <wps:cNvSpPr txBox="1">
                          <a:spLocks noChangeArrowheads="1"/>
                        </wps:cNvSpPr>
                        <wps:spPr bwMode="auto">
                          <a:xfrm>
                            <a:off x="10" y="2377440"/>
                            <a:ext cx="2306320" cy="313690"/>
                          </a:xfrm>
                          <a:prstGeom prst="rect">
                            <a:avLst/>
                          </a:prstGeom>
                          <a:noFill/>
                          <a:ln w="9525">
                            <a:noFill/>
                            <a:miter lim="800000"/>
                            <a:headEnd/>
                            <a:tailEnd/>
                          </a:ln>
                        </wps:spPr>
                        <wps:txbx>
                          <w:txbxContent>
                            <w:p w:rsidR="00250396" w:rsidRPr="00CC1157" w:rsidRDefault="00250396" w:rsidP="008E7867">
                              <w:pPr>
                                <w:pBdr>
                                  <w:bottom w:val="single" w:sz="4" w:space="1" w:color="92D050"/>
                                </w:pBdr>
                                <w:spacing w:after="0"/>
                                <w:jc w:val="center"/>
                                <w:rPr>
                                  <w:b/>
                                </w:rPr>
                              </w:pPr>
                              <w:r w:rsidRPr="00CC1157">
                                <w:rPr>
                                  <w:b/>
                                </w:rPr>
                                <w:t>Česká republika</w:t>
                              </w:r>
                            </w:p>
                          </w:txbxContent>
                        </wps:txbx>
                        <wps:bodyPr rot="0" vert="horz" wrap="square" lIns="91440" tIns="45720" rIns="91440" bIns="45720" anchor="t" anchorCtr="0">
                          <a:noAutofit/>
                        </wps:bodyPr>
                      </wps:wsp>
                      <wps:wsp>
                        <wps:cNvPr id="49" name="Textové pole 2"/>
                        <wps:cNvSpPr txBox="1">
                          <a:spLocks noChangeArrowheads="1"/>
                        </wps:cNvSpPr>
                        <wps:spPr bwMode="auto">
                          <a:xfrm>
                            <a:off x="3227898" y="2377440"/>
                            <a:ext cx="2306320" cy="313690"/>
                          </a:xfrm>
                          <a:prstGeom prst="rect">
                            <a:avLst/>
                          </a:prstGeom>
                          <a:noFill/>
                          <a:ln w="9525">
                            <a:noFill/>
                            <a:miter lim="800000"/>
                            <a:headEnd/>
                            <a:tailEnd/>
                          </a:ln>
                        </wps:spPr>
                        <wps:txbx>
                          <w:txbxContent>
                            <w:p w:rsidR="00250396" w:rsidRPr="00CC1157" w:rsidRDefault="00250396" w:rsidP="008E7867">
                              <w:pPr>
                                <w:pBdr>
                                  <w:bottom w:val="single" w:sz="4" w:space="1" w:color="943634" w:themeColor="accent2" w:themeShade="BF"/>
                                </w:pBdr>
                                <w:spacing w:after="0"/>
                                <w:jc w:val="center"/>
                                <w:rPr>
                                  <w:b/>
                                </w:rPr>
                              </w:pPr>
                              <w:r>
                                <w:rPr>
                                  <w:b/>
                                </w:rPr>
                                <w:t>Rakousko</w:t>
                              </w:r>
                            </w:p>
                          </w:txbxContent>
                        </wps:txbx>
                        <wps:bodyPr rot="0" vert="horz" wrap="square" lIns="91440" tIns="45720" rIns="91440" bIns="45720" anchor="t" anchorCtr="0">
                          <a:noAutofit/>
                        </wps:bodyPr>
                      </wps:wsp>
                    </wpg:wgp>
                  </a:graphicData>
                </a:graphic>
              </wp:inline>
            </w:drawing>
          </mc:Choice>
          <mc:Fallback>
            <w:pict>
              <v:group id="Skupina 42" o:spid="_x0000_s1026" style="width:426pt;height:311.1pt;mso-position-horizontal-relative:char;mso-position-vertical-relative:line" coordsize="61332,42161" o:gfxdata="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">
                <v:group id="Skupina 43" o:spid="_x0000_s1027" style="position:absolute;width:61332;height:42161" coordsize="67993,46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 44" o:spid="_x0000_s1028" type="#_x0000_t75" style="position:absolute;left:383;top:32675;width:35471;height:1428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">
                    <v:imagedata r:id="rId41" o:title=""/>
                    <o:lock v:ext="edit" aspectratio="f"/>
                  </v:shape>
                  <v:shape id="Diagram 45" o:spid="_x0000_s1029" type="#_x0000_t75" style="position:absolute;left:18157;top:4616;width:34475;height:3491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">
                    <v:imagedata r:id="rId42" o:title=""/>
                    <o:lock v:ext="edit" aspectratio="f"/>
                  </v:shape>
                  <v:shape id="Diagram 46" o:spid="_x0000_s1030" type="#_x0000_t75" style="position:absolute;left:35854;top:31016;width:38766;height:17167;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">
                    <v:imagedata r:id="rId43" o:title=""/>
                    <o:lock v:ext="edit" aspectratio="f"/>
                  </v:shape>
                  <v:shapetype id="_x0000_t202" coordsize="21600,21600" o:spt="202" path="m,l,21600r21600,l21600,xe">
                    <v:stroke joinstyle="miter"/>
                    <v:path gradientshapeok="t" o:connecttype="rect"/>
                  </v:shapetype>
                  <v:shape id="Textové pole 2" o:spid="_x0000_s1031" type="#_x0000_t202" style="position:absolute;left:18785;width:23032;height:35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pikMQA&#10;AADbAAAADwAAAGRycy9kb3ducmV2LnhtbESPQWvCQBSE7wX/w/IEb7qr2FbTbESUQk8tpip4e2Sf&#10;SWj2bchuTfrvuwWhx2FmvmHSzWAbcaPO1441zGcKBHHhTM2lhuPn63QFwgdkg41j0vBDHjbZ6CHF&#10;xLieD3TLQykihH2CGqoQ2kRKX1Rk0c9cSxy9q+sshii7UpoO+wi3jVwo9SQt1hwXKmxpV1HxlX9b&#10;Daf36+W8VB/l3j62vRuUZLuWWk/Gw/YFRKAh/Ifv7TejYfk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aYpDEAAAA2wAAAA8AAAAAAAAAAAAAAAAAmAIAAGRycy9k&#10;b3ducmV2LnhtbFBLBQYAAAAABAAEAPUAAACJAwAAAAA=&#10;" filled="f" stroked="f">
                    <v:textbox>
                      <w:txbxContent>
                        <w:p w:rsidR="00250396" w:rsidRPr="004226C2" w:rsidRDefault="00250396" w:rsidP="008E7867">
                          <w:pPr>
                            <w:spacing w:after="0"/>
                            <w:jc w:val="center"/>
                            <w:rPr>
                              <w:b/>
                              <w:sz w:val="28"/>
                              <w:u w:val="single"/>
                            </w:rPr>
                          </w:pPr>
                          <w:r w:rsidRPr="004226C2">
                            <w:rPr>
                              <w:b/>
                              <w:sz w:val="28"/>
                            </w:rPr>
                            <w:t>Finanční podpora</w:t>
                          </w:r>
                        </w:p>
                      </w:txbxContent>
                    </v:textbox>
                  </v:shape>
                </v:group>
                <v:shape id="Textové pole 2" o:spid="_x0000_s1032" type="#_x0000_t202" style="position:absolute;top:23774;width:23063;height:31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X24r4A&#10;AADbAAAADwAAAGRycy9kb3ducmV2LnhtbERPy4rCMBTdC/5DuII7TRxUtBpFRoRZOfgEd5fm2hab&#10;m9JE2/n7yUJweTjv5bq1pXhR7QvHGkZDBYI4dabgTMP5tBvMQPiAbLB0TBr+yMN61e0sMTGu4QO9&#10;jiETMYR9ghryEKpESp/mZNEPXUUcuburLYYI60yaGpsYbkv5pdRUWiw4NuRY0XdO6eP4tBou+/vt&#10;Ola/2dZOqsa1SrKdS637vXazABGoDR/x2/1jNIzj2Pgl/gC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F9uK+AAAA2wAAAA8AAAAAAAAAAAAAAAAAmAIAAGRycy9kb3ducmV2&#10;LnhtbFBLBQYAAAAABAAEAPUAAACDAwAAAAA=&#10;" filled="f" stroked="f">
                  <v:textbox>
                    <w:txbxContent>
                      <w:p w:rsidR="00250396" w:rsidRPr="00CC1157" w:rsidRDefault="00250396" w:rsidP="008E7867">
                        <w:pPr>
                          <w:pBdr>
                            <w:bottom w:val="single" w:sz="4" w:space="1" w:color="92D050"/>
                          </w:pBdr>
                          <w:spacing w:after="0"/>
                          <w:jc w:val="center"/>
                          <w:rPr>
                            <w:b/>
                          </w:rPr>
                        </w:pPr>
                        <w:r w:rsidRPr="00CC1157">
                          <w:rPr>
                            <w:b/>
                          </w:rPr>
                          <w:t>Česká republika</w:t>
                        </w:r>
                      </w:p>
                    </w:txbxContent>
                  </v:textbox>
                </v:shape>
                <v:shape id="Textové pole 2" o:spid="_x0000_s1033" type="#_x0000_t202" style="position:absolute;left:32278;top:23774;width:23064;height:31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lTecMA&#10;AADbAAAADwAAAGRycy9kb3ducmV2LnhtbESPzWrDMBCE74W8g9hAbrWUkpbYiWxCS6CnluYPclus&#10;jW1irYylxu7bV4VCjsPMfMOsi9G24ka9bxxrmCcKBHHpTMOVhsN++7gE4QOywdYxafghD0U+eVhj&#10;ZtzAX3TbhUpECPsMNdQhdJmUvqzJok9cRxy9i+sthij7Spoehwi3rXxS6kVabDgu1NjRa03ldfdt&#10;NRw/LufTQn1Wb/a5G9yoJNtUaj2bjpsViEBjuIf/2+9GwyK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lTecMAAADbAAAADwAAAAAAAAAAAAAAAACYAgAAZHJzL2Rv&#10;d25yZXYueG1sUEsFBgAAAAAEAAQA9QAAAIgDAAAAAA==&#10;" filled="f" stroked="f">
                  <v:textbox>
                    <w:txbxContent>
                      <w:p w:rsidR="00250396" w:rsidRPr="00CC1157" w:rsidRDefault="00250396" w:rsidP="008E7867">
                        <w:pPr>
                          <w:pBdr>
                            <w:bottom w:val="single" w:sz="4" w:space="1" w:color="943634" w:themeColor="accent2" w:themeShade="BF"/>
                          </w:pBdr>
                          <w:spacing w:after="0"/>
                          <w:jc w:val="center"/>
                          <w:rPr>
                            <w:b/>
                          </w:rPr>
                        </w:pPr>
                        <w:r>
                          <w:rPr>
                            <w:b/>
                          </w:rPr>
                          <w:t>Rakousko</w:t>
                        </w:r>
                      </w:p>
                    </w:txbxContent>
                  </v:textbox>
                </v:shape>
                <w10:anchorlock/>
              </v:group>
            </w:pict>
          </mc:Fallback>
        </mc:AlternateContent>
      </w:r>
    </w:p>
    <w:p w:rsidR="008E7867" w:rsidRPr="005F56F6" w:rsidRDefault="008E7867" w:rsidP="008E7867">
      <w:pPr>
        <w:rPr>
          <w:rFonts w:ascii="Arial" w:eastAsia="Times New Roman" w:hAnsi="Arial" w:cs="Times New Roman"/>
          <w:i/>
          <w:sz w:val="18"/>
          <w:szCs w:val="24"/>
          <w:lang w:eastAsia="cs-CZ"/>
        </w:rPr>
      </w:pPr>
      <w:r w:rsidRPr="005F56F6">
        <w:rPr>
          <w:rFonts w:ascii="Arial" w:eastAsia="Times New Roman" w:hAnsi="Arial" w:cs="Times New Roman"/>
          <w:i/>
          <w:sz w:val="18"/>
          <w:szCs w:val="24"/>
          <w:lang w:eastAsia="cs-CZ"/>
        </w:rPr>
        <w:t>Zdroj dat: TC AV ČR, data extrahována z databáze E-CORDA k 27. 4. 2018</w:t>
      </w:r>
    </w:p>
    <w:p w:rsidR="008E7867" w:rsidRPr="005F56F6" w:rsidRDefault="008E7867" w:rsidP="008E7867">
      <w:pPr>
        <w:rPr>
          <w:rFonts w:ascii="Arial" w:eastAsia="Times New Roman" w:hAnsi="Arial" w:cs="Times New Roman"/>
          <w:i/>
          <w:sz w:val="18"/>
          <w:szCs w:val="24"/>
          <w:lang w:eastAsia="cs-CZ"/>
        </w:rPr>
      </w:pPr>
      <w:r w:rsidRPr="005F56F6">
        <w:rPr>
          <w:rFonts w:ascii="Arial" w:eastAsia="Times New Roman" w:hAnsi="Arial" w:cs="Times New Roman"/>
          <w:i/>
          <w:sz w:val="18"/>
          <w:szCs w:val="24"/>
          <w:lang w:eastAsia="cs-CZ"/>
        </w:rPr>
        <w:t>Pro účely grafického zpracování byla provedena logaritmická transformace dat.</w:t>
      </w:r>
    </w:p>
    <w:p w:rsidR="008E7867" w:rsidRDefault="008E7867" w:rsidP="000C39F7">
      <w:pPr>
        <w:spacing w:after="0" w:line="360" w:lineRule="auto"/>
        <w:ind w:firstLine="708"/>
        <w:jc w:val="both"/>
        <w:rPr>
          <w:rFonts w:ascii="Arial" w:eastAsia="Times New Roman" w:hAnsi="Arial" w:cs="Arial"/>
          <w:lang w:eastAsia="cs-CZ"/>
        </w:rPr>
        <w:sectPr w:rsidR="008E7867" w:rsidSect="008E7867">
          <w:pgSz w:w="11906" w:h="16838"/>
          <w:pgMar w:top="1134" w:right="1134" w:bottom="1134" w:left="1134" w:header="709" w:footer="709" w:gutter="0"/>
          <w:cols w:space="708"/>
          <w:docGrid w:linePitch="360"/>
        </w:sectPr>
      </w:pPr>
    </w:p>
    <w:p w:rsidR="008E7867" w:rsidRPr="005F56F6" w:rsidRDefault="008E7867" w:rsidP="008E7867">
      <w:pPr>
        <w:pStyle w:val="Obrzek"/>
      </w:pPr>
      <w:r w:rsidRPr="005F56F6">
        <w:lastRenderedPageBreak/>
        <w:t xml:space="preserve">Tabulka 3.3: Program Horizont 2020 v ČR </w:t>
      </w:r>
      <w:r w:rsidRPr="005F56F6">
        <w:rPr>
          <w:i/>
        </w:rPr>
        <w:t>–</w:t>
      </w:r>
      <w:r w:rsidRPr="005F56F6">
        <w:t xml:space="preserve"> úspěšnost návrhů projektů v prioritních oblastech </w:t>
      </w:r>
    </w:p>
    <w:p w:rsidR="008E7867" w:rsidRPr="005F56F6" w:rsidRDefault="008E7867" w:rsidP="008E7867">
      <w:r w:rsidRPr="005F56F6">
        <w:rPr>
          <w:noProof/>
          <w:lang w:eastAsia="cs-CZ"/>
        </w:rPr>
        <w:drawing>
          <wp:inline distT="0" distB="0" distL="0" distR="0" wp14:anchorId="4502998B" wp14:editId="0FC93999">
            <wp:extent cx="8892540" cy="4324650"/>
            <wp:effectExtent l="0" t="0" r="381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892540" cy="4324650"/>
                    </a:xfrm>
                    <a:prstGeom prst="rect">
                      <a:avLst/>
                    </a:prstGeom>
                    <a:noFill/>
                    <a:ln>
                      <a:noFill/>
                    </a:ln>
                  </pic:spPr>
                </pic:pic>
              </a:graphicData>
            </a:graphic>
          </wp:inline>
        </w:drawing>
      </w:r>
    </w:p>
    <w:p w:rsidR="00614550" w:rsidRDefault="00614550">
      <w:r>
        <w:br w:type="page"/>
      </w:r>
    </w:p>
    <w:p w:rsidR="008E7867" w:rsidRPr="005F56F6" w:rsidRDefault="008E7867" w:rsidP="008E7867"/>
    <w:p w:rsidR="008E7867" w:rsidRPr="005F56F6" w:rsidRDefault="008E7867" w:rsidP="008E7867">
      <w:r w:rsidRPr="005F56F6">
        <w:rPr>
          <w:noProof/>
          <w:lang w:eastAsia="cs-CZ"/>
        </w:rPr>
        <w:drawing>
          <wp:inline distT="0" distB="0" distL="0" distR="0" wp14:anchorId="35B35CBA" wp14:editId="3CF9239D">
            <wp:extent cx="8892540" cy="4288433"/>
            <wp:effectExtent l="0" t="0" r="381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892540" cy="4288433"/>
                    </a:xfrm>
                    <a:prstGeom prst="rect">
                      <a:avLst/>
                    </a:prstGeom>
                    <a:noFill/>
                    <a:ln>
                      <a:noFill/>
                    </a:ln>
                  </pic:spPr>
                </pic:pic>
              </a:graphicData>
            </a:graphic>
          </wp:inline>
        </w:drawing>
      </w:r>
    </w:p>
    <w:p w:rsidR="000C39F7" w:rsidRDefault="008E7867" w:rsidP="008E7867">
      <w:pPr>
        <w:spacing w:after="0" w:line="360" w:lineRule="auto"/>
        <w:ind w:firstLine="708"/>
        <w:jc w:val="both"/>
        <w:rPr>
          <w:rFonts w:ascii="Arial" w:eastAsia="Times New Roman" w:hAnsi="Arial" w:cs="Arial"/>
          <w:lang w:eastAsia="cs-CZ"/>
        </w:rPr>
      </w:pPr>
      <w:r w:rsidRPr="005F56F6">
        <w:rPr>
          <w:rFonts w:ascii="Arial" w:eastAsia="Times New Roman" w:hAnsi="Arial" w:cs="Times New Roman"/>
          <w:i/>
          <w:sz w:val="18"/>
          <w:szCs w:val="24"/>
          <w:lang w:eastAsia="cs-CZ"/>
        </w:rPr>
        <w:t>Zdroj dat: TC AV ČR, data extrahována z databáze E-CORDA k 27. 4. 2018</w:t>
      </w:r>
    </w:p>
    <w:p w:rsidR="008E7867" w:rsidRDefault="008E7867" w:rsidP="000C39F7">
      <w:pPr>
        <w:spacing w:after="0" w:line="360" w:lineRule="auto"/>
        <w:ind w:firstLine="708"/>
        <w:jc w:val="both"/>
        <w:rPr>
          <w:rFonts w:ascii="Arial" w:eastAsia="Times New Roman" w:hAnsi="Arial" w:cs="Arial"/>
          <w:lang w:eastAsia="cs-CZ"/>
        </w:rPr>
      </w:pPr>
    </w:p>
    <w:p w:rsidR="008E7867" w:rsidRDefault="008E7867" w:rsidP="000C39F7">
      <w:pPr>
        <w:spacing w:after="0" w:line="360" w:lineRule="auto"/>
        <w:ind w:firstLine="708"/>
        <w:jc w:val="both"/>
        <w:rPr>
          <w:rFonts w:ascii="Arial" w:eastAsia="Times New Roman" w:hAnsi="Arial" w:cs="Arial"/>
          <w:lang w:eastAsia="cs-CZ"/>
        </w:rPr>
        <w:sectPr w:rsidR="008E7867" w:rsidSect="008E7867">
          <w:pgSz w:w="16838" w:h="11906" w:orient="landscape"/>
          <w:pgMar w:top="1134" w:right="1134" w:bottom="1134" w:left="1134" w:header="709" w:footer="709" w:gutter="0"/>
          <w:cols w:space="708"/>
          <w:docGrid w:linePitch="360"/>
        </w:sectPr>
      </w:pPr>
    </w:p>
    <w:p w:rsidR="000C39F7" w:rsidRDefault="000C39F7" w:rsidP="000C39F7">
      <w:pPr>
        <w:pStyle w:val="NadpisurovenI"/>
        <w:numPr>
          <w:ilvl w:val="0"/>
          <w:numId w:val="33"/>
        </w:numPr>
        <w:jc w:val="both"/>
      </w:pPr>
      <w:bookmarkStart w:id="16" w:name="_Toc529974111"/>
      <w:r w:rsidRPr="00F657F4">
        <w:lastRenderedPageBreak/>
        <w:t xml:space="preserve">Implementace </w:t>
      </w:r>
      <w:r>
        <w:t>N</w:t>
      </w:r>
      <w:r w:rsidRPr="00F657F4">
        <w:t xml:space="preserve">árodní </w:t>
      </w:r>
      <w:r>
        <w:t xml:space="preserve">výzkumné a inovační </w:t>
      </w:r>
      <w:r w:rsidRPr="00F657F4">
        <w:t>strategie pro inteligentní specializaci</w:t>
      </w:r>
      <w:r>
        <w:t xml:space="preserve"> ČR</w:t>
      </w:r>
      <w:bookmarkEnd w:id="16"/>
    </w:p>
    <w:p w:rsidR="000C39F7" w:rsidRPr="000C39F7" w:rsidRDefault="00E84957" w:rsidP="00E84957">
      <w:pPr>
        <w:spacing w:after="0" w:line="360" w:lineRule="auto"/>
        <w:ind w:firstLine="357"/>
        <w:jc w:val="both"/>
        <w:rPr>
          <w:rFonts w:ascii="Arial" w:eastAsia="Times New Roman" w:hAnsi="Arial" w:cs="Arial"/>
          <w:lang w:eastAsia="cs-CZ"/>
        </w:rPr>
      </w:pPr>
      <w:r w:rsidRPr="006A54E8">
        <w:rPr>
          <w:rFonts w:ascii="Arial" w:hAnsi="Arial" w:cs="Arial"/>
          <w:i/>
          <w:lang w:eastAsia="cs-CZ"/>
        </w:rPr>
        <w:t>Národní výzkumná a inovační strategie pro inteligentní specializaci České republiky</w:t>
      </w:r>
      <w:r w:rsidRPr="00B4528E">
        <w:rPr>
          <w:rFonts w:ascii="Arial" w:hAnsi="Arial" w:cs="Arial"/>
          <w:lang w:eastAsia="cs-CZ"/>
        </w:rPr>
        <w:t xml:space="preserve"> (dále jen </w:t>
      </w:r>
      <w:r w:rsidRPr="006A54E8">
        <w:rPr>
          <w:rFonts w:ascii="Arial" w:hAnsi="Arial" w:cs="Arial"/>
          <w:i/>
          <w:lang w:eastAsia="cs-CZ"/>
        </w:rPr>
        <w:t>„Národní RIS3 strategie“</w:t>
      </w:r>
      <w:r w:rsidRPr="00B4528E">
        <w:rPr>
          <w:rFonts w:ascii="Arial" w:hAnsi="Arial" w:cs="Arial"/>
          <w:lang w:eastAsia="cs-CZ"/>
        </w:rPr>
        <w:t xml:space="preserve"> z anglického </w:t>
      </w:r>
      <w:proofErr w:type="spellStart"/>
      <w:r w:rsidRPr="00B4528E">
        <w:rPr>
          <w:rFonts w:ascii="Arial" w:hAnsi="Arial" w:cs="Arial"/>
          <w:lang w:eastAsia="cs-CZ"/>
        </w:rPr>
        <w:t>Research</w:t>
      </w:r>
      <w:proofErr w:type="spellEnd"/>
      <w:r w:rsidRPr="00B4528E">
        <w:rPr>
          <w:rFonts w:ascii="Arial" w:hAnsi="Arial" w:cs="Arial"/>
          <w:lang w:eastAsia="cs-CZ"/>
        </w:rPr>
        <w:t xml:space="preserve"> and </w:t>
      </w:r>
      <w:proofErr w:type="spellStart"/>
      <w:r w:rsidRPr="00B4528E">
        <w:rPr>
          <w:rFonts w:ascii="Arial" w:hAnsi="Arial" w:cs="Arial"/>
          <w:lang w:eastAsia="cs-CZ"/>
        </w:rPr>
        <w:t>Innovation</w:t>
      </w:r>
      <w:proofErr w:type="spellEnd"/>
      <w:r w:rsidRPr="00B4528E">
        <w:rPr>
          <w:rFonts w:ascii="Arial" w:hAnsi="Arial" w:cs="Arial"/>
          <w:lang w:eastAsia="cs-CZ"/>
        </w:rPr>
        <w:t xml:space="preserve"> </w:t>
      </w:r>
      <w:proofErr w:type="spellStart"/>
      <w:r w:rsidRPr="00B4528E">
        <w:rPr>
          <w:rFonts w:ascii="Arial" w:hAnsi="Arial" w:cs="Arial"/>
          <w:lang w:eastAsia="cs-CZ"/>
        </w:rPr>
        <w:t>Strategy</w:t>
      </w:r>
      <w:proofErr w:type="spellEnd"/>
      <w:r w:rsidRPr="00B4528E">
        <w:rPr>
          <w:rFonts w:ascii="Arial" w:hAnsi="Arial" w:cs="Arial"/>
          <w:lang w:eastAsia="cs-CZ"/>
        </w:rPr>
        <w:t xml:space="preserve"> </w:t>
      </w:r>
      <w:proofErr w:type="spellStart"/>
      <w:r w:rsidRPr="00B4528E">
        <w:rPr>
          <w:rFonts w:ascii="Arial" w:hAnsi="Arial" w:cs="Arial"/>
          <w:lang w:eastAsia="cs-CZ"/>
        </w:rPr>
        <w:t>for</w:t>
      </w:r>
      <w:proofErr w:type="spellEnd"/>
      <w:r w:rsidRPr="00B4528E">
        <w:rPr>
          <w:rFonts w:ascii="Arial" w:hAnsi="Arial" w:cs="Arial"/>
          <w:lang w:eastAsia="cs-CZ"/>
        </w:rPr>
        <w:t xml:space="preserve"> Smart </w:t>
      </w:r>
      <w:proofErr w:type="spellStart"/>
      <w:r w:rsidRPr="00B4528E">
        <w:rPr>
          <w:rFonts w:ascii="Arial" w:hAnsi="Arial" w:cs="Arial"/>
          <w:lang w:eastAsia="cs-CZ"/>
        </w:rPr>
        <w:t>Specialisation</w:t>
      </w:r>
      <w:proofErr w:type="spellEnd"/>
      <w:r w:rsidRPr="00B4528E">
        <w:rPr>
          <w:rFonts w:ascii="Arial" w:hAnsi="Arial" w:cs="Arial"/>
          <w:lang w:eastAsia="cs-CZ"/>
        </w:rPr>
        <w:t xml:space="preserve">) je strategický dokument zajišťující efektivní zacílení evropských, národních, regionálních a soukromých prostředků na aktivity vedoucí k posílení inovační kapacity a do prioritně vytyčených perspektivních oblastí na národní i krajské úrovni s cílem maximálně využít znalostní potenciál. </w:t>
      </w:r>
      <w:r w:rsidRPr="006A54E8">
        <w:rPr>
          <w:rFonts w:ascii="Arial" w:hAnsi="Arial" w:cs="Arial"/>
          <w:i/>
          <w:lang w:eastAsia="cs-CZ"/>
        </w:rPr>
        <w:t>Národní RIS3 strategie</w:t>
      </w:r>
      <w:r w:rsidRPr="00B4528E">
        <w:rPr>
          <w:rFonts w:ascii="Arial" w:hAnsi="Arial" w:cs="Arial"/>
          <w:lang w:eastAsia="cs-CZ"/>
        </w:rPr>
        <w:t xml:space="preserve"> představuje jeden z implementačních nástrojů Národní politiky VaVaI. Následující oddíly prezentují základní popis i některé údaje ze souhrnného monitoringu provedeného Ministerstvem průmyslu a obchodu (Oddělení strategie S3) na harmonizované sadě primárních dat o projektech navázaných na Národní RIS3 strategii, vztahujících se k období 2015 až květen 2018.</w:t>
      </w:r>
    </w:p>
    <w:p w:rsidR="000C39F7" w:rsidRPr="000C39F7" w:rsidRDefault="000C39F7" w:rsidP="000C39F7">
      <w:pPr>
        <w:pStyle w:val="NadpisurovemII"/>
        <w:numPr>
          <w:ilvl w:val="1"/>
          <w:numId w:val="33"/>
        </w:numPr>
        <w:ind w:hanging="792"/>
        <w:jc w:val="both"/>
        <w:rPr>
          <w:rFonts w:eastAsia="Times New Roman"/>
        </w:rPr>
      </w:pPr>
      <w:bookmarkStart w:id="17" w:name="_Toc529974112"/>
      <w:r w:rsidRPr="000C39F7">
        <w:rPr>
          <w:rFonts w:eastAsia="Times New Roman"/>
        </w:rPr>
        <w:t>Charakteristika Národní RIS3 strategie</w:t>
      </w:r>
      <w:bookmarkEnd w:id="17"/>
    </w:p>
    <w:p w:rsidR="00E84957" w:rsidRPr="00B4528E" w:rsidRDefault="00E84957" w:rsidP="00E84957">
      <w:pPr>
        <w:spacing w:after="0" w:line="360" w:lineRule="auto"/>
        <w:ind w:firstLine="360"/>
        <w:jc w:val="both"/>
        <w:rPr>
          <w:rFonts w:ascii="Arial" w:hAnsi="Arial" w:cs="Arial"/>
          <w:lang w:eastAsia="cs-CZ"/>
        </w:rPr>
      </w:pPr>
      <w:bookmarkStart w:id="18" w:name="_Toc495662293"/>
      <w:r w:rsidRPr="00B4528E">
        <w:rPr>
          <w:rFonts w:ascii="Arial" w:hAnsi="Arial" w:cs="Arial"/>
          <w:lang w:eastAsia="cs-CZ"/>
        </w:rPr>
        <w:t xml:space="preserve">V kontextu veřejných evropských politik představuje </w:t>
      </w:r>
      <w:r w:rsidRPr="006A54E8">
        <w:rPr>
          <w:rFonts w:ascii="Arial" w:hAnsi="Arial" w:cs="Arial"/>
          <w:i/>
          <w:lang w:eastAsia="cs-CZ"/>
        </w:rPr>
        <w:t>Národní RIS3 strategie</w:t>
      </w:r>
      <w:r w:rsidRPr="00B4528E">
        <w:rPr>
          <w:rFonts w:ascii="Arial" w:hAnsi="Arial" w:cs="Arial"/>
          <w:lang w:eastAsia="cs-CZ"/>
        </w:rPr>
        <w:t xml:space="preserve"> předpoklad pro naplňování regionální a kohezní politiky EU a cílů strategie Evropa 2020, formulovaných v reakci na ekonomickou krizi z let 2007 a 2008. Stručně řečeno jde o strategii pro hospodářský růst založený na principech inteligentních řešení (</w:t>
      </w:r>
      <w:proofErr w:type="spellStart"/>
      <w:r w:rsidRPr="00B4528E">
        <w:rPr>
          <w:rFonts w:ascii="Arial" w:hAnsi="Arial" w:cs="Arial"/>
          <w:lang w:eastAsia="cs-CZ"/>
        </w:rPr>
        <w:t>smartness</w:t>
      </w:r>
      <w:proofErr w:type="spellEnd"/>
      <w:r w:rsidRPr="00B4528E">
        <w:rPr>
          <w:rFonts w:ascii="Arial" w:hAnsi="Arial" w:cs="Arial"/>
          <w:lang w:eastAsia="cs-CZ"/>
        </w:rPr>
        <w:t>), udržitelnosti a</w:t>
      </w:r>
      <w:r w:rsidR="00DA0191">
        <w:rPr>
          <w:rFonts w:ascii="Arial" w:hAnsi="Arial" w:cs="Arial"/>
          <w:lang w:eastAsia="cs-CZ"/>
        </w:rPr>
        <w:t> </w:t>
      </w:r>
      <w:proofErr w:type="spellStart"/>
      <w:r w:rsidRPr="00B4528E">
        <w:rPr>
          <w:rFonts w:ascii="Arial" w:hAnsi="Arial" w:cs="Arial"/>
          <w:lang w:eastAsia="cs-CZ"/>
        </w:rPr>
        <w:t>inkluzivity</w:t>
      </w:r>
      <w:proofErr w:type="spellEnd"/>
      <w:r w:rsidRPr="00B4528E">
        <w:rPr>
          <w:rFonts w:ascii="Arial" w:hAnsi="Arial" w:cs="Arial"/>
          <w:lang w:eastAsia="cs-CZ"/>
        </w:rPr>
        <w:t>. Z tohoto titulu představuje existence propracované Národní RIS3 strategie předběžnou podmínku pro uskutečňování intervencí regionální politiky Evropské unie v</w:t>
      </w:r>
      <w:r w:rsidR="00DA0191">
        <w:rPr>
          <w:rFonts w:ascii="Arial" w:hAnsi="Arial" w:cs="Arial"/>
          <w:lang w:eastAsia="cs-CZ"/>
        </w:rPr>
        <w:t> </w:t>
      </w:r>
      <w:r w:rsidRPr="00B4528E">
        <w:rPr>
          <w:rFonts w:ascii="Arial" w:hAnsi="Arial" w:cs="Arial"/>
          <w:lang w:eastAsia="cs-CZ"/>
        </w:rPr>
        <w:t>oblasti výzkumu, vývoje a inovací, přesněji v tematických cílech zaměřených převážně na inovace, informační a komunikační technologie a technologický rozvoj (Nařízení Evropského parlamentu a Rady č. 1303/2013). Následně se však v duchu téhož nařízení Národní RIS3 strategie stává pro danou oblast také základním koordinačním mechanismem intervencí všech, bez ohledu na to, z jakého zdroje jsou financovány.</w:t>
      </w:r>
    </w:p>
    <w:p w:rsidR="00E84957" w:rsidRPr="00B4528E" w:rsidRDefault="00E84957" w:rsidP="00E84957">
      <w:pPr>
        <w:spacing w:after="0" w:line="360" w:lineRule="auto"/>
        <w:ind w:firstLine="360"/>
        <w:jc w:val="both"/>
        <w:rPr>
          <w:rFonts w:ascii="Arial" w:hAnsi="Arial" w:cs="Arial"/>
          <w:lang w:eastAsia="cs-CZ"/>
        </w:rPr>
      </w:pPr>
      <w:r w:rsidRPr="00B4528E">
        <w:rPr>
          <w:rFonts w:ascii="Arial" w:hAnsi="Arial" w:cs="Arial"/>
          <w:lang w:eastAsia="cs-CZ"/>
        </w:rPr>
        <w:t xml:space="preserve">Významným rysem koncipování </w:t>
      </w:r>
      <w:r w:rsidRPr="006A54E8">
        <w:rPr>
          <w:rFonts w:ascii="Arial" w:hAnsi="Arial" w:cs="Arial"/>
          <w:i/>
          <w:lang w:eastAsia="cs-CZ"/>
        </w:rPr>
        <w:t>Národní RIS3 strategie</w:t>
      </w:r>
      <w:r w:rsidRPr="00B4528E">
        <w:rPr>
          <w:rFonts w:ascii="Arial" w:hAnsi="Arial" w:cs="Arial"/>
          <w:lang w:eastAsia="cs-CZ"/>
        </w:rPr>
        <w:t xml:space="preserve"> je důraz na tzv. proces podnikatelského objevování nových příležitostí (</w:t>
      </w:r>
      <w:proofErr w:type="spellStart"/>
      <w:r w:rsidRPr="00B4528E">
        <w:rPr>
          <w:rFonts w:ascii="Arial" w:hAnsi="Arial" w:cs="Arial"/>
          <w:lang w:eastAsia="cs-CZ"/>
        </w:rPr>
        <w:t>entrepreneurial</w:t>
      </w:r>
      <w:proofErr w:type="spellEnd"/>
      <w:r w:rsidRPr="00B4528E">
        <w:rPr>
          <w:rFonts w:ascii="Arial" w:hAnsi="Arial" w:cs="Arial"/>
          <w:lang w:eastAsia="cs-CZ"/>
        </w:rPr>
        <w:t xml:space="preserve"> </w:t>
      </w:r>
      <w:proofErr w:type="spellStart"/>
      <w:r w:rsidRPr="00B4528E">
        <w:rPr>
          <w:rFonts w:ascii="Arial" w:hAnsi="Arial" w:cs="Arial"/>
          <w:lang w:eastAsia="cs-CZ"/>
        </w:rPr>
        <w:t>discovery</w:t>
      </w:r>
      <w:proofErr w:type="spellEnd"/>
      <w:r w:rsidRPr="00B4528E">
        <w:rPr>
          <w:rFonts w:ascii="Arial" w:hAnsi="Arial" w:cs="Arial"/>
          <w:lang w:eastAsia="cs-CZ"/>
        </w:rPr>
        <w:t xml:space="preserve"> </w:t>
      </w:r>
      <w:proofErr w:type="spellStart"/>
      <w:r w:rsidRPr="00B4528E">
        <w:rPr>
          <w:rFonts w:ascii="Arial" w:hAnsi="Arial" w:cs="Arial"/>
          <w:lang w:eastAsia="cs-CZ"/>
        </w:rPr>
        <w:t>process</w:t>
      </w:r>
      <w:proofErr w:type="spellEnd"/>
      <w:r w:rsidRPr="00B4528E">
        <w:rPr>
          <w:rFonts w:ascii="Arial" w:hAnsi="Arial" w:cs="Arial"/>
          <w:lang w:eastAsia="cs-CZ"/>
        </w:rPr>
        <w:t xml:space="preserve">, dále jen „EDP“), zjednodušeně řečeno jde o profilování oblastí specializace, vydefinovaných za rovnocenné spoluúčasti zástupců veřejné správy, podnikatelské i akademické sféry a taktéž občanské společnosti. Tento proces se vztahuje nejen na počáteční nastavení priorit aplikovaného výzkumu ČR, ale musí probíhat po celou dobu naplňování strategie, jelikož poskytuje zpětnou vazbu a verifikaci pro realizované intervence. </w:t>
      </w:r>
    </w:p>
    <w:p w:rsidR="00E84957" w:rsidRDefault="00E84957" w:rsidP="00E84957">
      <w:pPr>
        <w:spacing w:after="0" w:line="360" w:lineRule="auto"/>
        <w:ind w:firstLine="708"/>
        <w:jc w:val="both"/>
        <w:rPr>
          <w:rFonts w:ascii="Arial" w:hAnsi="Arial" w:cs="Arial"/>
          <w:lang w:eastAsia="cs-CZ"/>
        </w:rPr>
      </w:pPr>
      <w:r w:rsidRPr="00B4528E">
        <w:rPr>
          <w:rFonts w:ascii="Arial" w:hAnsi="Arial" w:cs="Arial"/>
          <w:lang w:eastAsia="cs-CZ"/>
        </w:rPr>
        <w:t xml:space="preserve">První základní strukturní rovinu </w:t>
      </w:r>
      <w:r w:rsidRPr="006A54E8">
        <w:rPr>
          <w:rFonts w:ascii="Arial" w:hAnsi="Arial" w:cs="Arial"/>
          <w:i/>
          <w:lang w:eastAsia="cs-CZ"/>
        </w:rPr>
        <w:t>Národní RIS3 strategie</w:t>
      </w:r>
      <w:r w:rsidRPr="00B4528E">
        <w:rPr>
          <w:rFonts w:ascii="Arial" w:hAnsi="Arial" w:cs="Arial"/>
          <w:lang w:eastAsia="cs-CZ"/>
        </w:rPr>
        <w:t xml:space="preserve"> představují tzv. klíčové oblasti změn, dále členěné do strategických (a podrobněji specifických) cílů. Rozvržení klíčových oblastí změn a strategických cílů shrnuje Tabulka 4.1.</w:t>
      </w:r>
    </w:p>
    <w:p w:rsidR="00E84957" w:rsidRDefault="00E84957">
      <w:pPr>
        <w:rPr>
          <w:rFonts w:ascii="Arial" w:hAnsi="Arial" w:cs="Arial"/>
          <w:lang w:eastAsia="cs-CZ"/>
        </w:rPr>
      </w:pPr>
      <w:r>
        <w:rPr>
          <w:rFonts w:ascii="Arial" w:hAnsi="Arial" w:cs="Arial"/>
          <w:lang w:eastAsia="cs-CZ"/>
        </w:rPr>
        <w:br w:type="page"/>
      </w:r>
    </w:p>
    <w:p w:rsidR="00E84957" w:rsidRPr="00DE57D2" w:rsidRDefault="00E84957" w:rsidP="00E84957">
      <w:pPr>
        <w:pStyle w:val="Obrzek"/>
      </w:pPr>
      <w:bookmarkStart w:id="19" w:name="_Ref494878609"/>
      <w:bookmarkStart w:id="20" w:name="_Toc495662235"/>
      <w:r w:rsidRPr="00DE57D2">
        <w:lastRenderedPageBreak/>
        <w:t>Tab</w:t>
      </w:r>
      <w:r w:rsidRPr="00B4528E">
        <w:t>ulka</w:t>
      </w:r>
      <w:r w:rsidRPr="00DE57D2">
        <w:t xml:space="preserve"> </w:t>
      </w:r>
      <w:bookmarkEnd w:id="19"/>
      <w:r w:rsidRPr="00B4528E">
        <w:t>4</w:t>
      </w:r>
      <w:r w:rsidRPr="00DE57D2">
        <w:t>.1: Klíčové oblasti změn a strategické cíle Národní RIS3 strategie</w:t>
      </w:r>
      <w:bookmarkEnd w:id="20"/>
    </w:p>
    <w:tbl>
      <w:tblPr>
        <w:tblStyle w:val="Svtlstnovn"/>
        <w:tblW w:w="5084" w:type="pct"/>
        <w:tblLook w:val="04A0" w:firstRow="1" w:lastRow="0" w:firstColumn="1" w:lastColumn="0" w:noHBand="0" w:noVBand="1"/>
      </w:tblPr>
      <w:tblGrid>
        <w:gridCol w:w="4220"/>
        <w:gridCol w:w="5224"/>
      </w:tblGrid>
      <w:tr w:rsidR="00E84957" w:rsidRPr="00DE57D2" w:rsidTr="0086009A">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2234" w:type="pct"/>
            <w:vAlign w:val="center"/>
            <w:hideMark/>
          </w:tcPr>
          <w:p w:rsidR="00E84957" w:rsidRPr="00DE57D2" w:rsidRDefault="00E84957" w:rsidP="0086009A">
            <w:pPr>
              <w:spacing w:line="360" w:lineRule="auto"/>
              <w:rPr>
                <w:rFonts w:ascii="Arial" w:eastAsia="Times New Roman" w:hAnsi="Arial" w:cs="Arial"/>
                <w:color w:val="000000"/>
                <w:sz w:val="20"/>
                <w:szCs w:val="20"/>
                <w:lang w:eastAsia="cs-CZ"/>
              </w:rPr>
            </w:pPr>
            <w:r w:rsidRPr="00DE57D2">
              <w:rPr>
                <w:rFonts w:ascii="Arial" w:eastAsia="Times New Roman" w:hAnsi="Arial" w:cs="Arial"/>
                <w:color w:val="000000"/>
                <w:sz w:val="20"/>
                <w:szCs w:val="20"/>
                <w:lang w:eastAsia="cs-CZ"/>
              </w:rPr>
              <w:t>Klíčové oblasti změn</w:t>
            </w:r>
          </w:p>
        </w:tc>
        <w:tc>
          <w:tcPr>
            <w:tcW w:w="2766" w:type="pct"/>
            <w:vAlign w:val="center"/>
            <w:hideMark/>
          </w:tcPr>
          <w:p w:rsidR="00E84957" w:rsidRPr="00DE57D2" w:rsidRDefault="00E84957" w:rsidP="0086009A">
            <w:pPr>
              <w:spacing w:line="360" w:lineRule="auto"/>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sidRPr="00DE57D2">
              <w:rPr>
                <w:rFonts w:ascii="Arial" w:eastAsia="Times New Roman" w:hAnsi="Arial" w:cs="Arial"/>
                <w:color w:val="000000"/>
                <w:sz w:val="20"/>
                <w:szCs w:val="20"/>
                <w:lang w:eastAsia="cs-CZ"/>
              </w:rPr>
              <w:t>Strategické cíle</w:t>
            </w:r>
          </w:p>
        </w:tc>
      </w:tr>
      <w:tr w:rsidR="00E84957" w:rsidRPr="00DE57D2" w:rsidTr="0086009A">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234" w:type="pct"/>
            <w:vMerge w:val="restart"/>
            <w:vAlign w:val="center"/>
            <w:hideMark/>
          </w:tcPr>
          <w:p w:rsidR="00E84957" w:rsidRPr="00DE57D2" w:rsidRDefault="00E84957" w:rsidP="0086009A">
            <w:pPr>
              <w:spacing w:line="360" w:lineRule="auto"/>
              <w:rPr>
                <w:rFonts w:ascii="Arial" w:eastAsia="Times New Roman" w:hAnsi="Arial" w:cs="Arial"/>
                <w:color w:val="000000"/>
                <w:sz w:val="20"/>
                <w:szCs w:val="20"/>
                <w:lang w:eastAsia="cs-CZ"/>
              </w:rPr>
            </w:pPr>
            <w:r w:rsidRPr="00DE57D2">
              <w:rPr>
                <w:rFonts w:ascii="Arial" w:eastAsia="Times New Roman" w:hAnsi="Arial" w:cs="Arial"/>
                <w:color w:val="000000"/>
                <w:sz w:val="20"/>
                <w:szCs w:val="20"/>
                <w:lang w:eastAsia="cs-CZ"/>
              </w:rPr>
              <w:t>A: Vyšší inovační výkonnost firem</w:t>
            </w:r>
          </w:p>
        </w:tc>
        <w:tc>
          <w:tcPr>
            <w:tcW w:w="2766" w:type="pct"/>
            <w:vMerge w:val="restart"/>
            <w:vAlign w:val="center"/>
            <w:hideMark/>
          </w:tcPr>
          <w:p w:rsidR="00E84957" w:rsidRPr="00DE57D2" w:rsidRDefault="00E84957" w:rsidP="0086009A">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sidRPr="00DE57D2">
              <w:rPr>
                <w:rFonts w:ascii="Arial" w:eastAsia="Times New Roman" w:hAnsi="Arial" w:cs="Arial"/>
                <w:color w:val="000000"/>
                <w:sz w:val="20"/>
                <w:szCs w:val="20"/>
                <w:lang w:eastAsia="cs-CZ"/>
              </w:rPr>
              <w:t>A. 1: Zvýšit inovační poptávku ve firmách (i ve veřejném sektoru)</w:t>
            </w:r>
            <w:r w:rsidRPr="00DE57D2">
              <w:rPr>
                <w:rFonts w:ascii="Arial" w:eastAsia="Times New Roman" w:hAnsi="Arial" w:cs="Arial"/>
                <w:color w:val="000000"/>
                <w:sz w:val="20"/>
                <w:szCs w:val="20"/>
                <w:lang w:eastAsia="cs-CZ"/>
              </w:rPr>
              <w:br/>
              <w:t>A. 2: Zvýšit míru podnikání ve společnosti s důrazem na zakládání nových rychle rostoucích firem</w:t>
            </w:r>
            <w:r w:rsidRPr="00DE57D2">
              <w:rPr>
                <w:rFonts w:ascii="Arial" w:eastAsia="Times New Roman" w:hAnsi="Arial" w:cs="Arial"/>
                <w:color w:val="000000"/>
                <w:sz w:val="20"/>
                <w:szCs w:val="20"/>
                <w:lang w:eastAsia="cs-CZ"/>
              </w:rPr>
              <w:br/>
              <w:t>A. 3: Zvýšit internacionalizaci MSP</w:t>
            </w:r>
          </w:p>
        </w:tc>
      </w:tr>
      <w:tr w:rsidR="00E84957" w:rsidRPr="00DE57D2" w:rsidTr="0086009A">
        <w:trPr>
          <w:trHeight w:val="439"/>
        </w:trPr>
        <w:tc>
          <w:tcPr>
            <w:cnfStyle w:val="001000000000" w:firstRow="0" w:lastRow="0" w:firstColumn="1" w:lastColumn="0" w:oddVBand="0" w:evenVBand="0" w:oddHBand="0" w:evenHBand="0" w:firstRowFirstColumn="0" w:firstRowLastColumn="0" w:lastRowFirstColumn="0" w:lastRowLastColumn="0"/>
            <w:tcW w:w="2234" w:type="pct"/>
            <w:vMerge/>
            <w:vAlign w:val="center"/>
            <w:hideMark/>
          </w:tcPr>
          <w:p w:rsidR="00E84957" w:rsidRPr="00DE57D2" w:rsidRDefault="00E84957" w:rsidP="0086009A">
            <w:pPr>
              <w:spacing w:line="360" w:lineRule="auto"/>
              <w:rPr>
                <w:rFonts w:ascii="Arial" w:eastAsia="Times New Roman" w:hAnsi="Arial" w:cs="Arial"/>
                <w:color w:val="000000"/>
                <w:sz w:val="20"/>
                <w:szCs w:val="20"/>
                <w:lang w:eastAsia="cs-CZ"/>
              </w:rPr>
            </w:pPr>
          </w:p>
        </w:tc>
        <w:tc>
          <w:tcPr>
            <w:tcW w:w="2766" w:type="pct"/>
            <w:vMerge/>
            <w:vAlign w:val="center"/>
            <w:hideMark/>
          </w:tcPr>
          <w:p w:rsidR="00E84957" w:rsidRPr="00DE57D2" w:rsidRDefault="00E84957" w:rsidP="0086009A">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p>
        </w:tc>
      </w:tr>
      <w:tr w:rsidR="00E84957" w:rsidRPr="00DE57D2" w:rsidTr="0086009A">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234" w:type="pct"/>
            <w:vMerge/>
            <w:vAlign w:val="center"/>
            <w:hideMark/>
          </w:tcPr>
          <w:p w:rsidR="00E84957" w:rsidRPr="00DE57D2" w:rsidRDefault="00E84957" w:rsidP="0086009A">
            <w:pPr>
              <w:spacing w:line="360" w:lineRule="auto"/>
              <w:rPr>
                <w:rFonts w:ascii="Arial" w:eastAsia="Times New Roman" w:hAnsi="Arial" w:cs="Arial"/>
                <w:color w:val="000000"/>
                <w:sz w:val="20"/>
                <w:szCs w:val="20"/>
                <w:lang w:eastAsia="cs-CZ"/>
              </w:rPr>
            </w:pPr>
          </w:p>
        </w:tc>
        <w:tc>
          <w:tcPr>
            <w:tcW w:w="2766" w:type="pct"/>
            <w:vMerge/>
            <w:vAlign w:val="center"/>
            <w:hideMark/>
          </w:tcPr>
          <w:p w:rsidR="00E84957" w:rsidRPr="00DE57D2" w:rsidRDefault="00E84957" w:rsidP="0086009A">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p>
        </w:tc>
      </w:tr>
      <w:tr w:rsidR="00E84957" w:rsidRPr="00DE57D2" w:rsidTr="0086009A">
        <w:trPr>
          <w:trHeight w:val="466"/>
        </w:trPr>
        <w:tc>
          <w:tcPr>
            <w:cnfStyle w:val="001000000000" w:firstRow="0" w:lastRow="0" w:firstColumn="1" w:lastColumn="0" w:oddVBand="0" w:evenVBand="0" w:oddHBand="0" w:evenHBand="0" w:firstRowFirstColumn="0" w:firstRowLastColumn="0" w:lastRowFirstColumn="0" w:lastRowLastColumn="0"/>
            <w:tcW w:w="2234" w:type="pct"/>
            <w:vAlign w:val="center"/>
            <w:hideMark/>
          </w:tcPr>
          <w:p w:rsidR="00E84957" w:rsidRPr="00DE57D2" w:rsidRDefault="00E84957" w:rsidP="0086009A">
            <w:pPr>
              <w:spacing w:line="360" w:lineRule="auto"/>
              <w:rPr>
                <w:rFonts w:ascii="Arial" w:eastAsia="Times New Roman" w:hAnsi="Arial" w:cs="Arial"/>
                <w:color w:val="000000"/>
                <w:sz w:val="20"/>
                <w:szCs w:val="20"/>
                <w:lang w:eastAsia="cs-CZ"/>
              </w:rPr>
            </w:pPr>
            <w:r w:rsidRPr="00DE57D2">
              <w:rPr>
                <w:rFonts w:ascii="Arial" w:eastAsia="Times New Roman" w:hAnsi="Arial" w:cs="Arial"/>
                <w:color w:val="000000"/>
                <w:sz w:val="20"/>
                <w:szCs w:val="20"/>
                <w:lang w:eastAsia="cs-CZ"/>
              </w:rPr>
              <w:t>B: Zvýšení kvality výzkumu</w:t>
            </w:r>
          </w:p>
        </w:tc>
        <w:tc>
          <w:tcPr>
            <w:tcW w:w="2766" w:type="pct"/>
            <w:vAlign w:val="center"/>
            <w:hideMark/>
          </w:tcPr>
          <w:p w:rsidR="00E84957" w:rsidRPr="00DE57D2" w:rsidRDefault="00E84957" w:rsidP="0086009A">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sidRPr="00DE57D2">
              <w:rPr>
                <w:rFonts w:ascii="Arial" w:eastAsia="Times New Roman" w:hAnsi="Arial" w:cs="Arial"/>
                <w:color w:val="000000"/>
                <w:sz w:val="20"/>
                <w:szCs w:val="20"/>
                <w:lang w:eastAsia="cs-CZ"/>
              </w:rPr>
              <w:t>B. 1: Zlepšit kvalitu a problémovou orientaci výzkumu ve znalostních doménách relevantních pro inteligentní specializaci</w:t>
            </w:r>
          </w:p>
        </w:tc>
      </w:tr>
      <w:tr w:rsidR="00E84957" w:rsidRPr="00DE57D2" w:rsidTr="0086009A">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2234" w:type="pct"/>
            <w:vAlign w:val="center"/>
            <w:hideMark/>
          </w:tcPr>
          <w:p w:rsidR="00E84957" w:rsidRPr="00DE57D2" w:rsidRDefault="00E84957" w:rsidP="0086009A">
            <w:pPr>
              <w:spacing w:line="360" w:lineRule="auto"/>
              <w:rPr>
                <w:rFonts w:ascii="Arial" w:eastAsia="Times New Roman" w:hAnsi="Arial" w:cs="Arial"/>
                <w:color w:val="000000"/>
                <w:sz w:val="20"/>
                <w:szCs w:val="20"/>
                <w:lang w:eastAsia="cs-CZ"/>
              </w:rPr>
            </w:pPr>
            <w:r w:rsidRPr="00DE57D2">
              <w:rPr>
                <w:rFonts w:ascii="Arial" w:eastAsia="Times New Roman" w:hAnsi="Arial" w:cs="Arial"/>
                <w:color w:val="000000"/>
                <w:sz w:val="20"/>
                <w:szCs w:val="20"/>
                <w:lang w:eastAsia="cs-CZ"/>
              </w:rPr>
              <w:t>C: Zvýšení ekonomických přínosů veřejného výzkumu</w:t>
            </w:r>
          </w:p>
        </w:tc>
        <w:tc>
          <w:tcPr>
            <w:tcW w:w="2766" w:type="pct"/>
            <w:vAlign w:val="center"/>
            <w:hideMark/>
          </w:tcPr>
          <w:p w:rsidR="00E84957" w:rsidRPr="00DE57D2" w:rsidRDefault="00E84957" w:rsidP="0086009A">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sidRPr="00DE57D2">
              <w:rPr>
                <w:rFonts w:ascii="Arial" w:eastAsia="Times New Roman" w:hAnsi="Arial" w:cs="Arial"/>
                <w:color w:val="000000"/>
                <w:sz w:val="20"/>
                <w:szCs w:val="20"/>
                <w:lang w:eastAsia="cs-CZ"/>
              </w:rPr>
              <w:t>C. 1: Zvýšit relevanci výzkumu</w:t>
            </w:r>
          </w:p>
        </w:tc>
      </w:tr>
      <w:tr w:rsidR="00E84957" w:rsidRPr="00DE57D2" w:rsidTr="0086009A">
        <w:trPr>
          <w:trHeight w:val="348"/>
        </w:trPr>
        <w:tc>
          <w:tcPr>
            <w:cnfStyle w:val="001000000000" w:firstRow="0" w:lastRow="0" w:firstColumn="1" w:lastColumn="0" w:oddVBand="0" w:evenVBand="0" w:oddHBand="0" w:evenHBand="0" w:firstRowFirstColumn="0" w:firstRowLastColumn="0" w:lastRowFirstColumn="0" w:lastRowLastColumn="0"/>
            <w:tcW w:w="2234" w:type="pct"/>
            <w:vMerge w:val="restart"/>
            <w:vAlign w:val="center"/>
            <w:hideMark/>
          </w:tcPr>
          <w:p w:rsidR="00E84957" w:rsidRPr="00DE57D2" w:rsidRDefault="00E84957" w:rsidP="0086009A">
            <w:pPr>
              <w:spacing w:line="360" w:lineRule="auto"/>
              <w:rPr>
                <w:rFonts w:ascii="Arial" w:eastAsia="Times New Roman" w:hAnsi="Arial" w:cs="Arial"/>
                <w:color w:val="000000"/>
                <w:sz w:val="20"/>
                <w:szCs w:val="20"/>
                <w:lang w:eastAsia="cs-CZ"/>
              </w:rPr>
            </w:pPr>
            <w:r w:rsidRPr="00DE57D2">
              <w:rPr>
                <w:rFonts w:ascii="Arial" w:eastAsia="Times New Roman" w:hAnsi="Arial" w:cs="Arial"/>
                <w:color w:val="000000"/>
                <w:sz w:val="20"/>
                <w:szCs w:val="20"/>
                <w:lang w:eastAsia="cs-CZ"/>
              </w:rPr>
              <w:t>D: Lepší dostupnost lidských zdrojů v počtu i kvalitě pro inovační podnikání, výzkum a vývoj</w:t>
            </w:r>
          </w:p>
        </w:tc>
        <w:tc>
          <w:tcPr>
            <w:tcW w:w="2766" w:type="pct"/>
            <w:vMerge w:val="restart"/>
            <w:vAlign w:val="center"/>
            <w:hideMark/>
          </w:tcPr>
          <w:p w:rsidR="00E84957" w:rsidRPr="00DE57D2" w:rsidRDefault="00E84957" w:rsidP="0086009A">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sidRPr="00DE57D2">
              <w:rPr>
                <w:rFonts w:ascii="Arial" w:eastAsia="Times New Roman" w:hAnsi="Arial" w:cs="Arial"/>
                <w:color w:val="000000"/>
                <w:sz w:val="20"/>
                <w:szCs w:val="20"/>
                <w:lang w:eastAsia="cs-CZ"/>
              </w:rPr>
              <w:t xml:space="preserve">D. 1: Zvýšit kvalitu absolventů škol </w:t>
            </w:r>
            <w:r w:rsidRPr="00DE57D2">
              <w:rPr>
                <w:rFonts w:ascii="Arial" w:eastAsia="Times New Roman" w:hAnsi="Arial" w:cs="Arial"/>
                <w:color w:val="000000"/>
                <w:sz w:val="20"/>
                <w:szCs w:val="20"/>
                <w:lang w:eastAsia="cs-CZ"/>
              </w:rPr>
              <w:br/>
              <w:t>D. 2: Identifikovat a využít talenty</w:t>
            </w:r>
            <w:r w:rsidRPr="00DE57D2">
              <w:rPr>
                <w:rFonts w:ascii="Arial" w:eastAsia="Times New Roman" w:hAnsi="Arial" w:cs="Arial"/>
                <w:color w:val="000000"/>
                <w:sz w:val="20"/>
                <w:szCs w:val="20"/>
                <w:lang w:eastAsia="cs-CZ"/>
              </w:rPr>
              <w:br/>
              <w:t>D. 3: Zvýšit kvalitu pracovníků ve výzkumu a vývoji</w:t>
            </w:r>
          </w:p>
        </w:tc>
      </w:tr>
      <w:tr w:rsidR="00E84957" w:rsidRPr="00DE57D2" w:rsidTr="0086009A">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234" w:type="pct"/>
            <w:vMerge/>
            <w:vAlign w:val="center"/>
            <w:hideMark/>
          </w:tcPr>
          <w:p w:rsidR="00E84957" w:rsidRPr="00DE57D2" w:rsidRDefault="00E84957" w:rsidP="0086009A">
            <w:pPr>
              <w:spacing w:line="360" w:lineRule="auto"/>
              <w:rPr>
                <w:rFonts w:ascii="Arial" w:eastAsia="Times New Roman" w:hAnsi="Arial" w:cs="Arial"/>
                <w:color w:val="000000"/>
                <w:sz w:val="20"/>
                <w:szCs w:val="20"/>
                <w:lang w:eastAsia="cs-CZ"/>
              </w:rPr>
            </w:pPr>
          </w:p>
        </w:tc>
        <w:tc>
          <w:tcPr>
            <w:tcW w:w="2766" w:type="pct"/>
            <w:vMerge/>
            <w:vAlign w:val="center"/>
            <w:hideMark/>
          </w:tcPr>
          <w:p w:rsidR="00E84957" w:rsidRPr="00DE57D2" w:rsidRDefault="00E84957" w:rsidP="0086009A">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p>
        </w:tc>
      </w:tr>
      <w:tr w:rsidR="00E84957" w:rsidRPr="00DE57D2" w:rsidTr="0086009A">
        <w:trPr>
          <w:trHeight w:val="348"/>
        </w:trPr>
        <w:tc>
          <w:tcPr>
            <w:cnfStyle w:val="001000000000" w:firstRow="0" w:lastRow="0" w:firstColumn="1" w:lastColumn="0" w:oddVBand="0" w:evenVBand="0" w:oddHBand="0" w:evenHBand="0" w:firstRowFirstColumn="0" w:firstRowLastColumn="0" w:lastRowFirstColumn="0" w:lastRowLastColumn="0"/>
            <w:tcW w:w="2234" w:type="pct"/>
            <w:vMerge/>
            <w:vAlign w:val="center"/>
            <w:hideMark/>
          </w:tcPr>
          <w:p w:rsidR="00E84957" w:rsidRPr="00DE57D2" w:rsidRDefault="00E84957" w:rsidP="0086009A">
            <w:pPr>
              <w:spacing w:line="360" w:lineRule="auto"/>
              <w:rPr>
                <w:rFonts w:ascii="Arial" w:eastAsia="Times New Roman" w:hAnsi="Arial" w:cs="Arial"/>
                <w:color w:val="000000"/>
                <w:sz w:val="20"/>
                <w:szCs w:val="20"/>
                <w:lang w:eastAsia="cs-CZ"/>
              </w:rPr>
            </w:pPr>
          </w:p>
        </w:tc>
        <w:tc>
          <w:tcPr>
            <w:tcW w:w="2766" w:type="pct"/>
            <w:vMerge/>
            <w:vAlign w:val="center"/>
            <w:hideMark/>
          </w:tcPr>
          <w:p w:rsidR="00E84957" w:rsidRPr="00DE57D2" w:rsidRDefault="00E84957" w:rsidP="0086009A">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p>
        </w:tc>
      </w:tr>
      <w:tr w:rsidR="00E84957" w:rsidRPr="00DE57D2" w:rsidTr="0086009A">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234" w:type="pct"/>
            <w:vMerge w:val="restart"/>
            <w:vAlign w:val="center"/>
            <w:hideMark/>
          </w:tcPr>
          <w:p w:rsidR="00E84957" w:rsidRPr="00DE57D2" w:rsidRDefault="00E84957" w:rsidP="0086009A">
            <w:pPr>
              <w:spacing w:line="360" w:lineRule="auto"/>
              <w:rPr>
                <w:rFonts w:ascii="Arial" w:eastAsia="Times New Roman" w:hAnsi="Arial" w:cs="Arial"/>
                <w:color w:val="000000"/>
                <w:sz w:val="20"/>
                <w:szCs w:val="20"/>
                <w:lang w:eastAsia="cs-CZ"/>
              </w:rPr>
            </w:pPr>
            <w:r w:rsidRPr="00DE57D2">
              <w:rPr>
                <w:rFonts w:ascii="Arial" w:eastAsia="Times New Roman" w:hAnsi="Arial" w:cs="Arial"/>
                <w:color w:val="000000"/>
                <w:sz w:val="20"/>
                <w:szCs w:val="20"/>
                <w:lang w:eastAsia="cs-CZ"/>
              </w:rPr>
              <w:t xml:space="preserve">E: Rozvoj </w:t>
            </w:r>
            <w:proofErr w:type="spellStart"/>
            <w:r w:rsidRPr="00DE57D2">
              <w:rPr>
                <w:rFonts w:ascii="Arial" w:eastAsia="Times New Roman" w:hAnsi="Arial" w:cs="Arial"/>
                <w:color w:val="000000"/>
                <w:sz w:val="20"/>
                <w:szCs w:val="20"/>
                <w:lang w:eastAsia="cs-CZ"/>
              </w:rPr>
              <w:t>eGovernmentu</w:t>
            </w:r>
            <w:proofErr w:type="spellEnd"/>
            <w:r w:rsidRPr="00DE57D2">
              <w:rPr>
                <w:rFonts w:ascii="Arial" w:eastAsia="Times New Roman" w:hAnsi="Arial" w:cs="Arial"/>
                <w:color w:val="000000"/>
                <w:sz w:val="20"/>
                <w:szCs w:val="20"/>
                <w:lang w:eastAsia="cs-CZ"/>
              </w:rPr>
              <w:t xml:space="preserve"> a </w:t>
            </w:r>
            <w:proofErr w:type="spellStart"/>
            <w:r w:rsidRPr="00DE57D2">
              <w:rPr>
                <w:rFonts w:ascii="Arial" w:eastAsia="Times New Roman" w:hAnsi="Arial" w:cs="Arial"/>
                <w:color w:val="000000"/>
                <w:sz w:val="20"/>
                <w:szCs w:val="20"/>
                <w:lang w:eastAsia="cs-CZ"/>
              </w:rPr>
              <w:t>eBusinessu</w:t>
            </w:r>
            <w:proofErr w:type="spellEnd"/>
            <w:r w:rsidRPr="00DE57D2">
              <w:rPr>
                <w:rFonts w:ascii="Arial" w:eastAsia="Times New Roman" w:hAnsi="Arial" w:cs="Arial"/>
                <w:color w:val="000000"/>
                <w:sz w:val="20"/>
                <w:szCs w:val="20"/>
                <w:lang w:eastAsia="cs-CZ"/>
              </w:rPr>
              <w:t xml:space="preserve"> pro zvýšení konkurenceschopnosti (rozvoj ICT a digitální agenda)</w:t>
            </w:r>
          </w:p>
        </w:tc>
        <w:tc>
          <w:tcPr>
            <w:tcW w:w="2766" w:type="pct"/>
            <w:vMerge w:val="restart"/>
            <w:vAlign w:val="center"/>
            <w:hideMark/>
          </w:tcPr>
          <w:p w:rsidR="00E84957" w:rsidRPr="00DE57D2" w:rsidRDefault="00E84957" w:rsidP="0086009A">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sidRPr="00DE57D2">
              <w:rPr>
                <w:rFonts w:ascii="Arial" w:eastAsia="Times New Roman" w:hAnsi="Arial" w:cs="Arial"/>
                <w:color w:val="000000"/>
                <w:sz w:val="20"/>
                <w:szCs w:val="20"/>
                <w:lang w:eastAsia="cs-CZ"/>
              </w:rPr>
              <w:t xml:space="preserve">E. 1: Rozvoj </w:t>
            </w:r>
            <w:proofErr w:type="spellStart"/>
            <w:r w:rsidRPr="00DE57D2">
              <w:rPr>
                <w:rFonts w:ascii="Arial" w:eastAsia="Times New Roman" w:hAnsi="Arial" w:cs="Arial"/>
                <w:color w:val="000000"/>
                <w:sz w:val="20"/>
                <w:szCs w:val="20"/>
                <w:lang w:eastAsia="cs-CZ"/>
              </w:rPr>
              <w:t>eGovernmentu</w:t>
            </w:r>
            <w:proofErr w:type="spellEnd"/>
            <w:r w:rsidRPr="00DE57D2">
              <w:rPr>
                <w:rFonts w:ascii="Arial" w:eastAsia="Times New Roman" w:hAnsi="Arial" w:cs="Arial"/>
                <w:color w:val="000000"/>
                <w:sz w:val="20"/>
                <w:szCs w:val="20"/>
                <w:lang w:eastAsia="cs-CZ"/>
              </w:rPr>
              <w:br/>
              <w:t xml:space="preserve">E. 2: Rozvoj </w:t>
            </w:r>
            <w:proofErr w:type="spellStart"/>
            <w:r w:rsidRPr="00DE57D2">
              <w:rPr>
                <w:rFonts w:ascii="Arial" w:eastAsia="Times New Roman" w:hAnsi="Arial" w:cs="Arial"/>
                <w:color w:val="000000"/>
                <w:sz w:val="20"/>
                <w:szCs w:val="20"/>
                <w:lang w:eastAsia="cs-CZ"/>
              </w:rPr>
              <w:t>eBusinessu</w:t>
            </w:r>
            <w:proofErr w:type="spellEnd"/>
            <w:r w:rsidRPr="00DE57D2">
              <w:rPr>
                <w:rFonts w:ascii="Arial" w:eastAsia="Times New Roman" w:hAnsi="Arial" w:cs="Arial"/>
                <w:color w:val="000000"/>
                <w:sz w:val="20"/>
                <w:szCs w:val="20"/>
                <w:lang w:eastAsia="cs-CZ"/>
              </w:rPr>
              <w:t xml:space="preserve"> a ICT v podnikání</w:t>
            </w:r>
            <w:r w:rsidRPr="00DE57D2">
              <w:rPr>
                <w:rFonts w:ascii="Arial" w:eastAsia="Times New Roman" w:hAnsi="Arial" w:cs="Arial"/>
                <w:color w:val="000000"/>
                <w:sz w:val="20"/>
                <w:szCs w:val="20"/>
                <w:lang w:eastAsia="cs-CZ"/>
              </w:rPr>
              <w:br/>
              <w:t>E. 3: Rozvoj Infrastruktury v ICT</w:t>
            </w:r>
          </w:p>
        </w:tc>
      </w:tr>
      <w:tr w:rsidR="00E84957" w:rsidRPr="00DE57D2" w:rsidTr="0086009A">
        <w:trPr>
          <w:trHeight w:val="348"/>
        </w:trPr>
        <w:tc>
          <w:tcPr>
            <w:cnfStyle w:val="001000000000" w:firstRow="0" w:lastRow="0" w:firstColumn="1" w:lastColumn="0" w:oddVBand="0" w:evenVBand="0" w:oddHBand="0" w:evenHBand="0" w:firstRowFirstColumn="0" w:firstRowLastColumn="0" w:lastRowFirstColumn="0" w:lastRowLastColumn="0"/>
            <w:tcW w:w="2234" w:type="pct"/>
            <w:vMerge/>
            <w:vAlign w:val="center"/>
            <w:hideMark/>
          </w:tcPr>
          <w:p w:rsidR="00E84957" w:rsidRPr="00DE57D2" w:rsidRDefault="00E84957" w:rsidP="0086009A">
            <w:pPr>
              <w:spacing w:line="360" w:lineRule="auto"/>
              <w:rPr>
                <w:rFonts w:ascii="Arial" w:eastAsia="Times New Roman" w:hAnsi="Arial" w:cs="Arial"/>
                <w:color w:val="000000"/>
                <w:sz w:val="20"/>
                <w:szCs w:val="20"/>
                <w:lang w:eastAsia="cs-CZ"/>
              </w:rPr>
            </w:pPr>
          </w:p>
        </w:tc>
        <w:tc>
          <w:tcPr>
            <w:tcW w:w="2766" w:type="pct"/>
            <w:vMerge/>
            <w:vAlign w:val="center"/>
            <w:hideMark/>
          </w:tcPr>
          <w:p w:rsidR="00E84957" w:rsidRPr="00DE57D2" w:rsidRDefault="00E84957" w:rsidP="0086009A">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p>
        </w:tc>
      </w:tr>
      <w:tr w:rsidR="00E84957" w:rsidRPr="00DE57D2" w:rsidTr="0086009A">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2234" w:type="pct"/>
            <w:vMerge/>
            <w:vAlign w:val="center"/>
            <w:hideMark/>
          </w:tcPr>
          <w:p w:rsidR="00E84957" w:rsidRPr="00DE57D2" w:rsidRDefault="00E84957" w:rsidP="0086009A">
            <w:pPr>
              <w:spacing w:line="360" w:lineRule="auto"/>
              <w:rPr>
                <w:rFonts w:ascii="Arial" w:eastAsia="Times New Roman" w:hAnsi="Arial" w:cs="Arial"/>
                <w:color w:val="000000"/>
                <w:sz w:val="20"/>
                <w:szCs w:val="20"/>
                <w:lang w:eastAsia="cs-CZ"/>
              </w:rPr>
            </w:pPr>
          </w:p>
        </w:tc>
        <w:tc>
          <w:tcPr>
            <w:tcW w:w="2766" w:type="pct"/>
            <w:vMerge/>
            <w:vAlign w:val="center"/>
            <w:hideMark/>
          </w:tcPr>
          <w:p w:rsidR="00E84957" w:rsidRPr="00DE57D2" w:rsidRDefault="00E84957" w:rsidP="0086009A">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p>
        </w:tc>
      </w:tr>
      <w:tr w:rsidR="00E84957" w:rsidRPr="00DE57D2" w:rsidTr="0086009A">
        <w:trPr>
          <w:trHeight w:val="453"/>
        </w:trPr>
        <w:tc>
          <w:tcPr>
            <w:cnfStyle w:val="001000000000" w:firstRow="0" w:lastRow="0" w:firstColumn="1" w:lastColumn="0" w:oddVBand="0" w:evenVBand="0" w:oddHBand="0" w:evenHBand="0" w:firstRowFirstColumn="0" w:firstRowLastColumn="0" w:lastRowFirstColumn="0" w:lastRowLastColumn="0"/>
            <w:tcW w:w="2234" w:type="pct"/>
            <w:vMerge w:val="restart"/>
            <w:vAlign w:val="center"/>
            <w:hideMark/>
          </w:tcPr>
          <w:p w:rsidR="00E84957" w:rsidRPr="00DE57D2" w:rsidRDefault="00E84957" w:rsidP="0086009A">
            <w:pPr>
              <w:spacing w:line="360" w:lineRule="auto"/>
              <w:rPr>
                <w:rFonts w:ascii="Arial" w:eastAsia="Times New Roman" w:hAnsi="Arial" w:cs="Arial"/>
                <w:color w:val="000000"/>
                <w:sz w:val="20"/>
                <w:szCs w:val="20"/>
                <w:lang w:eastAsia="cs-CZ"/>
              </w:rPr>
            </w:pPr>
            <w:r w:rsidRPr="00DE57D2">
              <w:rPr>
                <w:rFonts w:ascii="Arial" w:eastAsia="Times New Roman" w:hAnsi="Arial" w:cs="Arial"/>
                <w:color w:val="000000"/>
                <w:sz w:val="20"/>
                <w:szCs w:val="20"/>
                <w:lang w:eastAsia="cs-CZ"/>
              </w:rPr>
              <w:t>F: Posílení a lepší využití sociálního kapitálu a kreativity při řešení komplexních společenských výzev</w:t>
            </w:r>
          </w:p>
        </w:tc>
        <w:tc>
          <w:tcPr>
            <w:tcW w:w="2766" w:type="pct"/>
            <w:vMerge w:val="restart"/>
            <w:vAlign w:val="center"/>
            <w:hideMark/>
          </w:tcPr>
          <w:p w:rsidR="00E84957" w:rsidRPr="00DE57D2" w:rsidRDefault="00E84957" w:rsidP="0086009A">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sidRPr="00DE57D2">
              <w:rPr>
                <w:rFonts w:ascii="Arial" w:eastAsia="Times New Roman" w:hAnsi="Arial" w:cs="Arial"/>
                <w:color w:val="000000"/>
                <w:sz w:val="20"/>
                <w:szCs w:val="20"/>
                <w:lang w:eastAsia="cs-CZ"/>
              </w:rPr>
              <w:t>F. 1: Podpořit otevřenou partnerskou spolupráci při experimentálním řešení společenských výzev a systémově využít úspěšně ověřené modely</w:t>
            </w:r>
            <w:r w:rsidRPr="00DE57D2">
              <w:rPr>
                <w:rFonts w:ascii="Arial" w:eastAsia="Times New Roman" w:hAnsi="Arial" w:cs="Arial"/>
                <w:color w:val="000000"/>
                <w:sz w:val="20"/>
                <w:szCs w:val="20"/>
                <w:lang w:eastAsia="cs-CZ"/>
              </w:rPr>
              <w:br/>
              <w:t>F. 2: Podpořit a lépe využít spolupráci místních aktérů při řešení potřeb v oblasti zaměstnanosti, ekonomického rozvoje a sociální inkluze v krajích ČR</w:t>
            </w:r>
          </w:p>
        </w:tc>
      </w:tr>
      <w:tr w:rsidR="00E84957" w:rsidRPr="00DE57D2" w:rsidTr="0086009A">
        <w:trPr>
          <w:cnfStyle w:val="000000100000" w:firstRow="0" w:lastRow="0" w:firstColumn="0" w:lastColumn="0" w:oddVBand="0" w:evenVBand="0" w:oddHBand="1" w:evenHBand="0" w:firstRowFirstColumn="0" w:firstRowLastColumn="0" w:lastRowFirstColumn="0" w:lastRowLastColumn="0"/>
          <w:trHeight w:val="673"/>
        </w:trPr>
        <w:tc>
          <w:tcPr>
            <w:cnfStyle w:val="001000000000" w:firstRow="0" w:lastRow="0" w:firstColumn="1" w:lastColumn="0" w:oddVBand="0" w:evenVBand="0" w:oddHBand="0" w:evenHBand="0" w:firstRowFirstColumn="0" w:firstRowLastColumn="0" w:lastRowFirstColumn="0" w:lastRowLastColumn="0"/>
            <w:tcW w:w="2234" w:type="pct"/>
            <w:vMerge/>
            <w:vAlign w:val="center"/>
            <w:hideMark/>
          </w:tcPr>
          <w:p w:rsidR="00E84957" w:rsidRPr="00DE57D2" w:rsidRDefault="00E84957" w:rsidP="0086009A">
            <w:pPr>
              <w:spacing w:line="360" w:lineRule="auto"/>
              <w:rPr>
                <w:rFonts w:ascii="Arial" w:eastAsia="Times New Roman" w:hAnsi="Arial" w:cs="Arial"/>
                <w:color w:val="000000"/>
                <w:sz w:val="20"/>
                <w:szCs w:val="20"/>
                <w:lang w:eastAsia="cs-CZ"/>
              </w:rPr>
            </w:pPr>
          </w:p>
        </w:tc>
        <w:tc>
          <w:tcPr>
            <w:tcW w:w="2766" w:type="pct"/>
            <w:vMerge/>
            <w:vAlign w:val="center"/>
            <w:hideMark/>
          </w:tcPr>
          <w:p w:rsidR="00E84957" w:rsidRPr="00DE57D2" w:rsidRDefault="00E84957" w:rsidP="0086009A">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p>
        </w:tc>
      </w:tr>
    </w:tbl>
    <w:p w:rsidR="00E84957" w:rsidRPr="00DE57D2" w:rsidRDefault="00E84957" w:rsidP="00E84957">
      <w:pPr>
        <w:pStyle w:val="Zdrojapoznmka"/>
      </w:pPr>
      <w:r w:rsidRPr="00DE57D2">
        <w:t>Zdroj: Národní RIS3 strategie</w:t>
      </w:r>
      <w:r w:rsidRPr="00B4528E">
        <w:t>; Oddělení strategie S3 MPO</w:t>
      </w:r>
    </w:p>
    <w:p w:rsidR="00E84957" w:rsidRDefault="00E84957" w:rsidP="00E84957">
      <w:pPr>
        <w:spacing w:after="0" w:line="360" w:lineRule="auto"/>
        <w:ind w:firstLine="708"/>
        <w:jc w:val="both"/>
        <w:rPr>
          <w:rFonts w:ascii="Arial" w:hAnsi="Arial" w:cs="Arial"/>
        </w:rPr>
      </w:pPr>
    </w:p>
    <w:p w:rsidR="00E84957" w:rsidRDefault="00E84957" w:rsidP="00177C95">
      <w:pPr>
        <w:spacing w:after="0" w:line="360" w:lineRule="auto"/>
        <w:ind w:firstLine="708"/>
        <w:jc w:val="both"/>
        <w:rPr>
          <w:rFonts w:ascii="Arial" w:hAnsi="Arial" w:cs="Arial"/>
        </w:rPr>
      </w:pPr>
      <w:r w:rsidRPr="00B4528E">
        <w:rPr>
          <w:rFonts w:ascii="Arial" w:hAnsi="Arial" w:cs="Arial"/>
        </w:rPr>
        <w:t xml:space="preserve">Druhou strukturní rovinu </w:t>
      </w:r>
      <w:r w:rsidRPr="006A54E8">
        <w:rPr>
          <w:rFonts w:ascii="Arial" w:hAnsi="Arial" w:cs="Arial"/>
          <w:i/>
        </w:rPr>
        <w:t>Národní RIS3 strategie</w:t>
      </w:r>
      <w:r w:rsidRPr="00B4528E">
        <w:rPr>
          <w:rFonts w:ascii="Arial" w:hAnsi="Arial" w:cs="Arial"/>
        </w:rPr>
        <w:t xml:space="preserve"> tvoří tzv. </w:t>
      </w:r>
      <w:r w:rsidRPr="00B4528E">
        <w:rPr>
          <w:rFonts w:ascii="Arial" w:hAnsi="Arial" w:cs="Arial"/>
          <w:b/>
        </w:rPr>
        <w:t>aplikační odvětví</w:t>
      </w:r>
      <w:r w:rsidRPr="00B4528E">
        <w:rPr>
          <w:rFonts w:ascii="Arial" w:hAnsi="Arial" w:cs="Arial"/>
        </w:rPr>
        <w:t xml:space="preserve"> rozčleněné podle svého odborného zaměření do tzv. Národních inovačních platforem (dále jen „NIP“). Zaměření aplikovaného výzkumu v ČR na jednotlivá aplikační odvětví identifikovaná v Národní RIS3 strategii je vhodné podporovat s ohledem na ekonomickou specializaci ČR v evropském a globálním kontextu. Aplikační odvětví jsou dále funkčně provázaná se </w:t>
      </w:r>
      <w:r w:rsidRPr="00B4528E">
        <w:rPr>
          <w:rFonts w:ascii="Arial" w:hAnsi="Arial" w:cs="Arial"/>
          <w:b/>
        </w:rPr>
        <w:t>znalostními doménami</w:t>
      </w:r>
      <w:r w:rsidRPr="00B4528E">
        <w:rPr>
          <w:rFonts w:ascii="Arial" w:hAnsi="Arial" w:cs="Arial"/>
        </w:rPr>
        <w:t xml:space="preserve">, tj. </w:t>
      </w:r>
      <w:proofErr w:type="spellStart"/>
      <w:r w:rsidRPr="006A54E8">
        <w:rPr>
          <w:rFonts w:ascii="Arial" w:eastAsia="Times New Roman" w:hAnsi="Arial" w:cs="Arial"/>
          <w:lang w:eastAsia="cs-CZ"/>
        </w:rPr>
        <w:t>Key</w:t>
      </w:r>
      <w:proofErr w:type="spellEnd"/>
      <w:r w:rsidRPr="006A54E8">
        <w:rPr>
          <w:rFonts w:ascii="Arial" w:eastAsia="Times New Roman" w:hAnsi="Arial" w:cs="Arial"/>
          <w:lang w:eastAsia="cs-CZ"/>
        </w:rPr>
        <w:t xml:space="preserve"> </w:t>
      </w:r>
      <w:proofErr w:type="spellStart"/>
      <w:r w:rsidRPr="006A54E8">
        <w:rPr>
          <w:rFonts w:ascii="Arial" w:eastAsia="Times New Roman" w:hAnsi="Arial" w:cs="Arial"/>
          <w:lang w:eastAsia="cs-CZ"/>
        </w:rPr>
        <w:t>Enabling</w:t>
      </w:r>
      <w:proofErr w:type="spellEnd"/>
      <w:r w:rsidRPr="006A54E8">
        <w:rPr>
          <w:rFonts w:ascii="Arial" w:eastAsia="Times New Roman" w:hAnsi="Arial" w:cs="Arial"/>
          <w:lang w:eastAsia="cs-CZ"/>
        </w:rPr>
        <w:t xml:space="preserve"> Technologies</w:t>
      </w:r>
      <w:r w:rsidRPr="00B4528E">
        <w:rPr>
          <w:rFonts w:ascii="Arial" w:eastAsia="Times New Roman" w:hAnsi="Arial" w:cs="Arial"/>
          <w:lang w:eastAsia="cs-CZ"/>
        </w:rPr>
        <w:t xml:space="preserve"> – „</w:t>
      </w:r>
      <w:proofErr w:type="spellStart"/>
      <w:r w:rsidRPr="00B4528E">
        <w:rPr>
          <w:rFonts w:ascii="Arial" w:eastAsia="Times New Roman" w:hAnsi="Arial" w:cs="Arial"/>
          <w:lang w:eastAsia="cs-CZ"/>
        </w:rPr>
        <w:t>KETs</w:t>
      </w:r>
      <w:proofErr w:type="spellEnd"/>
      <w:r w:rsidRPr="00B4528E">
        <w:rPr>
          <w:rFonts w:ascii="Arial" w:eastAsia="Times New Roman" w:hAnsi="Arial" w:cs="Arial"/>
          <w:lang w:eastAsia="cs-CZ"/>
        </w:rPr>
        <w:t>“, jež se používají v evropských strategických dokumentech a mají blíže ke specializaci čistě výzkumné</w:t>
      </w:r>
      <w:r w:rsidRPr="00B4528E">
        <w:rPr>
          <w:rFonts w:ascii="Arial" w:hAnsi="Arial" w:cs="Arial"/>
        </w:rPr>
        <w:t xml:space="preserve">. Výběr národních aplikačních odvětví a znalostních domén proběhl na základě konzultačního procesu EDP po projednání v jednotlivých NIP. Obdobou NIP na krajské úrovni jsou krajské inovační platformy, které analogicky identifikovaly specifická aplikační odvětví krajská. </w:t>
      </w:r>
      <w:r w:rsidRPr="00B4528E">
        <w:rPr>
          <w:rFonts w:ascii="Arial" w:hAnsi="Arial" w:cs="Arial"/>
        </w:rPr>
        <w:fldChar w:fldCharType="begin"/>
      </w:r>
      <w:r w:rsidRPr="00B4528E">
        <w:rPr>
          <w:rFonts w:ascii="Arial" w:hAnsi="Arial" w:cs="Arial"/>
        </w:rPr>
        <w:instrText xml:space="preserve"> REF _Ref494283146 \h  \* MERGEFORMAT </w:instrText>
      </w:r>
      <w:r w:rsidRPr="00B4528E">
        <w:rPr>
          <w:rFonts w:ascii="Arial" w:hAnsi="Arial" w:cs="Arial"/>
        </w:rPr>
      </w:r>
      <w:r w:rsidRPr="00B4528E">
        <w:rPr>
          <w:rFonts w:ascii="Arial" w:hAnsi="Arial" w:cs="Arial"/>
        </w:rPr>
        <w:fldChar w:fldCharType="separate"/>
      </w:r>
      <w:r w:rsidRPr="00CC0C46">
        <w:rPr>
          <w:rFonts w:ascii="Arial" w:hAnsi="Arial"/>
        </w:rPr>
        <w:t>Tab</w:t>
      </w:r>
      <w:r w:rsidRPr="00B4528E">
        <w:rPr>
          <w:rFonts w:ascii="Arial" w:hAnsi="Arial" w:cs="Arial"/>
        </w:rPr>
        <w:fldChar w:fldCharType="end"/>
      </w:r>
      <w:r>
        <w:rPr>
          <w:rFonts w:ascii="Arial" w:hAnsi="Arial" w:cs="Arial"/>
        </w:rPr>
        <w:t>ulka 4.2</w:t>
      </w:r>
      <w:r w:rsidRPr="00B4528E">
        <w:rPr>
          <w:rFonts w:ascii="Arial" w:hAnsi="Arial" w:cs="Arial"/>
        </w:rPr>
        <w:t> přehledně shrnuje aktuálně nastavený systém aplikačních odvětví a NIP.</w:t>
      </w:r>
      <w:r>
        <w:rPr>
          <w:rFonts w:ascii="Arial" w:hAnsi="Arial" w:cs="Arial"/>
        </w:rPr>
        <w:br w:type="page"/>
      </w:r>
    </w:p>
    <w:p w:rsidR="00E84957" w:rsidRPr="00DE57D2" w:rsidRDefault="00E84957" w:rsidP="00E84957">
      <w:pPr>
        <w:keepNext/>
        <w:spacing w:before="120" w:after="240" w:line="240" w:lineRule="auto"/>
        <w:jc w:val="both"/>
        <w:rPr>
          <w:rFonts w:ascii="Arial" w:eastAsia="Times New Roman" w:hAnsi="Arial" w:cs="Times New Roman"/>
          <w:b/>
          <w:szCs w:val="24"/>
          <w:lang w:eastAsia="cs-CZ"/>
        </w:rPr>
      </w:pPr>
      <w:bookmarkStart w:id="21" w:name="_Ref494283146"/>
      <w:bookmarkStart w:id="22" w:name="_Toc495662236"/>
      <w:r w:rsidRPr="00DE57D2">
        <w:rPr>
          <w:rFonts w:ascii="Arial" w:eastAsia="Times New Roman" w:hAnsi="Arial" w:cs="Times New Roman"/>
          <w:b/>
          <w:szCs w:val="24"/>
          <w:lang w:eastAsia="cs-CZ"/>
        </w:rPr>
        <w:lastRenderedPageBreak/>
        <w:t>Tab</w:t>
      </w:r>
      <w:bookmarkEnd w:id="21"/>
      <w:r>
        <w:rPr>
          <w:rFonts w:ascii="Arial" w:eastAsia="Times New Roman" w:hAnsi="Arial" w:cs="Times New Roman"/>
          <w:b/>
          <w:szCs w:val="24"/>
          <w:lang w:eastAsia="cs-CZ"/>
        </w:rPr>
        <w:t>ulka 4</w:t>
      </w:r>
      <w:r w:rsidRPr="00DE57D2">
        <w:rPr>
          <w:rFonts w:ascii="Arial" w:eastAsia="Times New Roman" w:hAnsi="Arial" w:cs="Times New Roman"/>
          <w:b/>
          <w:szCs w:val="24"/>
          <w:lang w:eastAsia="cs-CZ"/>
        </w:rPr>
        <w:t>.2: Národní inovační platformy ve vazbě na aplikační odvětví</w:t>
      </w:r>
      <w:bookmarkEnd w:id="22"/>
    </w:p>
    <w:tbl>
      <w:tblPr>
        <w:tblW w:w="5000" w:type="pct"/>
        <w:tblInd w:w="55" w:type="dxa"/>
        <w:tblCellMar>
          <w:left w:w="70" w:type="dxa"/>
          <w:right w:w="70" w:type="dxa"/>
        </w:tblCellMar>
        <w:tblLook w:val="04A0" w:firstRow="1" w:lastRow="0" w:firstColumn="1" w:lastColumn="0" w:noHBand="0" w:noVBand="1"/>
      </w:tblPr>
      <w:tblGrid>
        <w:gridCol w:w="3070"/>
        <w:gridCol w:w="3071"/>
        <w:gridCol w:w="3071"/>
      </w:tblGrid>
      <w:tr w:rsidR="00E84957" w:rsidRPr="00183ACA" w:rsidTr="0086009A">
        <w:trPr>
          <w:trHeight w:val="284"/>
        </w:trPr>
        <w:tc>
          <w:tcPr>
            <w:tcW w:w="2960" w:type="dxa"/>
            <w:tcBorders>
              <w:top w:val="single" w:sz="8" w:space="0" w:color="000000"/>
              <w:left w:val="nil"/>
              <w:bottom w:val="single" w:sz="8" w:space="0" w:color="000000"/>
              <w:right w:val="nil"/>
            </w:tcBorders>
            <w:shd w:val="clear" w:color="auto" w:fill="auto"/>
            <w:noWrap/>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Oblast</w:t>
            </w:r>
          </w:p>
        </w:tc>
        <w:tc>
          <w:tcPr>
            <w:tcW w:w="2960" w:type="dxa"/>
            <w:tcBorders>
              <w:top w:val="single" w:sz="8" w:space="0" w:color="000000"/>
              <w:left w:val="nil"/>
              <w:bottom w:val="single" w:sz="8" w:space="0" w:color="000000"/>
              <w:right w:val="nil"/>
            </w:tcBorders>
            <w:shd w:val="clear" w:color="auto" w:fill="auto"/>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Národní informační platformy</w:t>
            </w:r>
          </w:p>
        </w:tc>
        <w:tc>
          <w:tcPr>
            <w:tcW w:w="2960" w:type="dxa"/>
            <w:tcBorders>
              <w:top w:val="single" w:sz="8" w:space="0" w:color="000000"/>
              <w:left w:val="nil"/>
              <w:bottom w:val="single" w:sz="8" w:space="0" w:color="000000"/>
              <w:right w:val="nil"/>
            </w:tcBorders>
            <w:shd w:val="clear" w:color="auto" w:fill="auto"/>
            <w:noWrap/>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Aplikační odvětví</w:t>
            </w:r>
          </w:p>
        </w:tc>
      </w:tr>
      <w:tr w:rsidR="00E84957" w:rsidRPr="00183ACA" w:rsidTr="0086009A">
        <w:trPr>
          <w:trHeight w:val="284"/>
        </w:trPr>
        <w:tc>
          <w:tcPr>
            <w:tcW w:w="2960" w:type="dxa"/>
            <w:vMerge w:val="restart"/>
            <w:tcBorders>
              <w:top w:val="nil"/>
              <w:left w:val="nil"/>
              <w:bottom w:val="nil"/>
              <w:right w:val="nil"/>
            </w:tcBorders>
            <w:shd w:val="clear" w:color="000000" w:fill="C0C0C0"/>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Pokročilé stroje/technologie pro silný a globálně konkurenceschopný průmysl</w:t>
            </w:r>
          </w:p>
        </w:tc>
        <w:tc>
          <w:tcPr>
            <w:tcW w:w="2960" w:type="dxa"/>
            <w:vMerge w:val="restart"/>
            <w:tcBorders>
              <w:top w:val="nil"/>
              <w:left w:val="nil"/>
              <w:bottom w:val="nil"/>
              <w:right w:val="nil"/>
            </w:tcBorders>
            <w:shd w:val="clear" w:color="000000" w:fill="C0C0C0"/>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NIP I - Strojírenství, energetika, hutnictví</w:t>
            </w:r>
          </w:p>
        </w:tc>
        <w:tc>
          <w:tcPr>
            <w:tcW w:w="2960" w:type="dxa"/>
            <w:tcBorders>
              <w:top w:val="nil"/>
              <w:left w:val="nil"/>
              <w:bottom w:val="nil"/>
              <w:right w:val="nil"/>
            </w:tcBorders>
            <w:shd w:val="clear" w:color="000000" w:fill="C0C0C0"/>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Strojírenství – mechatronika</w:t>
            </w:r>
          </w:p>
        </w:tc>
      </w:tr>
      <w:tr w:rsidR="00E84957" w:rsidRPr="00183ACA" w:rsidTr="0086009A">
        <w:trPr>
          <w:trHeight w:val="284"/>
        </w:trPr>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tcBorders>
              <w:top w:val="nil"/>
              <w:left w:val="nil"/>
              <w:bottom w:val="nil"/>
              <w:right w:val="nil"/>
            </w:tcBorders>
            <w:shd w:val="clear" w:color="000000" w:fill="C0C0C0"/>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Energetika</w:t>
            </w:r>
          </w:p>
        </w:tc>
      </w:tr>
      <w:tr w:rsidR="00E84957" w:rsidRPr="00183ACA" w:rsidTr="0086009A">
        <w:trPr>
          <w:trHeight w:val="284"/>
        </w:trPr>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tcBorders>
              <w:top w:val="nil"/>
              <w:left w:val="nil"/>
              <w:bottom w:val="nil"/>
              <w:right w:val="nil"/>
            </w:tcBorders>
            <w:shd w:val="clear" w:color="000000" w:fill="C0C0C0"/>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Hutnictví</w:t>
            </w:r>
          </w:p>
        </w:tc>
      </w:tr>
      <w:tr w:rsidR="00E84957" w:rsidRPr="00183ACA" w:rsidTr="0086009A">
        <w:trPr>
          <w:trHeight w:val="284"/>
        </w:trPr>
        <w:tc>
          <w:tcPr>
            <w:tcW w:w="2960" w:type="dxa"/>
            <w:vMerge w:val="restart"/>
            <w:tcBorders>
              <w:top w:val="nil"/>
              <w:left w:val="nil"/>
              <w:bottom w:val="nil"/>
              <w:right w:val="nil"/>
            </w:tcBorders>
            <w:shd w:val="clear" w:color="auto" w:fill="auto"/>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 xml:space="preserve">Digital market </w:t>
            </w:r>
            <w:proofErr w:type="spellStart"/>
            <w:r w:rsidRPr="00183ACA">
              <w:rPr>
                <w:rFonts w:ascii="Arial" w:eastAsia="Times New Roman" w:hAnsi="Arial" w:cs="Arial"/>
                <w:b/>
                <w:bCs/>
                <w:color w:val="000000"/>
                <w:sz w:val="20"/>
                <w:szCs w:val="20"/>
                <w:lang w:eastAsia="cs-CZ"/>
              </w:rPr>
              <w:t>technologies</w:t>
            </w:r>
            <w:proofErr w:type="spellEnd"/>
            <w:r w:rsidRPr="00183ACA">
              <w:rPr>
                <w:rFonts w:ascii="Arial" w:eastAsia="Times New Roman" w:hAnsi="Arial" w:cs="Arial"/>
                <w:b/>
                <w:bCs/>
                <w:color w:val="000000"/>
                <w:sz w:val="20"/>
                <w:szCs w:val="20"/>
                <w:lang w:eastAsia="cs-CZ"/>
              </w:rPr>
              <w:t xml:space="preserve"> a elektrotechnika</w:t>
            </w:r>
          </w:p>
        </w:tc>
        <w:tc>
          <w:tcPr>
            <w:tcW w:w="2960" w:type="dxa"/>
            <w:vMerge w:val="restart"/>
            <w:tcBorders>
              <w:top w:val="nil"/>
              <w:left w:val="nil"/>
              <w:bottom w:val="nil"/>
              <w:right w:val="nil"/>
            </w:tcBorders>
            <w:shd w:val="clear" w:color="auto" w:fill="auto"/>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NIP II - Elektronika, elektrotechnika a ICT</w:t>
            </w:r>
          </w:p>
        </w:tc>
        <w:tc>
          <w:tcPr>
            <w:tcW w:w="2960" w:type="dxa"/>
            <w:tcBorders>
              <w:top w:val="nil"/>
              <w:left w:val="nil"/>
              <w:bottom w:val="nil"/>
              <w:right w:val="nil"/>
            </w:tcBorders>
            <w:shd w:val="clear" w:color="auto" w:fill="auto"/>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Elektronika a elektrotechnika</w:t>
            </w:r>
          </w:p>
        </w:tc>
      </w:tr>
      <w:tr w:rsidR="00E84957" w:rsidRPr="00183ACA" w:rsidTr="0086009A">
        <w:trPr>
          <w:trHeight w:val="284"/>
        </w:trPr>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tcBorders>
              <w:top w:val="nil"/>
              <w:left w:val="nil"/>
              <w:bottom w:val="nil"/>
              <w:right w:val="nil"/>
            </w:tcBorders>
            <w:shd w:val="clear" w:color="auto" w:fill="auto"/>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Digitální ekonomika a digitální obsah</w:t>
            </w:r>
          </w:p>
        </w:tc>
      </w:tr>
      <w:tr w:rsidR="00E84957" w:rsidRPr="00183ACA" w:rsidTr="0086009A">
        <w:trPr>
          <w:trHeight w:val="284"/>
        </w:trPr>
        <w:tc>
          <w:tcPr>
            <w:tcW w:w="2960" w:type="dxa"/>
            <w:vMerge w:val="restart"/>
            <w:tcBorders>
              <w:top w:val="nil"/>
              <w:left w:val="nil"/>
              <w:bottom w:val="nil"/>
              <w:right w:val="nil"/>
            </w:tcBorders>
            <w:shd w:val="clear" w:color="000000" w:fill="C0C0C0"/>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Dopravní prostředky pro 21. století</w:t>
            </w:r>
          </w:p>
        </w:tc>
        <w:tc>
          <w:tcPr>
            <w:tcW w:w="2960" w:type="dxa"/>
            <w:vMerge w:val="restart"/>
            <w:tcBorders>
              <w:top w:val="nil"/>
              <w:left w:val="nil"/>
              <w:bottom w:val="nil"/>
              <w:right w:val="nil"/>
            </w:tcBorders>
            <w:shd w:val="clear" w:color="000000" w:fill="C0C0C0"/>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NIP III - Výroba dopravních prostředků</w:t>
            </w:r>
          </w:p>
        </w:tc>
        <w:tc>
          <w:tcPr>
            <w:tcW w:w="2960" w:type="dxa"/>
            <w:tcBorders>
              <w:top w:val="nil"/>
              <w:left w:val="nil"/>
              <w:bottom w:val="nil"/>
              <w:right w:val="nil"/>
            </w:tcBorders>
            <w:shd w:val="clear" w:color="000000" w:fill="C0C0C0"/>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proofErr w:type="spellStart"/>
            <w:r w:rsidRPr="00183ACA">
              <w:rPr>
                <w:rFonts w:ascii="Arial" w:eastAsia="Times New Roman" w:hAnsi="Arial" w:cs="Arial"/>
                <w:color w:val="000000"/>
                <w:sz w:val="20"/>
                <w:szCs w:val="20"/>
                <w:lang w:eastAsia="cs-CZ"/>
              </w:rPr>
              <w:t>Automotive</w:t>
            </w:r>
            <w:proofErr w:type="spellEnd"/>
          </w:p>
        </w:tc>
      </w:tr>
      <w:tr w:rsidR="00E84957" w:rsidRPr="00183ACA" w:rsidTr="0086009A">
        <w:trPr>
          <w:trHeight w:val="284"/>
        </w:trPr>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tcBorders>
              <w:top w:val="nil"/>
              <w:left w:val="nil"/>
              <w:bottom w:val="nil"/>
              <w:right w:val="nil"/>
            </w:tcBorders>
            <w:shd w:val="clear" w:color="000000" w:fill="C0C0C0"/>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Železniční a kolejová vozidla</w:t>
            </w:r>
          </w:p>
        </w:tc>
      </w:tr>
      <w:tr w:rsidR="00E84957" w:rsidRPr="00183ACA" w:rsidTr="0086009A">
        <w:trPr>
          <w:trHeight w:val="284"/>
        </w:trPr>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tcBorders>
              <w:top w:val="nil"/>
              <w:left w:val="nil"/>
              <w:bottom w:val="nil"/>
              <w:right w:val="nil"/>
            </w:tcBorders>
            <w:shd w:val="clear" w:color="000000" w:fill="C0C0C0"/>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Letecký a kosmický průmysl</w:t>
            </w:r>
          </w:p>
        </w:tc>
      </w:tr>
      <w:tr w:rsidR="00E84957" w:rsidRPr="00183ACA" w:rsidTr="0086009A">
        <w:trPr>
          <w:trHeight w:val="284"/>
        </w:trPr>
        <w:tc>
          <w:tcPr>
            <w:tcW w:w="2960" w:type="dxa"/>
            <w:tcBorders>
              <w:top w:val="nil"/>
              <w:left w:val="nil"/>
              <w:bottom w:val="nil"/>
              <w:right w:val="nil"/>
            </w:tcBorders>
            <w:shd w:val="clear" w:color="auto" w:fill="auto"/>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 xml:space="preserve">Péče o zdraví, pokročilá medicína </w:t>
            </w:r>
          </w:p>
        </w:tc>
        <w:tc>
          <w:tcPr>
            <w:tcW w:w="2960" w:type="dxa"/>
            <w:tcBorders>
              <w:top w:val="nil"/>
              <w:left w:val="nil"/>
              <w:bottom w:val="nil"/>
              <w:right w:val="nil"/>
            </w:tcBorders>
            <w:shd w:val="clear" w:color="auto" w:fill="auto"/>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 xml:space="preserve">NIP IV - Léčiva, biotechnologie, prostředky zdravotnické techniky, </w:t>
            </w:r>
            <w:proofErr w:type="spellStart"/>
            <w:r w:rsidRPr="00183ACA">
              <w:rPr>
                <w:rFonts w:ascii="Arial" w:eastAsia="Times New Roman" w:hAnsi="Arial" w:cs="Arial"/>
                <w:b/>
                <w:bCs/>
                <w:color w:val="000000"/>
                <w:sz w:val="20"/>
                <w:szCs w:val="20"/>
                <w:lang w:eastAsia="cs-CZ"/>
              </w:rPr>
              <w:t>Life</w:t>
            </w:r>
            <w:proofErr w:type="spellEnd"/>
            <w:r w:rsidRPr="00183ACA">
              <w:rPr>
                <w:rFonts w:ascii="Arial" w:eastAsia="Times New Roman" w:hAnsi="Arial" w:cs="Arial"/>
                <w:b/>
                <w:bCs/>
                <w:color w:val="000000"/>
                <w:sz w:val="20"/>
                <w:szCs w:val="20"/>
                <w:lang w:eastAsia="cs-CZ"/>
              </w:rPr>
              <w:t xml:space="preserve"> Sciences</w:t>
            </w:r>
          </w:p>
        </w:tc>
        <w:tc>
          <w:tcPr>
            <w:tcW w:w="2960" w:type="dxa"/>
            <w:tcBorders>
              <w:top w:val="nil"/>
              <w:left w:val="nil"/>
              <w:bottom w:val="nil"/>
              <w:right w:val="nil"/>
            </w:tcBorders>
            <w:shd w:val="clear" w:color="auto" w:fill="auto"/>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 xml:space="preserve">Léčiva, biotechnologie, prostředky zdravotnické techniky a </w:t>
            </w:r>
            <w:proofErr w:type="spellStart"/>
            <w:r w:rsidRPr="00183ACA">
              <w:rPr>
                <w:rFonts w:ascii="Arial" w:eastAsia="Times New Roman" w:hAnsi="Arial" w:cs="Arial"/>
                <w:color w:val="000000"/>
                <w:sz w:val="20"/>
                <w:szCs w:val="20"/>
                <w:lang w:eastAsia="cs-CZ"/>
              </w:rPr>
              <w:t>Life</w:t>
            </w:r>
            <w:proofErr w:type="spellEnd"/>
            <w:r w:rsidRPr="00183ACA">
              <w:rPr>
                <w:rFonts w:ascii="Arial" w:eastAsia="Times New Roman" w:hAnsi="Arial" w:cs="Arial"/>
                <w:color w:val="000000"/>
                <w:sz w:val="20"/>
                <w:szCs w:val="20"/>
                <w:lang w:eastAsia="cs-CZ"/>
              </w:rPr>
              <w:t xml:space="preserve"> Sciences</w:t>
            </w:r>
          </w:p>
        </w:tc>
      </w:tr>
      <w:tr w:rsidR="00E84957" w:rsidRPr="00183ACA" w:rsidTr="0086009A">
        <w:trPr>
          <w:trHeight w:val="284"/>
        </w:trPr>
        <w:tc>
          <w:tcPr>
            <w:tcW w:w="2960" w:type="dxa"/>
            <w:vMerge w:val="restart"/>
            <w:tcBorders>
              <w:top w:val="nil"/>
              <w:left w:val="nil"/>
              <w:bottom w:val="nil"/>
              <w:right w:val="nil"/>
            </w:tcBorders>
            <w:shd w:val="clear" w:color="000000" w:fill="C0C0C0"/>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Kulturní a kreativní odvětví</w:t>
            </w:r>
          </w:p>
        </w:tc>
        <w:tc>
          <w:tcPr>
            <w:tcW w:w="2960" w:type="dxa"/>
            <w:vMerge w:val="restart"/>
            <w:tcBorders>
              <w:top w:val="nil"/>
              <w:left w:val="nil"/>
              <w:bottom w:val="nil"/>
              <w:right w:val="nil"/>
            </w:tcBorders>
            <w:shd w:val="clear" w:color="000000" w:fill="C0C0C0"/>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NIP V -  Kulturní a kreativní průmysly</w:t>
            </w:r>
          </w:p>
        </w:tc>
        <w:tc>
          <w:tcPr>
            <w:tcW w:w="2960" w:type="dxa"/>
            <w:tcBorders>
              <w:top w:val="nil"/>
              <w:left w:val="nil"/>
              <w:bottom w:val="nil"/>
              <w:right w:val="nil"/>
            </w:tcBorders>
            <w:shd w:val="clear" w:color="000000" w:fill="C0C0C0"/>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Tradiční kulturní a kreativní průmysly</w:t>
            </w:r>
          </w:p>
        </w:tc>
      </w:tr>
      <w:tr w:rsidR="00E84957" w:rsidRPr="00183ACA" w:rsidTr="0086009A">
        <w:trPr>
          <w:trHeight w:val="284"/>
        </w:trPr>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tcBorders>
              <w:top w:val="nil"/>
              <w:left w:val="nil"/>
              <w:bottom w:val="nil"/>
              <w:right w:val="nil"/>
            </w:tcBorders>
            <w:shd w:val="clear" w:color="000000" w:fill="C0C0C0"/>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Nové kulturní a kreativní průmysly</w:t>
            </w:r>
          </w:p>
        </w:tc>
      </w:tr>
      <w:tr w:rsidR="00E84957" w:rsidRPr="00183ACA" w:rsidTr="0086009A">
        <w:trPr>
          <w:trHeight w:val="284"/>
        </w:trPr>
        <w:tc>
          <w:tcPr>
            <w:tcW w:w="2960" w:type="dxa"/>
            <w:vMerge w:val="restart"/>
            <w:tcBorders>
              <w:top w:val="nil"/>
              <w:left w:val="nil"/>
              <w:bottom w:val="nil"/>
              <w:right w:val="nil"/>
            </w:tcBorders>
            <w:shd w:val="clear" w:color="auto" w:fill="auto"/>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Zemědělství a životní prostředí</w:t>
            </w:r>
          </w:p>
        </w:tc>
        <w:tc>
          <w:tcPr>
            <w:tcW w:w="2960" w:type="dxa"/>
            <w:vMerge w:val="restart"/>
            <w:tcBorders>
              <w:top w:val="nil"/>
              <w:left w:val="nil"/>
              <w:bottom w:val="nil"/>
              <w:right w:val="nil"/>
            </w:tcBorders>
            <w:shd w:val="clear" w:color="auto" w:fill="auto"/>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NIP VI - Zemědělství a životní prostředí</w:t>
            </w:r>
          </w:p>
        </w:tc>
        <w:tc>
          <w:tcPr>
            <w:tcW w:w="2960" w:type="dxa"/>
            <w:tcBorders>
              <w:top w:val="nil"/>
              <w:left w:val="nil"/>
              <w:bottom w:val="nil"/>
              <w:right w:val="nil"/>
            </w:tcBorders>
            <w:shd w:val="clear" w:color="auto" w:fill="auto"/>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Udržitelné hospodaření s přírodními zdroji</w:t>
            </w:r>
          </w:p>
        </w:tc>
      </w:tr>
      <w:tr w:rsidR="00E84957" w:rsidRPr="00183ACA" w:rsidTr="0086009A">
        <w:trPr>
          <w:trHeight w:val="284"/>
        </w:trPr>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tcBorders>
              <w:top w:val="nil"/>
              <w:left w:val="nil"/>
              <w:bottom w:val="nil"/>
              <w:right w:val="nil"/>
            </w:tcBorders>
            <w:shd w:val="clear" w:color="auto" w:fill="auto"/>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Udržitelné zemědělství a lesnictví</w:t>
            </w:r>
          </w:p>
        </w:tc>
      </w:tr>
      <w:tr w:rsidR="00E84957" w:rsidRPr="00183ACA" w:rsidTr="0086009A">
        <w:trPr>
          <w:trHeight w:val="284"/>
        </w:trPr>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tcBorders>
              <w:top w:val="nil"/>
              <w:left w:val="nil"/>
              <w:bottom w:val="nil"/>
              <w:right w:val="nil"/>
            </w:tcBorders>
            <w:shd w:val="clear" w:color="auto" w:fill="auto"/>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Udržitelná produkce potravin</w:t>
            </w:r>
          </w:p>
        </w:tc>
      </w:tr>
      <w:tr w:rsidR="00E84957" w:rsidRPr="00183ACA" w:rsidTr="0086009A">
        <w:trPr>
          <w:trHeight w:val="284"/>
        </w:trPr>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tcBorders>
              <w:top w:val="nil"/>
              <w:left w:val="nil"/>
              <w:bottom w:val="nil"/>
              <w:right w:val="nil"/>
            </w:tcBorders>
            <w:shd w:val="clear" w:color="auto" w:fill="auto"/>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Zajištění zdravého a kvalitního životního prostředí a efektivní využívání přírodních zdrojů</w:t>
            </w:r>
          </w:p>
        </w:tc>
      </w:tr>
      <w:tr w:rsidR="00E84957" w:rsidRPr="00183ACA" w:rsidTr="0086009A">
        <w:trPr>
          <w:trHeight w:val="284"/>
        </w:trPr>
        <w:tc>
          <w:tcPr>
            <w:tcW w:w="2960" w:type="dxa"/>
            <w:vMerge w:val="restart"/>
            <w:tcBorders>
              <w:top w:val="nil"/>
              <w:left w:val="nil"/>
              <w:bottom w:val="nil"/>
              <w:right w:val="nil"/>
            </w:tcBorders>
            <w:shd w:val="clear" w:color="000000" w:fill="C0C0C0"/>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Společenské výzvy</w:t>
            </w:r>
          </w:p>
        </w:tc>
        <w:tc>
          <w:tcPr>
            <w:tcW w:w="2960" w:type="dxa"/>
            <w:vMerge w:val="restart"/>
            <w:tcBorders>
              <w:top w:val="nil"/>
              <w:left w:val="nil"/>
              <w:bottom w:val="nil"/>
              <w:right w:val="nil"/>
            </w:tcBorders>
            <w:shd w:val="clear" w:color="000000" w:fill="C0C0C0"/>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NIP VII</w:t>
            </w:r>
            <w:r>
              <w:rPr>
                <w:rFonts w:ascii="Arial" w:eastAsia="Times New Roman" w:hAnsi="Arial" w:cs="Arial"/>
                <w:b/>
                <w:bCs/>
                <w:color w:val="000000"/>
                <w:sz w:val="20"/>
                <w:szCs w:val="20"/>
                <w:lang w:eastAsia="cs-CZ"/>
              </w:rPr>
              <w:t xml:space="preserve"> </w:t>
            </w:r>
            <w:r w:rsidRPr="00183ACA">
              <w:rPr>
                <w:rFonts w:ascii="Arial" w:eastAsia="Times New Roman" w:hAnsi="Arial" w:cs="Arial"/>
                <w:b/>
                <w:bCs/>
                <w:color w:val="000000"/>
                <w:sz w:val="20"/>
                <w:szCs w:val="20"/>
                <w:lang w:eastAsia="cs-CZ"/>
              </w:rPr>
              <w:t>- Společenské výzvy</w:t>
            </w:r>
          </w:p>
        </w:tc>
        <w:tc>
          <w:tcPr>
            <w:tcW w:w="2960" w:type="dxa"/>
            <w:tcBorders>
              <w:top w:val="nil"/>
              <w:left w:val="nil"/>
              <w:bottom w:val="nil"/>
              <w:right w:val="nil"/>
            </w:tcBorders>
            <w:shd w:val="clear" w:color="000000" w:fill="C0C0C0"/>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Bezpečnostní výzkum</w:t>
            </w:r>
          </w:p>
        </w:tc>
      </w:tr>
      <w:tr w:rsidR="00E84957" w:rsidRPr="00183ACA" w:rsidTr="0086009A">
        <w:trPr>
          <w:trHeight w:val="284"/>
        </w:trPr>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tcBorders>
              <w:top w:val="nil"/>
              <w:left w:val="nil"/>
              <w:bottom w:val="nil"/>
              <w:right w:val="nil"/>
            </w:tcBorders>
            <w:shd w:val="clear" w:color="000000" w:fill="C0C0C0"/>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Výzkum ve zdravotnictví</w:t>
            </w:r>
          </w:p>
        </w:tc>
      </w:tr>
      <w:tr w:rsidR="00E84957" w:rsidRPr="00183ACA" w:rsidTr="0086009A">
        <w:trPr>
          <w:trHeight w:val="284"/>
        </w:trPr>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vMerge/>
            <w:tcBorders>
              <w:top w:val="nil"/>
              <w:left w:val="nil"/>
              <w:bottom w:val="nil"/>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tcBorders>
              <w:top w:val="nil"/>
              <w:left w:val="nil"/>
              <w:bottom w:val="nil"/>
              <w:right w:val="nil"/>
            </w:tcBorders>
            <w:shd w:val="clear" w:color="000000" w:fill="C0C0C0"/>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Práce, sociální služby a důchodový systém</w:t>
            </w:r>
          </w:p>
        </w:tc>
      </w:tr>
      <w:tr w:rsidR="00E84957" w:rsidRPr="00183ACA" w:rsidTr="0086009A">
        <w:trPr>
          <w:trHeight w:val="284"/>
        </w:trPr>
        <w:tc>
          <w:tcPr>
            <w:tcW w:w="2960" w:type="dxa"/>
            <w:vMerge w:val="restart"/>
            <w:tcBorders>
              <w:top w:val="nil"/>
              <w:left w:val="nil"/>
              <w:bottom w:val="single" w:sz="8" w:space="0" w:color="000000"/>
              <w:right w:val="nil"/>
            </w:tcBorders>
            <w:shd w:val="clear" w:color="auto" w:fill="auto"/>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Krajsky specifická aplikační odvětví</w:t>
            </w:r>
          </w:p>
        </w:tc>
        <w:tc>
          <w:tcPr>
            <w:tcW w:w="2960" w:type="dxa"/>
            <w:vMerge w:val="restart"/>
            <w:tcBorders>
              <w:top w:val="nil"/>
              <w:left w:val="nil"/>
              <w:bottom w:val="single" w:sz="8" w:space="0" w:color="000000"/>
              <w:right w:val="nil"/>
            </w:tcBorders>
            <w:shd w:val="clear" w:color="auto" w:fill="auto"/>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r w:rsidRPr="00183ACA">
              <w:rPr>
                <w:rFonts w:ascii="Arial" w:eastAsia="Times New Roman" w:hAnsi="Arial" w:cs="Arial"/>
                <w:b/>
                <w:bCs/>
                <w:color w:val="000000"/>
                <w:sz w:val="20"/>
                <w:szCs w:val="20"/>
                <w:lang w:eastAsia="cs-CZ"/>
              </w:rPr>
              <w:t>Krajské inovační platformy</w:t>
            </w:r>
          </w:p>
        </w:tc>
        <w:tc>
          <w:tcPr>
            <w:tcW w:w="2960" w:type="dxa"/>
            <w:tcBorders>
              <w:top w:val="nil"/>
              <w:left w:val="nil"/>
              <w:bottom w:val="nil"/>
              <w:right w:val="nil"/>
            </w:tcBorders>
            <w:shd w:val="clear" w:color="auto" w:fill="auto"/>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Chemie a chemický průmysl</w:t>
            </w:r>
          </w:p>
        </w:tc>
      </w:tr>
      <w:tr w:rsidR="00E84957" w:rsidRPr="00183ACA" w:rsidTr="0086009A">
        <w:trPr>
          <w:trHeight w:val="284"/>
        </w:trPr>
        <w:tc>
          <w:tcPr>
            <w:tcW w:w="2960" w:type="dxa"/>
            <w:vMerge/>
            <w:tcBorders>
              <w:top w:val="nil"/>
              <w:left w:val="nil"/>
              <w:bottom w:val="single" w:sz="8" w:space="0" w:color="000000"/>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vMerge/>
            <w:tcBorders>
              <w:top w:val="nil"/>
              <w:left w:val="nil"/>
              <w:bottom w:val="single" w:sz="8" w:space="0" w:color="000000"/>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tcBorders>
              <w:top w:val="nil"/>
              <w:left w:val="nil"/>
              <w:bottom w:val="nil"/>
              <w:right w:val="nil"/>
            </w:tcBorders>
            <w:shd w:val="clear" w:color="000000" w:fill="C0C0C0"/>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Sklářství a keramika</w:t>
            </w:r>
          </w:p>
        </w:tc>
      </w:tr>
      <w:tr w:rsidR="00E84957" w:rsidRPr="00183ACA" w:rsidTr="0086009A">
        <w:trPr>
          <w:trHeight w:val="284"/>
        </w:trPr>
        <w:tc>
          <w:tcPr>
            <w:tcW w:w="2960" w:type="dxa"/>
            <w:vMerge/>
            <w:tcBorders>
              <w:top w:val="nil"/>
              <w:left w:val="nil"/>
              <w:bottom w:val="single" w:sz="8" w:space="0" w:color="000000"/>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vMerge/>
            <w:tcBorders>
              <w:top w:val="nil"/>
              <w:left w:val="nil"/>
              <w:bottom w:val="single" w:sz="8" w:space="0" w:color="000000"/>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tcBorders>
              <w:top w:val="nil"/>
              <w:left w:val="nil"/>
              <w:bottom w:val="nil"/>
              <w:right w:val="nil"/>
            </w:tcBorders>
            <w:shd w:val="clear" w:color="auto" w:fill="auto"/>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Gumárenství a plastikářství</w:t>
            </w:r>
          </w:p>
        </w:tc>
      </w:tr>
      <w:tr w:rsidR="00E84957" w:rsidRPr="00183ACA" w:rsidTr="0086009A">
        <w:trPr>
          <w:trHeight w:val="284"/>
        </w:trPr>
        <w:tc>
          <w:tcPr>
            <w:tcW w:w="2960" w:type="dxa"/>
            <w:vMerge/>
            <w:tcBorders>
              <w:top w:val="nil"/>
              <w:left w:val="nil"/>
              <w:bottom w:val="single" w:sz="8" w:space="0" w:color="000000"/>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vMerge/>
            <w:tcBorders>
              <w:top w:val="nil"/>
              <w:left w:val="nil"/>
              <w:bottom w:val="single" w:sz="8" w:space="0" w:color="000000"/>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tcBorders>
              <w:top w:val="nil"/>
              <w:left w:val="nil"/>
              <w:bottom w:val="nil"/>
              <w:right w:val="nil"/>
            </w:tcBorders>
            <w:shd w:val="clear" w:color="000000" w:fill="C0C0C0"/>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Textil</w:t>
            </w:r>
          </w:p>
        </w:tc>
      </w:tr>
      <w:tr w:rsidR="00E84957" w:rsidRPr="00183ACA" w:rsidTr="0086009A">
        <w:trPr>
          <w:trHeight w:val="284"/>
        </w:trPr>
        <w:tc>
          <w:tcPr>
            <w:tcW w:w="2960" w:type="dxa"/>
            <w:vMerge/>
            <w:tcBorders>
              <w:top w:val="nil"/>
              <w:left w:val="nil"/>
              <w:bottom w:val="single" w:sz="8" w:space="0" w:color="000000"/>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vMerge/>
            <w:tcBorders>
              <w:top w:val="nil"/>
              <w:left w:val="nil"/>
              <w:bottom w:val="single" w:sz="8" w:space="0" w:color="000000"/>
              <w:right w:val="nil"/>
            </w:tcBorders>
            <w:vAlign w:val="center"/>
            <w:hideMark/>
          </w:tcPr>
          <w:p w:rsidR="00E84957" w:rsidRPr="00183ACA" w:rsidRDefault="00E84957" w:rsidP="0086009A">
            <w:pPr>
              <w:spacing w:after="0" w:line="240" w:lineRule="auto"/>
              <w:rPr>
                <w:rFonts w:ascii="Arial" w:eastAsia="Times New Roman" w:hAnsi="Arial" w:cs="Arial"/>
                <w:b/>
                <w:bCs/>
                <w:color w:val="000000"/>
                <w:sz w:val="20"/>
                <w:szCs w:val="20"/>
                <w:lang w:eastAsia="cs-CZ"/>
              </w:rPr>
            </w:pPr>
          </w:p>
        </w:tc>
        <w:tc>
          <w:tcPr>
            <w:tcW w:w="2960" w:type="dxa"/>
            <w:tcBorders>
              <w:top w:val="nil"/>
              <w:left w:val="nil"/>
              <w:bottom w:val="single" w:sz="8" w:space="0" w:color="000000"/>
              <w:right w:val="nil"/>
            </w:tcBorders>
            <w:shd w:val="clear" w:color="auto" w:fill="auto"/>
            <w:noWrap/>
            <w:vAlign w:val="center"/>
            <w:hideMark/>
          </w:tcPr>
          <w:p w:rsidR="00E84957" w:rsidRPr="00183ACA" w:rsidRDefault="00E84957" w:rsidP="0086009A">
            <w:pPr>
              <w:spacing w:after="0" w:line="240" w:lineRule="auto"/>
              <w:rPr>
                <w:rFonts w:ascii="Arial" w:eastAsia="Times New Roman" w:hAnsi="Arial" w:cs="Arial"/>
                <w:color w:val="000000"/>
                <w:sz w:val="20"/>
                <w:szCs w:val="20"/>
                <w:lang w:eastAsia="cs-CZ"/>
              </w:rPr>
            </w:pPr>
            <w:r w:rsidRPr="00183ACA">
              <w:rPr>
                <w:rFonts w:ascii="Arial" w:eastAsia="Times New Roman" w:hAnsi="Arial" w:cs="Arial"/>
                <w:color w:val="000000"/>
                <w:sz w:val="20"/>
                <w:szCs w:val="20"/>
                <w:lang w:eastAsia="cs-CZ"/>
              </w:rPr>
              <w:t>Balneologie a lázeňství</w:t>
            </w:r>
          </w:p>
        </w:tc>
      </w:tr>
    </w:tbl>
    <w:p w:rsidR="00E84957" w:rsidRDefault="00E84957" w:rsidP="00E84957">
      <w:pPr>
        <w:pStyle w:val="Zdrojapoznmka"/>
      </w:pPr>
      <w:r w:rsidRPr="00DE57D2">
        <w:t>Zdroj: Národní RIS3 strategie</w:t>
      </w:r>
      <w:r w:rsidRPr="00B4528E">
        <w:t>; Oddělení strategie S3 MPO</w:t>
      </w:r>
    </w:p>
    <w:p w:rsidR="00E84957" w:rsidRPr="00E84957" w:rsidRDefault="00E84957" w:rsidP="00E84957">
      <w:pPr>
        <w:spacing w:after="0" w:line="360" w:lineRule="auto"/>
        <w:ind w:firstLine="708"/>
        <w:jc w:val="both"/>
        <w:rPr>
          <w:rFonts w:ascii="Arial" w:hAnsi="Arial" w:cs="Arial"/>
        </w:rPr>
      </w:pPr>
    </w:p>
    <w:p w:rsidR="00E84957" w:rsidRPr="00B4528E" w:rsidRDefault="00E84957" w:rsidP="00E84957">
      <w:pPr>
        <w:spacing w:after="0" w:line="360" w:lineRule="auto"/>
        <w:ind w:firstLine="565"/>
        <w:jc w:val="both"/>
        <w:rPr>
          <w:rFonts w:ascii="Arial" w:eastAsia="Times New Roman" w:hAnsi="Arial" w:cs="Arial"/>
          <w:lang w:eastAsia="cs-CZ"/>
        </w:rPr>
      </w:pPr>
      <w:bookmarkStart w:id="23" w:name="_Toc493722831"/>
      <w:bookmarkStart w:id="24" w:name="_Toc495662275"/>
      <w:r w:rsidRPr="006A54E8">
        <w:rPr>
          <w:rFonts w:ascii="Arial" w:hAnsi="Arial" w:cs="Arial"/>
          <w:i/>
        </w:rPr>
        <w:t>Národní RIS3 strategie</w:t>
      </w:r>
      <w:r w:rsidRPr="00B4528E">
        <w:rPr>
          <w:rFonts w:ascii="Arial" w:hAnsi="Arial" w:cs="Arial"/>
        </w:rPr>
        <w:t xml:space="preserve"> byla vládou ČR </w:t>
      </w:r>
      <w:r w:rsidRPr="00B4528E">
        <w:rPr>
          <w:rFonts w:ascii="Arial" w:hAnsi="Arial" w:cs="Arial"/>
          <w:b/>
        </w:rPr>
        <w:t>schválena dne 11. 7. 2016</w:t>
      </w:r>
      <w:r w:rsidRPr="00B4528E">
        <w:rPr>
          <w:rFonts w:ascii="Arial" w:hAnsi="Arial" w:cs="Arial"/>
        </w:rPr>
        <w:t>, a poté také Evropskou komisí. Regionální dimenze je zajišťována 14 krajskými přílohami (schválenými krajskými zastupitelstvy), které stanovují priority v návaznosti na specifika výzkumného a inovačního potenciálu daného kraje.</w:t>
      </w:r>
    </w:p>
    <w:p w:rsidR="00E84957" w:rsidRPr="00B4528E" w:rsidRDefault="00E84957" w:rsidP="00E84957">
      <w:pPr>
        <w:spacing w:after="0" w:line="360" w:lineRule="auto"/>
        <w:ind w:firstLine="360"/>
        <w:jc w:val="both"/>
        <w:rPr>
          <w:rFonts w:ascii="Arial" w:eastAsia="Times New Roman" w:hAnsi="Arial" w:cs="Arial"/>
          <w:lang w:eastAsia="cs-CZ"/>
        </w:rPr>
      </w:pPr>
      <w:r w:rsidRPr="00B4528E">
        <w:rPr>
          <w:rFonts w:ascii="Arial" w:eastAsia="Times New Roman" w:hAnsi="Arial" w:cs="Arial"/>
          <w:b/>
          <w:lang w:eastAsia="cs-CZ"/>
        </w:rPr>
        <w:t>Implementace</w:t>
      </w:r>
      <w:r w:rsidRPr="00B4528E">
        <w:rPr>
          <w:rFonts w:ascii="Arial" w:eastAsia="Times New Roman" w:hAnsi="Arial" w:cs="Arial"/>
          <w:lang w:eastAsia="cs-CZ"/>
        </w:rPr>
        <w:t xml:space="preserve"> </w:t>
      </w:r>
      <w:r w:rsidRPr="006A54E8">
        <w:rPr>
          <w:rFonts w:ascii="Arial" w:eastAsia="Times New Roman" w:hAnsi="Arial" w:cs="Arial"/>
          <w:i/>
          <w:lang w:eastAsia="cs-CZ"/>
        </w:rPr>
        <w:t xml:space="preserve">Národní RIS3 strategie </w:t>
      </w:r>
      <w:r w:rsidRPr="00B4528E">
        <w:rPr>
          <w:rFonts w:ascii="Arial" w:eastAsia="Times New Roman" w:hAnsi="Arial" w:cs="Arial"/>
          <w:lang w:eastAsia="cs-CZ"/>
        </w:rPr>
        <w:t xml:space="preserve">v operačních programech financovaných z ESIF (dále „operační programy“) je zajištěna Operačním programem Podnikání a inovace pro konkurenceschopnost (OP PIK), Operačním programem Výzkum, vývoj a vzdělávání (OP VVV), Operačním programem Praha </w:t>
      </w:r>
      <w:r w:rsidRPr="00F37A80">
        <w:rPr>
          <w:i/>
        </w:rPr>
        <w:t>–</w:t>
      </w:r>
      <w:r w:rsidRPr="00B4528E">
        <w:rPr>
          <w:rFonts w:ascii="Arial" w:eastAsia="Times New Roman" w:hAnsi="Arial" w:cs="Arial"/>
          <w:lang w:eastAsia="cs-CZ"/>
        </w:rPr>
        <w:t xml:space="preserve"> pól růstu ČR (OP PPR), Integrovaným regionálním operačním programem (IROP) a Operačním programem Zaměstnanost (OP Z). </w:t>
      </w:r>
      <w:r w:rsidRPr="00B4528E">
        <w:rPr>
          <w:rFonts w:ascii="Arial" w:eastAsia="Times New Roman" w:hAnsi="Arial" w:cs="Arial"/>
          <w:lang w:eastAsia="cs-CZ"/>
        </w:rPr>
        <w:lastRenderedPageBreak/>
        <w:t>Z národních programů podpory výzkumu a vývoje byly doposud integrovány program TRIO (gesce MPO) a programy Centra kompetence, EPSILON a GAMA (gesce TA ČR).</w:t>
      </w:r>
    </w:p>
    <w:p w:rsidR="00E84957" w:rsidRPr="00B4528E" w:rsidRDefault="00E84957" w:rsidP="00E84957">
      <w:pPr>
        <w:spacing w:after="0" w:line="360" w:lineRule="auto"/>
        <w:ind w:firstLine="360"/>
        <w:jc w:val="both"/>
        <w:rPr>
          <w:rFonts w:ascii="Arial" w:eastAsia="Times New Roman" w:hAnsi="Arial" w:cs="Arial"/>
          <w:lang w:eastAsia="cs-CZ"/>
        </w:rPr>
      </w:pPr>
      <w:r w:rsidRPr="00B4528E">
        <w:rPr>
          <w:rFonts w:ascii="Arial" w:eastAsia="Times New Roman" w:hAnsi="Arial" w:cs="Arial"/>
          <w:lang w:eastAsia="cs-CZ"/>
        </w:rPr>
        <w:t xml:space="preserve">Na základě usnesení vlády ČR č. 168 ze dne 14. března 2018 byla gesce za realizaci </w:t>
      </w:r>
      <w:r w:rsidRPr="006A54E8">
        <w:rPr>
          <w:rFonts w:ascii="Arial" w:eastAsia="Times New Roman" w:hAnsi="Arial" w:cs="Arial"/>
          <w:i/>
          <w:lang w:eastAsia="cs-CZ"/>
        </w:rPr>
        <w:t>Národní RIS3 strategie</w:t>
      </w:r>
      <w:r w:rsidRPr="00B4528E">
        <w:rPr>
          <w:rFonts w:ascii="Arial" w:eastAsia="Times New Roman" w:hAnsi="Arial" w:cs="Arial"/>
          <w:lang w:eastAsia="cs-CZ"/>
        </w:rPr>
        <w:t xml:space="preserve"> převedena s účinností od 1. dubna 2018 z Úřadu vlády na </w:t>
      </w:r>
      <w:r w:rsidRPr="00B4528E">
        <w:rPr>
          <w:rFonts w:ascii="Arial" w:hAnsi="Arial" w:cs="Arial"/>
          <w:lang w:eastAsia="cs-CZ"/>
        </w:rPr>
        <w:t>Ministerstvo průmyslu a obchodu (výkonnou roli plní Oddělení strategie S3)</w:t>
      </w:r>
      <w:r w:rsidRPr="00B4528E">
        <w:rPr>
          <w:rFonts w:ascii="Arial" w:eastAsia="Times New Roman" w:hAnsi="Arial" w:cs="Arial"/>
          <w:lang w:eastAsia="cs-CZ"/>
        </w:rPr>
        <w:t xml:space="preserve"> </w:t>
      </w:r>
      <w:r w:rsidRPr="00F37A80">
        <w:rPr>
          <w:i/>
        </w:rPr>
        <w:t>–</w:t>
      </w:r>
      <w:r w:rsidRPr="00B4528E">
        <w:rPr>
          <w:rFonts w:ascii="Arial" w:eastAsia="Times New Roman" w:hAnsi="Arial" w:cs="Arial"/>
          <w:lang w:eastAsia="cs-CZ"/>
        </w:rPr>
        <w:t xml:space="preserve"> hlavní zodpovědnost spočívá v koordinaci a řízení priorit na celostátní úrovni. Nezbytná je dále jeho činnost při zohledňování podnětů vzešlých z průběžného procesu EDP a jejich zprostředkování Řídicím orgánům relevantních operačních programů a gestorům programů podpory výzkumu a vývoje. Gestor rovněž dbá na řádné zacilování projektů na aplikační odvětví a klíčové oblasti změn. Nezbytnými složkami činnosti řízení jsou monitoring, analýza, evaluace, plánování pokračující implementace a aktualizace základního dokumentu Národní RIS3 strategie. Na úrovni krajů byly zřízeny autonomní řídicí struktury pro management a implementaci krajských RIS3 strategií.</w:t>
      </w:r>
    </w:p>
    <w:p w:rsidR="00E84957" w:rsidRPr="00DE57D2" w:rsidRDefault="00E84957" w:rsidP="00E84957">
      <w:pPr>
        <w:keepNext/>
        <w:tabs>
          <w:tab w:val="left" w:pos="6480"/>
        </w:tabs>
        <w:spacing w:before="120" w:after="240" w:line="240" w:lineRule="auto"/>
        <w:jc w:val="both"/>
        <w:rPr>
          <w:rFonts w:ascii="Arial" w:eastAsia="Times New Roman" w:hAnsi="Arial" w:cs="Times New Roman"/>
          <w:b/>
          <w:szCs w:val="24"/>
          <w:lang w:eastAsia="cs-CZ"/>
        </w:rPr>
      </w:pPr>
      <w:r>
        <w:rPr>
          <w:rFonts w:ascii="Arial" w:eastAsia="Times New Roman" w:hAnsi="Arial" w:cs="Times New Roman"/>
          <w:b/>
          <w:szCs w:val="24"/>
          <w:lang w:eastAsia="cs-CZ"/>
        </w:rPr>
        <w:t>Schéma</w:t>
      </w:r>
      <w:r w:rsidRPr="006157D3">
        <w:rPr>
          <w:rFonts w:ascii="Arial" w:eastAsia="Times New Roman" w:hAnsi="Arial" w:cs="Times New Roman"/>
          <w:b/>
          <w:szCs w:val="24"/>
          <w:lang w:eastAsia="cs-CZ"/>
        </w:rPr>
        <w:t xml:space="preserve"> 4</w:t>
      </w:r>
      <w:r>
        <w:rPr>
          <w:rFonts w:ascii="Arial" w:eastAsia="Times New Roman" w:hAnsi="Arial" w:cs="Times New Roman"/>
          <w:b/>
          <w:szCs w:val="24"/>
          <w:lang w:eastAsia="cs-CZ"/>
        </w:rPr>
        <w:t>.1</w:t>
      </w:r>
      <w:r w:rsidRPr="00DE57D2">
        <w:rPr>
          <w:rFonts w:ascii="Arial" w:eastAsia="Times New Roman" w:hAnsi="Arial" w:cs="Times New Roman"/>
          <w:b/>
          <w:szCs w:val="24"/>
          <w:lang w:eastAsia="cs-CZ"/>
        </w:rPr>
        <w:t xml:space="preserve">: </w:t>
      </w:r>
      <w:bookmarkEnd w:id="23"/>
      <w:bookmarkEnd w:id="24"/>
      <w:r w:rsidRPr="006157D3">
        <w:rPr>
          <w:rFonts w:ascii="Arial" w:eastAsia="Times New Roman" w:hAnsi="Arial" w:cs="Times New Roman"/>
          <w:b/>
          <w:szCs w:val="24"/>
          <w:lang w:eastAsia="cs-CZ"/>
        </w:rPr>
        <w:t>Systém impl</w:t>
      </w:r>
      <w:r>
        <w:rPr>
          <w:rFonts w:ascii="Arial" w:eastAsia="Times New Roman" w:hAnsi="Arial" w:cs="Times New Roman"/>
          <w:b/>
          <w:szCs w:val="24"/>
          <w:lang w:eastAsia="cs-CZ"/>
        </w:rPr>
        <w:t>ementace Národní RIS3 strategie</w:t>
      </w:r>
    </w:p>
    <w:p w:rsidR="00E84957" w:rsidRPr="00DE57D2" w:rsidRDefault="00E84957" w:rsidP="00E84957">
      <w:pPr>
        <w:jc w:val="center"/>
        <w:rPr>
          <w:highlight w:val="yellow"/>
        </w:rPr>
      </w:pPr>
      <w:r>
        <w:rPr>
          <w:noProof/>
          <w:lang w:eastAsia="cs-CZ"/>
        </w:rPr>
        <w:drawing>
          <wp:inline distT="0" distB="0" distL="0" distR="0" wp14:anchorId="2C5D96CC" wp14:editId="1D6ECE27">
            <wp:extent cx="6021818" cy="3886200"/>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kap_09_g4.PNG"/>
                    <pic:cNvPicPr/>
                  </pic:nvPicPr>
                  <pic:blipFill>
                    <a:blip r:embed="rId46">
                      <a:extLst>
                        <a:ext uri="{28A0092B-C50C-407E-A947-70E740481C1C}">
                          <a14:useLocalDpi xmlns:a14="http://schemas.microsoft.com/office/drawing/2010/main" val="0"/>
                        </a:ext>
                      </a:extLst>
                    </a:blip>
                    <a:stretch>
                      <a:fillRect/>
                    </a:stretch>
                  </pic:blipFill>
                  <pic:spPr>
                    <a:xfrm>
                      <a:off x="0" y="0"/>
                      <a:ext cx="6022337" cy="3886535"/>
                    </a:xfrm>
                    <a:prstGeom prst="rect">
                      <a:avLst/>
                    </a:prstGeom>
                  </pic:spPr>
                </pic:pic>
              </a:graphicData>
            </a:graphic>
          </wp:inline>
        </w:drawing>
      </w:r>
    </w:p>
    <w:p w:rsidR="000C39F7" w:rsidRDefault="00E84957" w:rsidP="00E84957">
      <w:pPr>
        <w:pStyle w:val="Zdrojapoznmka"/>
      </w:pPr>
      <w:r w:rsidRPr="00DE57D2">
        <w:t>Zdroj: Národní RIS3 strategie</w:t>
      </w:r>
      <w:r w:rsidRPr="00B4528E">
        <w:t>; Oddělení strategie S3 MPO</w:t>
      </w:r>
    </w:p>
    <w:p w:rsidR="00E84957" w:rsidRPr="000C39F7" w:rsidRDefault="00E84957" w:rsidP="00E84957">
      <w:pPr>
        <w:pStyle w:val="Zdrojapoznmka"/>
        <w:rPr>
          <w:rFonts w:cs="Arial"/>
        </w:rPr>
      </w:pPr>
    </w:p>
    <w:p w:rsidR="000C39F7" w:rsidRDefault="0069162C" w:rsidP="0069162C">
      <w:pPr>
        <w:pStyle w:val="NadpisurovemII"/>
        <w:numPr>
          <w:ilvl w:val="1"/>
          <w:numId w:val="33"/>
        </w:numPr>
        <w:ind w:hanging="792"/>
        <w:jc w:val="both"/>
        <w:rPr>
          <w:rFonts w:eastAsia="Times New Roman"/>
        </w:rPr>
      </w:pPr>
      <w:bookmarkStart w:id="25" w:name="_Toc529974113"/>
      <w:bookmarkEnd w:id="18"/>
      <w:r w:rsidRPr="0069162C">
        <w:rPr>
          <w:rFonts w:eastAsia="Times New Roman"/>
        </w:rPr>
        <w:lastRenderedPageBreak/>
        <w:t>Financování, naplňování specifických cílů a zacílení na aplikační odvětví se zohledněním krajské dimenze</w:t>
      </w:r>
      <w:bookmarkEnd w:id="25"/>
    </w:p>
    <w:p w:rsidR="0069162C" w:rsidRPr="00177C95" w:rsidRDefault="0069162C" w:rsidP="00177C95">
      <w:pPr>
        <w:spacing w:after="0" w:line="360" w:lineRule="auto"/>
        <w:ind w:firstLine="357"/>
        <w:jc w:val="both"/>
        <w:rPr>
          <w:rFonts w:ascii="Arial" w:hAnsi="Arial" w:cs="Arial"/>
        </w:rPr>
      </w:pPr>
      <w:r w:rsidRPr="00177C95">
        <w:rPr>
          <w:rFonts w:ascii="Arial" w:hAnsi="Arial" w:cs="Arial"/>
          <w:b/>
        </w:rPr>
        <w:t>Financování</w:t>
      </w:r>
      <w:r w:rsidRPr="00177C95">
        <w:rPr>
          <w:rFonts w:ascii="Arial" w:hAnsi="Arial" w:cs="Arial"/>
        </w:rPr>
        <w:t xml:space="preserve"> </w:t>
      </w:r>
      <w:r w:rsidRPr="00177C95">
        <w:rPr>
          <w:rFonts w:ascii="Arial" w:hAnsi="Arial" w:cs="Arial"/>
          <w:i/>
        </w:rPr>
        <w:t>Národní RIS3 strategie</w:t>
      </w:r>
      <w:r w:rsidRPr="00177C95">
        <w:rPr>
          <w:rStyle w:val="Znakapoznpodarou"/>
          <w:rFonts w:ascii="Arial" w:hAnsi="Arial" w:cs="Arial"/>
        </w:rPr>
        <w:footnoteReference w:id="21"/>
      </w:r>
      <w:r w:rsidRPr="00177C95">
        <w:rPr>
          <w:rFonts w:ascii="Arial" w:hAnsi="Arial" w:cs="Arial"/>
        </w:rPr>
        <w:t xml:space="preserve"> za období 2015 až květen 2018 bylo sledováno odděleně v operačních programech a národních programech podpory výzkumu a vývoje.</w:t>
      </w:r>
    </w:p>
    <w:p w:rsidR="0069162C" w:rsidRPr="00177C95" w:rsidRDefault="0069162C" w:rsidP="00177C95">
      <w:pPr>
        <w:spacing w:after="0" w:line="360" w:lineRule="auto"/>
        <w:ind w:firstLine="357"/>
        <w:jc w:val="both"/>
        <w:rPr>
          <w:rFonts w:ascii="Arial" w:eastAsia="Times New Roman" w:hAnsi="Arial" w:cs="Arial"/>
          <w:lang w:eastAsia="cs-CZ"/>
        </w:rPr>
      </w:pPr>
      <w:r w:rsidRPr="00177C95">
        <w:rPr>
          <w:rFonts w:ascii="Arial" w:eastAsia="Times New Roman" w:hAnsi="Arial" w:cs="Arial"/>
          <w:lang w:eastAsia="cs-CZ"/>
        </w:rPr>
        <w:t xml:space="preserve">V operačních programech (Tabulka 4.3) byly dosud na </w:t>
      </w:r>
      <w:r w:rsidRPr="00177C95">
        <w:rPr>
          <w:rFonts w:ascii="Arial" w:eastAsia="Times New Roman" w:hAnsi="Arial" w:cs="Arial"/>
          <w:i/>
          <w:lang w:eastAsia="cs-CZ"/>
        </w:rPr>
        <w:t>Národní RIS3 strategii</w:t>
      </w:r>
      <w:r w:rsidRPr="00177C95">
        <w:rPr>
          <w:rFonts w:ascii="Arial" w:eastAsia="Times New Roman" w:hAnsi="Arial" w:cs="Arial"/>
          <w:lang w:eastAsia="cs-CZ"/>
        </w:rPr>
        <w:t xml:space="preserve"> vyčleněny prostředky ve výši 52,51 mld. Kč z OP PIK a 33,15 mld. Kč z </w:t>
      </w:r>
      <w:proofErr w:type="gramStart"/>
      <w:r w:rsidRPr="00177C95">
        <w:rPr>
          <w:rFonts w:ascii="Arial" w:eastAsia="Times New Roman" w:hAnsi="Arial" w:cs="Arial"/>
          <w:lang w:eastAsia="cs-CZ"/>
        </w:rPr>
        <w:t>OP</w:t>
      </w:r>
      <w:proofErr w:type="gramEnd"/>
      <w:r w:rsidRPr="00177C95">
        <w:rPr>
          <w:rFonts w:ascii="Arial" w:eastAsia="Times New Roman" w:hAnsi="Arial" w:cs="Arial"/>
          <w:lang w:eastAsia="cs-CZ"/>
        </w:rPr>
        <w:t xml:space="preserve"> VVV. Výrazně nižší částky, jak plánované tak aktuálně </w:t>
      </w:r>
      <w:proofErr w:type="spellStart"/>
      <w:r w:rsidRPr="00177C95">
        <w:rPr>
          <w:rFonts w:ascii="Arial" w:eastAsia="Times New Roman" w:hAnsi="Arial" w:cs="Arial"/>
          <w:lang w:eastAsia="cs-CZ"/>
        </w:rPr>
        <w:t>zazávazkované</w:t>
      </w:r>
      <w:proofErr w:type="spellEnd"/>
      <w:r w:rsidRPr="00177C95">
        <w:rPr>
          <w:rFonts w:ascii="Arial" w:eastAsia="Times New Roman" w:hAnsi="Arial" w:cs="Arial"/>
          <w:lang w:eastAsia="cs-CZ"/>
        </w:rPr>
        <w:t>, pokrývají ostatní operační programy. Zdaleka nejvyšší měrou se na financování Národní RIS3 strategie podílejí OP PIK (53,92 %) a</w:t>
      </w:r>
      <w:r w:rsidR="00DA0191">
        <w:rPr>
          <w:rFonts w:ascii="Arial" w:eastAsia="Times New Roman" w:hAnsi="Arial" w:cs="Arial"/>
          <w:lang w:eastAsia="cs-CZ"/>
        </w:rPr>
        <w:t> </w:t>
      </w:r>
      <w:r w:rsidRPr="00177C95">
        <w:rPr>
          <w:rFonts w:ascii="Arial" w:eastAsia="Times New Roman" w:hAnsi="Arial" w:cs="Arial"/>
          <w:lang w:eastAsia="cs-CZ"/>
        </w:rPr>
        <w:t xml:space="preserve">OP VVV s podílem 34,04 %. Méně výrazný podíl připadá na IROP (10,07 %), OP PPR (1,52 %) a OP Z (0,45 %). Podpora EU je při financování Národní RIS3 strategie nejvíce využita z </w:t>
      </w:r>
      <w:proofErr w:type="gramStart"/>
      <w:r w:rsidRPr="00177C95">
        <w:rPr>
          <w:rFonts w:ascii="Arial" w:eastAsia="Times New Roman" w:hAnsi="Arial" w:cs="Arial"/>
          <w:lang w:eastAsia="cs-CZ"/>
        </w:rPr>
        <w:t>OP</w:t>
      </w:r>
      <w:proofErr w:type="gramEnd"/>
      <w:r w:rsidRPr="00177C95">
        <w:rPr>
          <w:rFonts w:ascii="Arial" w:eastAsia="Times New Roman" w:hAnsi="Arial" w:cs="Arial"/>
          <w:lang w:eastAsia="cs-CZ"/>
        </w:rPr>
        <w:t xml:space="preserve"> VVV (26,52 mld. Kč), stejně jako veřejné zdroje ČR (5,19 mld. Kč). Soukromé zdroje byly při financování Národní RIS3 strategie zdaleka nejvíce uplatněny v programu OP PIK (30,62 mld. Kč).</w:t>
      </w:r>
    </w:p>
    <w:p w:rsidR="0069162C" w:rsidRDefault="0069162C" w:rsidP="0069162C">
      <w:pPr>
        <w:pStyle w:val="Obrzek"/>
      </w:pPr>
      <w:bookmarkStart w:id="26" w:name="_Ref494283326"/>
      <w:bookmarkStart w:id="27" w:name="_Toc495662237"/>
      <w:r w:rsidRPr="00CE23D7">
        <w:t>Tabulka 4.</w:t>
      </w:r>
      <w:bookmarkEnd w:id="26"/>
      <w:r w:rsidRPr="00CE23D7">
        <w:t>3: Přehled financování Národní RIS3 strategie z operačních programů (v mld. Kč)</w:t>
      </w:r>
      <w:bookmarkEnd w:id="27"/>
    </w:p>
    <w:tbl>
      <w:tblPr>
        <w:tblW w:w="5000" w:type="pct"/>
        <w:tblInd w:w="55" w:type="dxa"/>
        <w:tblCellMar>
          <w:left w:w="70" w:type="dxa"/>
          <w:right w:w="70" w:type="dxa"/>
        </w:tblCellMar>
        <w:tblLook w:val="04A0" w:firstRow="1" w:lastRow="0" w:firstColumn="1" w:lastColumn="0" w:noHBand="0" w:noVBand="1"/>
      </w:tblPr>
      <w:tblGrid>
        <w:gridCol w:w="1429"/>
        <w:gridCol w:w="1109"/>
        <w:gridCol w:w="1083"/>
        <w:gridCol w:w="1163"/>
        <w:gridCol w:w="1103"/>
        <w:gridCol w:w="1108"/>
        <w:gridCol w:w="1100"/>
        <w:gridCol w:w="1117"/>
      </w:tblGrid>
      <w:tr w:rsidR="0069162C" w:rsidRPr="00E02FFA" w:rsidTr="0086009A">
        <w:trPr>
          <w:trHeight w:val="300"/>
        </w:trPr>
        <w:tc>
          <w:tcPr>
            <w:tcW w:w="1104" w:type="dxa"/>
            <w:vMerge w:val="restart"/>
            <w:tcBorders>
              <w:top w:val="single" w:sz="8" w:space="0" w:color="000000"/>
              <w:left w:val="nil"/>
              <w:bottom w:val="single" w:sz="8" w:space="0" w:color="000000"/>
              <w:right w:val="nil"/>
            </w:tcBorders>
            <w:shd w:val="clear" w:color="auto" w:fill="auto"/>
            <w:vAlign w:val="center"/>
            <w:hideMark/>
          </w:tcPr>
          <w:p w:rsidR="0069162C" w:rsidRPr="00E02FFA" w:rsidRDefault="0069162C" w:rsidP="0086009A">
            <w:pPr>
              <w:spacing w:after="0" w:line="240" w:lineRule="auto"/>
              <w:jc w:val="center"/>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Poskytovatel</w:t>
            </w:r>
          </w:p>
        </w:tc>
        <w:tc>
          <w:tcPr>
            <w:tcW w:w="942" w:type="dxa"/>
            <w:vMerge w:val="restart"/>
            <w:tcBorders>
              <w:top w:val="single" w:sz="8" w:space="0" w:color="000000"/>
              <w:left w:val="nil"/>
              <w:bottom w:val="single" w:sz="8" w:space="0" w:color="000000"/>
              <w:right w:val="nil"/>
            </w:tcBorders>
            <w:shd w:val="clear" w:color="auto" w:fill="auto"/>
            <w:vAlign w:val="center"/>
            <w:hideMark/>
          </w:tcPr>
          <w:p w:rsidR="0069162C" w:rsidRPr="00E02FFA" w:rsidRDefault="0069162C" w:rsidP="0086009A">
            <w:pPr>
              <w:spacing w:after="0" w:line="240" w:lineRule="auto"/>
              <w:jc w:val="center"/>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Program</w:t>
            </w:r>
          </w:p>
        </w:tc>
        <w:tc>
          <w:tcPr>
            <w:tcW w:w="920" w:type="dxa"/>
            <w:vMerge w:val="restart"/>
            <w:tcBorders>
              <w:top w:val="single" w:sz="8" w:space="0" w:color="000000"/>
              <w:left w:val="nil"/>
              <w:bottom w:val="single" w:sz="8" w:space="0" w:color="000000"/>
              <w:right w:val="nil"/>
            </w:tcBorders>
            <w:shd w:val="clear" w:color="auto" w:fill="auto"/>
            <w:vAlign w:val="center"/>
            <w:hideMark/>
          </w:tcPr>
          <w:p w:rsidR="0069162C" w:rsidRPr="00E02FFA" w:rsidRDefault="0069162C" w:rsidP="0086009A">
            <w:pPr>
              <w:spacing w:after="0" w:line="240" w:lineRule="auto"/>
              <w:jc w:val="center"/>
              <w:rPr>
                <w:rFonts w:ascii="Calibri" w:eastAsia="Times New Roman" w:hAnsi="Calibri" w:cs="Times New Roman"/>
                <w:b/>
                <w:bCs/>
                <w:color w:val="000000"/>
                <w:sz w:val="20"/>
                <w:szCs w:val="20"/>
                <w:lang w:eastAsia="cs-CZ"/>
              </w:rPr>
            </w:pPr>
            <w:bookmarkStart w:id="28" w:name="RANGE!D2"/>
            <w:r w:rsidRPr="00E02FFA">
              <w:rPr>
                <w:rFonts w:ascii="Calibri" w:eastAsia="Times New Roman" w:hAnsi="Calibri" w:cs="Times New Roman"/>
                <w:b/>
                <w:bCs/>
                <w:color w:val="000000"/>
                <w:sz w:val="20"/>
                <w:szCs w:val="20"/>
                <w:lang w:eastAsia="cs-CZ"/>
              </w:rPr>
              <w:t>Plán dle RIS3</w:t>
            </w:r>
            <w:bookmarkEnd w:id="28"/>
          </w:p>
        </w:tc>
        <w:tc>
          <w:tcPr>
            <w:tcW w:w="4714" w:type="dxa"/>
            <w:gridSpan w:val="5"/>
            <w:tcBorders>
              <w:top w:val="single" w:sz="8" w:space="0" w:color="000000"/>
              <w:left w:val="nil"/>
              <w:bottom w:val="single" w:sz="8" w:space="0" w:color="000000"/>
              <w:right w:val="nil"/>
            </w:tcBorders>
            <w:shd w:val="clear" w:color="auto" w:fill="auto"/>
            <w:vAlign w:val="center"/>
            <w:hideMark/>
          </w:tcPr>
          <w:p w:rsidR="0069162C" w:rsidRPr="00E02FFA" w:rsidRDefault="0069162C" w:rsidP="0086009A">
            <w:pPr>
              <w:spacing w:after="0" w:line="240" w:lineRule="auto"/>
              <w:jc w:val="center"/>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Aktuální stav</w:t>
            </w:r>
          </w:p>
        </w:tc>
      </w:tr>
      <w:tr w:rsidR="0069162C" w:rsidRPr="00E02FFA" w:rsidTr="0086009A">
        <w:trPr>
          <w:trHeight w:val="564"/>
        </w:trPr>
        <w:tc>
          <w:tcPr>
            <w:tcW w:w="1104" w:type="dxa"/>
            <w:vMerge/>
            <w:tcBorders>
              <w:top w:val="single" w:sz="8" w:space="0" w:color="000000"/>
              <w:left w:val="nil"/>
              <w:bottom w:val="single" w:sz="8" w:space="0" w:color="000000"/>
              <w:right w:val="nil"/>
            </w:tcBorders>
            <w:vAlign w:val="center"/>
            <w:hideMark/>
          </w:tcPr>
          <w:p w:rsidR="0069162C" w:rsidRPr="00E02FFA" w:rsidRDefault="0069162C" w:rsidP="0086009A">
            <w:pPr>
              <w:spacing w:after="0" w:line="240" w:lineRule="auto"/>
              <w:rPr>
                <w:rFonts w:ascii="Calibri" w:eastAsia="Times New Roman" w:hAnsi="Calibri" w:cs="Times New Roman"/>
                <w:b/>
                <w:bCs/>
                <w:color w:val="000000"/>
                <w:sz w:val="20"/>
                <w:szCs w:val="20"/>
                <w:lang w:eastAsia="cs-CZ"/>
              </w:rPr>
            </w:pPr>
          </w:p>
        </w:tc>
        <w:tc>
          <w:tcPr>
            <w:tcW w:w="942" w:type="dxa"/>
            <w:vMerge/>
            <w:tcBorders>
              <w:top w:val="single" w:sz="8" w:space="0" w:color="000000"/>
              <w:left w:val="nil"/>
              <w:bottom w:val="single" w:sz="8" w:space="0" w:color="000000"/>
              <w:right w:val="nil"/>
            </w:tcBorders>
            <w:vAlign w:val="center"/>
            <w:hideMark/>
          </w:tcPr>
          <w:p w:rsidR="0069162C" w:rsidRPr="00E02FFA" w:rsidRDefault="0069162C" w:rsidP="0086009A">
            <w:pPr>
              <w:spacing w:after="0" w:line="240" w:lineRule="auto"/>
              <w:rPr>
                <w:rFonts w:ascii="Calibri" w:eastAsia="Times New Roman" w:hAnsi="Calibri" w:cs="Times New Roman"/>
                <w:b/>
                <w:bCs/>
                <w:color w:val="000000"/>
                <w:sz w:val="20"/>
                <w:szCs w:val="20"/>
                <w:lang w:eastAsia="cs-CZ"/>
              </w:rPr>
            </w:pPr>
          </w:p>
        </w:tc>
        <w:tc>
          <w:tcPr>
            <w:tcW w:w="920" w:type="dxa"/>
            <w:vMerge/>
            <w:tcBorders>
              <w:top w:val="single" w:sz="8" w:space="0" w:color="000000"/>
              <w:left w:val="nil"/>
              <w:bottom w:val="single" w:sz="8" w:space="0" w:color="000000"/>
              <w:right w:val="nil"/>
            </w:tcBorders>
            <w:vAlign w:val="center"/>
            <w:hideMark/>
          </w:tcPr>
          <w:p w:rsidR="0069162C" w:rsidRPr="00E02FFA" w:rsidRDefault="0069162C" w:rsidP="0086009A">
            <w:pPr>
              <w:spacing w:after="0" w:line="240" w:lineRule="auto"/>
              <w:rPr>
                <w:rFonts w:ascii="Calibri" w:eastAsia="Times New Roman" w:hAnsi="Calibri" w:cs="Times New Roman"/>
                <w:b/>
                <w:bCs/>
                <w:color w:val="000000"/>
                <w:sz w:val="20"/>
                <w:szCs w:val="20"/>
                <w:lang w:eastAsia="cs-CZ"/>
              </w:rPr>
            </w:pPr>
          </w:p>
        </w:tc>
        <w:tc>
          <w:tcPr>
            <w:tcW w:w="953" w:type="dxa"/>
            <w:tcBorders>
              <w:top w:val="nil"/>
              <w:left w:val="nil"/>
              <w:bottom w:val="single" w:sz="8" w:space="0" w:color="auto"/>
              <w:right w:val="nil"/>
            </w:tcBorders>
            <w:shd w:val="clear" w:color="000000" w:fill="C0C0C0"/>
            <w:vAlign w:val="center"/>
            <w:hideMark/>
          </w:tcPr>
          <w:p w:rsidR="0069162C" w:rsidRPr="00E02FFA" w:rsidRDefault="0069162C" w:rsidP="0086009A">
            <w:pPr>
              <w:spacing w:after="0" w:line="240" w:lineRule="auto"/>
              <w:jc w:val="center"/>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Soukromé zdroje</w:t>
            </w:r>
          </w:p>
        </w:tc>
        <w:tc>
          <w:tcPr>
            <w:tcW w:w="937" w:type="dxa"/>
            <w:tcBorders>
              <w:top w:val="nil"/>
              <w:left w:val="nil"/>
              <w:bottom w:val="single" w:sz="8" w:space="0" w:color="auto"/>
              <w:right w:val="nil"/>
            </w:tcBorders>
            <w:shd w:val="clear" w:color="000000" w:fill="C0C0C0"/>
            <w:vAlign w:val="center"/>
            <w:hideMark/>
          </w:tcPr>
          <w:p w:rsidR="0069162C" w:rsidRPr="00E02FFA" w:rsidRDefault="0069162C" w:rsidP="0086009A">
            <w:pPr>
              <w:spacing w:after="0" w:line="240" w:lineRule="auto"/>
              <w:jc w:val="center"/>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Veřejné zdroje</w:t>
            </w:r>
          </w:p>
        </w:tc>
        <w:tc>
          <w:tcPr>
            <w:tcW w:w="941" w:type="dxa"/>
            <w:tcBorders>
              <w:top w:val="nil"/>
              <w:left w:val="nil"/>
              <w:bottom w:val="single" w:sz="8" w:space="0" w:color="auto"/>
              <w:right w:val="nil"/>
            </w:tcBorders>
            <w:shd w:val="clear" w:color="000000" w:fill="C0C0C0"/>
            <w:vAlign w:val="center"/>
            <w:hideMark/>
          </w:tcPr>
          <w:p w:rsidR="0069162C" w:rsidRPr="00E02FFA" w:rsidRDefault="0069162C" w:rsidP="0086009A">
            <w:pPr>
              <w:spacing w:after="0" w:line="240" w:lineRule="auto"/>
              <w:jc w:val="center"/>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Podpora EU</w:t>
            </w:r>
          </w:p>
        </w:tc>
        <w:tc>
          <w:tcPr>
            <w:tcW w:w="934" w:type="dxa"/>
            <w:tcBorders>
              <w:top w:val="nil"/>
              <w:left w:val="nil"/>
              <w:bottom w:val="single" w:sz="8" w:space="0" w:color="auto"/>
              <w:right w:val="nil"/>
            </w:tcBorders>
            <w:shd w:val="clear" w:color="000000" w:fill="C0C0C0"/>
            <w:vAlign w:val="center"/>
            <w:hideMark/>
          </w:tcPr>
          <w:p w:rsidR="0069162C" w:rsidRPr="00E02FFA" w:rsidRDefault="0069162C" w:rsidP="0086009A">
            <w:pPr>
              <w:spacing w:after="0" w:line="240" w:lineRule="auto"/>
              <w:jc w:val="center"/>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Celkem</w:t>
            </w:r>
          </w:p>
        </w:tc>
        <w:tc>
          <w:tcPr>
            <w:tcW w:w="949" w:type="dxa"/>
            <w:tcBorders>
              <w:top w:val="nil"/>
              <w:left w:val="nil"/>
              <w:bottom w:val="single" w:sz="8" w:space="0" w:color="auto"/>
              <w:right w:val="nil"/>
            </w:tcBorders>
            <w:shd w:val="clear" w:color="000000" w:fill="C0C0C0"/>
            <w:vAlign w:val="center"/>
            <w:hideMark/>
          </w:tcPr>
          <w:p w:rsidR="0069162C" w:rsidRPr="00E02FFA" w:rsidRDefault="0069162C" w:rsidP="0086009A">
            <w:pPr>
              <w:spacing w:after="0" w:line="240" w:lineRule="auto"/>
              <w:jc w:val="center"/>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Procentní vyjádření</w:t>
            </w:r>
          </w:p>
        </w:tc>
      </w:tr>
      <w:tr w:rsidR="0069162C" w:rsidRPr="00E02FFA" w:rsidTr="0086009A">
        <w:trPr>
          <w:trHeight w:val="288"/>
        </w:trPr>
        <w:tc>
          <w:tcPr>
            <w:tcW w:w="1104" w:type="dxa"/>
            <w:tcBorders>
              <w:top w:val="nil"/>
              <w:left w:val="nil"/>
              <w:bottom w:val="nil"/>
              <w:right w:val="nil"/>
            </w:tcBorders>
            <w:shd w:val="clear" w:color="auto" w:fill="auto"/>
            <w:vAlign w:val="center"/>
            <w:hideMark/>
          </w:tcPr>
          <w:p w:rsidR="0069162C" w:rsidRPr="00E02FFA" w:rsidRDefault="0069162C" w:rsidP="0086009A">
            <w:pPr>
              <w:spacing w:after="0" w:line="240" w:lineRule="auto"/>
              <w:jc w:val="center"/>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MPO</w:t>
            </w:r>
          </w:p>
        </w:tc>
        <w:tc>
          <w:tcPr>
            <w:tcW w:w="942" w:type="dxa"/>
            <w:tcBorders>
              <w:top w:val="nil"/>
              <w:left w:val="nil"/>
              <w:bottom w:val="nil"/>
              <w:right w:val="nil"/>
            </w:tcBorders>
            <w:shd w:val="clear" w:color="auto" w:fill="auto"/>
            <w:vAlign w:val="center"/>
            <w:hideMark/>
          </w:tcPr>
          <w:p w:rsidR="0069162C" w:rsidRPr="00E02FFA" w:rsidRDefault="0069162C" w:rsidP="0086009A">
            <w:pPr>
              <w:spacing w:after="0" w:line="240" w:lineRule="auto"/>
              <w:jc w:val="center"/>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OP PIK</w:t>
            </w:r>
          </w:p>
        </w:tc>
        <w:tc>
          <w:tcPr>
            <w:tcW w:w="920" w:type="dxa"/>
            <w:tcBorders>
              <w:top w:val="nil"/>
              <w:left w:val="nil"/>
              <w:bottom w:val="nil"/>
              <w:right w:val="single" w:sz="4" w:space="0" w:color="D9D9D9"/>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137,9</w:t>
            </w:r>
          </w:p>
        </w:tc>
        <w:tc>
          <w:tcPr>
            <w:tcW w:w="953" w:type="dxa"/>
            <w:tcBorders>
              <w:top w:val="nil"/>
              <w:left w:val="nil"/>
              <w:bottom w:val="nil"/>
              <w:right w:val="single" w:sz="4" w:space="0" w:color="D9D9D9"/>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30,62</w:t>
            </w:r>
          </w:p>
        </w:tc>
        <w:tc>
          <w:tcPr>
            <w:tcW w:w="937" w:type="dxa"/>
            <w:tcBorders>
              <w:top w:val="nil"/>
              <w:left w:val="nil"/>
              <w:bottom w:val="nil"/>
              <w:right w:val="single" w:sz="4" w:space="0" w:color="D9D9D9"/>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0,00</w:t>
            </w:r>
          </w:p>
        </w:tc>
        <w:tc>
          <w:tcPr>
            <w:tcW w:w="941" w:type="dxa"/>
            <w:tcBorders>
              <w:top w:val="nil"/>
              <w:left w:val="nil"/>
              <w:bottom w:val="nil"/>
              <w:right w:val="single" w:sz="4" w:space="0" w:color="D9D9D9"/>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21,89</w:t>
            </w:r>
          </w:p>
        </w:tc>
        <w:tc>
          <w:tcPr>
            <w:tcW w:w="934" w:type="dxa"/>
            <w:tcBorders>
              <w:top w:val="nil"/>
              <w:left w:val="nil"/>
              <w:bottom w:val="nil"/>
              <w:right w:val="single" w:sz="4" w:space="0" w:color="D9D9D9"/>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52,51</w:t>
            </w:r>
          </w:p>
        </w:tc>
        <w:tc>
          <w:tcPr>
            <w:tcW w:w="949" w:type="dxa"/>
            <w:tcBorders>
              <w:top w:val="nil"/>
              <w:left w:val="nil"/>
              <w:bottom w:val="nil"/>
              <w:right w:val="nil"/>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53,92%</w:t>
            </w:r>
          </w:p>
        </w:tc>
      </w:tr>
      <w:tr w:rsidR="0069162C" w:rsidRPr="00E02FFA" w:rsidTr="0086009A">
        <w:trPr>
          <w:trHeight w:val="288"/>
        </w:trPr>
        <w:tc>
          <w:tcPr>
            <w:tcW w:w="1104" w:type="dxa"/>
            <w:tcBorders>
              <w:top w:val="nil"/>
              <w:left w:val="nil"/>
              <w:bottom w:val="nil"/>
              <w:right w:val="nil"/>
            </w:tcBorders>
            <w:shd w:val="clear" w:color="000000" w:fill="C0C0C0"/>
            <w:vAlign w:val="center"/>
            <w:hideMark/>
          </w:tcPr>
          <w:p w:rsidR="0069162C" w:rsidRPr="00E02FFA" w:rsidRDefault="0069162C" w:rsidP="0086009A">
            <w:pPr>
              <w:spacing w:after="0" w:line="240" w:lineRule="auto"/>
              <w:jc w:val="center"/>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MŠMT</w:t>
            </w:r>
          </w:p>
        </w:tc>
        <w:tc>
          <w:tcPr>
            <w:tcW w:w="942" w:type="dxa"/>
            <w:tcBorders>
              <w:top w:val="nil"/>
              <w:left w:val="nil"/>
              <w:bottom w:val="nil"/>
              <w:right w:val="nil"/>
            </w:tcBorders>
            <w:shd w:val="clear" w:color="000000" w:fill="C0C0C0"/>
            <w:vAlign w:val="center"/>
            <w:hideMark/>
          </w:tcPr>
          <w:p w:rsidR="0069162C" w:rsidRPr="00E02FFA" w:rsidRDefault="0069162C" w:rsidP="0086009A">
            <w:pPr>
              <w:spacing w:after="0" w:line="240" w:lineRule="auto"/>
              <w:jc w:val="center"/>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OP VVV</w:t>
            </w:r>
          </w:p>
        </w:tc>
        <w:tc>
          <w:tcPr>
            <w:tcW w:w="920" w:type="dxa"/>
            <w:tcBorders>
              <w:top w:val="nil"/>
              <w:left w:val="nil"/>
              <w:bottom w:val="nil"/>
              <w:right w:val="single" w:sz="4" w:space="0" w:color="D9D9D9"/>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59,18</w:t>
            </w:r>
          </w:p>
        </w:tc>
        <w:tc>
          <w:tcPr>
            <w:tcW w:w="953" w:type="dxa"/>
            <w:tcBorders>
              <w:top w:val="nil"/>
              <w:left w:val="nil"/>
              <w:bottom w:val="nil"/>
              <w:right w:val="single" w:sz="4" w:space="0" w:color="D9D9D9"/>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1,44</w:t>
            </w:r>
          </w:p>
        </w:tc>
        <w:tc>
          <w:tcPr>
            <w:tcW w:w="937" w:type="dxa"/>
            <w:tcBorders>
              <w:top w:val="nil"/>
              <w:left w:val="nil"/>
              <w:bottom w:val="nil"/>
              <w:right w:val="single" w:sz="4" w:space="0" w:color="D9D9D9"/>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5,19</w:t>
            </w:r>
          </w:p>
        </w:tc>
        <w:tc>
          <w:tcPr>
            <w:tcW w:w="941" w:type="dxa"/>
            <w:tcBorders>
              <w:top w:val="nil"/>
              <w:left w:val="nil"/>
              <w:bottom w:val="nil"/>
              <w:right w:val="single" w:sz="4" w:space="0" w:color="D9D9D9"/>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26,52</w:t>
            </w:r>
          </w:p>
        </w:tc>
        <w:tc>
          <w:tcPr>
            <w:tcW w:w="934" w:type="dxa"/>
            <w:tcBorders>
              <w:top w:val="nil"/>
              <w:left w:val="nil"/>
              <w:bottom w:val="nil"/>
              <w:right w:val="single" w:sz="4" w:space="0" w:color="D9D9D9"/>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33,15</w:t>
            </w:r>
          </w:p>
        </w:tc>
        <w:tc>
          <w:tcPr>
            <w:tcW w:w="949" w:type="dxa"/>
            <w:tcBorders>
              <w:top w:val="nil"/>
              <w:left w:val="nil"/>
              <w:bottom w:val="nil"/>
              <w:right w:val="nil"/>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34,04%</w:t>
            </w:r>
          </w:p>
        </w:tc>
      </w:tr>
      <w:tr w:rsidR="0069162C" w:rsidRPr="00E02FFA" w:rsidTr="0086009A">
        <w:trPr>
          <w:trHeight w:val="552"/>
        </w:trPr>
        <w:tc>
          <w:tcPr>
            <w:tcW w:w="1104" w:type="dxa"/>
            <w:tcBorders>
              <w:top w:val="nil"/>
              <w:left w:val="nil"/>
              <w:bottom w:val="nil"/>
              <w:right w:val="nil"/>
            </w:tcBorders>
            <w:shd w:val="clear" w:color="auto" w:fill="auto"/>
            <w:vAlign w:val="center"/>
            <w:hideMark/>
          </w:tcPr>
          <w:p w:rsidR="0069162C" w:rsidRPr="00E02FFA" w:rsidRDefault="0069162C" w:rsidP="0086009A">
            <w:pPr>
              <w:spacing w:after="0" w:line="240" w:lineRule="auto"/>
              <w:jc w:val="center"/>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Hl. m. Praha</w:t>
            </w:r>
          </w:p>
        </w:tc>
        <w:tc>
          <w:tcPr>
            <w:tcW w:w="942" w:type="dxa"/>
            <w:tcBorders>
              <w:top w:val="nil"/>
              <w:left w:val="nil"/>
              <w:bottom w:val="nil"/>
              <w:right w:val="nil"/>
            </w:tcBorders>
            <w:shd w:val="clear" w:color="auto" w:fill="auto"/>
            <w:vAlign w:val="center"/>
            <w:hideMark/>
          </w:tcPr>
          <w:p w:rsidR="0069162C" w:rsidRPr="00E02FFA" w:rsidRDefault="0069162C" w:rsidP="0086009A">
            <w:pPr>
              <w:spacing w:after="0" w:line="240" w:lineRule="auto"/>
              <w:jc w:val="center"/>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OP PPR</w:t>
            </w:r>
          </w:p>
        </w:tc>
        <w:tc>
          <w:tcPr>
            <w:tcW w:w="920" w:type="dxa"/>
            <w:tcBorders>
              <w:top w:val="nil"/>
              <w:left w:val="nil"/>
              <w:bottom w:val="nil"/>
              <w:right w:val="single" w:sz="4" w:space="0" w:color="D9D9D9"/>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3,37</w:t>
            </w:r>
          </w:p>
        </w:tc>
        <w:tc>
          <w:tcPr>
            <w:tcW w:w="953" w:type="dxa"/>
            <w:tcBorders>
              <w:top w:val="nil"/>
              <w:left w:val="nil"/>
              <w:bottom w:val="nil"/>
              <w:right w:val="single" w:sz="4" w:space="0" w:color="D9D9D9"/>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0,28</w:t>
            </w:r>
          </w:p>
        </w:tc>
        <w:tc>
          <w:tcPr>
            <w:tcW w:w="937" w:type="dxa"/>
            <w:tcBorders>
              <w:top w:val="nil"/>
              <w:left w:val="nil"/>
              <w:bottom w:val="nil"/>
              <w:right w:val="single" w:sz="4" w:space="0" w:color="D9D9D9"/>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0,46</w:t>
            </w:r>
          </w:p>
        </w:tc>
        <w:tc>
          <w:tcPr>
            <w:tcW w:w="941" w:type="dxa"/>
            <w:tcBorders>
              <w:top w:val="nil"/>
              <w:left w:val="nil"/>
              <w:bottom w:val="nil"/>
              <w:right w:val="single" w:sz="4" w:space="0" w:color="D9D9D9"/>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0,74</w:t>
            </w:r>
          </w:p>
        </w:tc>
        <w:tc>
          <w:tcPr>
            <w:tcW w:w="934" w:type="dxa"/>
            <w:tcBorders>
              <w:top w:val="nil"/>
              <w:left w:val="nil"/>
              <w:bottom w:val="nil"/>
              <w:right w:val="single" w:sz="4" w:space="0" w:color="D9D9D9"/>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1,48</w:t>
            </w:r>
          </w:p>
        </w:tc>
        <w:tc>
          <w:tcPr>
            <w:tcW w:w="949" w:type="dxa"/>
            <w:tcBorders>
              <w:top w:val="nil"/>
              <w:left w:val="nil"/>
              <w:bottom w:val="nil"/>
              <w:right w:val="nil"/>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1,52%</w:t>
            </w:r>
          </w:p>
        </w:tc>
      </w:tr>
      <w:tr w:rsidR="0069162C" w:rsidRPr="00E02FFA" w:rsidTr="0086009A">
        <w:trPr>
          <w:trHeight w:val="288"/>
        </w:trPr>
        <w:tc>
          <w:tcPr>
            <w:tcW w:w="1104" w:type="dxa"/>
            <w:tcBorders>
              <w:top w:val="nil"/>
              <w:left w:val="nil"/>
              <w:bottom w:val="nil"/>
              <w:right w:val="nil"/>
            </w:tcBorders>
            <w:shd w:val="clear" w:color="000000" w:fill="C0C0C0"/>
            <w:vAlign w:val="center"/>
            <w:hideMark/>
          </w:tcPr>
          <w:p w:rsidR="0069162C" w:rsidRPr="00E02FFA" w:rsidRDefault="0069162C" w:rsidP="0086009A">
            <w:pPr>
              <w:spacing w:after="0" w:line="240" w:lineRule="auto"/>
              <w:jc w:val="center"/>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MMR</w:t>
            </w:r>
          </w:p>
        </w:tc>
        <w:tc>
          <w:tcPr>
            <w:tcW w:w="942" w:type="dxa"/>
            <w:tcBorders>
              <w:top w:val="nil"/>
              <w:left w:val="nil"/>
              <w:bottom w:val="nil"/>
              <w:right w:val="nil"/>
            </w:tcBorders>
            <w:shd w:val="clear" w:color="000000" w:fill="C0C0C0"/>
            <w:vAlign w:val="center"/>
            <w:hideMark/>
          </w:tcPr>
          <w:p w:rsidR="0069162C" w:rsidRPr="00E02FFA" w:rsidRDefault="0069162C" w:rsidP="0086009A">
            <w:pPr>
              <w:spacing w:after="0" w:line="240" w:lineRule="auto"/>
              <w:jc w:val="center"/>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IROP</w:t>
            </w:r>
          </w:p>
        </w:tc>
        <w:tc>
          <w:tcPr>
            <w:tcW w:w="920" w:type="dxa"/>
            <w:tcBorders>
              <w:top w:val="nil"/>
              <w:left w:val="nil"/>
              <w:bottom w:val="nil"/>
              <w:right w:val="single" w:sz="4" w:space="0" w:color="D9D9D9"/>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11,03</w:t>
            </w:r>
          </w:p>
        </w:tc>
        <w:tc>
          <w:tcPr>
            <w:tcW w:w="953" w:type="dxa"/>
            <w:tcBorders>
              <w:top w:val="nil"/>
              <w:left w:val="nil"/>
              <w:bottom w:val="nil"/>
              <w:right w:val="single" w:sz="4" w:space="0" w:color="D9D9D9"/>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0,58</w:t>
            </w:r>
          </w:p>
        </w:tc>
        <w:tc>
          <w:tcPr>
            <w:tcW w:w="937" w:type="dxa"/>
            <w:tcBorders>
              <w:top w:val="nil"/>
              <w:left w:val="nil"/>
              <w:bottom w:val="nil"/>
              <w:right w:val="single" w:sz="4" w:space="0" w:color="D9D9D9"/>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1,15</w:t>
            </w:r>
          </w:p>
        </w:tc>
        <w:tc>
          <w:tcPr>
            <w:tcW w:w="941" w:type="dxa"/>
            <w:tcBorders>
              <w:top w:val="nil"/>
              <w:left w:val="nil"/>
              <w:bottom w:val="nil"/>
              <w:right w:val="single" w:sz="4" w:space="0" w:color="D9D9D9"/>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8,08</w:t>
            </w:r>
          </w:p>
        </w:tc>
        <w:tc>
          <w:tcPr>
            <w:tcW w:w="934" w:type="dxa"/>
            <w:tcBorders>
              <w:top w:val="nil"/>
              <w:left w:val="nil"/>
              <w:bottom w:val="nil"/>
              <w:right w:val="single" w:sz="4" w:space="0" w:color="D9D9D9"/>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9,81</w:t>
            </w:r>
          </w:p>
        </w:tc>
        <w:tc>
          <w:tcPr>
            <w:tcW w:w="949" w:type="dxa"/>
            <w:tcBorders>
              <w:top w:val="nil"/>
              <w:left w:val="nil"/>
              <w:bottom w:val="nil"/>
              <w:right w:val="nil"/>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10,07%</w:t>
            </w:r>
          </w:p>
        </w:tc>
      </w:tr>
      <w:tr w:rsidR="0069162C" w:rsidRPr="00E02FFA" w:rsidTr="0086009A">
        <w:trPr>
          <w:trHeight w:val="288"/>
        </w:trPr>
        <w:tc>
          <w:tcPr>
            <w:tcW w:w="1104" w:type="dxa"/>
            <w:tcBorders>
              <w:top w:val="nil"/>
              <w:left w:val="nil"/>
              <w:bottom w:val="nil"/>
              <w:right w:val="nil"/>
            </w:tcBorders>
            <w:shd w:val="clear" w:color="auto" w:fill="auto"/>
            <w:vAlign w:val="center"/>
            <w:hideMark/>
          </w:tcPr>
          <w:p w:rsidR="0069162C" w:rsidRPr="00E02FFA" w:rsidRDefault="0069162C" w:rsidP="0086009A">
            <w:pPr>
              <w:spacing w:after="0" w:line="240" w:lineRule="auto"/>
              <w:jc w:val="center"/>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MPSV</w:t>
            </w:r>
          </w:p>
        </w:tc>
        <w:tc>
          <w:tcPr>
            <w:tcW w:w="942" w:type="dxa"/>
            <w:tcBorders>
              <w:top w:val="nil"/>
              <w:left w:val="nil"/>
              <w:bottom w:val="nil"/>
              <w:right w:val="nil"/>
            </w:tcBorders>
            <w:shd w:val="clear" w:color="auto" w:fill="auto"/>
            <w:vAlign w:val="center"/>
            <w:hideMark/>
          </w:tcPr>
          <w:p w:rsidR="0069162C" w:rsidRPr="00E02FFA" w:rsidRDefault="0069162C" w:rsidP="0086009A">
            <w:pPr>
              <w:spacing w:after="0" w:line="240" w:lineRule="auto"/>
              <w:jc w:val="center"/>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OP Z</w:t>
            </w:r>
          </w:p>
        </w:tc>
        <w:tc>
          <w:tcPr>
            <w:tcW w:w="920" w:type="dxa"/>
            <w:tcBorders>
              <w:top w:val="nil"/>
              <w:left w:val="nil"/>
              <w:bottom w:val="nil"/>
              <w:right w:val="single" w:sz="4" w:space="0" w:color="D9D9D9"/>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1,22</w:t>
            </w:r>
          </w:p>
        </w:tc>
        <w:tc>
          <w:tcPr>
            <w:tcW w:w="953" w:type="dxa"/>
            <w:tcBorders>
              <w:top w:val="nil"/>
              <w:left w:val="nil"/>
              <w:bottom w:val="nil"/>
              <w:right w:val="single" w:sz="4" w:space="0" w:color="D9D9D9"/>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0,01</w:t>
            </w:r>
          </w:p>
        </w:tc>
        <w:tc>
          <w:tcPr>
            <w:tcW w:w="937" w:type="dxa"/>
            <w:tcBorders>
              <w:top w:val="nil"/>
              <w:left w:val="nil"/>
              <w:bottom w:val="nil"/>
              <w:right w:val="single" w:sz="4" w:space="0" w:color="D9D9D9"/>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0,03</w:t>
            </w:r>
          </w:p>
        </w:tc>
        <w:tc>
          <w:tcPr>
            <w:tcW w:w="941" w:type="dxa"/>
            <w:tcBorders>
              <w:top w:val="nil"/>
              <w:left w:val="nil"/>
              <w:bottom w:val="nil"/>
              <w:right w:val="single" w:sz="4" w:space="0" w:color="D9D9D9"/>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0,4</w:t>
            </w:r>
          </w:p>
        </w:tc>
        <w:tc>
          <w:tcPr>
            <w:tcW w:w="934" w:type="dxa"/>
            <w:tcBorders>
              <w:top w:val="nil"/>
              <w:left w:val="nil"/>
              <w:bottom w:val="nil"/>
              <w:right w:val="single" w:sz="4" w:space="0" w:color="D9D9D9"/>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0,44</w:t>
            </w:r>
          </w:p>
        </w:tc>
        <w:tc>
          <w:tcPr>
            <w:tcW w:w="949" w:type="dxa"/>
            <w:tcBorders>
              <w:top w:val="nil"/>
              <w:left w:val="nil"/>
              <w:bottom w:val="nil"/>
              <w:right w:val="nil"/>
            </w:tcBorders>
            <w:shd w:val="clear" w:color="auto" w:fill="auto"/>
            <w:vAlign w:val="center"/>
            <w:hideMark/>
          </w:tcPr>
          <w:p w:rsidR="0069162C" w:rsidRPr="00E02FFA" w:rsidRDefault="0069162C" w:rsidP="0086009A">
            <w:pPr>
              <w:spacing w:after="0" w:line="240" w:lineRule="auto"/>
              <w:jc w:val="right"/>
              <w:rPr>
                <w:rFonts w:ascii="Calibri" w:eastAsia="Times New Roman" w:hAnsi="Calibri" w:cs="Times New Roman"/>
                <w:color w:val="000000"/>
                <w:sz w:val="20"/>
                <w:szCs w:val="20"/>
                <w:lang w:eastAsia="cs-CZ"/>
              </w:rPr>
            </w:pPr>
            <w:r w:rsidRPr="00E02FFA">
              <w:rPr>
                <w:rFonts w:ascii="Calibri" w:eastAsia="Times New Roman" w:hAnsi="Calibri" w:cs="Times New Roman"/>
                <w:color w:val="000000"/>
                <w:sz w:val="20"/>
                <w:szCs w:val="20"/>
                <w:lang w:eastAsia="cs-CZ"/>
              </w:rPr>
              <w:t>0,45%</w:t>
            </w:r>
          </w:p>
        </w:tc>
      </w:tr>
      <w:tr w:rsidR="0069162C" w:rsidRPr="00E02FFA" w:rsidTr="0086009A">
        <w:trPr>
          <w:trHeight w:val="300"/>
        </w:trPr>
        <w:tc>
          <w:tcPr>
            <w:tcW w:w="2046" w:type="dxa"/>
            <w:gridSpan w:val="2"/>
            <w:tcBorders>
              <w:top w:val="nil"/>
              <w:left w:val="nil"/>
              <w:bottom w:val="single" w:sz="8" w:space="0" w:color="000000"/>
              <w:right w:val="nil"/>
            </w:tcBorders>
            <w:shd w:val="clear" w:color="000000" w:fill="C0C0C0"/>
            <w:vAlign w:val="center"/>
            <w:hideMark/>
          </w:tcPr>
          <w:p w:rsidR="0069162C" w:rsidRPr="00E02FFA" w:rsidRDefault="0069162C" w:rsidP="0086009A">
            <w:pPr>
              <w:spacing w:after="0" w:line="240" w:lineRule="auto"/>
              <w:jc w:val="center"/>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Celkem</w:t>
            </w:r>
          </w:p>
        </w:tc>
        <w:tc>
          <w:tcPr>
            <w:tcW w:w="920" w:type="dxa"/>
            <w:tcBorders>
              <w:top w:val="nil"/>
              <w:left w:val="nil"/>
              <w:bottom w:val="single" w:sz="8" w:space="0" w:color="000000"/>
              <w:right w:val="single" w:sz="4" w:space="0" w:color="D9D9D9"/>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212,7</w:t>
            </w:r>
          </w:p>
        </w:tc>
        <w:tc>
          <w:tcPr>
            <w:tcW w:w="953" w:type="dxa"/>
            <w:tcBorders>
              <w:top w:val="nil"/>
              <w:left w:val="nil"/>
              <w:bottom w:val="single" w:sz="8" w:space="0" w:color="000000"/>
              <w:right w:val="single" w:sz="4" w:space="0" w:color="D9D9D9"/>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32,93</w:t>
            </w:r>
          </w:p>
        </w:tc>
        <w:tc>
          <w:tcPr>
            <w:tcW w:w="937" w:type="dxa"/>
            <w:tcBorders>
              <w:top w:val="nil"/>
              <w:left w:val="nil"/>
              <w:bottom w:val="single" w:sz="8" w:space="0" w:color="000000"/>
              <w:right w:val="single" w:sz="4" w:space="0" w:color="D9D9D9"/>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6,83</w:t>
            </w:r>
          </w:p>
        </w:tc>
        <w:tc>
          <w:tcPr>
            <w:tcW w:w="941" w:type="dxa"/>
            <w:tcBorders>
              <w:top w:val="nil"/>
              <w:left w:val="nil"/>
              <w:bottom w:val="single" w:sz="8" w:space="0" w:color="000000"/>
              <w:right w:val="single" w:sz="4" w:space="0" w:color="D9D9D9"/>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57,63</w:t>
            </w:r>
          </w:p>
        </w:tc>
        <w:tc>
          <w:tcPr>
            <w:tcW w:w="934" w:type="dxa"/>
            <w:tcBorders>
              <w:top w:val="nil"/>
              <w:left w:val="nil"/>
              <w:bottom w:val="single" w:sz="8" w:space="0" w:color="000000"/>
              <w:right w:val="single" w:sz="4" w:space="0" w:color="D9D9D9"/>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97,39</w:t>
            </w:r>
          </w:p>
        </w:tc>
        <w:tc>
          <w:tcPr>
            <w:tcW w:w="949" w:type="dxa"/>
            <w:tcBorders>
              <w:top w:val="nil"/>
              <w:left w:val="nil"/>
              <w:bottom w:val="single" w:sz="8" w:space="0" w:color="000000"/>
              <w:right w:val="nil"/>
            </w:tcBorders>
            <w:shd w:val="clear" w:color="000000" w:fill="C0C0C0"/>
            <w:vAlign w:val="center"/>
            <w:hideMark/>
          </w:tcPr>
          <w:p w:rsidR="0069162C" w:rsidRPr="00E02FFA" w:rsidRDefault="0069162C" w:rsidP="0086009A">
            <w:pPr>
              <w:spacing w:after="0" w:line="240" w:lineRule="auto"/>
              <w:jc w:val="right"/>
              <w:rPr>
                <w:rFonts w:ascii="Calibri" w:eastAsia="Times New Roman" w:hAnsi="Calibri" w:cs="Times New Roman"/>
                <w:b/>
                <w:bCs/>
                <w:color w:val="000000"/>
                <w:sz w:val="20"/>
                <w:szCs w:val="20"/>
                <w:lang w:eastAsia="cs-CZ"/>
              </w:rPr>
            </w:pPr>
            <w:r w:rsidRPr="00E02FFA">
              <w:rPr>
                <w:rFonts w:ascii="Calibri" w:eastAsia="Times New Roman" w:hAnsi="Calibri" w:cs="Times New Roman"/>
                <w:b/>
                <w:bCs/>
                <w:color w:val="000000"/>
                <w:sz w:val="20"/>
                <w:szCs w:val="20"/>
                <w:lang w:eastAsia="cs-CZ"/>
              </w:rPr>
              <w:t>100%</w:t>
            </w:r>
          </w:p>
        </w:tc>
      </w:tr>
    </w:tbl>
    <w:p w:rsidR="0069162C" w:rsidRPr="00CE23D7" w:rsidRDefault="0069162C" w:rsidP="0069162C">
      <w:pPr>
        <w:pStyle w:val="Zdrojapoznmka"/>
      </w:pPr>
      <w:r w:rsidRPr="00CE23D7">
        <w:t>Zdroj: data ŘO OP; vlastní zpracování MPO</w:t>
      </w:r>
    </w:p>
    <w:p w:rsidR="0069162C" w:rsidRDefault="0069162C" w:rsidP="0069162C">
      <w:pPr>
        <w:spacing w:line="360" w:lineRule="auto"/>
        <w:ind w:firstLine="357"/>
        <w:jc w:val="both"/>
        <w:rPr>
          <w:rFonts w:ascii="Arial" w:hAnsi="Arial" w:cs="Arial"/>
          <w:lang w:eastAsia="cs-CZ"/>
        </w:rPr>
      </w:pPr>
      <w:bookmarkStart w:id="29" w:name="_Ref494283623"/>
      <w:bookmarkStart w:id="30" w:name="_Toc495662238"/>
      <w:r w:rsidRPr="00921109">
        <w:rPr>
          <w:rFonts w:ascii="Arial" w:hAnsi="Arial" w:cs="Arial"/>
          <w:lang w:eastAsia="cs-CZ"/>
        </w:rPr>
        <w:t>Z národních programů podpory výzkumu a vývoje TA ČR (Tabulka 4</w:t>
      </w:r>
      <w:r>
        <w:rPr>
          <w:rFonts w:ascii="Arial" w:hAnsi="Arial" w:cs="Arial"/>
          <w:lang w:eastAsia="cs-CZ"/>
        </w:rPr>
        <w:t>.4</w:t>
      </w:r>
      <w:r w:rsidRPr="00921109">
        <w:rPr>
          <w:rFonts w:ascii="Arial" w:hAnsi="Arial" w:cs="Arial"/>
          <w:lang w:eastAsia="cs-CZ"/>
        </w:rPr>
        <w:t xml:space="preserve">) byly v období 2016 až květen 2018 nejvyšší celkové uznané náklady projektů sledovaných ve vazbě na </w:t>
      </w:r>
      <w:r w:rsidRPr="006A54E8">
        <w:rPr>
          <w:rFonts w:ascii="Arial" w:hAnsi="Arial" w:cs="Arial"/>
          <w:i/>
          <w:lang w:eastAsia="cs-CZ"/>
        </w:rPr>
        <w:t>Národní RIS3 strategii</w:t>
      </w:r>
      <w:r w:rsidRPr="00921109">
        <w:rPr>
          <w:rFonts w:ascii="Arial" w:hAnsi="Arial" w:cs="Arial"/>
          <w:lang w:eastAsia="cs-CZ"/>
        </w:rPr>
        <w:t xml:space="preserve"> v programu Centra kompetence 3,9 mld. Kč (35,5 %), který má také nejvyšší podporu ze státního rozpočtu 2,68 mld. Kč. Významně se na naplňování Národní RIS3 strategie podílel také program podpory výzkumu a vývoje MPO – TRIO, jehož celkové náklady na projekty v da</w:t>
      </w:r>
      <w:r>
        <w:rPr>
          <w:rFonts w:ascii="Arial" w:hAnsi="Arial" w:cs="Arial"/>
          <w:lang w:eastAsia="cs-CZ"/>
        </w:rPr>
        <w:t>ném období činily 3,19 mld. Kč.</w:t>
      </w:r>
    </w:p>
    <w:p w:rsidR="0069162C" w:rsidRDefault="0069162C" w:rsidP="0069162C">
      <w:pPr>
        <w:spacing w:line="360" w:lineRule="auto"/>
        <w:ind w:firstLine="357"/>
        <w:jc w:val="both"/>
        <w:rPr>
          <w:rFonts w:ascii="Arial" w:hAnsi="Arial" w:cs="Arial"/>
          <w:lang w:eastAsia="cs-CZ"/>
        </w:rPr>
      </w:pPr>
    </w:p>
    <w:p w:rsidR="0069162C" w:rsidRDefault="0069162C" w:rsidP="0069162C">
      <w:pPr>
        <w:spacing w:line="360" w:lineRule="auto"/>
        <w:ind w:firstLine="357"/>
        <w:jc w:val="both"/>
        <w:rPr>
          <w:rFonts w:ascii="Arial" w:hAnsi="Arial" w:cs="Arial"/>
          <w:b/>
          <w:i/>
        </w:rPr>
      </w:pPr>
    </w:p>
    <w:p w:rsidR="0069162C" w:rsidRPr="00921109" w:rsidRDefault="0069162C" w:rsidP="0069162C">
      <w:pPr>
        <w:keepNext/>
        <w:spacing w:before="120" w:after="240" w:line="240" w:lineRule="auto"/>
        <w:jc w:val="both"/>
        <w:rPr>
          <w:rFonts w:ascii="Arial" w:eastAsia="Times New Roman" w:hAnsi="Arial" w:cs="Times New Roman"/>
          <w:b/>
          <w:szCs w:val="24"/>
          <w:lang w:eastAsia="cs-CZ"/>
        </w:rPr>
      </w:pPr>
      <w:r w:rsidRPr="00921109">
        <w:rPr>
          <w:rFonts w:ascii="Arial" w:eastAsia="Times New Roman" w:hAnsi="Arial" w:cs="Times New Roman"/>
          <w:b/>
          <w:szCs w:val="24"/>
          <w:lang w:eastAsia="cs-CZ"/>
        </w:rPr>
        <w:lastRenderedPageBreak/>
        <w:t>Tabulka 4.</w:t>
      </w:r>
      <w:bookmarkEnd w:id="29"/>
      <w:r w:rsidRPr="00921109">
        <w:rPr>
          <w:rFonts w:ascii="Arial" w:eastAsia="Times New Roman" w:hAnsi="Arial" w:cs="Times New Roman"/>
          <w:b/>
          <w:szCs w:val="24"/>
          <w:lang w:eastAsia="cs-CZ"/>
        </w:rPr>
        <w:t>4: Přehled financování Národní RIS3 strategie z programů podpory výzkumu a vývoje Centra kompetence, EPSILON, GAMA a TRIO (v mld. Kč)</w:t>
      </w:r>
      <w:bookmarkEnd w:id="30"/>
    </w:p>
    <w:tbl>
      <w:tblPr>
        <w:tblW w:w="5000" w:type="pct"/>
        <w:jc w:val="center"/>
        <w:tblCellMar>
          <w:left w:w="70" w:type="dxa"/>
          <w:right w:w="70" w:type="dxa"/>
        </w:tblCellMar>
        <w:tblLook w:val="04A0" w:firstRow="1" w:lastRow="0" w:firstColumn="1" w:lastColumn="0" w:noHBand="0" w:noVBand="1"/>
      </w:tblPr>
      <w:tblGrid>
        <w:gridCol w:w="1444"/>
        <w:gridCol w:w="1292"/>
        <w:gridCol w:w="1152"/>
        <w:gridCol w:w="1176"/>
        <w:gridCol w:w="1023"/>
        <w:gridCol w:w="940"/>
        <w:gridCol w:w="1068"/>
        <w:gridCol w:w="1117"/>
      </w:tblGrid>
      <w:tr w:rsidR="0069162C" w:rsidRPr="00921109" w:rsidTr="0086009A">
        <w:trPr>
          <w:cantSplit/>
          <w:trHeight w:val="284"/>
          <w:jc w:val="center"/>
        </w:trPr>
        <w:tc>
          <w:tcPr>
            <w:tcW w:w="1105" w:type="dxa"/>
            <w:vMerge w:val="restart"/>
            <w:tcBorders>
              <w:top w:val="single" w:sz="8" w:space="0" w:color="000000"/>
              <w:left w:val="nil"/>
              <w:bottom w:val="single" w:sz="8" w:space="0" w:color="000000"/>
              <w:right w:val="nil"/>
            </w:tcBorders>
            <w:shd w:val="clear" w:color="auto" w:fill="auto"/>
            <w:vAlign w:val="center"/>
            <w:hideMark/>
          </w:tcPr>
          <w:p w:rsidR="0069162C" w:rsidRPr="00921109" w:rsidRDefault="0069162C" w:rsidP="0086009A">
            <w:pPr>
              <w:spacing w:after="0" w:line="240" w:lineRule="auto"/>
              <w:jc w:val="center"/>
              <w:rPr>
                <w:rFonts w:ascii="Arial" w:eastAsia="Times New Roman" w:hAnsi="Arial" w:cs="Arial"/>
                <w:b/>
                <w:bCs/>
                <w:color w:val="000000"/>
                <w:sz w:val="20"/>
                <w:szCs w:val="20"/>
                <w:lang w:eastAsia="cs-CZ"/>
              </w:rPr>
            </w:pPr>
            <w:r w:rsidRPr="00921109">
              <w:rPr>
                <w:rFonts w:ascii="Arial" w:eastAsia="Times New Roman" w:hAnsi="Arial" w:cs="Arial"/>
                <w:b/>
                <w:bCs/>
                <w:color w:val="000000"/>
                <w:sz w:val="20"/>
                <w:szCs w:val="20"/>
                <w:lang w:eastAsia="cs-CZ"/>
              </w:rPr>
              <w:t>Poskytovatel</w:t>
            </w:r>
          </w:p>
        </w:tc>
        <w:tc>
          <w:tcPr>
            <w:tcW w:w="1047" w:type="dxa"/>
            <w:vMerge w:val="restart"/>
            <w:tcBorders>
              <w:top w:val="single" w:sz="8" w:space="0" w:color="000000"/>
              <w:left w:val="nil"/>
              <w:bottom w:val="single" w:sz="8" w:space="0" w:color="000000"/>
              <w:right w:val="nil"/>
            </w:tcBorders>
            <w:shd w:val="clear" w:color="auto" w:fill="auto"/>
            <w:vAlign w:val="center"/>
            <w:hideMark/>
          </w:tcPr>
          <w:p w:rsidR="0069162C" w:rsidRPr="00921109" w:rsidRDefault="0069162C" w:rsidP="0086009A">
            <w:pPr>
              <w:spacing w:after="0" w:line="240" w:lineRule="auto"/>
              <w:jc w:val="center"/>
              <w:rPr>
                <w:rFonts w:ascii="Arial" w:eastAsia="Times New Roman" w:hAnsi="Arial" w:cs="Arial"/>
                <w:b/>
                <w:bCs/>
                <w:color w:val="000000"/>
                <w:sz w:val="20"/>
                <w:szCs w:val="20"/>
                <w:lang w:eastAsia="cs-CZ"/>
              </w:rPr>
            </w:pPr>
            <w:r w:rsidRPr="00921109">
              <w:rPr>
                <w:rFonts w:ascii="Arial" w:eastAsia="Times New Roman" w:hAnsi="Arial" w:cs="Arial"/>
                <w:b/>
                <w:bCs/>
                <w:color w:val="000000"/>
                <w:sz w:val="20"/>
                <w:szCs w:val="20"/>
                <w:lang w:eastAsia="cs-CZ"/>
              </w:rPr>
              <w:t>Program</w:t>
            </w:r>
          </w:p>
        </w:tc>
        <w:tc>
          <w:tcPr>
            <w:tcW w:w="940" w:type="dxa"/>
            <w:vMerge w:val="restart"/>
            <w:tcBorders>
              <w:top w:val="single" w:sz="8" w:space="0" w:color="000000"/>
              <w:left w:val="nil"/>
              <w:bottom w:val="single" w:sz="8" w:space="0" w:color="000000"/>
              <w:right w:val="nil"/>
            </w:tcBorders>
            <w:shd w:val="clear" w:color="auto" w:fill="auto"/>
            <w:vAlign w:val="center"/>
            <w:hideMark/>
          </w:tcPr>
          <w:p w:rsidR="0069162C" w:rsidRPr="00921109" w:rsidRDefault="0069162C" w:rsidP="0086009A">
            <w:pPr>
              <w:spacing w:after="0" w:line="240" w:lineRule="auto"/>
              <w:jc w:val="center"/>
              <w:rPr>
                <w:rFonts w:ascii="Arial" w:eastAsia="Times New Roman" w:hAnsi="Arial" w:cs="Arial"/>
                <w:b/>
                <w:bCs/>
                <w:color w:val="000000"/>
                <w:sz w:val="20"/>
                <w:szCs w:val="20"/>
                <w:lang w:eastAsia="cs-CZ"/>
              </w:rPr>
            </w:pPr>
            <w:r w:rsidRPr="00921109">
              <w:rPr>
                <w:rFonts w:ascii="Arial" w:eastAsia="Times New Roman" w:hAnsi="Arial" w:cs="Arial"/>
                <w:b/>
                <w:bCs/>
                <w:color w:val="000000"/>
                <w:sz w:val="20"/>
                <w:szCs w:val="20"/>
                <w:lang w:eastAsia="cs-CZ"/>
              </w:rPr>
              <w:t>Plán dle RIS3 na období 2016-2018</w:t>
            </w:r>
          </w:p>
        </w:tc>
        <w:tc>
          <w:tcPr>
            <w:tcW w:w="4588" w:type="dxa"/>
            <w:gridSpan w:val="5"/>
            <w:tcBorders>
              <w:top w:val="single" w:sz="8" w:space="0" w:color="000000"/>
              <w:left w:val="nil"/>
              <w:bottom w:val="single" w:sz="8" w:space="0" w:color="000000"/>
              <w:right w:val="nil"/>
            </w:tcBorders>
            <w:shd w:val="clear" w:color="auto" w:fill="auto"/>
            <w:vAlign w:val="center"/>
            <w:hideMark/>
          </w:tcPr>
          <w:p w:rsidR="0069162C" w:rsidRPr="00921109" w:rsidRDefault="0069162C" w:rsidP="0086009A">
            <w:pPr>
              <w:spacing w:after="0" w:line="240" w:lineRule="auto"/>
              <w:jc w:val="center"/>
              <w:rPr>
                <w:rFonts w:ascii="Arial" w:eastAsia="Times New Roman" w:hAnsi="Arial" w:cs="Arial"/>
                <w:b/>
                <w:bCs/>
                <w:color w:val="000000"/>
                <w:sz w:val="20"/>
                <w:szCs w:val="20"/>
                <w:lang w:eastAsia="cs-CZ"/>
              </w:rPr>
            </w:pPr>
            <w:r w:rsidRPr="00921109">
              <w:rPr>
                <w:rFonts w:ascii="Arial" w:eastAsia="Times New Roman" w:hAnsi="Arial" w:cs="Arial"/>
                <w:b/>
                <w:bCs/>
                <w:color w:val="000000"/>
                <w:sz w:val="20"/>
                <w:szCs w:val="20"/>
                <w:lang w:eastAsia="cs-CZ"/>
              </w:rPr>
              <w:t>Aktuální stav</w:t>
            </w:r>
          </w:p>
        </w:tc>
      </w:tr>
      <w:tr w:rsidR="0069162C" w:rsidRPr="00921109" w:rsidTr="0086009A">
        <w:trPr>
          <w:cantSplit/>
          <w:trHeight w:val="284"/>
          <w:jc w:val="center"/>
        </w:trPr>
        <w:tc>
          <w:tcPr>
            <w:tcW w:w="1105" w:type="dxa"/>
            <w:vMerge/>
            <w:tcBorders>
              <w:top w:val="single" w:sz="8" w:space="0" w:color="000000"/>
              <w:left w:val="nil"/>
              <w:bottom w:val="single" w:sz="8" w:space="0" w:color="000000"/>
              <w:right w:val="nil"/>
            </w:tcBorders>
            <w:vAlign w:val="center"/>
            <w:hideMark/>
          </w:tcPr>
          <w:p w:rsidR="0069162C" w:rsidRPr="00921109" w:rsidRDefault="0069162C" w:rsidP="0086009A">
            <w:pPr>
              <w:spacing w:after="0" w:line="240" w:lineRule="auto"/>
              <w:rPr>
                <w:rFonts w:ascii="Arial" w:eastAsia="Times New Roman" w:hAnsi="Arial" w:cs="Arial"/>
                <w:b/>
                <w:bCs/>
                <w:color w:val="000000"/>
                <w:sz w:val="20"/>
                <w:szCs w:val="20"/>
                <w:lang w:eastAsia="cs-CZ"/>
              </w:rPr>
            </w:pPr>
          </w:p>
        </w:tc>
        <w:tc>
          <w:tcPr>
            <w:tcW w:w="1047" w:type="dxa"/>
            <w:vMerge/>
            <w:tcBorders>
              <w:top w:val="single" w:sz="8" w:space="0" w:color="000000"/>
              <w:left w:val="nil"/>
              <w:bottom w:val="single" w:sz="8" w:space="0" w:color="000000"/>
              <w:right w:val="nil"/>
            </w:tcBorders>
            <w:vAlign w:val="center"/>
            <w:hideMark/>
          </w:tcPr>
          <w:p w:rsidR="0069162C" w:rsidRPr="00921109" w:rsidRDefault="0069162C" w:rsidP="0086009A">
            <w:pPr>
              <w:spacing w:after="0" w:line="240" w:lineRule="auto"/>
              <w:rPr>
                <w:rFonts w:ascii="Arial" w:eastAsia="Times New Roman" w:hAnsi="Arial" w:cs="Arial"/>
                <w:b/>
                <w:bCs/>
                <w:color w:val="000000"/>
                <w:sz w:val="20"/>
                <w:szCs w:val="20"/>
                <w:lang w:eastAsia="cs-CZ"/>
              </w:rPr>
            </w:pPr>
          </w:p>
        </w:tc>
        <w:tc>
          <w:tcPr>
            <w:tcW w:w="940" w:type="dxa"/>
            <w:vMerge/>
            <w:tcBorders>
              <w:top w:val="single" w:sz="8" w:space="0" w:color="000000"/>
              <w:left w:val="nil"/>
              <w:bottom w:val="single" w:sz="8" w:space="0" w:color="000000"/>
              <w:right w:val="nil"/>
            </w:tcBorders>
            <w:vAlign w:val="center"/>
            <w:hideMark/>
          </w:tcPr>
          <w:p w:rsidR="0069162C" w:rsidRPr="00921109" w:rsidRDefault="0069162C" w:rsidP="0086009A">
            <w:pPr>
              <w:spacing w:after="0" w:line="240" w:lineRule="auto"/>
              <w:rPr>
                <w:rFonts w:ascii="Arial" w:eastAsia="Times New Roman" w:hAnsi="Arial" w:cs="Arial"/>
                <w:b/>
                <w:bCs/>
                <w:color w:val="000000"/>
                <w:sz w:val="20"/>
                <w:szCs w:val="20"/>
                <w:lang w:eastAsia="cs-CZ"/>
              </w:rPr>
            </w:pPr>
          </w:p>
        </w:tc>
        <w:tc>
          <w:tcPr>
            <w:tcW w:w="942" w:type="dxa"/>
            <w:tcBorders>
              <w:top w:val="nil"/>
              <w:left w:val="nil"/>
              <w:bottom w:val="single" w:sz="8" w:space="0" w:color="auto"/>
              <w:right w:val="nil"/>
            </w:tcBorders>
            <w:shd w:val="clear" w:color="000000" w:fill="C0C0C0"/>
            <w:vAlign w:val="center"/>
            <w:hideMark/>
          </w:tcPr>
          <w:p w:rsidR="0069162C" w:rsidRPr="00921109" w:rsidRDefault="0069162C" w:rsidP="0086009A">
            <w:pPr>
              <w:spacing w:after="0" w:line="240" w:lineRule="auto"/>
              <w:jc w:val="center"/>
              <w:rPr>
                <w:rFonts w:ascii="Arial" w:eastAsia="Times New Roman" w:hAnsi="Arial" w:cs="Arial"/>
                <w:b/>
                <w:bCs/>
                <w:color w:val="000000"/>
                <w:sz w:val="20"/>
                <w:szCs w:val="20"/>
                <w:lang w:eastAsia="cs-CZ"/>
              </w:rPr>
            </w:pPr>
            <w:r w:rsidRPr="00921109">
              <w:rPr>
                <w:rFonts w:ascii="Arial" w:eastAsia="Times New Roman" w:hAnsi="Arial" w:cs="Arial"/>
                <w:b/>
                <w:bCs/>
                <w:color w:val="000000"/>
                <w:sz w:val="20"/>
                <w:szCs w:val="20"/>
                <w:lang w:eastAsia="cs-CZ"/>
              </w:rPr>
              <w:t xml:space="preserve">Soukromé zdroje ČR a </w:t>
            </w:r>
            <w:proofErr w:type="spellStart"/>
            <w:r w:rsidRPr="00921109">
              <w:rPr>
                <w:rFonts w:ascii="Arial" w:eastAsia="Times New Roman" w:hAnsi="Arial" w:cs="Arial"/>
                <w:b/>
                <w:bCs/>
                <w:color w:val="000000"/>
                <w:sz w:val="20"/>
                <w:szCs w:val="20"/>
                <w:lang w:eastAsia="cs-CZ"/>
              </w:rPr>
              <w:t>zahr</w:t>
            </w:r>
            <w:proofErr w:type="spellEnd"/>
            <w:r w:rsidRPr="00921109">
              <w:rPr>
                <w:rFonts w:ascii="Arial" w:eastAsia="Times New Roman" w:hAnsi="Arial" w:cs="Arial"/>
                <w:b/>
                <w:bCs/>
                <w:color w:val="000000"/>
                <w:sz w:val="20"/>
                <w:szCs w:val="20"/>
                <w:lang w:eastAsia="cs-CZ"/>
              </w:rPr>
              <w:t>.</w:t>
            </w:r>
          </w:p>
        </w:tc>
        <w:tc>
          <w:tcPr>
            <w:tcW w:w="916" w:type="dxa"/>
            <w:tcBorders>
              <w:top w:val="nil"/>
              <w:left w:val="nil"/>
              <w:bottom w:val="single" w:sz="8" w:space="0" w:color="auto"/>
              <w:right w:val="nil"/>
            </w:tcBorders>
            <w:shd w:val="clear" w:color="000000" w:fill="C0C0C0"/>
            <w:vAlign w:val="center"/>
            <w:hideMark/>
          </w:tcPr>
          <w:p w:rsidR="0069162C" w:rsidRPr="00921109" w:rsidRDefault="0069162C" w:rsidP="0086009A">
            <w:pPr>
              <w:spacing w:after="0" w:line="240" w:lineRule="auto"/>
              <w:jc w:val="center"/>
              <w:rPr>
                <w:rFonts w:ascii="Arial" w:eastAsia="Times New Roman" w:hAnsi="Arial" w:cs="Arial"/>
                <w:b/>
                <w:bCs/>
                <w:color w:val="000000"/>
                <w:sz w:val="20"/>
                <w:szCs w:val="20"/>
                <w:lang w:eastAsia="cs-CZ"/>
              </w:rPr>
            </w:pPr>
            <w:r w:rsidRPr="00921109">
              <w:rPr>
                <w:rFonts w:ascii="Arial" w:eastAsia="Times New Roman" w:hAnsi="Arial" w:cs="Arial"/>
                <w:b/>
                <w:bCs/>
                <w:color w:val="000000"/>
                <w:sz w:val="20"/>
                <w:szCs w:val="20"/>
                <w:lang w:eastAsia="cs-CZ"/>
              </w:rPr>
              <w:t>Státní rozpočet</w:t>
            </w:r>
          </w:p>
        </w:tc>
        <w:tc>
          <w:tcPr>
            <w:tcW w:w="895" w:type="dxa"/>
            <w:tcBorders>
              <w:top w:val="nil"/>
              <w:left w:val="nil"/>
              <w:bottom w:val="single" w:sz="8" w:space="0" w:color="auto"/>
              <w:right w:val="nil"/>
            </w:tcBorders>
            <w:shd w:val="clear" w:color="000000" w:fill="C0C0C0"/>
            <w:vAlign w:val="center"/>
            <w:hideMark/>
          </w:tcPr>
          <w:p w:rsidR="0069162C" w:rsidRPr="00921109" w:rsidRDefault="0069162C" w:rsidP="0086009A">
            <w:pPr>
              <w:spacing w:after="0" w:line="240" w:lineRule="auto"/>
              <w:jc w:val="center"/>
              <w:rPr>
                <w:rFonts w:ascii="Arial" w:eastAsia="Times New Roman" w:hAnsi="Arial" w:cs="Arial"/>
                <w:b/>
                <w:bCs/>
                <w:color w:val="000000"/>
                <w:sz w:val="20"/>
                <w:szCs w:val="20"/>
                <w:lang w:eastAsia="cs-CZ"/>
              </w:rPr>
            </w:pPr>
            <w:r w:rsidRPr="00921109">
              <w:rPr>
                <w:rFonts w:ascii="Arial" w:eastAsia="Times New Roman" w:hAnsi="Arial" w:cs="Arial"/>
                <w:b/>
                <w:bCs/>
                <w:color w:val="000000"/>
                <w:sz w:val="20"/>
                <w:szCs w:val="20"/>
                <w:lang w:eastAsia="cs-CZ"/>
              </w:rPr>
              <w:t>Ostatní veřejné zdroje</w:t>
            </w:r>
          </w:p>
        </w:tc>
        <w:tc>
          <w:tcPr>
            <w:tcW w:w="902" w:type="dxa"/>
            <w:tcBorders>
              <w:top w:val="nil"/>
              <w:left w:val="nil"/>
              <w:bottom w:val="single" w:sz="8" w:space="0" w:color="auto"/>
              <w:right w:val="nil"/>
            </w:tcBorders>
            <w:shd w:val="clear" w:color="000000" w:fill="C0C0C0"/>
            <w:vAlign w:val="center"/>
            <w:hideMark/>
          </w:tcPr>
          <w:p w:rsidR="0069162C" w:rsidRPr="00921109" w:rsidRDefault="0069162C" w:rsidP="0086009A">
            <w:pPr>
              <w:spacing w:after="0" w:line="240" w:lineRule="auto"/>
              <w:jc w:val="center"/>
              <w:rPr>
                <w:rFonts w:ascii="Arial" w:eastAsia="Times New Roman" w:hAnsi="Arial" w:cs="Arial"/>
                <w:b/>
                <w:bCs/>
                <w:color w:val="000000"/>
                <w:sz w:val="20"/>
                <w:szCs w:val="20"/>
                <w:lang w:eastAsia="cs-CZ"/>
              </w:rPr>
            </w:pPr>
            <w:r w:rsidRPr="00921109">
              <w:rPr>
                <w:rFonts w:ascii="Arial" w:eastAsia="Times New Roman" w:hAnsi="Arial" w:cs="Arial"/>
                <w:b/>
                <w:bCs/>
                <w:color w:val="000000"/>
                <w:sz w:val="20"/>
                <w:szCs w:val="20"/>
                <w:lang w:eastAsia="cs-CZ"/>
              </w:rPr>
              <w:t>Celkové náklady</w:t>
            </w:r>
            <w:r>
              <w:rPr>
                <w:rStyle w:val="Znakapoznpodarou"/>
                <w:rFonts w:eastAsia="Times New Roman" w:cs="Arial"/>
                <w:b/>
                <w:bCs/>
                <w:color w:val="000000"/>
                <w:sz w:val="20"/>
                <w:szCs w:val="20"/>
                <w:lang w:eastAsia="cs-CZ"/>
              </w:rPr>
              <w:footnoteReference w:id="22"/>
            </w:r>
            <w:r w:rsidRPr="00921109">
              <w:rPr>
                <w:rFonts w:ascii="Arial" w:eastAsia="Times New Roman" w:hAnsi="Arial" w:cs="Arial"/>
                <w:b/>
                <w:bCs/>
                <w:color w:val="000000"/>
                <w:sz w:val="20"/>
                <w:szCs w:val="20"/>
                <w:lang w:eastAsia="cs-CZ"/>
              </w:rPr>
              <w:t xml:space="preserve"> za období </w:t>
            </w:r>
            <w:r w:rsidRPr="00921109">
              <w:rPr>
                <w:rFonts w:ascii="Arial" w:eastAsia="Times New Roman" w:hAnsi="Arial" w:cs="Arial"/>
                <w:b/>
                <w:bCs/>
                <w:color w:val="000000"/>
                <w:sz w:val="20"/>
                <w:szCs w:val="20"/>
                <w:lang w:eastAsia="cs-CZ"/>
              </w:rPr>
              <w:br/>
              <w:t>2016-05.2018</w:t>
            </w:r>
          </w:p>
        </w:tc>
        <w:tc>
          <w:tcPr>
            <w:tcW w:w="933" w:type="dxa"/>
            <w:tcBorders>
              <w:top w:val="nil"/>
              <w:left w:val="nil"/>
              <w:bottom w:val="single" w:sz="8" w:space="0" w:color="auto"/>
              <w:right w:val="nil"/>
            </w:tcBorders>
            <w:shd w:val="clear" w:color="000000" w:fill="C0C0C0"/>
            <w:vAlign w:val="center"/>
            <w:hideMark/>
          </w:tcPr>
          <w:p w:rsidR="0069162C" w:rsidRPr="00921109" w:rsidRDefault="0069162C" w:rsidP="0086009A">
            <w:pPr>
              <w:spacing w:after="0" w:line="240" w:lineRule="auto"/>
              <w:jc w:val="center"/>
              <w:rPr>
                <w:rFonts w:ascii="Arial" w:eastAsia="Times New Roman" w:hAnsi="Arial" w:cs="Arial"/>
                <w:b/>
                <w:bCs/>
                <w:color w:val="000000"/>
                <w:sz w:val="20"/>
                <w:szCs w:val="20"/>
                <w:lang w:eastAsia="cs-CZ"/>
              </w:rPr>
            </w:pPr>
            <w:r w:rsidRPr="00921109">
              <w:rPr>
                <w:rFonts w:ascii="Arial" w:eastAsia="Times New Roman" w:hAnsi="Arial" w:cs="Arial"/>
                <w:b/>
                <w:bCs/>
                <w:color w:val="000000"/>
                <w:sz w:val="20"/>
                <w:szCs w:val="20"/>
                <w:lang w:eastAsia="cs-CZ"/>
              </w:rPr>
              <w:t>Procentní vyjádření</w:t>
            </w:r>
          </w:p>
        </w:tc>
      </w:tr>
      <w:tr w:rsidR="0069162C" w:rsidRPr="00921109" w:rsidTr="0086009A">
        <w:trPr>
          <w:cantSplit/>
          <w:trHeight w:val="284"/>
          <w:jc w:val="center"/>
        </w:trPr>
        <w:tc>
          <w:tcPr>
            <w:tcW w:w="1105" w:type="dxa"/>
            <w:tcBorders>
              <w:top w:val="nil"/>
              <w:left w:val="nil"/>
              <w:bottom w:val="nil"/>
              <w:right w:val="nil"/>
            </w:tcBorders>
            <w:shd w:val="clear" w:color="auto" w:fill="auto"/>
            <w:vAlign w:val="center"/>
            <w:hideMark/>
          </w:tcPr>
          <w:p w:rsidR="0069162C" w:rsidRPr="00921109" w:rsidRDefault="0069162C" w:rsidP="0086009A">
            <w:pPr>
              <w:spacing w:after="0" w:line="240" w:lineRule="auto"/>
              <w:jc w:val="center"/>
              <w:rPr>
                <w:rFonts w:ascii="Arial" w:eastAsia="Times New Roman" w:hAnsi="Arial" w:cs="Arial"/>
                <w:b/>
                <w:bCs/>
                <w:color w:val="000000"/>
                <w:sz w:val="20"/>
                <w:szCs w:val="20"/>
                <w:lang w:eastAsia="cs-CZ"/>
              </w:rPr>
            </w:pPr>
            <w:r w:rsidRPr="00921109">
              <w:rPr>
                <w:rFonts w:ascii="Arial" w:eastAsia="Times New Roman" w:hAnsi="Arial" w:cs="Arial"/>
                <w:b/>
                <w:bCs/>
                <w:color w:val="000000"/>
                <w:sz w:val="20"/>
                <w:szCs w:val="20"/>
                <w:lang w:eastAsia="cs-CZ"/>
              </w:rPr>
              <w:t>TA ČR</w:t>
            </w:r>
          </w:p>
        </w:tc>
        <w:tc>
          <w:tcPr>
            <w:tcW w:w="1047" w:type="dxa"/>
            <w:tcBorders>
              <w:top w:val="nil"/>
              <w:left w:val="nil"/>
              <w:bottom w:val="nil"/>
              <w:right w:val="nil"/>
            </w:tcBorders>
            <w:shd w:val="clear" w:color="auto" w:fill="auto"/>
            <w:vAlign w:val="center"/>
            <w:hideMark/>
          </w:tcPr>
          <w:p w:rsidR="0069162C" w:rsidRPr="00921109" w:rsidRDefault="0069162C" w:rsidP="0086009A">
            <w:pPr>
              <w:spacing w:after="0" w:line="240" w:lineRule="auto"/>
              <w:jc w:val="center"/>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Centra kompetence</w:t>
            </w:r>
          </w:p>
        </w:tc>
        <w:tc>
          <w:tcPr>
            <w:tcW w:w="940" w:type="dxa"/>
            <w:tcBorders>
              <w:top w:val="nil"/>
              <w:left w:val="nil"/>
              <w:bottom w:val="nil"/>
              <w:right w:val="single" w:sz="4" w:space="0" w:color="D9D9D9"/>
            </w:tcBorders>
            <w:shd w:val="clear" w:color="auto" w:fill="auto"/>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2,040</w:t>
            </w:r>
          </w:p>
        </w:tc>
        <w:tc>
          <w:tcPr>
            <w:tcW w:w="942" w:type="dxa"/>
            <w:tcBorders>
              <w:top w:val="nil"/>
              <w:left w:val="nil"/>
              <w:bottom w:val="nil"/>
              <w:right w:val="single" w:sz="4" w:space="0" w:color="D9D9D9"/>
            </w:tcBorders>
            <w:shd w:val="clear" w:color="auto" w:fill="auto"/>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1,217</w:t>
            </w:r>
          </w:p>
        </w:tc>
        <w:tc>
          <w:tcPr>
            <w:tcW w:w="916" w:type="dxa"/>
            <w:tcBorders>
              <w:top w:val="nil"/>
              <w:left w:val="nil"/>
              <w:bottom w:val="nil"/>
              <w:right w:val="single" w:sz="4" w:space="0" w:color="D9D9D9"/>
            </w:tcBorders>
            <w:shd w:val="clear" w:color="auto" w:fill="auto"/>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2,681</w:t>
            </w:r>
          </w:p>
        </w:tc>
        <w:tc>
          <w:tcPr>
            <w:tcW w:w="895" w:type="dxa"/>
            <w:tcBorders>
              <w:top w:val="nil"/>
              <w:left w:val="nil"/>
              <w:bottom w:val="nil"/>
              <w:right w:val="single" w:sz="4" w:space="0" w:color="D9D9D9"/>
            </w:tcBorders>
            <w:shd w:val="clear" w:color="auto" w:fill="auto"/>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0,003</w:t>
            </w:r>
          </w:p>
        </w:tc>
        <w:tc>
          <w:tcPr>
            <w:tcW w:w="902" w:type="dxa"/>
            <w:tcBorders>
              <w:top w:val="nil"/>
              <w:left w:val="nil"/>
              <w:bottom w:val="nil"/>
              <w:right w:val="single" w:sz="4" w:space="0" w:color="D9D9D9"/>
            </w:tcBorders>
            <w:shd w:val="clear" w:color="auto" w:fill="auto"/>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3,901</w:t>
            </w:r>
          </w:p>
        </w:tc>
        <w:tc>
          <w:tcPr>
            <w:tcW w:w="933" w:type="dxa"/>
            <w:tcBorders>
              <w:top w:val="nil"/>
              <w:left w:val="nil"/>
              <w:bottom w:val="nil"/>
              <w:right w:val="nil"/>
            </w:tcBorders>
            <w:shd w:val="clear" w:color="auto" w:fill="auto"/>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35,52%</w:t>
            </w:r>
          </w:p>
        </w:tc>
      </w:tr>
      <w:tr w:rsidR="0069162C" w:rsidRPr="00921109" w:rsidTr="0086009A">
        <w:trPr>
          <w:cantSplit/>
          <w:trHeight w:val="284"/>
          <w:jc w:val="center"/>
        </w:trPr>
        <w:tc>
          <w:tcPr>
            <w:tcW w:w="1105" w:type="dxa"/>
            <w:tcBorders>
              <w:top w:val="nil"/>
              <w:left w:val="nil"/>
              <w:bottom w:val="nil"/>
              <w:right w:val="nil"/>
            </w:tcBorders>
            <w:shd w:val="clear" w:color="000000" w:fill="C0C0C0"/>
            <w:vAlign w:val="center"/>
            <w:hideMark/>
          </w:tcPr>
          <w:p w:rsidR="0069162C" w:rsidRPr="00921109" w:rsidRDefault="0069162C" w:rsidP="0086009A">
            <w:pPr>
              <w:spacing w:after="0" w:line="240" w:lineRule="auto"/>
              <w:jc w:val="center"/>
              <w:rPr>
                <w:rFonts w:ascii="Arial" w:eastAsia="Times New Roman" w:hAnsi="Arial" w:cs="Arial"/>
                <w:b/>
                <w:bCs/>
                <w:color w:val="000000"/>
                <w:sz w:val="20"/>
                <w:szCs w:val="20"/>
                <w:lang w:eastAsia="cs-CZ"/>
              </w:rPr>
            </w:pPr>
            <w:r w:rsidRPr="00921109">
              <w:rPr>
                <w:rFonts w:ascii="Arial" w:eastAsia="Times New Roman" w:hAnsi="Arial" w:cs="Arial"/>
                <w:b/>
                <w:bCs/>
                <w:color w:val="000000"/>
                <w:sz w:val="20"/>
                <w:szCs w:val="20"/>
                <w:lang w:eastAsia="cs-CZ"/>
              </w:rPr>
              <w:t>TA ČR</w:t>
            </w:r>
          </w:p>
        </w:tc>
        <w:tc>
          <w:tcPr>
            <w:tcW w:w="1047" w:type="dxa"/>
            <w:tcBorders>
              <w:top w:val="nil"/>
              <w:left w:val="nil"/>
              <w:bottom w:val="nil"/>
              <w:right w:val="nil"/>
            </w:tcBorders>
            <w:shd w:val="clear" w:color="000000" w:fill="C0C0C0"/>
            <w:vAlign w:val="center"/>
            <w:hideMark/>
          </w:tcPr>
          <w:p w:rsidR="0069162C" w:rsidRPr="00921109" w:rsidRDefault="0069162C" w:rsidP="0086009A">
            <w:pPr>
              <w:spacing w:after="0" w:line="240" w:lineRule="auto"/>
              <w:jc w:val="center"/>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EPSILON</w:t>
            </w:r>
          </w:p>
        </w:tc>
        <w:tc>
          <w:tcPr>
            <w:tcW w:w="940" w:type="dxa"/>
            <w:tcBorders>
              <w:top w:val="nil"/>
              <w:left w:val="nil"/>
              <w:bottom w:val="nil"/>
              <w:right w:val="single" w:sz="4" w:space="0" w:color="D9D9D9"/>
            </w:tcBorders>
            <w:shd w:val="clear" w:color="000000" w:fill="C0C0C0"/>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4,190</w:t>
            </w:r>
          </w:p>
        </w:tc>
        <w:tc>
          <w:tcPr>
            <w:tcW w:w="942" w:type="dxa"/>
            <w:tcBorders>
              <w:top w:val="nil"/>
              <w:left w:val="nil"/>
              <w:bottom w:val="nil"/>
              <w:right w:val="single" w:sz="4" w:space="0" w:color="D9D9D9"/>
            </w:tcBorders>
            <w:shd w:val="clear" w:color="000000" w:fill="C0C0C0"/>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1,373</w:t>
            </w:r>
          </w:p>
        </w:tc>
        <w:tc>
          <w:tcPr>
            <w:tcW w:w="916" w:type="dxa"/>
            <w:tcBorders>
              <w:top w:val="nil"/>
              <w:left w:val="nil"/>
              <w:bottom w:val="nil"/>
              <w:right w:val="single" w:sz="4" w:space="0" w:color="D9D9D9"/>
            </w:tcBorders>
            <w:shd w:val="clear" w:color="000000" w:fill="C0C0C0"/>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2,122</w:t>
            </w:r>
          </w:p>
        </w:tc>
        <w:tc>
          <w:tcPr>
            <w:tcW w:w="895" w:type="dxa"/>
            <w:tcBorders>
              <w:top w:val="nil"/>
              <w:left w:val="nil"/>
              <w:bottom w:val="nil"/>
              <w:right w:val="single" w:sz="4" w:space="0" w:color="D9D9D9"/>
            </w:tcBorders>
            <w:shd w:val="clear" w:color="000000" w:fill="C0C0C0"/>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0,000</w:t>
            </w:r>
          </w:p>
        </w:tc>
        <w:tc>
          <w:tcPr>
            <w:tcW w:w="902" w:type="dxa"/>
            <w:tcBorders>
              <w:top w:val="nil"/>
              <w:left w:val="nil"/>
              <w:bottom w:val="nil"/>
              <w:right w:val="single" w:sz="4" w:space="0" w:color="D9D9D9"/>
            </w:tcBorders>
            <w:shd w:val="clear" w:color="000000" w:fill="C0C0C0"/>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3,494</w:t>
            </w:r>
          </w:p>
        </w:tc>
        <w:tc>
          <w:tcPr>
            <w:tcW w:w="933" w:type="dxa"/>
            <w:tcBorders>
              <w:top w:val="nil"/>
              <w:left w:val="nil"/>
              <w:bottom w:val="nil"/>
              <w:right w:val="nil"/>
            </w:tcBorders>
            <w:shd w:val="clear" w:color="000000" w:fill="C0C0C0"/>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31,79%</w:t>
            </w:r>
          </w:p>
        </w:tc>
      </w:tr>
      <w:tr w:rsidR="0069162C" w:rsidRPr="00921109" w:rsidTr="0086009A">
        <w:trPr>
          <w:cantSplit/>
          <w:trHeight w:val="284"/>
          <w:jc w:val="center"/>
        </w:trPr>
        <w:tc>
          <w:tcPr>
            <w:tcW w:w="1105" w:type="dxa"/>
            <w:tcBorders>
              <w:top w:val="nil"/>
              <w:left w:val="nil"/>
              <w:bottom w:val="nil"/>
              <w:right w:val="nil"/>
            </w:tcBorders>
            <w:shd w:val="clear" w:color="auto" w:fill="auto"/>
            <w:vAlign w:val="center"/>
            <w:hideMark/>
          </w:tcPr>
          <w:p w:rsidR="0069162C" w:rsidRPr="00921109" w:rsidRDefault="0069162C" w:rsidP="0086009A">
            <w:pPr>
              <w:spacing w:after="0" w:line="240" w:lineRule="auto"/>
              <w:jc w:val="center"/>
              <w:rPr>
                <w:rFonts w:ascii="Arial" w:eastAsia="Times New Roman" w:hAnsi="Arial" w:cs="Arial"/>
                <w:b/>
                <w:bCs/>
                <w:color w:val="000000"/>
                <w:sz w:val="20"/>
                <w:szCs w:val="20"/>
                <w:lang w:eastAsia="cs-CZ"/>
              </w:rPr>
            </w:pPr>
            <w:r w:rsidRPr="00921109">
              <w:rPr>
                <w:rFonts w:ascii="Arial" w:eastAsia="Times New Roman" w:hAnsi="Arial" w:cs="Arial"/>
                <w:b/>
                <w:bCs/>
                <w:color w:val="000000"/>
                <w:sz w:val="20"/>
                <w:szCs w:val="20"/>
                <w:lang w:eastAsia="cs-CZ"/>
              </w:rPr>
              <w:t>TA ČR</w:t>
            </w:r>
          </w:p>
        </w:tc>
        <w:tc>
          <w:tcPr>
            <w:tcW w:w="1047" w:type="dxa"/>
            <w:tcBorders>
              <w:top w:val="nil"/>
              <w:left w:val="nil"/>
              <w:bottom w:val="nil"/>
              <w:right w:val="nil"/>
            </w:tcBorders>
            <w:shd w:val="clear" w:color="auto" w:fill="auto"/>
            <w:vAlign w:val="center"/>
            <w:hideMark/>
          </w:tcPr>
          <w:p w:rsidR="0069162C" w:rsidRPr="00921109" w:rsidRDefault="0069162C" w:rsidP="0086009A">
            <w:pPr>
              <w:spacing w:after="0" w:line="240" w:lineRule="auto"/>
              <w:jc w:val="center"/>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GAMA</w:t>
            </w:r>
          </w:p>
        </w:tc>
        <w:tc>
          <w:tcPr>
            <w:tcW w:w="940" w:type="dxa"/>
            <w:tcBorders>
              <w:top w:val="nil"/>
              <w:left w:val="nil"/>
              <w:bottom w:val="nil"/>
              <w:right w:val="single" w:sz="4" w:space="0" w:color="D9D9D9"/>
            </w:tcBorders>
            <w:shd w:val="clear" w:color="auto" w:fill="auto"/>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0,850</w:t>
            </w:r>
          </w:p>
        </w:tc>
        <w:tc>
          <w:tcPr>
            <w:tcW w:w="942" w:type="dxa"/>
            <w:tcBorders>
              <w:top w:val="nil"/>
              <w:left w:val="nil"/>
              <w:bottom w:val="nil"/>
              <w:right w:val="single" w:sz="4" w:space="0" w:color="D9D9D9"/>
            </w:tcBorders>
            <w:shd w:val="clear" w:color="auto" w:fill="auto"/>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0,000</w:t>
            </w:r>
          </w:p>
        </w:tc>
        <w:tc>
          <w:tcPr>
            <w:tcW w:w="916" w:type="dxa"/>
            <w:tcBorders>
              <w:top w:val="nil"/>
              <w:left w:val="nil"/>
              <w:bottom w:val="nil"/>
              <w:right w:val="single" w:sz="4" w:space="0" w:color="D9D9D9"/>
            </w:tcBorders>
            <w:shd w:val="clear" w:color="auto" w:fill="auto"/>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0,397</w:t>
            </w:r>
          </w:p>
        </w:tc>
        <w:tc>
          <w:tcPr>
            <w:tcW w:w="895" w:type="dxa"/>
            <w:tcBorders>
              <w:top w:val="nil"/>
              <w:left w:val="nil"/>
              <w:bottom w:val="nil"/>
              <w:right w:val="single" w:sz="4" w:space="0" w:color="D9D9D9"/>
            </w:tcBorders>
            <w:shd w:val="clear" w:color="auto" w:fill="auto"/>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0,000</w:t>
            </w:r>
          </w:p>
        </w:tc>
        <w:tc>
          <w:tcPr>
            <w:tcW w:w="902" w:type="dxa"/>
            <w:tcBorders>
              <w:top w:val="nil"/>
              <w:left w:val="nil"/>
              <w:bottom w:val="nil"/>
              <w:right w:val="single" w:sz="4" w:space="0" w:color="D9D9D9"/>
            </w:tcBorders>
            <w:shd w:val="clear" w:color="auto" w:fill="auto"/>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0,397</w:t>
            </w:r>
          </w:p>
        </w:tc>
        <w:tc>
          <w:tcPr>
            <w:tcW w:w="933" w:type="dxa"/>
            <w:tcBorders>
              <w:top w:val="nil"/>
              <w:left w:val="nil"/>
              <w:bottom w:val="nil"/>
              <w:right w:val="nil"/>
            </w:tcBorders>
            <w:shd w:val="clear" w:color="auto" w:fill="auto"/>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3,64%</w:t>
            </w:r>
          </w:p>
        </w:tc>
      </w:tr>
      <w:tr w:rsidR="0069162C" w:rsidRPr="00921109" w:rsidTr="0086009A">
        <w:trPr>
          <w:cantSplit/>
          <w:trHeight w:val="284"/>
          <w:jc w:val="center"/>
        </w:trPr>
        <w:tc>
          <w:tcPr>
            <w:tcW w:w="1105" w:type="dxa"/>
            <w:tcBorders>
              <w:top w:val="nil"/>
              <w:left w:val="nil"/>
              <w:bottom w:val="nil"/>
              <w:right w:val="nil"/>
            </w:tcBorders>
            <w:shd w:val="clear" w:color="000000" w:fill="C0C0C0"/>
            <w:vAlign w:val="center"/>
            <w:hideMark/>
          </w:tcPr>
          <w:p w:rsidR="0069162C" w:rsidRPr="00921109" w:rsidRDefault="0069162C" w:rsidP="0086009A">
            <w:pPr>
              <w:spacing w:after="0" w:line="240" w:lineRule="auto"/>
              <w:jc w:val="center"/>
              <w:rPr>
                <w:rFonts w:ascii="Arial" w:eastAsia="Times New Roman" w:hAnsi="Arial" w:cs="Arial"/>
                <w:b/>
                <w:bCs/>
                <w:color w:val="000000"/>
                <w:sz w:val="20"/>
                <w:szCs w:val="20"/>
                <w:lang w:eastAsia="cs-CZ"/>
              </w:rPr>
            </w:pPr>
            <w:r w:rsidRPr="00921109">
              <w:rPr>
                <w:rFonts w:ascii="Arial" w:eastAsia="Times New Roman" w:hAnsi="Arial" w:cs="Arial"/>
                <w:b/>
                <w:bCs/>
                <w:color w:val="000000"/>
                <w:sz w:val="20"/>
                <w:szCs w:val="20"/>
                <w:lang w:eastAsia="cs-CZ"/>
              </w:rPr>
              <w:t>MPO</w:t>
            </w:r>
          </w:p>
        </w:tc>
        <w:tc>
          <w:tcPr>
            <w:tcW w:w="1047" w:type="dxa"/>
            <w:tcBorders>
              <w:top w:val="nil"/>
              <w:left w:val="nil"/>
              <w:bottom w:val="nil"/>
              <w:right w:val="nil"/>
            </w:tcBorders>
            <w:shd w:val="clear" w:color="000000" w:fill="C0C0C0"/>
            <w:vAlign w:val="center"/>
            <w:hideMark/>
          </w:tcPr>
          <w:p w:rsidR="0069162C" w:rsidRPr="00921109" w:rsidRDefault="0069162C" w:rsidP="0086009A">
            <w:pPr>
              <w:spacing w:after="0" w:line="240" w:lineRule="auto"/>
              <w:jc w:val="center"/>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TRIO</w:t>
            </w:r>
          </w:p>
        </w:tc>
        <w:tc>
          <w:tcPr>
            <w:tcW w:w="940" w:type="dxa"/>
            <w:tcBorders>
              <w:top w:val="nil"/>
              <w:left w:val="nil"/>
              <w:bottom w:val="nil"/>
              <w:right w:val="single" w:sz="4" w:space="0" w:color="D9D9D9"/>
            </w:tcBorders>
            <w:shd w:val="clear" w:color="000000" w:fill="C0C0C0"/>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2,770</w:t>
            </w:r>
          </w:p>
        </w:tc>
        <w:tc>
          <w:tcPr>
            <w:tcW w:w="942" w:type="dxa"/>
            <w:tcBorders>
              <w:top w:val="nil"/>
              <w:left w:val="nil"/>
              <w:bottom w:val="nil"/>
              <w:right w:val="single" w:sz="4" w:space="0" w:color="D9D9D9"/>
            </w:tcBorders>
            <w:shd w:val="clear" w:color="000000" w:fill="C0C0C0"/>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0,916</w:t>
            </w:r>
          </w:p>
        </w:tc>
        <w:tc>
          <w:tcPr>
            <w:tcW w:w="916" w:type="dxa"/>
            <w:tcBorders>
              <w:top w:val="nil"/>
              <w:left w:val="nil"/>
              <w:bottom w:val="nil"/>
              <w:right w:val="single" w:sz="4" w:space="0" w:color="D9D9D9"/>
            </w:tcBorders>
            <w:shd w:val="clear" w:color="000000" w:fill="C0C0C0"/>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2,267</w:t>
            </w:r>
          </w:p>
        </w:tc>
        <w:tc>
          <w:tcPr>
            <w:tcW w:w="895" w:type="dxa"/>
            <w:tcBorders>
              <w:top w:val="nil"/>
              <w:left w:val="nil"/>
              <w:bottom w:val="nil"/>
              <w:right w:val="single" w:sz="4" w:space="0" w:color="D9D9D9"/>
            </w:tcBorders>
            <w:shd w:val="clear" w:color="000000" w:fill="C0C0C0"/>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0,003</w:t>
            </w:r>
          </w:p>
        </w:tc>
        <w:tc>
          <w:tcPr>
            <w:tcW w:w="902" w:type="dxa"/>
            <w:tcBorders>
              <w:top w:val="nil"/>
              <w:left w:val="nil"/>
              <w:bottom w:val="nil"/>
              <w:right w:val="single" w:sz="4" w:space="0" w:color="D9D9D9"/>
            </w:tcBorders>
            <w:shd w:val="clear" w:color="000000" w:fill="C0C0C0"/>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3,186</w:t>
            </w:r>
          </w:p>
        </w:tc>
        <w:tc>
          <w:tcPr>
            <w:tcW w:w="933" w:type="dxa"/>
            <w:tcBorders>
              <w:top w:val="nil"/>
              <w:left w:val="nil"/>
              <w:bottom w:val="nil"/>
              <w:right w:val="nil"/>
            </w:tcBorders>
            <w:shd w:val="clear" w:color="000000" w:fill="C0C0C0"/>
            <w:vAlign w:val="center"/>
            <w:hideMark/>
          </w:tcPr>
          <w:p w:rsidR="0069162C" w:rsidRPr="00921109" w:rsidRDefault="0069162C" w:rsidP="0086009A">
            <w:pPr>
              <w:spacing w:after="0" w:line="240" w:lineRule="auto"/>
              <w:jc w:val="right"/>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29,05%</w:t>
            </w:r>
          </w:p>
        </w:tc>
      </w:tr>
      <w:tr w:rsidR="0069162C" w:rsidRPr="00921109" w:rsidTr="0086009A">
        <w:trPr>
          <w:cantSplit/>
          <w:trHeight w:val="284"/>
          <w:jc w:val="center"/>
        </w:trPr>
        <w:tc>
          <w:tcPr>
            <w:tcW w:w="1105" w:type="dxa"/>
            <w:tcBorders>
              <w:top w:val="nil"/>
              <w:left w:val="nil"/>
              <w:bottom w:val="single" w:sz="8" w:space="0" w:color="auto"/>
              <w:right w:val="nil"/>
            </w:tcBorders>
            <w:shd w:val="clear" w:color="auto" w:fill="auto"/>
            <w:vAlign w:val="center"/>
            <w:hideMark/>
          </w:tcPr>
          <w:p w:rsidR="0069162C" w:rsidRPr="00921109" w:rsidRDefault="0069162C" w:rsidP="0086009A">
            <w:pPr>
              <w:spacing w:after="0" w:line="240" w:lineRule="auto"/>
              <w:jc w:val="center"/>
              <w:rPr>
                <w:rFonts w:ascii="Arial" w:eastAsia="Times New Roman" w:hAnsi="Arial" w:cs="Arial"/>
                <w:b/>
                <w:bCs/>
                <w:color w:val="000000"/>
                <w:sz w:val="20"/>
                <w:szCs w:val="20"/>
                <w:lang w:eastAsia="cs-CZ"/>
              </w:rPr>
            </w:pPr>
            <w:r w:rsidRPr="00921109">
              <w:rPr>
                <w:rFonts w:ascii="Arial" w:eastAsia="Times New Roman" w:hAnsi="Arial" w:cs="Arial"/>
                <w:b/>
                <w:bCs/>
                <w:color w:val="000000"/>
                <w:sz w:val="20"/>
                <w:szCs w:val="20"/>
                <w:lang w:eastAsia="cs-CZ"/>
              </w:rPr>
              <w:t>Celkem</w:t>
            </w:r>
          </w:p>
        </w:tc>
        <w:tc>
          <w:tcPr>
            <w:tcW w:w="1047" w:type="dxa"/>
            <w:tcBorders>
              <w:top w:val="nil"/>
              <w:left w:val="nil"/>
              <w:bottom w:val="single" w:sz="8" w:space="0" w:color="auto"/>
              <w:right w:val="nil"/>
            </w:tcBorders>
            <w:shd w:val="clear" w:color="auto" w:fill="auto"/>
            <w:vAlign w:val="center"/>
            <w:hideMark/>
          </w:tcPr>
          <w:p w:rsidR="0069162C" w:rsidRPr="00921109" w:rsidRDefault="0069162C" w:rsidP="0086009A">
            <w:pPr>
              <w:spacing w:after="0" w:line="240" w:lineRule="auto"/>
              <w:jc w:val="center"/>
              <w:rPr>
                <w:rFonts w:ascii="Arial" w:eastAsia="Times New Roman" w:hAnsi="Arial" w:cs="Arial"/>
                <w:color w:val="000000"/>
                <w:sz w:val="20"/>
                <w:szCs w:val="20"/>
                <w:lang w:eastAsia="cs-CZ"/>
              </w:rPr>
            </w:pPr>
            <w:r w:rsidRPr="00921109">
              <w:rPr>
                <w:rFonts w:ascii="Arial" w:eastAsia="Times New Roman" w:hAnsi="Arial" w:cs="Arial"/>
                <w:color w:val="000000"/>
                <w:sz w:val="20"/>
                <w:szCs w:val="20"/>
                <w:lang w:eastAsia="cs-CZ"/>
              </w:rPr>
              <w:t> </w:t>
            </w:r>
          </w:p>
        </w:tc>
        <w:tc>
          <w:tcPr>
            <w:tcW w:w="940" w:type="dxa"/>
            <w:tcBorders>
              <w:top w:val="nil"/>
              <w:left w:val="nil"/>
              <w:bottom w:val="single" w:sz="8" w:space="0" w:color="auto"/>
              <w:right w:val="single" w:sz="4" w:space="0" w:color="D9D9D9"/>
            </w:tcBorders>
            <w:shd w:val="clear" w:color="auto" w:fill="auto"/>
            <w:vAlign w:val="center"/>
            <w:hideMark/>
          </w:tcPr>
          <w:p w:rsidR="0069162C" w:rsidRPr="00E02FFA" w:rsidRDefault="0069162C" w:rsidP="0086009A">
            <w:pPr>
              <w:spacing w:after="0" w:line="240" w:lineRule="auto"/>
              <w:jc w:val="right"/>
              <w:rPr>
                <w:rFonts w:ascii="Arial" w:eastAsia="Times New Roman" w:hAnsi="Arial" w:cs="Arial"/>
                <w:b/>
                <w:color w:val="000000"/>
                <w:sz w:val="20"/>
                <w:szCs w:val="20"/>
                <w:lang w:eastAsia="cs-CZ"/>
              </w:rPr>
            </w:pPr>
            <w:r w:rsidRPr="00E02FFA">
              <w:rPr>
                <w:rFonts w:ascii="Arial" w:eastAsia="Times New Roman" w:hAnsi="Arial" w:cs="Arial"/>
                <w:b/>
                <w:color w:val="000000"/>
                <w:sz w:val="20"/>
                <w:szCs w:val="20"/>
                <w:lang w:eastAsia="cs-CZ"/>
              </w:rPr>
              <w:t>9,850</w:t>
            </w:r>
          </w:p>
        </w:tc>
        <w:tc>
          <w:tcPr>
            <w:tcW w:w="942" w:type="dxa"/>
            <w:tcBorders>
              <w:top w:val="nil"/>
              <w:left w:val="nil"/>
              <w:bottom w:val="single" w:sz="8" w:space="0" w:color="auto"/>
              <w:right w:val="single" w:sz="4" w:space="0" w:color="D9D9D9"/>
            </w:tcBorders>
            <w:shd w:val="clear" w:color="auto" w:fill="auto"/>
            <w:vAlign w:val="center"/>
            <w:hideMark/>
          </w:tcPr>
          <w:p w:rsidR="0069162C" w:rsidRPr="00E02FFA" w:rsidRDefault="0069162C" w:rsidP="0086009A">
            <w:pPr>
              <w:spacing w:after="0" w:line="240" w:lineRule="auto"/>
              <w:jc w:val="right"/>
              <w:rPr>
                <w:rFonts w:ascii="Arial" w:eastAsia="Times New Roman" w:hAnsi="Arial" w:cs="Arial"/>
                <w:b/>
                <w:color w:val="000000"/>
                <w:sz w:val="20"/>
                <w:szCs w:val="20"/>
                <w:lang w:eastAsia="cs-CZ"/>
              </w:rPr>
            </w:pPr>
            <w:r w:rsidRPr="00E02FFA">
              <w:rPr>
                <w:rFonts w:ascii="Arial" w:eastAsia="Times New Roman" w:hAnsi="Arial" w:cs="Arial"/>
                <w:b/>
                <w:color w:val="000000"/>
                <w:sz w:val="20"/>
                <w:szCs w:val="20"/>
                <w:lang w:eastAsia="cs-CZ"/>
              </w:rPr>
              <w:t>3,506</w:t>
            </w:r>
          </w:p>
        </w:tc>
        <w:tc>
          <w:tcPr>
            <w:tcW w:w="916" w:type="dxa"/>
            <w:tcBorders>
              <w:top w:val="nil"/>
              <w:left w:val="nil"/>
              <w:bottom w:val="single" w:sz="8" w:space="0" w:color="auto"/>
              <w:right w:val="single" w:sz="4" w:space="0" w:color="D9D9D9"/>
            </w:tcBorders>
            <w:shd w:val="clear" w:color="auto" w:fill="auto"/>
            <w:vAlign w:val="center"/>
            <w:hideMark/>
          </w:tcPr>
          <w:p w:rsidR="0069162C" w:rsidRPr="00E02FFA" w:rsidRDefault="0069162C" w:rsidP="0086009A">
            <w:pPr>
              <w:spacing w:after="0" w:line="240" w:lineRule="auto"/>
              <w:jc w:val="right"/>
              <w:rPr>
                <w:rFonts w:ascii="Arial" w:eastAsia="Times New Roman" w:hAnsi="Arial" w:cs="Arial"/>
                <w:b/>
                <w:color w:val="000000"/>
                <w:sz w:val="20"/>
                <w:szCs w:val="20"/>
                <w:lang w:eastAsia="cs-CZ"/>
              </w:rPr>
            </w:pPr>
            <w:r w:rsidRPr="00E02FFA">
              <w:rPr>
                <w:rFonts w:ascii="Arial" w:eastAsia="Times New Roman" w:hAnsi="Arial" w:cs="Arial"/>
                <w:b/>
                <w:color w:val="000000"/>
                <w:sz w:val="20"/>
                <w:szCs w:val="20"/>
                <w:lang w:eastAsia="cs-CZ"/>
              </w:rPr>
              <w:t>7,467</w:t>
            </w:r>
          </w:p>
        </w:tc>
        <w:tc>
          <w:tcPr>
            <w:tcW w:w="895" w:type="dxa"/>
            <w:tcBorders>
              <w:top w:val="nil"/>
              <w:left w:val="nil"/>
              <w:bottom w:val="single" w:sz="8" w:space="0" w:color="auto"/>
              <w:right w:val="single" w:sz="4" w:space="0" w:color="D9D9D9"/>
            </w:tcBorders>
            <w:shd w:val="clear" w:color="auto" w:fill="auto"/>
            <w:vAlign w:val="center"/>
            <w:hideMark/>
          </w:tcPr>
          <w:p w:rsidR="0069162C" w:rsidRPr="00E02FFA" w:rsidRDefault="0069162C" w:rsidP="0086009A">
            <w:pPr>
              <w:spacing w:after="0" w:line="240" w:lineRule="auto"/>
              <w:jc w:val="right"/>
              <w:rPr>
                <w:rFonts w:ascii="Arial" w:eastAsia="Times New Roman" w:hAnsi="Arial" w:cs="Arial"/>
                <w:b/>
                <w:color w:val="000000"/>
                <w:sz w:val="20"/>
                <w:szCs w:val="20"/>
                <w:lang w:eastAsia="cs-CZ"/>
              </w:rPr>
            </w:pPr>
            <w:r w:rsidRPr="00E02FFA">
              <w:rPr>
                <w:rFonts w:ascii="Arial" w:eastAsia="Times New Roman" w:hAnsi="Arial" w:cs="Arial"/>
                <w:b/>
                <w:color w:val="000000"/>
                <w:sz w:val="20"/>
                <w:szCs w:val="20"/>
                <w:lang w:eastAsia="cs-CZ"/>
              </w:rPr>
              <w:t>0,006</w:t>
            </w:r>
          </w:p>
        </w:tc>
        <w:tc>
          <w:tcPr>
            <w:tcW w:w="902" w:type="dxa"/>
            <w:tcBorders>
              <w:top w:val="nil"/>
              <w:left w:val="nil"/>
              <w:bottom w:val="single" w:sz="8" w:space="0" w:color="auto"/>
              <w:right w:val="single" w:sz="4" w:space="0" w:color="D9D9D9"/>
            </w:tcBorders>
            <w:shd w:val="clear" w:color="auto" w:fill="auto"/>
            <w:vAlign w:val="center"/>
            <w:hideMark/>
          </w:tcPr>
          <w:p w:rsidR="0069162C" w:rsidRPr="00E02FFA" w:rsidRDefault="0069162C" w:rsidP="0086009A">
            <w:pPr>
              <w:spacing w:after="0" w:line="240" w:lineRule="auto"/>
              <w:jc w:val="right"/>
              <w:rPr>
                <w:rFonts w:ascii="Arial" w:eastAsia="Times New Roman" w:hAnsi="Arial" w:cs="Arial"/>
                <w:b/>
                <w:color w:val="000000"/>
                <w:sz w:val="20"/>
                <w:szCs w:val="20"/>
                <w:lang w:eastAsia="cs-CZ"/>
              </w:rPr>
            </w:pPr>
            <w:r w:rsidRPr="00E02FFA">
              <w:rPr>
                <w:rFonts w:ascii="Arial" w:eastAsia="Times New Roman" w:hAnsi="Arial" w:cs="Arial"/>
                <w:b/>
                <w:color w:val="000000"/>
                <w:sz w:val="20"/>
                <w:szCs w:val="20"/>
                <w:lang w:eastAsia="cs-CZ"/>
              </w:rPr>
              <w:t>10,979</w:t>
            </w:r>
          </w:p>
        </w:tc>
        <w:tc>
          <w:tcPr>
            <w:tcW w:w="933" w:type="dxa"/>
            <w:tcBorders>
              <w:top w:val="nil"/>
              <w:left w:val="nil"/>
              <w:bottom w:val="single" w:sz="8" w:space="0" w:color="auto"/>
              <w:right w:val="nil"/>
            </w:tcBorders>
            <w:shd w:val="clear" w:color="auto" w:fill="auto"/>
            <w:vAlign w:val="center"/>
            <w:hideMark/>
          </w:tcPr>
          <w:p w:rsidR="0069162C" w:rsidRPr="00E02FFA" w:rsidRDefault="0069162C" w:rsidP="0086009A">
            <w:pPr>
              <w:spacing w:after="0" w:line="240" w:lineRule="auto"/>
              <w:jc w:val="right"/>
              <w:rPr>
                <w:rFonts w:ascii="Arial" w:eastAsia="Times New Roman" w:hAnsi="Arial" w:cs="Arial"/>
                <w:b/>
                <w:color w:val="000000"/>
                <w:sz w:val="20"/>
                <w:szCs w:val="20"/>
                <w:lang w:eastAsia="cs-CZ"/>
              </w:rPr>
            </w:pPr>
            <w:r w:rsidRPr="00E02FFA">
              <w:rPr>
                <w:rFonts w:ascii="Arial" w:eastAsia="Times New Roman" w:hAnsi="Arial" w:cs="Arial"/>
                <w:b/>
                <w:color w:val="000000"/>
                <w:sz w:val="20"/>
                <w:szCs w:val="20"/>
                <w:lang w:eastAsia="cs-CZ"/>
              </w:rPr>
              <w:t>100,00%</w:t>
            </w:r>
          </w:p>
        </w:tc>
      </w:tr>
    </w:tbl>
    <w:p w:rsidR="0069162C" w:rsidRDefault="0069162C" w:rsidP="0069162C">
      <w:pPr>
        <w:pStyle w:val="Zdrojapoznmka"/>
      </w:pPr>
      <w:r w:rsidRPr="009263ED">
        <w:t xml:space="preserve">Zdroj: data IS VaVaI; vlastní zpracování MPO </w:t>
      </w:r>
    </w:p>
    <w:p w:rsidR="0069162C" w:rsidRPr="009263ED" w:rsidRDefault="0069162C" w:rsidP="0069162C">
      <w:pPr>
        <w:pStyle w:val="Zdrojapoznmka"/>
      </w:pPr>
    </w:p>
    <w:p w:rsidR="0069162C" w:rsidRDefault="0069162C" w:rsidP="0069162C">
      <w:pPr>
        <w:spacing w:line="360" w:lineRule="auto"/>
        <w:ind w:firstLine="357"/>
        <w:jc w:val="both"/>
        <w:rPr>
          <w:rFonts w:ascii="Arial" w:hAnsi="Arial" w:cs="Arial"/>
          <w:lang w:eastAsia="cs-CZ"/>
        </w:rPr>
      </w:pPr>
      <w:r w:rsidRPr="00921109">
        <w:rPr>
          <w:rFonts w:ascii="Arial" w:hAnsi="Arial" w:cs="Arial"/>
          <w:lang w:eastAsia="cs-CZ"/>
        </w:rPr>
        <w:t xml:space="preserve">Naplňování specifických cílů </w:t>
      </w:r>
      <w:r w:rsidRPr="006A54E8">
        <w:rPr>
          <w:rFonts w:ascii="Arial" w:hAnsi="Arial" w:cs="Arial"/>
          <w:i/>
          <w:lang w:eastAsia="cs-CZ"/>
        </w:rPr>
        <w:t>Národní RIS3 strategie</w:t>
      </w:r>
      <w:r w:rsidRPr="00921109">
        <w:rPr>
          <w:rFonts w:ascii="Arial" w:hAnsi="Arial" w:cs="Arial"/>
          <w:lang w:eastAsia="cs-CZ"/>
        </w:rPr>
        <w:t xml:space="preserve"> za výše uvedená sledovaná období je zde ilustrováno na operačních programech a národních programech podpory, které Oddělení strategie S3 MPO monitoruje prostřednictvím harmonizované sady primárních dat. U operačních programů se jedná o 3</w:t>
      </w:r>
      <w:r>
        <w:rPr>
          <w:rFonts w:ascii="Arial" w:hAnsi="Arial" w:cs="Arial"/>
          <w:lang w:eastAsia="cs-CZ"/>
        </w:rPr>
        <w:t xml:space="preserve"> </w:t>
      </w:r>
      <w:r w:rsidRPr="00921109">
        <w:rPr>
          <w:rFonts w:ascii="Arial" w:hAnsi="Arial" w:cs="Arial"/>
          <w:lang w:eastAsia="cs-CZ"/>
        </w:rPr>
        <w:t>048 projektů v programu OP PIK, 6</w:t>
      </w:r>
      <w:r>
        <w:rPr>
          <w:rFonts w:ascii="Arial" w:hAnsi="Arial" w:cs="Arial"/>
          <w:lang w:eastAsia="cs-CZ"/>
        </w:rPr>
        <w:t xml:space="preserve"> </w:t>
      </w:r>
      <w:r w:rsidRPr="00921109">
        <w:rPr>
          <w:rFonts w:ascii="Arial" w:hAnsi="Arial" w:cs="Arial"/>
          <w:lang w:eastAsia="cs-CZ"/>
        </w:rPr>
        <w:t>870 projektů programu OP VVV, 43 projektů OP PPR, 375 projektů IROP a 37 projektů OP Z. Celkem se tedy jedná o 10 373 projektů s vydaným právním aktem o poskytnutí podpory a stavem následným. Projektů schválených a realizovaných v národních programech podpory a</w:t>
      </w:r>
      <w:r w:rsidR="00DA0191">
        <w:rPr>
          <w:rFonts w:ascii="Arial" w:hAnsi="Arial" w:cs="Arial"/>
          <w:lang w:eastAsia="cs-CZ"/>
        </w:rPr>
        <w:t> </w:t>
      </w:r>
      <w:r w:rsidRPr="00921109">
        <w:rPr>
          <w:rFonts w:ascii="Arial" w:hAnsi="Arial" w:cs="Arial"/>
          <w:lang w:eastAsia="cs-CZ"/>
        </w:rPr>
        <w:t>monitorovaných v rámci Národní RIS3 strategie je celkem 687, z toho v programu Centra kompetence je to 34 projektů, v programu Epsilon 350 projektů, v programu GAMA 30 projektů a v programu TRIO 273 projektů.</w:t>
      </w:r>
    </w:p>
    <w:p w:rsidR="0069162C" w:rsidRPr="00880596" w:rsidRDefault="0069162C" w:rsidP="0069162C">
      <w:pPr>
        <w:keepNext/>
        <w:spacing w:before="120" w:after="240" w:line="240" w:lineRule="auto"/>
        <w:jc w:val="both"/>
        <w:rPr>
          <w:rFonts w:ascii="Arial" w:eastAsia="Times New Roman" w:hAnsi="Arial" w:cs="Times New Roman"/>
          <w:b/>
          <w:szCs w:val="24"/>
          <w:lang w:eastAsia="cs-CZ"/>
        </w:rPr>
      </w:pPr>
      <w:r>
        <w:rPr>
          <w:rFonts w:ascii="Arial" w:eastAsia="Times New Roman" w:hAnsi="Arial" w:cs="Times New Roman"/>
          <w:b/>
          <w:szCs w:val="24"/>
          <w:lang w:eastAsia="cs-CZ"/>
        </w:rPr>
        <w:lastRenderedPageBreak/>
        <w:t xml:space="preserve">Obrázek 4.1: </w:t>
      </w:r>
      <w:r w:rsidRPr="00880596">
        <w:rPr>
          <w:rFonts w:ascii="Arial" w:eastAsia="Times New Roman" w:hAnsi="Arial" w:cs="Times New Roman"/>
          <w:b/>
          <w:szCs w:val="24"/>
          <w:lang w:eastAsia="cs-CZ"/>
        </w:rPr>
        <w:t>Plnění klíčových oblastí změn (cílů) Národní RIS3 strategie v operačních programech (ESIF)</w:t>
      </w:r>
    </w:p>
    <w:p w:rsidR="0069162C" w:rsidRDefault="0069162C" w:rsidP="0069162C">
      <w:pPr>
        <w:spacing w:line="360" w:lineRule="auto"/>
        <w:jc w:val="center"/>
        <w:rPr>
          <w:rFonts w:ascii="Arial" w:hAnsi="Arial" w:cs="Arial"/>
          <w:highlight w:val="yellow"/>
          <w:lang w:eastAsia="cs-CZ"/>
        </w:rPr>
      </w:pPr>
      <w:r>
        <w:rPr>
          <w:rFonts w:ascii="Arial" w:hAnsi="Arial" w:cs="Arial"/>
          <w:noProof/>
          <w:lang w:eastAsia="cs-CZ"/>
        </w:rPr>
        <w:drawing>
          <wp:inline distT="0" distB="0" distL="0" distR="0" wp14:anchorId="356E219D" wp14:editId="5D0C5FAC">
            <wp:extent cx="5164015" cy="2737791"/>
            <wp:effectExtent l="0" t="0" r="0" b="5715"/>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165051" cy="2738340"/>
                    </a:xfrm>
                    <a:prstGeom prst="rect">
                      <a:avLst/>
                    </a:prstGeom>
                    <a:noFill/>
                  </pic:spPr>
                </pic:pic>
              </a:graphicData>
            </a:graphic>
          </wp:inline>
        </w:drawing>
      </w:r>
    </w:p>
    <w:p w:rsidR="0069162C" w:rsidRDefault="0069162C" w:rsidP="0069162C">
      <w:pPr>
        <w:pStyle w:val="Zdrojapoznmka"/>
      </w:pPr>
      <w:r w:rsidRPr="00880596">
        <w:t>Zdroj: data ŘO OP; vlastní zpracování MPO</w:t>
      </w:r>
    </w:p>
    <w:p w:rsidR="0069162C" w:rsidRPr="00880596" w:rsidRDefault="0069162C" w:rsidP="0069162C">
      <w:pPr>
        <w:pStyle w:val="Zdrojapoznmka"/>
      </w:pPr>
    </w:p>
    <w:p w:rsidR="0069162C" w:rsidRDefault="0069162C" w:rsidP="0069162C">
      <w:pPr>
        <w:spacing w:line="360" w:lineRule="auto"/>
        <w:ind w:firstLine="357"/>
        <w:jc w:val="both"/>
        <w:rPr>
          <w:rFonts w:ascii="Arial" w:hAnsi="Arial" w:cs="Arial"/>
          <w:lang w:eastAsia="cs-CZ"/>
        </w:rPr>
      </w:pPr>
      <w:r w:rsidRPr="001F3708">
        <w:rPr>
          <w:rFonts w:ascii="Arial" w:hAnsi="Arial" w:cs="Arial"/>
          <w:lang w:eastAsia="cs-CZ"/>
        </w:rPr>
        <w:t xml:space="preserve">Nejvíce podpořeným cílem (klíčovou oblastí) </w:t>
      </w:r>
      <w:r w:rsidRPr="006A54E8">
        <w:rPr>
          <w:rFonts w:ascii="Arial" w:hAnsi="Arial" w:cs="Arial"/>
          <w:i/>
          <w:lang w:eastAsia="cs-CZ"/>
        </w:rPr>
        <w:t>Národní RIS3 strategie</w:t>
      </w:r>
      <w:r w:rsidRPr="001F3708">
        <w:rPr>
          <w:rFonts w:ascii="Arial" w:hAnsi="Arial" w:cs="Arial"/>
          <w:lang w:eastAsia="cs-CZ"/>
        </w:rPr>
        <w:t xml:space="preserve"> v operačních programech (</w:t>
      </w:r>
      <w:r>
        <w:rPr>
          <w:rFonts w:ascii="Arial" w:hAnsi="Arial" w:cs="Arial"/>
          <w:lang w:eastAsia="cs-CZ"/>
        </w:rPr>
        <w:t>Obrázek</w:t>
      </w:r>
      <w:r w:rsidRPr="001F3708">
        <w:rPr>
          <w:rFonts w:ascii="Arial" w:hAnsi="Arial" w:cs="Arial"/>
          <w:lang w:eastAsia="cs-CZ"/>
        </w:rPr>
        <w:t xml:space="preserve"> </w:t>
      </w:r>
      <w:r>
        <w:rPr>
          <w:rFonts w:ascii="Arial" w:hAnsi="Arial" w:cs="Arial"/>
          <w:lang w:eastAsia="cs-CZ"/>
        </w:rPr>
        <w:t>4.</w:t>
      </w:r>
      <w:r w:rsidRPr="001F3708">
        <w:rPr>
          <w:rFonts w:ascii="Arial" w:hAnsi="Arial" w:cs="Arial"/>
          <w:lang w:eastAsia="cs-CZ"/>
        </w:rPr>
        <w:t>1) je inovační výkonnost firem s částkou 35,79 mld. Kč, jedná se však zatím pouze o 36 % z celkové podpory této oblasti p</w:t>
      </w:r>
      <w:r>
        <w:rPr>
          <w:rFonts w:ascii="Arial" w:hAnsi="Arial" w:cs="Arial"/>
          <w:lang w:eastAsia="cs-CZ"/>
        </w:rPr>
        <w:t xml:space="preserve">lánované pro programové období </w:t>
      </w:r>
      <w:r w:rsidRPr="001F3708">
        <w:rPr>
          <w:rFonts w:ascii="Arial" w:hAnsi="Arial" w:cs="Arial"/>
          <w:lang w:eastAsia="cs-CZ"/>
        </w:rPr>
        <w:t xml:space="preserve">2014–2020 v programu OP PIK (Tabulka </w:t>
      </w:r>
      <w:r>
        <w:rPr>
          <w:rFonts w:ascii="Arial" w:hAnsi="Arial" w:cs="Arial"/>
          <w:lang w:eastAsia="cs-CZ"/>
        </w:rPr>
        <w:t>4.</w:t>
      </w:r>
      <w:r w:rsidRPr="001F3708">
        <w:rPr>
          <w:rFonts w:ascii="Arial" w:hAnsi="Arial" w:cs="Arial"/>
          <w:lang w:eastAsia="cs-CZ"/>
        </w:rPr>
        <w:t>1). U ostatních cílů jsou plánované výdaje mnohem nižší. Větší míru plnění vykazuje oblast zaměřená na kvalitu VaVaI (dlouhodobý rozvoj kvalitních výzkumných pracovišť, mezinárodní otevřenost veřejného výzkumu apod.), která je z rozpočtu programu OP VVV podpořena částkou 24,10 mld. Kč, což představuje 76</w:t>
      </w:r>
      <w:r>
        <w:rPr>
          <w:rFonts w:ascii="Arial" w:hAnsi="Arial" w:cs="Arial"/>
          <w:lang w:eastAsia="cs-CZ"/>
        </w:rPr>
        <w:t> </w:t>
      </w:r>
      <w:r w:rsidRPr="001F3708">
        <w:rPr>
          <w:rFonts w:ascii="Arial" w:hAnsi="Arial" w:cs="Arial"/>
          <w:lang w:eastAsia="cs-CZ"/>
        </w:rPr>
        <w:t>% z plánované podpory. Na klíčovou oblast Ekonomické přínosy VaVaI (spolupráce výzkumných organizací a firem a komerční využití výsledků výzkumu a vývoje) je v</w:t>
      </w:r>
      <w:r>
        <w:rPr>
          <w:rFonts w:ascii="Arial" w:hAnsi="Arial" w:cs="Arial"/>
          <w:lang w:eastAsia="cs-CZ"/>
        </w:rPr>
        <w:t> </w:t>
      </w:r>
      <w:r w:rsidRPr="001F3708">
        <w:rPr>
          <w:rFonts w:ascii="Arial" w:hAnsi="Arial" w:cs="Arial"/>
          <w:lang w:eastAsia="cs-CZ"/>
        </w:rPr>
        <w:t>operačních programech OP VVV a OP PPR plánováno celkem 8,05 mld. Kč, přičemž již v</w:t>
      </w:r>
      <w:r>
        <w:rPr>
          <w:rFonts w:ascii="Arial" w:hAnsi="Arial" w:cs="Arial"/>
          <w:lang w:eastAsia="cs-CZ"/>
        </w:rPr>
        <w:t> </w:t>
      </w:r>
      <w:r w:rsidRPr="001F3708">
        <w:rPr>
          <w:rFonts w:ascii="Arial" w:hAnsi="Arial" w:cs="Arial"/>
          <w:lang w:eastAsia="cs-CZ"/>
        </w:rPr>
        <w:t xml:space="preserve">daném sledovaném období 2015 až květen 2018 byly schváleny projekty s celkovými výdaji ve výši 9,14 mld. Kč, tzn. plánovaná podpora tohoto cíle Národní RIS3 strategie byla již naplněna. Co se týká naplnění cíle zaměřeného na podporu lidských zdrojů pro VaVaI (podpora absolventů škol, získání vysoce kvalifikovaných lidí ze zahraničí, řízení lidských zdrojů ve výzkumných organizacích a VŠ), bylo na tento cíl v programu OP VVV prozatím vyčleněno 6,64 mld. Kč, což představuje 32 % plánovaných prostředků v Národní RIS3 strategii. Klíčová oblast rozvoj </w:t>
      </w:r>
      <w:proofErr w:type="spellStart"/>
      <w:r w:rsidRPr="001F3708">
        <w:rPr>
          <w:rFonts w:ascii="Arial" w:hAnsi="Arial" w:cs="Arial"/>
          <w:lang w:eastAsia="cs-CZ"/>
        </w:rPr>
        <w:t>eGovernmentu</w:t>
      </w:r>
      <w:proofErr w:type="spellEnd"/>
      <w:r w:rsidRPr="001F3708">
        <w:rPr>
          <w:rFonts w:ascii="Arial" w:hAnsi="Arial" w:cs="Arial"/>
          <w:lang w:eastAsia="cs-CZ"/>
        </w:rPr>
        <w:t xml:space="preserve"> a </w:t>
      </w:r>
      <w:proofErr w:type="spellStart"/>
      <w:r w:rsidRPr="001F3708">
        <w:rPr>
          <w:rFonts w:ascii="Arial" w:hAnsi="Arial" w:cs="Arial"/>
          <w:lang w:eastAsia="cs-CZ"/>
        </w:rPr>
        <w:t>eBusinessu</w:t>
      </w:r>
      <w:proofErr w:type="spellEnd"/>
      <w:r w:rsidRPr="001F3708">
        <w:rPr>
          <w:rFonts w:ascii="Arial" w:hAnsi="Arial" w:cs="Arial"/>
          <w:lang w:eastAsia="cs-CZ"/>
        </w:rPr>
        <w:t xml:space="preserve"> (vyšší využívání ICT v</w:t>
      </w:r>
      <w:r>
        <w:rPr>
          <w:rFonts w:ascii="Arial" w:hAnsi="Arial" w:cs="Arial"/>
          <w:lang w:eastAsia="cs-CZ"/>
        </w:rPr>
        <w:t> </w:t>
      </w:r>
      <w:r w:rsidRPr="001F3708">
        <w:rPr>
          <w:rFonts w:ascii="Arial" w:hAnsi="Arial" w:cs="Arial"/>
          <w:lang w:eastAsia="cs-CZ"/>
        </w:rPr>
        <w:t>podnikání, zvýšení kapacity a kvality veřejné ICT infrastruktury a zvýšení její dostupnosti) podporovaná z rozpočtů programů OP PIK a IROP je ve sledovaném období podpořena částkou 21,18 mld. Kč (43 % plánované podpory).</w:t>
      </w:r>
    </w:p>
    <w:p w:rsidR="0069162C" w:rsidRPr="00880596" w:rsidRDefault="0069162C" w:rsidP="0069162C">
      <w:pPr>
        <w:keepNext/>
        <w:spacing w:before="120" w:after="240" w:line="240" w:lineRule="auto"/>
        <w:jc w:val="both"/>
        <w:rPr>
          <w:rFonts w:ascii="Arial" w:eastAsia="Times New Roman" w:hAnsi="Arial" w:cs="Times New Roman"/>
          <w:b/>
          <w:szCs w:val="24"/>
          <w:lang w:eastAsia="cs-CZ"/>
        </w:rPr>
      </w:pPr>
      <w:r>
        <w:rPr>
          <w:rFonts w:ascii="Arial" w:eastAsia="Times New Roman" w:hAnsi="Arial" w:cs="Times New Roman"/>
          <w:b/>
          <w:szCs w:val="24"/>
          <w:lang w:eastAsia="cs-CZ"/>
        </w:rPr>
        <w:lastRenderedPageBreak/>
        <w:t xml:space="preserve">Tabulka 4.5: </w:t>
      </w:r>
      <w:r w:rsidRPr="00BB383B">
        <w:rPr>
          <w:rFonts w:ascii="Arial" w:eastAsia="Times New Roman" w:hAnsi="Arial" w:cs="Times New Roman"/>
          <w:b/>
          <w:szCs w:val="24"/>
          <w:lang w:eastAsia="cs-CZ"/>
        </w:rPr>
        <w:t>Plnění klíčových oblastí změn (cílů) Národní RIS3 strategie v</w:t>
      </w:r>
      <w:r w:rsidR="00DA0191">
        <w:rPr>
          <w:rFonts w:ascii="Arial" w:eastAsia="Times New Roman" w:hAnsi="Arial" w:cs="Times New Roman"/>
          <w:b/>
          <w:szCs w:val="24"/>
          <w:lang w:eastAsia="cs-CZ"/>
        </w:rPr>
        <w:t> </w:t>
      </w:r>
      <w:r w:rsidRPr="00BB383B">
        <w:rPr>
          <w:rFonts w:ascii="Arial" w:eastAsia="Times New Roman" w:hAnsi="Arial" w:cs="Times New Roman"/>
          <w:b/>
          <w:szCs w:val="24"/>
          <w:lang w:eastAsia="cs-CZ"/>
        </w:rPr>
        <w:t>programovém období 2014–2020</w:t>
      </w:r>
    </w:p>
    <w:tbl>
      <w:tblPr>
        <w:tblW w:w="9073" w:type="dxa"/>
        <w:tblInd w:w="55" w:type="dxa"/>
        <w:tblCellMar>
          <w:left w:w="70" w:type="dxa"/>
          <w:right w:w="70" w:type="dxa"/>
        </w:tblCellMar>
        <w:tblLook w:val="04A0" w:firstRow="1" w:lastRow="0" w:firstColumn="1" w:lastColumn="0" w:noHBand="0" w:noVBand="1"/>
      </w:tblPr>
      <w:tblGrid>
        <w:gridCol w:w="383"/>
        <w:gridCol w:w="582"/>
        <w:gridCol w:w="335"/>
        <w:gridCol w:w="1100"/>
        <w:gridCol w:w="1100"/>
        <w:gridCol w:w="1193"/>
        <w:gridCol w:w="1007"/>
        <w:gridCol w:w="1101"/>
        <w:gridCol w:w="1294"/>
        <w:gridCol w:w="978"/>
      </w:tblGrid>
      <w:tr w:rsidR="0069162C" w:rsidRPr="00431E04" w:rsidTr="0086009A">
        <w:trPr>
          <w:cantSplit/>
          <w:trHeight w:val="425"/>
          <w:tblHeader/>
        </w:trPr>
        <w:tc>
          <w:tcPr>
            <w:tcW w:w="383" w:type="dxa"/>
            <w:tcBorders>
              <w:top w:val="single" w:sz="8" w:space="0" w:color="auto"/>
              <w:left w:val="nil"/>
              <w:bottom w:val="single" w:sz="8" w:space="0" w:color="auto"/>
              <w:right w:val="nil"/>
            </w:tcBorders>
            <w:shd w:val="clear" w:color="auto" w:fill="auto"/>
            <w:textDirection w:val="btLr"/>
            <w:vAlign w:val="bottom"/>
            <w:hideMark/>
          </w:tcPr>
          <w:p w:rsidR="0069162C" w:rsidRPr="00431E04" w:rsidRDefault="0069162C" w:rsidP="0086009A">
            <w:pPr>
              <w:spacing w:after="0" w:line="240" w:lineRule="auto"/>
              <w:ind w:left="113" w:right="113"/>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Program</w:t>
            </w:r>
          </w:p>
        </w:tc>
        <w:tc>
          <w:tcPr>
            <w:tcW w:w="917" w:type="dxa"/>
            <w:gridSpan w:val="2"/>
            <w:tcBorders>
              <w:top w:val="single" w:sz="8" w:space="0" w:color="auto"/>
              <w:left w:val="nil"/>
              <w:bottom w:val="single" w:sz="8" w:space="0" w:color="auto"/>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 xml:space="preserve">Klíčové oblasti změn (cíle) </w:t>
            </w:r>
            <w:r w:rsidRPr="00431E04">
              <w:rPr>
                <w:rFonts w:ascii="Arial" w:eastAsia="Times New Roman" w:hAnsi="Arial" w:cs="Arial"/>
                <w:b/>
                <w:bCs/>
                <w:color w:val="000000"/>
                <w:sz w:val="16"/>
                <w:szCs w:val="16"/>
                <w:lang w:eastAsia="cs-CZ"/>
              </w:rPr>
              <w:br/>
              <w:t>NRIS3 strategie</w:t>
            </w:r>
          </w:p>
        </w:tc>
        <w:tc>
          <w:tcPr>
            <w:tcW w:w="1100" w:type="dxa"/>
            <w:tcBorders>
              <w:top w:val="single" w:sz="8" w:space="0" w:color="auto"/>
              <w:left w:val="nil"/>
              <w:bottom w:val="single" w:sz="8" w:space="0" w:color="auto"/>
              <w:right w:val="nil"/>
            </w:tcBorders>
            <w:shd w:val="clear" w:color="000000" w:fill="C0C0C0"/>
            <w:vAlign w:val="center"/>
            <w:hideMark/>
          </w:tcPr>
          <w:p w:rsidR="0069162C" w:rsidRPr="00431E04" w:rsidRDefault="0069162C" w:rsidP="0086009A">
            <w:pPr>
              <w:spacing w:after="0" w:line="240" w:lineRule="auto"/>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Inovace (A)</w:t>
            </w:r>
          </w:p>
        </w:tc>
        <w:tc>
          <w:tcPr>
            <w:tcW w:w="1100" w:type="dxa"/>
            <w:tcBorders>
              <w:top w:val="single" w:sz="8" w:space="0" w:color="auto"/>
              <w:left w:val="nil"/>
              <w:bottom w:val="single" w:sz="8" w:space="0" w:color="auto"/>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Ekonomické přínosy VaVaI (C)</w:t>
            </w:r>
          </w:p>
        </w:tc>
        <w:tc>
          <w:tcPr>
            <w:tcW w:w="1193" w:type="dxa"/>
            <w:tcBorders>
              <w:top w:val="single" w:sz="8" w:space="0" w:color="auto"/>
              <w:left w:val="nil"/>
              <w:bottom w:val="single" w:sz="8" w:space="0" w:color="auto"/>
              <w:right w:val="nil"/>
            </w:tcBorders>
            <w:shd w:val="clear" w:color="000000" w:fill="C0C0C0"/>
            <w:vAlign w:val="center"/>
            <w:hideMark/>
          </w:tcPr>
          <w:p w:rsidR="0069162C" w:rsidRPr="00431E04" w:rsidRDefault="0069162C" w:rsidP="0086009A">
            <w:pPr>
              <w:spacing w:after="0" w:line="240" w:lineRule="auto"/>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Kvalita VaVaI (B)</w:t>
            </w:r>
          </w:p>
        </w:tc>
        <w:tc>
          <w:tcPr>
            <w:tcW w:w="1007" w:type="dxa"/>
            <w:tcBorders>
              <w:top w:val="single" w:sz="8" w:space="0" w:color="auto"/>
              <w:left w:val="nil"/>
              <w:bottom w:val="single" w:sz="8" w:space="0" w:color="auto"/>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Lidské zdroje pro VaVaI (D)</w:t>
            </w:r>
          </w:p>
        </w:tc>
        <w:tc>
          <w:tcPr>
            <w:tcW w:w="1101" w:type="dxa"/>
            <w:tcBorders>
              <w:top w:val="single" w:sz="8" w:space="0" w:color="auto"/>
              <w:left w:val="nil"/>
              <w:bottom w:val="single" w:sz="8" w:space="0" w:color="auto"/>
              <w:right w:val="nil"/>
            </w:tcBorders>
            <w:shd w:val="clear" w:color="000000" w:fill="C0C0C0"/>
            <w:vAlign w:val="center"/>
            <w:hideMark/>
          </w:tcPr>
          <w:p w:rsidR="0069162C" w:rsidRPr="00431E04" w:rsidRDefault="0069162C" w:rsidP="0086009A">
            <w:pPr>
              <w:spacing w:after="0" w:line="240" w:lineRule="auto"/>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Sociální a společenské výzvy (F)</w:t>
            </w:r>
          </w:p>
        </w:tc>
        <w:tc>
          <w:tcPr>
            <w:tcW w:w="1294" w:type="dxa"/>
            <w:tcBorders>
              <w:top w:val="single" w:sz="8" w:space="0" w:color="auto"/>
              <w:left w:val="nil"/>
              <w:bottom w:val="single" w:sz="8" w:space="0" w:color="auto"/>
              <w:right w:val="nil"/>
            </w:tcBorders>
            <w:shd w:val="clear" w:color="auto" w:fill="auto"/>
            <w:vAlign w:val="center"/>
            <w:hideMark/>
          </w:tcPr>
          <w:p w:rsidR="0069162C" w:rsidRPr="00431E04" w:rsidRDefault="0069162C" w:rsidP="00EA622F">
            <w:pPr>
              <w:spacing w:after="0" w:line="240" w:lineRule="auto"/>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 xml:space="preserve">Podpora </w:t>
            </w:r>
            <w:proofErr w:type="spellStart"/>
            <w:r w:rsidRPr="00431E04">
              <w:rPr>
                <w:rFonts w:ascii="Arial" w:eastAsia="Times New Roman" w:hAnsi="Arial" w:cs="Arial"/>
                <w:b/>
                <w:bCs/>
                <w:color w:val="000000"/>
                <w:sz w:val="16"/>
                <w:szCs w:val="16"/>
                <w:lang w:eastAsia="cs-CZ"/>
              </w:rPr>
              <w:t>eGovermentu</w:t>
            </w:r>
            <w:proofErr w:type="spellEnd"/>
            <w:r w:rsidRPr="00431E04">
              <w:rPr>
                <w:rFonts w:ascii="Arial" w:eastAsia="Times New Roman" w:hAnsi="Arial" w:cs="Arial"/>
                <w:b/>
                <w:bCs/>
                <w:color w:val="000000"/>
                <w:sz w:val="16"/>
                <w:szCs w:val="16"/>
                <w:lang w:eastAsia="cs-CZ"/>
              </w:rPr>
              <w:t xml:space="preserve"> a </w:t>
            </w:r>
            <w:proofErr w:type="spellStart"/>
            <w:r w:rsidRPr="00431E04">
              <w:rPr>
                <w:rFonts w:ascii="Arial" w:eastAsia="Times New Roman" w:hAnsi="Arial" w:cs="Arial"/>
                <w:b/>
                <w:bCs/>
                <w:color w:val="000000"/>
                <w:sz w:val="16"/>
                <w:szCs w:val="16"/>
                <w:lang w:eastAsia="cs-CZ"/>
              </w:rPr>
              <w:t>eBusinessu</w:t>
            </w:r>
            <w:proofErr w:type="spellEnd"/>
            <w:r w:rsidRPr="00431E04">
              <w:rPr>
                <w:rFonts w:ascii="Arial" w:eastAsia="Times New Roman" w:hAnsi="Arial" w:cs="Arial"/>
                <w:b/>
                <w:bCs/>
                <w:color w:val="000000"/>
                <w:sz w:val="16"/>
                <w:szCs w:val="16"/>
                <w:lang w:eastAsia="cs-CZ"/>
              </w:rPr>
              <w:t xml:space="preserve"> (E)</w:t>
            </w:r>
          </w:p>
        </w:tc>
        <w:tc>
          <w:tcPr>
            <w:tcW w:w="978" w:type="dxa"/>
            <w:tcBorders>
              <w:top w:val="single" w:sz="8" w:space="0" w:color="auto"/>
              <w:left w:val="nil"/>
              <w:bottom w:val="single" w:sz="8" w:space="0" w:color="auto"/>
              <w:right w:val="nil"/>
            </w:tcBorders>
            <w:shd w:val="clear" w:color="000000" w:fill="BFBFBF"/>
            <w:vAlign w:val="center"/>
            <w:hideMark/>
          </w:tcPr>
          <w:p w:rsidR="0069162C" w:rsidRDefault="0069162C" w:rsidP="0086009A">
            <w:pPr>
              <w:spacing w:after="0" w:line="240" w:lineRule="auto"/>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Celkem</w:t>
            </w:r>
          </w:p>
          <w:p w:rsidR="0069162C" w:rsidRDefault="0069162C" w:rsidP="0086009A">
            <w:pPr>
              <w:spacing w:after="0" w:line="240" w:lineRule="auto"/>
              <w:jc w:val="center"/>
              <w:rPr>
                <w:rFonts w:ascii="Arial" w:eastAsia="Times New Roman" w:hAnsi="Arial" w:cs="Arial"/>
                <w:b/>
                <w:bCs/>
                <w:color w:val="000000"/>
                <w:sz w:val="16"/>
                <w:szCs w:val="16"/>
                <w:lang w:eastAsia="cs-CZ"/>
              </w:rPr>
            </w:pPr>
            <w:proofErr w:type="gramStart"/>
            <w:r>
              <w:rPr>
                <w:rFonts w:ascii="Arial" w:eastAsia="Times New Roman" w:hAnsi="Arial" w:cs="Arial"/>
                <w:b/>
                <w:bCs/>
                <w:color w:val="000000"/>
                <w:sz w:val="16"/>
                <w:szCs w:val="16"/>
                <w:lang w:eastAsia="cs-CZ"/>
              </w:rPr>
              <w:t>za</w:t>
            </w:r>
            <w:proofErr w:type="gramEnd"/>
          </w:p>
          <w:p w:rsidR="0069162C" w:rsidRPr="00431E04" w:rsidRDefault="0069162C" w:rsidP="0086009A">
            <w:pPr>
              <w:spacing w:after="0" w:line="240" w:lineRule="auto"/>
              <w:jc w:val="center"/>
              <w:rPr>
                <w:rFonts w:ascii="Arial" w:eastAsia="Times New Roman" w:hAnsi="Arial" w:cs="Arial"/>
                <w:b/>
                <w:bCs/>
                <w:color w:val="000000"/>
                <w:sz w:val="16"/>
                <w:szCs w:val="16"/>
                <w:lang w:eastAsia="cs-CZ"/>
              </w:rPr>
            </w:pPr>
            <w:r>
              <w:rPr>
                <w:rFonts w:ascii="Arial" w:eastAsia="Times New Roman" w:hAnsi="Arial" w:cs="Arial"/>
                <w:b/>
                <w:bCs/>
                <w:color w:val="000000"/>
                <w:sz w:val="16"/>
                <w:szCs w:val="16"/>
                <w:lang w:eastAsia="cs-CZ"/>
              </w:rPr>
              <w:t>program</w:t>
            </w:r>
          </w:p>
        </w:tc>
      </w:tr>
      <w:tr w:rsidR="0069162C" w:rsidRPr="00431E04" w:rsidTr="0086009A">
        <w:trPr>
          <w:trHeight w:val="425"/>
        </w:trPr>
        <w:tc>
          <w:tcPr>
            <w:tcW w:w="383" w:type="dxa"/>
            <w:vMerge w:val="restart"/>
            <w:tcBorders>
              <w:top w:val="single" w:sz="8" w:space="0" w:color="auto"/>
              <w:left w:val="nil"/>
              <w:bottom w:val="single" w:sz="8" w:space="0" w:color="000000"/>
              <w:right w:val="single" w:sz="4" w:space="0" w:color="A6A6A6"/>
            </w:tcBorders>
            <w:shd w:val="clear" w:color="000000" w:fill="BFBFBF"/>
            <w:textDirection w:val="btLr"/>
            <w:vAlign w:val="center"/>
            <w:hideMark/>
          </w:tcPr>
          <w:p w:rsidR="0069162C" w:rsidRPr="00431E04" w:rsidRDefault="0069162C" w:rsidP="0086009A">
            <w:pPr>
              <w:spacing w:after="0" w:line="240" w:lineRule="auto"/>
              <w:ind w:left="113" w:right="113"/>
              <w:jc w:val="center"/>
              <w:rPr>
                <w:rFonts w:ascii="Arial" w:eastAsia="Times New Roman" w:hAnsi="Arial" w:cs="Arial"/>
                <w:b/>
                <w:bCs/>
                <w:color w:val="000000"/>
                <w:sz w:val="20"/>
                <w:szCs w:val="20"/>
                <w:lang w:eastAsia="cs-CZ"/>
              </w:rPr>
            </w:pPr>
            <w:r w:rsidRPr="00431E04">
              <w:rPr>
                <w:rFonts w:ascii="Arial" w:eastAsia="Times New Roman" w:hAnsi="Arial" w:cs="Arial"/>
                <w:b/>
                <w:bCs/>
                <w:color w:val="000000"/>
                <w:sz w:val="20"/>
                <w:szCs w:val="20"/>
                <w:lang w:eastAsia="cs-CZ"/>
              </w:rPr>
              <w:t>OP PIK</w:t>
            </w:r>
          </w:p>
        </w:tc>
        <w:tc>
          <w:tcPr>
            <w:tcW w:w="582" w:type="dxa"/>
            <w:tcBorders>
              <w:top w:val="nil"/>
              <w:left w:val="nil"/>
              <w:bottom w:val="single" w:sz="4" w:space="0" w:color="A6A6A6"/>
              <w:right w:val="single" w:sz="4" w:space="0" w:color="A6A6A6"/>
            </w:tcBorders>
            <w:shd w:val="clear" w:color="000000" w:fill="BFBFBF"/>
            <w:vAlign w:val="center"/>
            <w:hideMark/>
          </w:tcPr>
          <w:p w:rsidR="0069162C" w:rsidRPr="00431E04" w:rsidRDefault="0069162C" w:rsidP="0086009A">
            <w:pPr>
              <w:spacing w:after="0" w:line="240" w:lineRule="auto"/>
              <w:jc w:val="center"/>
              <w:rPr>
                <w:rFonts w:ascii="Arial" w:eastAsia="Times New Roman" w:hAnsi="Arial" w:cs="Arial"/>
                <w:b/>
                <w:bCs/>
                <w:color w:val="000000"/>
                <w:sz w:val="15"/>
                <w:szCs w:val="15"/>
                <w:lang w:eastAsia="cs-CZ"/>
              </w:rPr>
            </w:pPr>
            <w:r w:rsidRPr="00431E04">
              <w:rPr>
                <w:rFonts w:ascii="Arial" w:eastAsia="Times New Roman" w:hAnsi="Arial" w:cs="Arial"/>
                <w:b/>
                <w:bCs/>
                <w:color w:val="000000"/>
                <w:sz w:val="15"/>
                <w:szCs w:val="15"/>
                <w:lang w:eastAsia="cs-CZ"/>
              </w:rPr>
              <w:t>Plán dle RIS3</w:t>
            </w:r>
          </w:p>
        </w:tc>
        <w:tc>
          <w:tcPr>
            <w:tcW w:w="335" w:type="dxa"/>
            <w:vMerge w:val="restart"/>
            <w:tcBorders>
              <w:top w:val="nil"/>
              <w:left w:val="single" w:sz="4" w:space="0" w:color="A6A6A6"/>
              <w:bottom w:val="single" w:sz="4" w:space="0" w:color="A6A6A6"/>
              <w:right w:val="single" w:sz="4" w:space="0" w:color="A6A6A6"/>
            </w:tcBorders>
            <w:shd w:val="clear" w:color="000000" w:fill="BFBFBF"/>
            <w:textDirection w:val="btLr"/>
            <w:vAlign w:val="center"/>
            <w:hideMark/>
          </w:tcPr>
          <w:p w:rsidR="0069162C" w:rsidRPr="00431E04" w:rsidRDefault="0069162C" w:rsidP="0086009A">
            <w:pPr>
              <w:spacing w:after="0" w:line="240" w:lineRule="auto"/>
              <w:ind w:left="113" w:right="113"/>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mld. Kč</w:t>
            </w:r>
          </w:p>
        </w:tc>
        <w:tc>
          <w:tcPr>
            <w:tcW w:w="1100" w:type="dxa"/>
            <w:tcBorders>
              <w:top w:val="nil"/>
              <w:left w:val="nil"/>
              <w:bottom w:val="single" w:sz="4" w:space="0" w:color="A6A6A6"/>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97,63</w:t>
            </w:r>
          </w:p>
        </w:tc>
        <w:tc>
          <w:tcPr>
            <w:tcW w:w="1100" w:type="dxa"/>
            <w:tcBorders>
              <w:top w:val="nil"/>
              <w:left w:val="nil"/>
              <w:bottom w:val="single" w:sz="4" w:space="0" w:color="A6A6A6"/>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2,04</w:t>
            </w:r>
          </w:p>
        </w:tc>
        <w:tc>
          <w:tcPr>
            <w:tcW w:w="1193" w:type="dxa"/>
            <w:tcBorders>
              <w:top w:val="nil"/>
              <w:left w:val="nil"/>
              <w:bottom w:val="nil"/>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007" w:type="dxa"/>
            <w:tcBorders>
              <w:top w:val="single" w:sz="8" w:space="0" w:color="auto"/>
              <w:left w:val="nil"/>
              <w:bottom w:val="nil"/>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101" w:type="dxa"/>
            <w:tcBorders>
              <w:top w:val="nil"/>
              <w:left w:val="nil"/>
              <w:bottom w:val="nil"/>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294" w:type="dxa"/>
            <w:tcBorders>
              <w:top w:val="nil"/>
              <w:left w:val="nil"/>
              <w:bottom w:val="single" w:sz="4" w:space="0" w:color="A6A6A6"/>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38,23</w:t>
            </w:r>
          </w:p>
        </w:tc>
        <w:tc>
          <w:tcPr>
            <w:tcW w:w="978" w:type="dxa"/>
            <w:tcBorders>
              <w:top w:val="single" w:sz="8" w:space="0" w:color="auto"/>
              <w:left w:val="nil"/>
              <w:bottom w:val="single" w:sz="4" w:space="0" w:color="A6A6A6"/>
              <w:right w:val="nil"/>
            </w:tcBorders>
            <w:shd w:val="clear" w:color="auto" w:fill="auto"/>
            <w:noWrap/>
            <w:vAlign w:val="center"/>
            <w:hideMark/>
          </w:tcPr>
          <w:p w:rsidR="0069162C" w:rsidRPr="00431E04" w:rsidRDefault="0069162C" w:rsidP="0086009A">
            <w:pPr>
              <w:spacing w:after="0" w:line="240" w:lineRule="auto"/>
              <w:jc w:val="right"/>
              <w:rPr>
                <w:rFonts w:ascii="Arial" w:eastAsia="Times New Roman" w:hAnsi="Arial" w:cs="Arial"/>
                <w:b/>
                <w:color w:val="000000"/>
                <w:sz w:val="18"/>
                <w:szCs w:val="18"/>
                <w:lang w:eastAsia="cs-CZ"/>
              </w:rPr>
            </w:pPr>
            <w:r w:rsidRPr="00431E04">
              <w:rPr>
                <w:rFonts w:ascii="Arial" w:eastAsia="Times New Roman" w:hAnsi="Arial" w:cs="Arial"/>
                <w:b/>
                <w:color w:val="000000"/>
                <w:sz w:val="18"/>
                <w:szCs w:val="18"/>
                <w:lang w:eastAsia="cs-CZ"/>
              </w:rPr>
              <w:t>137,89</w:t>
            </w:r>
          </w:p>
        </w:tc>
      </w:tr>
      <w:tr w:rsidR="0069162C" w:rsidRPr="00431E04" w:rsidTr="0086009A">
        <w:trPr>
          <w:trHeight w:val="425"/>
        </w:trPr>
        <w:tc>
          <w:tcPr>
            <w:tcW w:w="383" w:type="dxa"/>
            <w:vMerge/>
            <w:tcBorders>
              <w:top w:val="single" w:sz="8" w:space="0" w:color="auto"/>
              <w:left w:val="nil"/>
              <w:bottom w:val="single" w:sz="8" w:space="0" w:color="000000"/>
              <w:right w:val="single" w:sz="4" w:space="0" w:color="A6A6A6"/>
            </w:tcBorders>
            <w:textDirection w:val="btLr"/>
            <w:vAlign w:val="center"/>
            <w:hideMark/>
          </w:tcPr>
          <w:p w:rsidR="0069162C" w:rsidRPr="00431E04" w:rsidRDefault="0069162C" w:rsidP="0086009A">
            <w:pPr>
              <w:spacing w:after="0" w:line="240" w:lineRule="auto"/>
              <w:ind w:left="113" w:right="113"/>
              <w:rPr>
                <w:rFonts w:ascii="Arial" w:eastAsia="Times New Roman" w:hAnsi="Arial" w:cs="Arial"/>
                <w:b/>
                <w:bCs/>
                <w:color w:val="000000"/>
                <w:sz w:val="20"/>
                <w:szCs w:val="20"/>
                <w:lang w:eastAsia="cs-CZ"/>
              </w:rPr>
            </w:pPr>
          </w:p>
        </w:tc>
        <w:tc>
          <w:tcPr>
            <w:tcW w:w="582" w:type="dxa"/>
            <w:tcBorders>
              <w:top w:val="nil"/>
              <w:left w:val="nil"/>
              <w:bottom w:val="single" w:sz="4" w:space="0" w:color="A6A6A6"/>
              <w:right w:val="single" w:sz="4" w:space="0" w:color="A6A6A6"/>
            </w:tcBorders>
            <w:shd w:val="clear" w:color="000000" w:fill="BFBFBF"/>
            <w:vAlign w:val="center"/>
            <w:hideMark/>
          </w:tcPr>
          <w:p w:rsidR="0069162C" w:rsidRPr="00431E04" w:rsidRDefault="0069162C" w:rsidP="0086009A">
            <w:pPr>
              <w:spacing w:after="0" w:line="240" w:lineRule="auto"/>
              <w:jc w:val="center"/>
              <w:rPr>
                <w:rFonts w:ascii="Arial" w:eastAsia="Times New Roman" w:hAnsi="Arial" w:cs="Arial"/>
                <w:b/>
                <w:bCs/>
                <w:color w:val="000000"/>
                <w:sz w:val="15"/>
                <w:szCs w:val="15"/>
                <w:lang w:eastAsia="cs-CZ"/>
              </w:rPr>
            </w:pPr>
            <w:r w:rsidRPr="00431E04">
              <w:rPr>
                <w:rFonts w:ascii="Arial" w:eastAsia="Times New Roman" w:hAnsi="Arial" w:cs="Arial"/>
                <w:b/>
                <w:bCs/>
                <w:color w:val="000000"/>
                <w:sz w:val="15"/>
                <w:szCs w:val="15"/>
                <w:lang w:eastAsia="cs-CZ"/>
              </w:rPr>
              <w:t>Stav</w:t>
            </w:r>
          </w:p>
        </w:tc>
        <w:tc>
          <w:tcPr>
            <w:tcW w:w="335" w:type="dxa"/>
            <w:vMerge/>
            <w:tcBorders>
              <w:top w:val="nil"/>
              <w:left w:val="single" w:sz="4" w:space="0" w:color="A6A6A6"/>
              <w:bottom w:val="single" w:sz="4" w:space="0" w:color="A6A6A6"/>
              <w:right w:val="single" w:sz="4" w:space="0" w:color="A6A6A6"/>
            </w:tcBorders>
            <w:textDirection w:val="btLr"/>
            <w:vAlign w:val="center"/>
            <w:hideMark/>
          </w:tcPr>
          <w:p w:rsidR="0069162C" w:rsidRPr="00431E04" w:rsidRDefault="0069162C" w:rsidP="0086009A">
            <w:pPr>
              <w:spacing w:after="0" w:line="240" w:lineRule="auto"/>
              <w:ind w:left="113" w:right="113"/>
              <w:rPr>
                <w:rFonts w:ascii="Arial" w:eastAsia="Times New Roman" w:hAnsi="Arial" w:cs="Arial"/>
                <w:b/>
                <w:bCs/>
                <w:color w:val="000000"/>
                <w:sz w:val="16"/>
                <w:szCs w:val="16"/>
                <w:lang w:eastAsia="cs-CZ"/>
              </w:rPr>
            </w:pPr>
          </w:p>
        </w:tc>
        <w:tc>
          <w:tcPr>
            <w:tcW w:w="1100" w:type="dxa"/>
            <w:tcBorders>
              <w:top w:val="nil"/>
              <w:left w:val="nil"/>
              <w:bottom w:val="single" w:sz="4" w:space="0" w:color="A6A6A6"/>
              <w:right w:val="single" w:sz="4" w:space="0" w:color="A6A6A6"/>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35,13</w:t>
            </w:r>
          </w:p>
        </w:tc>
        <w:tc>
          <w:tcPr>
            <w:tcW w:w="1100" w:type="dxa"/>
            <w:tcBorders>
              <w:top w:val="nil"/>
              <w:left w:val="nil"/>
              <w:bottom w:val="single" w:sz="4" w:space="0" w:color="A6A6A6"/>
              <w:right w:val="single" w:sz="4" w:space="0" w:color="A6A6A6"/>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6,01</w:t>
            </w:r>
          </w:p>
        </w:tc>
        <w:tc>
          <w:tcPr>
            <w:tcW w:w="1193" w:type="dxa"/>
            <w:tcBorders>
              <w:top w:val="nil"/>
              <w:left w:val="nil"/>
              <w:bottom w:val="nil"/>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007" w:type="dxa"/>
            <w:tcBorders>
              <w:top w:val="nil"/>
              <w:left w:val="nil"/>
              <w:bottom w:val="nil"/>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101" w:type="dxa"/>
            <w:tcBorders>
              <w:top w:val="nil"/>
              <w:left w:val="nil"/>
              <w:bottom w:val="nil"/>
              <w:right w:val="single" w:sz="4" w:space="0" w:color="A6A6A6"/>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294" w:type="dxa"/>
            <w:tcBorders>
              <w:top w:val="nil"/>
              <w:left w:val="nil"/>
              <w:bottom w:val="single" w:sz="4" w:space="0" w:color="A6A6A6"/>
              <w:right w:val="single" w:sz="4" w:space="0" w:color="A6A6A6"/>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11,36</w:t>
            </w:r>
          </w:p>
        </w:tc>
        <w:tc>
          <w:tcPr>
            <w:tcW w:w="978" w:type="dxa"/>
            <w:tcBorders>
              <w:top w:val="nil"/>
              <w:left w:val="nil"/>
              <w:bottom w:val="single" w:sz="4" w:space="0" w:color="A6A6A6"/>
              <w:right w:val="nil"/>
            </w:tcBorders>
            <w:shd w:val="clear" w:color="auto" w:fill="auto"/>
            <w:vAlign w:val="center"/>
            <w:hideMark/>
          </w:tcPr>
          <w:p w:rsidR="0069162C" w:rsidRPr="00431E04" w:rsidRDefault="0069162C" w:rsidP="0086009A">
            <w:pPr>
              <w:spacing w:after="0" w:line="240" w:lineRule="auto"/>
              <w:jc w:val="right"/>
              <w:rPr>
                <w:rFonts w:ascii="Arial" w:eastAsia="Times New Roman" w:hAnsi="Arial" w:cs="Arial"/>
                <w:b/>
                <w:color w:val="000000"/>
                <w:sz w:val="18"/>
                <w:szCs w:val="18"/>
                <w:lang w:eastAsia="cs-CZ"/>
              </w:rPr>
            </w:pPr>
            <w:r w:rsidRPr="00431E04">
              <w:rPr>
                <w:rFonts w:ascii="Arial" w:eastAsia="Times New Roman" w:hAnsi="Arial" w:cs="Arial"/>
                <w:b/>
                <w:color w:val="000000"/>
                <w:sz w:val="18"/>
                <w:szCs w:val="18"/>
                <w:lang w:eastAsia="cs-CZ"/>
              </w:rPr>
              <w:t>52,51</w:t>
            </w:r>
          </w:p>
        </w:tc>
      </w:tr>
      <w:tr w:rsidR="0069162C" w:rsidRPr="00431E04" w:rsidTr="0086009A">
        <w:trPr>
          <w:cantSplit/>
          <w:trHeight w:val="425"/>
        </w:trPr>
        <w:tc>
          <w:tcPr>
            <w:tcW w:w="383" w:type="dxa"/>
            <w:vMerge/>
            <w:tcBorders>
              <w:top w:val="single" w:sz="8" w:space="0" w:color="auto"/>
              <w:left w:val="nil"/>
              <w:bottom w:val="single" w:sz="8" w:space="0" w:color="000000"/>
              <w:right w:val="single" w:sz="4" w:space="0" w:color="A6A6A6"/>
            </w:tcBorders>
            <w:textDirection w:val="btLr"/>
            <w:vAlign w:val="center"/>
            <w:hideMark/>
          </w:tcPr>
          <w:p w:rsidR="0069162C" w:rsidRPr="00431E04" w:rsidRDefault="0069162C" w:rsidP="0086009A">
            <w:pPr>
              <w:spacing w:after="0" w:line="240" w:lineRule="auto"/>
              <w:ind w:left="113" w:right="113"/>
              <w:rPr>
                <w:rFonts w:ascii="Arial" w:eastAsia="Times New Roman" w:hAnsi="Arial" w:cs="Arial"/>
                <w:b/>
                <w:bCs/>
                <w:color w:val="000000"/>
                <w:sz w:val="20"/>
                <w:szCs w:val="20"/>
                <w:lang w:eastAsia="cs-CZ"/>
              </w:rPr>
            </w:pPr>
          </w:p>
        </w:tc>
        <w:tc>
          <w:tcPr>
            <w:tcW w:w="582" w:type="dxa"/>
            <w:tcBorders>
              <w:top w:val="nil"/>
              <w:left w:val="nil"/>
              <w:bottom w:val="single" w:sz="8" w:space="0" w:color="auto"/>
              <w:right w:val="single" w:sz="4" w:space="0" w:color="A6A6A6"/>
            </w:tcBorders>
            <w:shd w:val="clear" w:color="000000" w:fill="BFBFBF"/>
            <w:vAlign w:val="center"/>
            <w:hideMark/>
          </w:tcPr>
          <w:p w:rsidR="0069162C" w:rsidRPr="00431E04" w:rsidRDefault="0069162C" w:rsidP="0086009A">
            <w:pPr>
              <w:spacing w:after="0" w:line="240" w:lineRule="auto"/>
              <w:jc w:val="center"/>
              <w:rPr>
                <w:rFonts w:ascii="Arial" w:eastAsia="Times New Roman" w:hAnsi="Arial" w:cs="Arial"/>
                <w:b/>
                <w:bCs/>
                <w:color w:val="000000"/>
                <w:sz w:val="15"/>
                <w:szCs w:val="15"/>
                <w:lang w:eastAsia="cs-CZ"/>
              </w:rPr>
            </w:pPr>
            <w:r w:rsidRPr="00431E04">
              <w:rPr>
                <w:rFonts w:ascii="Arial" w:eastAsia="Times New Roman" w:hAnsi="Arial" w:cs="Arial"/>
                <w:b/>
                <w:bCs/>
                <w:color w:val="000000"/>
                <w:sz w:val="15"/>
                <w:szCs w:val="15"/>
                <w:lang w:eastAsia="cs-CZ"/>
              </w:rPr>
              <w:t>Míra plnění</w:t>
            </w:r>
          </w:p>
        </w:tc>
        <w:tc>
          <w:tcPr>
            <w:tcW w:w="335" w:type="dxa"/>
            <w:tcBorders>
              <w:top w:val="nil"/>
              <w:left w:val="nil"/>
              <w:bottom w:val="single" w:sz="8" w:space="0" w:color="auto"/>
              <w:right w:val="single" w:sz="4" w:space="0" w:color="A6A6A6"/>
            </w:tcBorders>
            <w:shd w:val="clear" w:color="000000" w:fill="BFBFBF"/>
            <w:textDirection w:val="btLr"/>
            <w:vAlign w:val="center"/>
            <w:hideMark/>
          </w:tcPr>
          <w:p w:rsidR="0069162C" w:rsidRPr="00431E04" w:rsidRDefault="0069162C" w:rsidP="0086009A">
            <w:pPr>
              <w:spacing w:after="0" w:line="240" w:lineRule="auto"/>
              <w:ind w:left="113" w:right="113"/>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w:t>
            </w:r>
          </w:p>
        </w:tc>
        <w:tc>
          <w:tcPr>
            <w:tcW w:w="1100" w:type="dxa"/>
            <w:tcBorders>
              <w:top w:val="nil"/>
              <w:left w:val="nil"/>
              <w:bottom w:val="single" w:sz="8" w:space="0" w:color="auto"/>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36%</w:t>
            </w:r>
          </w:p>
        </w:tc>
        <w:tc>
          <w:tcPr>
            <w:tcW w:w="1100" w:type="dxa"/>
            <w:tcBorders>
              <w:top w:val="nil"/>
              <w:left w:val="nil"/>
              <w:bottom w:val="single" w:sz="8" w:space="0" w:color="auto"/>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295%</w:t>
            </w:r>
          </w:p>
        </w:tc>
        <w:tc>
          <w:tcPr>
            <w:tcW w:w="1193"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007"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101" w:type="dxa"/>
            <w:tcBorders>
              <w:top w:val="nil"/>
              <w:left w:val="nil"/>
              <w:bottom w:val="single" w:sz="8" w:space="0" w:color="auto"/>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294" w:type="dxa"/>
            <w:tcBorders>
              <w:top w:val="nil"/>
              <w:left w:val="nil"/>
              <w:bottom w:val="single" w:sz="8" w:space="0" w:color="auto"/>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30%</w:t>
            </w:r>
          </w:p>
        </w:tc>
        <w:tc>
          <w:tcPr>
            <w:tcW w:w="978"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right"/>
              <w:rPr>
                <w:rFonts w:ascii="Arial" w:eastAsia="Times New Roman" w:hAnsi="Arial" w:cs="Arial"/>
                <w:b/>
                <w:color w:val="000000"/>
                <w:sz w:val="18"/>
                <w:szCs w:val="18"/>
                <w:lang w:eastAsia="cs-CZ"/>
              </w:rPr>
            </w:pPr>
            <w:r w:rsidRPr="00431E04">
              <w:rPr>
                <w:rFonts w:ascii="Arial" w:eastAsia="Times New Roman" w:hAnsi="Arial" w:cs="Arial"/>
                <w:b/>
                <w:color w:val="000000"/>
                <w:sz w:val="18"/>
                <w:szCs w:val="18"/>
                <w:lang w:eastAsia="cs-CZ"/>
              </w:rPr>
              <w:t>38%</w:t>
            </w:r>
          </w:p>
        </w:tc>
      </w:tr>
      <w:tr w:rsidR="0069162C" w:rsidRPr="00431E04" w:rsidTr="0086009A">
        <w:trPr>
          <w:trHeight w:val="425"/>
        </w:trPr>
        <w:tc>
          <w:tcPr>
            <w:tcW w:w="383" w:type="dxa"/>
            <w:vMerge w:val="restart"/>
            <w:tcBorders>
              <w:top w:val="nil"/>
              <w:left w:val="nil"/>
              <w:bottom w:val="single" w:sz="8" w:space="0" w:color="000000"/>
              <w:right w:val="single" w:sz="4" w:space="0" w:color="A6A6A6"/>
            </w:tcBorders>
            <w:shd w:val="clear" w:color="000000" w:fill="BFBFBF"/>
            <w:textDirection w:val="btLr"/>
            <w:vAlign w:val="center"/>
            <w:hideMark/>
          </w:tcPr>
          <w:p w:rsidR="0069162C" w:rsidRPr="00431E04" w:rsidRDefault="0069162C" w:rsidP="0086009A">
            <w:pPr>
              <w:spacing w:after="0" w:line="240" w:lineRule="auto"/>
              <w:ind w:left="113" w:right="113"/>
              <w:jc w:val="center"/>
              <w:rPr>
                <w:rFonts w:ascii="Arial" w:eastAsia="Times New Roman" w:hAnsi="Arial" w:cs="Arial"/>
                <w:b/>
                <w:bCs/>
                <w:color w:val="000000"/>
                <w:sz w:val="20"/>
                <w:szCs w:val="20"/>
                <w:lang w:eastAsia="cs-CZ"/>
              </w:rPr>
            </w:pPr>
            <w:r w:rsidRPr="00431E04">
              <w:rPr>
                <w:rFonts w:ascii="Arial" w:eastAsia="Times New Roman" w:hAnsi="Arial" w:cs="Arial"/>
                <w:b/>
                <w:bCs/>
                <w:color w:val="000000"/>
                <w:sz w:val="20"/>
                <w:szCs w:val="20"/>
                <w:lang w:eastAsia="cs-CZ"/>
              </w:rPr>
              <w:t>OP VVV</w:t>
            </w:r>
          </w:p>
        </w:tc>
        <w:tc>
          <w:tcPr>
            <w:tcW w:w="582" w:type="dxa"/>
            <w:tcBorders>
              <w:top w:val="nil"/>
              <w:left w:val="nil"/>
              <w:bottom w:val="single" w:sz="4" w:space="0" w:color="A6A6A6"/>
              <w:right w:val="single" w:sz="4" w:space="0" w:color="A6A6A6"/>
            </w:tcBorders>
            <w:shd w:val="clear" w:color="000000" w:fill="BFBFBF"/>
            <w:vAlign w:val="center"/>
            <w:hideMark/>
          </w:tcPr>
          <w:p w:rsidR="0069162C" w:rsidRPr="00431E04" w:rsidRDefault="0069162C" w:rsidP="0086009A">
            <w:pPr>
              <w:spacing w:after="0" w:line="240" w:lineRule="auto"/>
              <w:jc w:val="center"/>
              <w:rPr>
                <w:rFonts w:ascii="Arial" w:eastAsia="Times New Roman" w:hAnsi="Arial" w:cs="Arial"/>
                <w:b/>
                <w:bCs/>
                <w:color w:val="000000"/>
                <w:sz w:val="15"/>
                <w:szCs w:val="15"/>
                <w:lang w:eastAsia="cs-CZ"/>
              </w:rPr>
            </w:pPr>
            <w:r w:rsidRPr="00431E04">
              <w:rPr>
                <w:rFonts w:ascii="Arial" w:eastAsia="Times New Roman" w:hAnsi="Arial" w:cs="Arial"/>
                <w:b/>
                <w:bCs/>
                <w:color w:val="000000"/>
                <w:sz w:val="15"/>
                <w:szCs w:val="15"/>
                <w:lang w:eastAsia="cs-CZ"/>
              </w:rPr>
              <w:t>Plán dle RIS3</w:t>
            </w:r>
          </w:p>
        </w:tc>
        <w:tc>
          <w:tcPr>
            <w:tcW w:w="335" w:type="dxa"/>
            <w:vMerge w:val="restart"/>
            <w:tcBorders>
              <w:top w:val="nil"/>
              <w:left w:val="single" w:sz="4" w:space="0" w:color="A6A6A6"/>
              <w:bottom w:val="single" w:sz="4" w:space="0" w:color="A6A6A6"/>
              <w:right w:val="single" w:sz="4" w:space="0" w:color="A6A6A6"/>
            </w:tcBorders>
            <w:shd w:val="clear" w:color="000000" w:fill="BFBFBF"/>
            <w:textDirection w:val="btLr"/>
            <w:vAlign w:val="center"/>
            <w:hideMark/>
          </w:tcPr>
          <w:p w:rsidR="0069162C" w:rsidRPr="00431E04" w:rsidRDefault="0069162C" w:rsidP="0086009A">
            <w:pPr>
              <w:spacing w:after="0" w:line="240" w:lineRule="auto"/>
              <w:ind w:left="113" w:right="113"/>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mld. Kč</w:t>
            </w:r>
          </w:p>
        </w:tc>
        <w:tc>
          <w:tcPr>
            <w:tcW w:w="1100" w:type="dxa"/>
            <w:tcBorders>
              <w:top w:val="nil"/>
              <w:left w:val="nil"/>
              <w:bottom w:val="nil"/>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100" w:type="dxa"/>
            <w:tcBorders>
              <w:top w:val="nil"/>
              <w:left w:val="nil"/>
              <w:bottom w:val="single" w:sz="4" w:space="0" w:color="A6A6A6"/>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5,10</w:t>
            </w:r>
          </w:p>
        </w:tc>
        <w:tc>
          <w:tcPr>
            <w:tcW w:w="1193" w:type="dxa"/>
            <w:tcBorders>
              <w:top w:val="nil"/>
              <w:left w:val="nil"/>
              <w:bottom w:val="single" w:sz="4" w:space="0" w:color="A6A6A6"/>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31,90</w:t>
            </w:r>
          </w:p>
        </w:tc>
        <w:tc>
          <w:tcPr>
            <w:tcW w:w="2108" w:type="dxa"/>
            <w:gridSpan w:val="2"/>
            <w:tcBorders>
              <w:top w:val="single" w:sz="8" w:space="0" w:color="auto"/>
              <w:left w:val="nil"/>
              <w:bottom w:val="single" w:sz="4" w:space="0" w:color="A6A6A6"/>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22,18</w:t>
            </w:r>
          </w:p>
        </w:tc>
        <w:tc>
          <w:tcPr>
            <w:tcW w:w="1294" w:type="dxa"/>
            <w:tcBorders>
              <w:top w:val="nil"/>
              <w:left w:val="nil"/>
              <w:bottom w:val="nil"/>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978" w:type="dxa"/>
            <w:tcBorders>
              <w:top w:val="nil"/>
              <w:left w:val="nil"/>
              <w:bottom w:val="single" w:sz="4" w:space="0" w:color="A6A6A6"/>
              <w:right w:val="nil"/>
            </w:tcBorders>
            <w:shd w:val="clear" w:color="auto" w:fill="auto"/>
            <w:noWrap/>
            <w:vAlign w:val="center"/>
            <w:hideMark/>
          </w:tcPr>
          <w:p w:rsidR="0069162C" w:rsidRPr="00431E04" w:rsidRDefault="0069162C" w:rsidP="0086009A">
            <w:pPr>
              <w:spacing w:after="0" w:line="240" w:lineRule="auto"/>
              <w:jc w:val="right"/>
              <w:rPr>
                <w:rFonts w:ascii="Arial" w:eastAsia="Times New Roman" w:hAnsi="Arial" w:cs="Arial"/>
                <w:b/>
                <w:color w:val="000000"/>
                <w:sz w:val="18"/>
                <w:szCs w:val="18"/>
                <w:lang w:eastAsia="cs-CZ"/>
              </w:rPr>
            </w:pPr>
            <w:r w:rsidRPr="00431E04">
              <w:rPr>
                <w:rFonts w:ascii="Arial" w:eastAsia="Times New Roman" w:hAnsi="Arial" w:cs="Arial"/>
                <w:b/>
                <w:color w:val="000000"/>
                <w:sz w:val="18"/>
                <w:szCs w:val="18"/>
                <w:lang w:eastAsia="cs-CZ"/>
              </w:rPr>
              <w:t>59,18</w:t>
            </w:r>
          </w:p>
        </w:tc>
      </w:tr>
      <w:tr w:rsidR="0069162C" w:rsidRPr="00431E04" w:rsidTr="0086009A">
        <w:trPr>
          <w:trHeight w:val="425"/>
        </w:trPr>
        <w:tc>
          <w:tcPr>
            <w:tcW w:w="383" w:type="dxa"/>
            <w:vMerge/>
            <w:tcBorders>
              <w:top w:val="nil"/>
              <w:left w:val="nil"/>
              <w:bottom w:val="single" w:sz="8" w:space="0" w:color="000000"/>
              <w:right w:val="single" w:sz="4" w:space="0" w:color="A6A6A6"/>
            </w:tcBorders>
            <w:textDirection w:val="btLr"/>
            <w:vAlign w:val="center"/>
            <w:hideMark/>
          </w:tcPr>
          <w:p w:rsidR="0069162C" w:rsidRPr="00431E04" w:rsidRDefault="0069162C" w:rsidP="0086009A">
            <w:pPr>
              <w:spacing w:after="0" w:line="240" w:lineRule="auto"/>
              <w:ind w:left="113" w:right="113"/>
              <w:rPr>
                <w:rFonts w:ascii="Arial" w:eastAsia="Times New Roman" w:hAnsi="Arial" w:cs="Arial"/>
                <w:b/>
                <w:bCs/>
                <w:color w:val="000000"/>
                <w:sz w:val="20"/>
                <w:szCs w:val="20"/>
                <w:lang w:eastAsia="cs-CZ"/>
              </w:rPr>
            </w:pPr>
          </w:p>
        </w:tc>
        <w:tc>
          <w:tcPr>
            <w:tcW w:w="582" w:type="dxa"/>
            <w:tcBorders>
              <w:top w:val="nil"/>
              <w:left w:val="nil"/>
              <w:bottom w:val="single" w:sz="4" w:space="0" w:color="A6A6A6"/>
              <w:right w:val="single" w:sz="4" w:space="0" w:color="A6A6A6"/>
            </w:tcBorders>
            <w:shd w:val="clear" w:color="000000" w:fill="BFBFBF"/>
            <w:vAlign w:val="center"/>
            <w:hideMark/>
          </w:tcPr>
          <w:p w:rsidR="0069162C" w:rsidRPr="00431E04" w:rsidRDefault="0069162C" w:rsidP="0086009A">
            <w:pPr>
              <w:spacing w:after="0" w:line="240" w:lineRule="auto"/>
              <w:jc w:val="center"/>
              <w:rPr>
                <w:rFonts w:ascii="Arial" w:eastAsia="Times New Roman" w:hAnsi="Arial" w:cs="Arial"/>
                <w:b/>
                <w:bCs/>
                <w:color w:val="000000"/>
                <w:sz w:val="15"/>
                <w:szCs w:val="15"/>
                <w:lang w:eastAsia="cs-CZ"/>
              </w:rPr>
            </w:pPr>
            <w:r w:rsidRPr="00431E04">
              <w:rPr>
                <w:rFonts w:ascii="Arial" w:eastAsia="Times New Roman" w:hAnsi="Arial" w:cs="Arial"/>
                <w:b/>
                <w:bCs/>
                <w:color w:val="000000"/>
                <w:sz w:val="15"/>
                <w:szCs w:val="15"/>
                <w:lang w:eastAsia="cs-CZ"/>
              </w:rPr>
              <w:t>Stav</w:t>
            </w:r>
          </w:p>
        </w:tc>
        <w:tc>
          <w:tcPr>
            <w:tcW w:w="335" w:type="dxa"/>
            <w:vMerge/>
            <w:tcBorders>
              <w:top w:val="nil"/>
              <w:left w:val="single" w:sz="4" w:space="0" w:color="A6A6A6"/>
              <w:bottom w:val="single" w:sz="4" w:space="0" w:color="A6A6A6"/>
              <w:right w:val="single" w:sz="4" w:space="0" w:color="A6A6A6"/>
            </w:tcBorders>
            <w:textDirection w:val="btLr"/>
            <w:vAlign w:val="center"/>
            <w:hideMark/>
          </w:tcPr>
          <w:p w:rsidR="0069162C" w:rsidRPr="00431E04" w:rsidRDefault="0069162C" w:rsidP="0086009A">
            <w:pPr>
              <w:spacing w:after="0" w:line="240" w:lineRule="auto"/>
              <w:ind w:left="113" w:right="113"/>
              <w:rPr>
                <w:rFonts w:ascii="Arial" w:eastAsia="Times New Roman" w:hAnsi="Arial" w:cs="Arial"/>
                <w:b/>
                <w:bCs/>
                <w:color w:val="000000"/>
                <w:sz w:val="16"/>
                <w:szCs w:val="16"/>
                <w:lang w:eastAsia="cs-CZ"/>
              </w:rPr>
            </w:pPr>
          </w:p>
        </w:tc>
        <w:tc>
          <w:tcPr>
            <w:tcW w:w="1100" w:type="dxa"/>
            <w:tcBorders>
              <w:top w:val="nil"/>
              <w:left w:val="nil"/>
              <w:bottom w:val="nil"/>
              <w:right w:val="single" w:sz="4" w:space="0" w:color="A6A6A6"/>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100" w:type="dxa"/>
            <w:tcBorders>
              <w:top w:val="nil"/>
              <w:left w:val="nil"/>
              <w:bottom w:val="single" w:sz="4" w:space="0" w:color="A6A6A6"/>
              <w:right w:val="single" w:sz="4" w:space="0" w:color="A6A6A6"/>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2,30</w:t>
            </w:r>
          </w:p>
        </w:tc>
        <w:tc>
          <w:tcPr>
            <w:tcW w:w="1193" w:type="dxa"/>
            <w:tcBorders>
              <w:top w:val="nil"/>
              <w:left w:val="nil"/>
              <w:bottom w:val="single" w:sz="4" w:space="0" w:color="A6A6A6"/>
              <w:right w:val="single" w:sz="4" w:space="0" w:color="A6A6A6"/>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24,10</w:t>
            </w:r>
          </w:p>
        </w:tc>
        <w:tc>
          <w:tcPr>
            <w:tcW w:w="2108" w:type="dxa"/>
            <w:gridSpan w:val="2"/>
            <w:tcBorders>
              <w:top w:val="single" w:sz="4" w:space="0" w:color="A6A6A6"/>
              <w:left w:val="nil"/>
              <w:bottom w:val="single" w:sz="4" w:space="0" w:color="A6A6A6"/>
              <w:right w:val="single" w:sz="4" w:space="0" w:color="A6A6A6"/>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6,74</w:t>
            </w:r>
          </w:p>
        </w:tc>
        <w:tc>
          <w:tcPr>
            <w:tcW w:w="1294" w:type="dxa"/>
            <w:tcBorders>
              <w:top w:val="nil"/>
              <w:left w:val="nil"/>
              <w:bottom w:val="nil"/>
              <w:right w:val="single" w:sz="4" w:space="0" w:color="A6A6A6"/>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978" w:type="dxa"/>
            <w:tcBorders>
              <w:top w:val="nil"/>
              <w:left w:val="nil"/>
              <w:bottom w:val="single" w:sz="4" w:space="0" w:color="A6A6A6"/>
              <w:right w:val="nil"/>
            </w:tcBorders>
            <w:shd w:val="clear" w:color="auto" w:fill="auto"/>
            <w:vAlign w:val="center"/>
            <w:hideMark/>
          </w:tcPr>
          <w:p w:rsidR="0069162C" w:rsidRPr="00431E04" w:rsidRDefault="0069162C" w:rsidP="0086009A">
            <w:pPr>
              <w:spacing w:after="0" w:line="240" w:lineRule="auto"/>
              <w:jc w:val="right"/>
              <w:rPr>
                <w:rFonts w:ascii="Arial" w:eastAsia="Times New Roman" w:hAnsi="Arial" w:cs="Arial"/>
                <w:b/>
                <w:color w:val="000000"/>
                <w:sz w:val="18"/>
                <w:szCs w:val="18"/>
                <w:lang w:eastAsia="cs-CZ"/>
              </w:rPr>
            </w:pPr>
            <w:r w:rsidRPr="00431E04">
              <w:rPr>
                <w:rFonts w:ascii="Arial" w:eastAsia="Times New Roman" w:hAnsi="Arial" w:cs="Arial"/>
                <w:b/>
                <w:color w:val="000000"/>
                <w:sz w:val="18"/>
                <w:szCs w:val="18"/>
                <w:lang w:eastAsia="cs-CZ"/>
              </w:rPr>
              <w:t>33,15</w:t>
            </w:r>
          </w:p>
        </w:tc>
      </w:tr>
      <w:tr w:rsidR="0069162C" w:rsidRPr="00431E04" w:rsidTr="0086009A">
        <w:trPr>
          <w:cantSplit/>
          <w:trHeight w:val="425"/>
        </w:trPr>
        <w:tc>
          <w:tcPr>
            <w:tcW w:w="383" w:type="dxa"/>
            <w:vMerge/>
            <w:tcBorders>
              <w:top w:val="nil"/>
              <w:left w:val="nil"/>
              <w:bottom w:val="single" w:sz="8" w:space="0" w:color="000000"/>
              <w:right w:val="single" w:sz="4" w:space="0" w:color="A6A6A6"/>
            </w:tcBorders>
            <w:textDirection w:val="btLr"/>
            <w:vAlign w:val="center"/>
            <w:hideMark/>
          </w:tcPr>
          <w:p w:rsidR="0069162C" w:rsidRPr="00431E04" w:rsidRDefault="0069162C" w:rsidP="0086009A">
            <w:pPr>
              <w:spacing w:after="0" w:line="240" w:lineRule="auto"/>
              <w:ind w:left="113" w:right="113"/>
              <w:rPr>
                <w:rFonts w:ascii="Arial" w:eastAsia="Times New Roman" w:hAnsi="Arial" w:cs="Arial"/>
                <w:b/>
                <w:bCs/>
                <w:color w:val="000000"/>
                <w:sz w:val="20"/>
                <w:szCs w:val="20"/>
                <w:lang w:eastAsia="cs-CZ"/>
              </w:rPr>
            </w:pPr>
          </w:p>
        </w:tc>
        <w:tc>
          <w:tcPr>
            <w:tcW w:w="582" w:type="dxa"/>
            <w:tcBorders>
              <w:top w:val="nil"/>
              <w:left w:val="nil"/>
              <w:bottom w:val="single" w:sz="8" w:space="0" w:color="auto"/>
              <w:right w:val="single" w:sz="4" w:space="0" w:color="A6A6A6"/>
            </w:tcBorders>
            <w:shd w:val="clear" w:color="000000" w:fill="BFBFBF"/>
            <w:vAlign w:val="center"/>
            <w:hideMark/>
          </w:tcPr>
          <w:p w:rsidR="0069162C" w:rsidRPr="00431E04" w:rsidRDefault="0069162C" w:rsidP="0086009A">
            <w:pPr>
              <w:spacing w:after="0" w:line="240" w:lineRule="auto"/>
              <w:jc w:val="center"/>
              <w:rPr>
                <w:rFonts w:ascii="Arial" w:eastAsia="Times New Roman" w:hAnsi="Arial" w:cs="Arial"/>
                <w:b/>
                <w:bCs/>
                <w:color w:val="000000"/>
                <w:sz w:val="15"/>
                <w:szCs w:val="15"/>
                <w:lang w:eastAsia="cs-CZ"/>
              </w:rPr>
            </w:pPr>
            <w:r w:rsidRPr="00431E04">
              <w:rPr>
                <w:rFonts w:ascii="Arial" w:eastAsia="Times New Roman" w:hAnsi="Arial" w:cs="Arial"/>
                <w:b/>
                <w:bCs/>
                <w:color w:val="000000"/>
                <w:sz w:val="15"/>
                <w:szCs w:val="15"/>
                <w:lang w:eastAsia="cs-CZ"/>
              </w:rPr>
              <w:t>Míra plnění</w:t>
            </w:r>
          </w:p>
        </w:tc>
        <w:tc>
          <w:tcPr>
            <w:tcW w:w="335" w:type="dxa"/>
            <w:tcBorders>
              <w:top w:val="nil"/>
              <w:left w:val="nil"/>
              <w:bottom w:val="single" w:sz="8" w:space="0" w:color="auto"/>
              <w:right w:val="single" w:sz="4" w:space="0" w:color="A6A6A6"/>
            </w:tcBorders>
            <w:shd w:val="clear" w:color="000000" w:fill="BFBFBF"/>
            <w:textDirection w:val="btLr"/>
            <w:vAlign w:val="center"/>
            <w:hideMark/>
          </w:tcPr>
          <w:p w:rsidR="0069162C" w:rsidRPr="00431E04" w:rsidRDefault="0069162C" w:rsidP="0086009A">
            <w:pPr>
              <w:spacing w:after="0" w:line="240" w:lineRule="auto"/>
              <w:ind w:left="113" w:right="113"/>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w:t>
            </w:r>
          </w:p>
        </w:tc>
        <w:tc>
          <w:tcPr>
            <w:tcW w:w="1100" w:type="dxa"/>
            <w:tcBorders>
              <w:top w:val="nil"/>
              <w:left w:val="nil"/>
              <w:bottom w:val="single" w:sz="8" w:space="0" w:color="auto"/>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100" w:type="dxa"/>
            <w:tcBorders>
              <w:top w:val="nil"/>
              <w:left w:val="nil"/>
              <w:bottom w:val="single" w:sz="8" w:space="0" w:color="auto"/>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45%</w:t>
            </w:r>
          </w:p>
        </w:tc>
        <w:tc>
          <w:tcPr>
            <w:tcW w:w="1193" w:type="dxa"/>
            <w:tcBorders>
              <w:top w:val="nil"/>
              <w:left w:val="nil"/>
              <w:bottom w:val="single" w:sz="8" w:space="0" w:color="auto"/>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76%</w:t>
            </w:r>
          </w:p>
        </w:tc>
        <w:tc>
          <w:tcPr>
            <w:tcW w:w="2108" w:type="dxa"/>
            <w:gridSpan w:val="2"/>
            <w:tcBorders>
              <w:top w:val="single" w:sz="4" w:space="0" w:color="A6A6A6"/>
              <w:left w:val="nil"/>
              <w:bottom w:val="single" w:sz="8" w:space="0" w:color="auto"/>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30%</w:t>
            </w:r>
          </w:p>
        </w:tc>
        <w:tc>
          <w:tcPr>
            <w:tcW w:w="1294" w:type="dxa"/>
            <w:tcBorders>
              <w:top w:val="nil"/>
              <w:left w:val="nil"/>
              <w:bottom w:val="single" w:sz="8" w:space="0" w:color="auto"/>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978"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right"/>
              <w:rPr>
                <w:rFonts w:ascii="Arial" w:eastAsia="Times New Roman" w:hAnsi="Arial" w:cs="Arial"/>
                <w:b/>
                <w:color w:val="000000"/>
                <w:sz w:val="18"/>
                <w:szCs w:val="18"/>
                <w:lang w:eastAsia="cs-CZ"/>
              </w:rPr>
            </w:pPr>
            <w:r w:rsidRPr="00431E04">
              <w:rPr>
                <w:rFonts w:ascii="Arial" w:eastAsia="Times New Roman" w:hAnsi="Arial" w:cs="Arial"/>
                <w:b/>
                <w:color w:val="000000"/>
                <w:sz w:val="18"/>
                <w:szCs w:val="18"/>
                <w:lang w:eastAsia="cs-CZ"/>
              </w:rPr>
              <w:t>56%</w:t>
            </w:r>
          </w:p>
        </w:tc>
      </w:tr>
      <w:tr w:rsidR="0069162C" w:rsidRPr="00431E04" w:rsidTr="0086009A">
        <w:trPr>
          <w:trHeight w:val="425"/>
        </w:trPr>
        <w:tc>
          <w:tcPr>
            <w:tcW w:w="383" w:type="dxa"/>
            <w:vMerge w:val="restart"/>
            <w:tcBorders>
              <w:top w:val="nil"/>
              <w:left w:val="nil"/>
              <w:bottom w:val="single" w:sz="8" w:space="0" w:color="000000"/>
              <w:right w:val="nil"/>
            </w:tcBorders>
            <w:shd w:val="clear" w:color="000000" w:fill="BFBFBF"/>
            <w:textDirection w:val="btLr"/>
            <w:vAlign w:val="center"/>
            <w:hideMark/>
          </w:tcPr>
          <w:p w:rsidR="0069162C" w:rsidRPr="00431E04" w:rsidRDefault="0069162C" w:rsidP="0086009A">
            <w:pPr>
              <w:spacing w:after="0" w:line="240" w:lineRule="auto"/>
              <w:ind w:left="113" w:right="113"/>
              <w:jc w:val="center"/>
              <w:rPr>
                <w:rFonts w:ascii="Arial" w:eastAsia="Times New Roman" w:hAnsi="Arial" w:cs="Arial"/>
                <w:b/>
                <w:bCs/>
                <w:color w:val="000000"/>
                <w:sz w:val="20"/>
                <w:szCs w:val="20"/>
                <w:lang w:eastAsia="cs-CZ"/>
              </w:rPr>
            </w:pPr>
            <w:r w:rsidRPr="00431E04">
              <w:rPr>
                <w:rFonts w:ascii="Arial" w:eastAsia="Times New Roman" w:hAnsi="Arial" w:cs="Arial"/>
                <w:b/>
                <w:bCs/>
                <w:color w:val="000000"/>
                <w:sz w:val="20"/>
                <w:szCs w:val="20"/>
                <w:lang w:eastAsia="cs-CZ"/>
              </w:rPr>
              <w:t>OP PPR</w:t>
            </w:r>
          </w:p>
        </w:tc>
        <w:tc>
          <w:tcPr>
            <w:tcW w:w="582" w:type="dxa"/>
            <w:tcBorders>
              <w:top w:val="nil"/>
              <w:left w:val="single" w:sz="4" w:space="0" w:color="A6A6A6"/>
              <w:bottom w:val="single" w:sz="4" w:space="0" w:color="A6A6A6"/>
              <w:right w:val="single" w:sz="4" w:space="0" w:color="A6A6A6"/>
            </w:tcBorders>
            <w:shd w:val="clear" w:color="000000" w:fill="BFBFBF"/>
            <w:vAlign w:val="center"/>
            <w:hideMark/>
          </w:tcPr>
          <w:p w:rsidR="0069162C" w:rsidRPr="00431E04" w:rsidRDefault="0069162C" w:rsidP="0086009A">
            <w:pPr>
              <w:spacing w:after="0" w:line="240" w:lineRule="auto"/>
              <w:jc w:val="center"/>
              <w:rPr>
                <w:rFonts w:ascii="Arial" w:eastAsia="Times New Roman" w:hAnsi="Arial" w:cs="Arial"/>
                <w:b/>
                <w:bCs/>
                <w:color w:val="000000"/>
                <w:sz w:val="15"/>
                <w:szCs w:val="15"/>
                <w:lang w:eastAsia="cs-CZ"/>
              </w:rPr>
            </w:pPr>
            <w:r w:rsidRPr="00431E04">
              <w:rPr>
                <w:rFonts w:ascii="Arial" w:eastAsia="Times New Roman" w:hAnsi="Arial" w:cs="Arial"/>
                <w:b/>
                <w:bCs/>
                <w:color w:val="000000"/>
                <w:sz w:val="15"/>
                <w:szCs w:val="15"/>
                <w:lang w:eastAsia="cs-CZ"/>
              </w:rPr>
              <w:t>Plán dle RIS3</w:t>
            </w:r>
          </w:p>
        </w:tc>
        <w:tc>
          <w:tcPr>
            <w:tcW w:w="335" w:type="dxa"/>
            <w:vMerge w:val="restart"/>
            <w:tcBorders>
              <w:top w:val="nil"/>
              <w:left w:val="single" w:sz="4" w:space="0" w:color="A6A6A6"/>
              <w:bottom w:val="single" w:sz="4" w:space="0" w:color="A6A6A6"/>
              <w:right w:val="single" w:sz="4" w:space="0" w:color="A6A6A6"/>
            </w:tcBorders>
            <w:shd w:val="clear" w:color="000000" w:fill="BFBFBF"/>
            <w:textDirection w:val="btLr"/>
            <w:vAlign w:val="center"/>
            <w:hideMark/>
          </w:tcPr>
          <w:p w:rsidR="0069162C" w:rsidRPr="00431E04" w:rsidRDefault="0069162C" w:rsidP="0086009A">
            <w:pPr>
              <w:spacing w:after="0" w:line="240" w:lineRule="auto"/>
              <w:ind w:left="113" w:right="113"/>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mld. Kč</w:t>
            </w:r>
          </w:p>
        </w:tc>
        <w:tc>
          <w:tcPr>
            <w:tcW w:w="2200" w:type="dxa"/>
            <w:gridSpan w:val="2"/>
            <w:tcBorders>
              <w:top w:val="single" w:sz="8" w:space="0" w:color="auto"/>
              <w:left w:val="nil"/>
              <w:bottom w:val="single" w:sz="4" w:space="0" w:color="A6A6A6"/>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3,37</w:t>
            </w:r>
          </w:p>
        </w:tc>
        <w:tc>
          <w:tcPr>
            <w:tcW w:w="1193" w:type="dxa"/>
            <w:tcBorders>
              <w:top w:val="single" w:sz="8" w:space="0" w:color="auto"/>
              <w:left w:val="nil"/>
              <w:bottom w:val="nil"/>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007" w:type="dxa"/>
            <w:tcBorders>
              <w:top w:val="nil"/>
              <w:left w:val="nil"/>
              <w:bottom w:val="nil"/>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101" w:type="dxa"/>
            <w:tcBorders>
              <w:top w:val="nil"/>
              <w:left w:val="nil"/>
              <w:bottom w:val="nil"/>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294" w:type="dxa"/>
            <w:tcBorders>
              <w:top w:val="single" w:sz="8" w:space="0" w:color="auto"/>
              <w:left w:val="nil"/>
              <w:bottom w:val="nil"/>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978" w:type="dxa"/>
            <w:tcBorders>
              <w:top w:val="nil"/>
              <w:left w:val="single" w:sz="4" w:space="0" w:color="A6A6A6"/>
              <w:bottom w:val="single" w:sz="4" w:space="0" w:color="A6A6A6"/>
              <w:right w:val="nil"/>
            </w:tcBorders>
            <w:shd w:val="clear" w:color="auto" w:fill="auto"/>
            <w:noWrap/>
            <w:vAlign w:val="center"/>
            <w:hideMark/>
          </w:tcPr>
          <w:p w:rsidR="0069162C" w:rsidRPr="00431E04" w:rsidRDefault="0069162C" w:rsidP="0086009A">
            <w:pPr>
              <w:spacing w:after="0" w:line="240" w:lineRule="auto"/>
              <w:jc w:val="right"/>
              <w:rPr>
                <w:rFonts w:ascii="Arial" w:eastAsia="Times New Roman" w:hAnsi="Arial" w:cs="Arial"/>
                <w:b/>
                <w:color w:val="000000"/>
                <w:sz w:val="18"/>
                <w:szCs w:val="18"/>
                <w:lang w:eastAsia="cs-CZ"/>
              </w:rPr>
            </w:pPr>
            <w:r w:rsidRPr="00431E04">
              <w:rPr>
                <w:rFonts w:ascii="Arial" w:eastAsia="Times New Roman" w:hAnsi="Arial" w:cs="Arial"/>
                <w:b/>
                <w:color w:val="000000"/>
                <w:sz w:val="18"/>
                <w:szCs w:val="18"/>
                <w:lang w:eastAsia="cs-CZ"/>
              </w:rPr>
              <w:t>3,37</w:t>
            </w:r>
          </w:p>
        </w:tc>
      </w:tr>
      <w:tr w:rsidR="0069162C" w:rsidRPr="00431E04" w:rsidTr="0086009A">
        <w:trPr>
          <w:trHeight w:val="425"/>
        </w:trPr>
        <w:tc>
          <w:tcPr>
            <w:tcW w:w="383" w:type="dxa"/>
            <w:vMerge/>
            <w:tcBorders>
              <w:top w:val="nil"/>
              <w:left w:val="nil"/>
              <w:bottom w:val="single" w:sz="8" w:space="0" w:color="000000"/>
              <w:right w:val="nil"/>
            </w:tcBorders>
            <w:textDirection w:val="btLr"/>
            <w:vAlign w:val="center"/>
            <w:hideMark/>
          </w:tcPr>
          <w:p w:rsidR="0069162C" w:rsidRPr="00431E04" w:rsidRDefault="0069162C" w:rsidP="0086009A">
            <w:pPr>
              <w:spacing w:after="0" w:line="240" w:lineRule="auto"/>
              <w:ind w:left="113" w:right="113"/>
              <w:rPr>
                <w:rFonts w:ascii="Arial" w:eastAsia="Times New Roman" w:hAnsi="Arial" w:cs="Arial"/>
                <w:b/>
                <w:bCs/>
                <w:color w:val="000000"/>
                <w:sz w:val="20"/>
                <w:szCs w:val="20"/>
                <w:lang w:eastAsia="cs-CZ"/>
              </w:rPr>
            </w:pPr>
          </w:p>
        </w:tc>
        <w:tc>
          <w:tcPr>
            <w:tcW w:w="582" w:type="dxa"/>
            <w:tcBorders>
              <w:top w:val="nil"/>
              <w:left w:val="single" w:sz="4" w:space="0" w:color="A6A6A6"/>
              <w:bottom w:val="single" w:sz="4" w:space="0" w:color="A6A6A6"/>
              <w:right w:val="single" w:sz="4" w:space="0" w:color="A6A6A6"/>
            </w:tcBorders>
            <w:shd w:val="clear" w:color="000000" w:fill="BFBFBF"/>
            <w:vAlign w:val="center"/>
            <w:hideMark/>
          </w:tcPr>
          <w:p w:rsidR="0069162C" w:rsidRPr="00431E04" w:rsidRDefault="0069162C" w:rsidP="0086009A">
            <w:pPr>
              <w:spacing w:after="0" w:line="240" w:lineRule="auto"/>
              <w:jc w:val="center"/>
              <w:rPr>
                <w:rFonts w:ascii="Arial" w:eastAsia="Times New Roman" w:hAnsi="Arial" w:cs="Arial"/>
                <w:b/>
                <w:bCs/>
                <w:color w:val="000000"/>
                <w:sz w:val="15"/>
                <w:szCs w:val="15"/>
                <w:lang w:eastAsia="cs-CZ"/>
              </w:rPr>
            </w:pPr>
            <w:r w:rsidRPr="00431E04">
              <w:rPr>
                <w:rFonts w:ascii="Arial" w:eastAsia="Times New Roman" w:hAnsi="Arial" w:cs="Arial"/>
                <w:b/>
                <w:bCs/>
                <w:color w:val="000000"/>
                <w:sz w:val="15"/>
                <w:szCs w:val="15"/>
                <w:lang w:eastAsia="cs-CZ"/>
              </w:rPr>
              <w:t>Stav</w:t>
            </w:r>
          </w:p>
        </w:tc>
        <w:tc>
          <w:tcPr>
            <w:tcW w:w="335" w:type="dxa"/>
            <w:vMerge/>
            <w:tcBorders>
              <w:top w:val="nil"/>
              <w:left w:val="single" w:sz="4" w:space="0" w:color="A6A6A6"/>
              <w:bottom w:val="single" w:sz="4" w:space="0" w:color="A6A6A6"/>
              <w:right w:val="single" w:sz="4" w:space="0" w:color="A6A6A6"/>
            </w:tcBorders>
            <w:textDirection w:val="btLr"/>
            <w:vAlign w:val="center"/>
            <w:hideMark/>
          </w:tcPr>
          <w:p w:rsidR="0069162C" w:rsidRPr="00431E04" w:rsidRDefault="0069162C" w:rsidP="0086009A">
            <w:pPr>
              <w:spacing w:after="0" w:line="240" w:lineRule="auto"/>
              <w:ind w:left="113" w:right="113"/>
              <w:rPr>
                <w:rFonts w:ascii="Arial" w:eastAsia="Times New Roman" w:hAnsi="Arial" w:cs="Arial"/>
                <w:b/>
                <w:bCs/>
                <w:color w:val="000000"/>
                <w:sz w:val="16"/>
                <w:szCs w:val="16"/>
                <w:lang w:eastAsia="cs-CZ"/>
              </w:rPr>
            </w:pPr>
          </w:p>
        </w:tc>
        <w:tc>
          <w:tcPr>
            <w:tcW w:w="2200" w:type="dxa"/>
            <w:gridSpan w:val="2"/>
            <w:tcBorders>
              <w:top w:val="single" w:sz="4" w:space="0" w:color="A6A6A6"/>
              <w:left w:val="nil"/>
              <w:bottom w:val="single" w:sz="4" w:space="0" w:color="A6A6A6"/>
              <w:right w:val="single" w:sz="4" w:space="0" w:color="A6A6A6"/>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1,48</w:t>
            </w:r>
          </w:p>
        </w:tc>
        <w:tc>
          <w:tcPr>
            <w:tcW w:w="1193" w:type="dxa"/>
            <w:tcBorders>
              <w:top w:val="nil"/>
              <w:left w:val="nil"/>
              <w:bottom w:val="nil"/>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007" w:type="dxa"/>
            <w:tcBorders>
              <w:top w:val="nil"/>
              <w:left w:val="nil"/>
              <w:bottom w:val="nil"/>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101" w:type="dxa"/>
            <w:tcBorders>
              <w:top w:val="nil"/>
              <w:left w:val="nil"/>
              <w:bottom w:val="nil"/>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294" w:type="dxa"/>
            <w:tcBorders>
              <w:top w:val="nil"/>
              <w:left w:val="nil"/>
              <w:bottom w:val="nil"/>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978" w:type="dxa"/>
            <w:tcBorders>
              <w:top w:val="nil"/>
              <w:left w:val="single" w:sz="4" w:space="0" w:color="A6A6A6"/>
              <w:bottom w:val="single" w:sz="4" w:space="0" w:color="A6A6A6"/>
              <w:right w:val="nil"/>
            </w:tcBorders>
            <w:shd w:val="clear" w:color="auto" w:fill="auto"/>
            <w:vAlign w:val="center"/>
            <w:hideMark/>
          </w:tcPr>
          <w:p w:rsidR="0069162C" w:rsidRPr="00431E04" w:rsidRDefault="0069162C" w:rsidP="0086009A">
            <w:pPr>
              <w:spacing w:after="0" w:line="240" w:lineRule="auto"/>
              <w:jc w:val="right"/>
              <w:rPr>
                <w:rFonts w:ascii="Arial" w:eastAsia="Times New Roman" w:hAnsi="Arial" w:cs="Arial"/>
                <w:b/>
                <w:color w:val="000000"/>
                <w:sz w:val="18"/>
                <w:szCs w:val="18"/>
                <w:lang w:eastAsia="cs-CZ"/>
              </w:rPr>
            </w:pPr>
            <w:r w:rsidRPr="00431E04">
              <w:rPr>
                <w:rFonts w:ascii="Arial" w:eastAsia="Times New Roman" w:hAnsi="Arial" w:cs="Arial"/>
                <w:b/>
                <w:color w:val="000000"/>
                <w:sz w:val="18"/>
                <w:szCs w:val="18"/>
                <w:lang w:eastAsia="cs-CZ"/>
              </w:rPr>
              <w:t>1,48</w:t>
            </w:r>
          </w:p>
        </w:tc>
      </w:tr>
      <w:tr w:rsidR="0069162C" w:rsidRPr="00431E04" w:rsidTr="0086009A">
        <w:trPr>
          <w:cantSplit/>
          <w:trHeight w:val="425"/>
        </w:trPr>
        <w:tc>
          <w:tcPr>
            <w:tcW w:w="383" w:type="dxa"/>
            <w:vMerge/>
            <w:tcBorders>
              <w:top w:val="nil"/>
              <w:left w:val="nil"/>
              <w:bottom w:val="single" w:sz="8" w:space="0" w:color="000000"/>
              <w:right w:val="nil"/>
            </w:tcBorders>
            <w:textDirection w:val="btLr"/>
            <w:vAlign w:val="center"/>
            <w:hideMark/>
          </w:tcPr>
          <w:p w:rsidR="0069162C" w:rsidRPr="00431E04" w:rsidRDefault="0069162C" w:rsidP="0086009A">
            <w:pPr>
              <w:spacing w:after="0" w:line="240" w:lineRule="auto"/>
              <w:ind w:left="113" w:right="113"/>
              <w:rPr>
                <w:rFonts w:ascii="Arial" w:eastAsia="Times New Roman" w:hAnsi="Arial" w:cs="Arial"/>
                <w:b/>
                <w:bCs/>
                <w:color w:val="000000"/>
                <w:sz w:val="20"/>
                <w:szCs w:val="20"/>
                <w:lang w:eastAsia="cs-CZ"/>
              </w:rPr>
            </w:pPr>
          </w:p>
        </w:tc>
        <w:tc>
          <w:tcPr>
            <w:tcW w:w="582" w:type="dxa"/>
            <w:tcBorders>
              <w:top w:val="nil"/>
              <w:left w:val="single" w:sz="4" w:space="0" w:color="A6A6A6"/>
              <w:bottom w:val="single" w:sz="8" w:space="0" w:color="auto"/>
              <w:right w:val="single" w:sz="4" w:space="0" w:color="A6A6A6"/>
            </w:tcBorders>
            <w:shd w:val="clear" w:color="000000" w:fill="BFBFBF"/>
            <w:vAlign w:val="center"/>
            <w:hideMark/>
          </w:tcPr>
          <w:p w:rsidR="0069162C" w:rsidRPr="00431E04" w:rsidRDefault="0069162C" w:rsidP="0086009A">
            <w:pPr>
              <w:spacing w:after="0" w:line="240" w:lineRule="auto"/>
              <w:jc w:val="center"/>
              <w:rPr>
                <w:rFonts w:ascii="Arial" w:eastAsia="Times New Roman" w:hAnsi="Arial" w:cs="Arial"/>
                <w:b/>
                <w:bCs/>
                <w:color w:val="000000"/>
                <w:sz w:val="15"/>
                <w:szCs w:val="15"/>
                <w:lang w:eastAsia="cs-CZ"/>
              </w:rPr>
            </w:pPr>
            <w:r w:rsidRPr="00431E04">
              <w:rPr>
                <w:rFonts w:ascii="Arial" w:eastAsia="Times New Roman" w:hAnsi="Arial" w:cs="Arial"/>
                <w:b/>
                <w:bCs/>
                <w:color w:val="000000"/>
                <w:sz w:val="15"/>
                <w:szCs w:val="15"/>
                <w:lang w:eastAsia="cs-CZ"/>
              </w:rPr>
              <w:t>Míra plnění</w:t>
            </w:r>
          </w:p>
        </w:tc>
        <w:tc>
          <w:tcPr>
            <w:tcW w:w="335" w:type="dxa"/>
            <w:tcBorders>
              <w:top w:val="nil"/>
              <w:left w:val="nil"/>
              <w:bottom w:val="single" w:sz="8" w:space="0" w:color="auto"/>
              <w:right w:val="single" w:sz="4" w:space="0" w:color="A6A6A6"/>
            </w:tcBorders>
            <w:shd w:val="clear" w:color="000000" w:fill="BFBFBF"/>
            <w:textDirection w:val="btLr"/>
            <w:vAlign w:val="center"/>
            <w:hideMark/>
          </w:tcPr>
          <w:p w:rsidR="0069162C" w:rsidRPr="00431E04" w:rsidRDefault="0069162C" w:rsidP="0086009A">
            <w:pPr>
              <w:spacing w:after="0" w:line="240" w:lineRule="auto"/>
              <w:ind w:left="113" w:right="113"/>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w:t>
            </w:r>
          </w:p>
        </w:tc>
        <w:tc>
          <w:tcPr>
            <w:tcW w:w="2200" w:type="dxa"/>
            <w:gridSpan w:val="2"/>
            <w:tcBorders>
              <w:top w:val="single" w:sz="4" w:space="0" w:color="A6A6A6"/>
              <w:left w:val="nil"/>
              <w:bottom w:val="single" w:sz="8" w:space="0" w:color="auto"/>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44%</w:t>
            </w:r>
          </w:p>
        </w:tc>
        <w:tc>
          <w:tcPr>
            <w:tcW w:w="1193"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007"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101"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294"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978" w:type="dxa"/>
            <w:tcBorders>
              <w:top w:val="nil"/>
              <w:left w:val="single" w:sz="4" w:space="0" w:color="A6A6A6"/>
              <w:bottom w:val="single" w:sz="8" w:space="0" w:color="auto"/>
              <w:right w:val="nil"/>
            </w:tcBorders>
            <w:shd w:val="clear" w:color="auto" w:fill="auto"/>
            <w:noWrap/>
            <w:vAlign w:val="center"/>
            <w:hideMark/>
          </w:tcPr>
          <w:p w:rsidR="0069162C" w:rsidRPr="00431E04" w:rsidRDefault="0069162C" w:rsidP="0086009A">
            <w:pPr>
              <w:spacing w:after="0" w:line="240" w:lineRule="auto"/>
              <w:jc w:val="right"/>
              <w:rPr>
                <w:rFonts w:ascii="Arial" w:eastAsia="Times New Roman" w:hAnsi="Arial" w:cs="Arial"/>
                <w:b/>
                <w:color w:val="000000"/>
                <w:sz w:val="18"/>
                <w:szCs w:val="18"/>
                <w:lang w:eastAsia="cs-CZ"/>
              </w:rPr>
            </w:pPr>
            <w:r w:rsidRPr="00431E04">
              <w:rPr>
                <w:rFonts w:ascii="Arial" w:eastAsia="Times New Roman" w:hAnsi="Arial" w:cs="Arial"/>
                <w:b/>
                <w:color w:val="000000"/>
                <w:sz w:val="18"/>
                <w:szCs w:val="18"/>
                <w:lang w:eastAsia="cs-CZ"/>
              </w:rPr>
              <w:t>44%</w:t>
            </w:r>
          </w:p>
        </w:tc>
      </w:tr>
      <w:tr w:rsidR="0069162C" w:rsidRPr="00431E04" w:rsidTr="0086009A">
        <w:trPr>
          <w:trHeight w:val="425"/>
        </w:trPr>
        <w:tc>
          <w:tcPr>
            <w:tcW w:w="383" w:type="dxa"/>
            <w:vMerge w:val="restart"/>
            <w:tcBorders>
              <w:top w:val="single" w:sz="8" w:space="0" w:color="auto"/>
              <w:left w:val="nil"/>
              <w:bottom w:val="single" w:sz="8" w:space="0" w:color="000000"/>
              <w:right w:val="nil"/>
            </w:tcBorders>
            <w:shd w:val="clear" w:color="000000" w:fill="BFBFBF"/>
            <w:textDirection w:val="btLr"/>
            <w:vAlign w:val="center"/>
            <w:hideMark/>
          </w:tcPr>
          <w:p w:rsidR="0069162C" w:rsidRPr="00431E04" w:rsidRDefault="0069162C" w:rsidP="0086009A">
            <w:pPr>
              <w:spacing w:after="0" w:line="240" w:lineRule="auto"/>
              <w:ind w:left="113" w:right="113"/>
              <w:jc w:val="center"/>
              <w:rPr>
                <w:rFonts w:ascii="Arial" w:eastAsia="Times New Roman" w:hAnsi="Arial" w:cs="Arial"/>
                <w:b/>
                <w:bCs/>
                <w:color w:val="000000"/>
                <w:sz w:val="20"/>
                <w:szCs w:val="20"/>
                <w:lang w:eastAsia="cs-CZ"/>
              </w:rPr>
            </w:pPr>
            <w:r w:rsidRPr="00431E04">
              <w:rPr>
                <w:rFonts w:ascii="Arial" w:eastAsia="Times New Roman" w:hAnsi="Arial" w:cs="Arial"/>
                <w:b/>
                <w:bCs/>
                <w:color w:val="000000"/>
                <w:sz w:val="20"/>
                <w:szCs w:val="20"/>
                <w:lang w:eastAsia="cs-CZ"/>
              </w:rPr>
              <w:t>IROP</w:t>
            </w:r>
          </w:p>
        </w:tc>
        <w:tc>
          <w:tcPr>
            <w:tcW w:w="582" w:type="dxa"/>
            <w:tcBorders>
              <w:top w:val="nil"/>
              <w:left w:val="single" w:sz="4" w:space="0" w:color="A6A6A6"/>
              <w:bottom w:val="single" w:sz="4" w:space="0" w:color="A6A6A6"/>
              <w:right w:val="single" w:sz="4" w:space="0" w:color="A6A6A6"/>
            </w:tcBorders>
            <w:shd w:val="clear" w:color="000000" w:fill="BFBFBF"/>
            <w:vAlign w:val="center"/>
            <w:hideMark/>
          </w:tcPr>
          <w:p w:rsidR="0069162C" w:rsidRPr="00431E04" w:rsidRDefault="0069162C" w:rsidP="0086009A">
            <w:pPr>
              <w:spacing w:after="0" w:line="240" w:lineRule="auto"/>
              <w:jc w:val="center"/>
              <w:rPr>
                <w:rFonts w:ascii="Arial" w:eastAsia="Times New Roman" w:hAnsi="Arial" w:cs="Arial"/>
                <w:b/>
                <w:bCs/>
                <w:color w:val="000000"/>
                <w:sz w:val="15"/>
                <w:szCs w:val="15"/>
                <w:lang w:eastAsia="cs-CZ"/>
              </w:rPr>
            </w:pPr>
            <w:r w:rsidRPr="00431E04">
              <w:rPr>
                <w:rFonts w:ascii="Arial" w:eastAsia="Times New Roman" w:hAnsi="Arial" w:cs="Arial"/>
                <w:b/>
                <w:bCs/>
                <w:color w:val="000000"/>
                <w:sz w:val="15"/>
                <w:szCs w:val="15"/>
                <w:lang w:eastAsia="cs-CZ"/>
              </w:rPr>
              <w:t>Plán dle RIS3</w:t>
            </w:r>
          </w:p>
        </w:tc>
        <w:tc>
          <w:tcPr>
            <w:tcW w:w="335" w:type="dxa"/>
            <w:vMerge w:val="restart"/>
            <w:tcBorders>
              <w:top w:val="nil"/>
              <w:left w:val="single" w:sz="4" w:space="0" w:color="A6A6A6"/>
              <w:bottom w:val="single" w:sz="4" w:space="0" w:color="A6A6A6"/>
              <w:right w:val="single" w:sz="4" w:space="0" w:color="A6A6A6"/>
            </w:tcBorders>
            <w:shd w:val="clear" w:color="000000" w:fill="BFBFBF"/>
            <w:textDirection w:val="btLr"/>
            <w:vAlign w:val="center"/>
            <w:hideMark/>
          </w:tcPr>
          <w:p w:rsidR="0069162C" w:rsidRPr="00431E04" w:rsidRDefault="0069162C" w:rsidP="0086009A">
            <w:pPr>
              <w:spacing w:after="0" w:line="240" w:lineRule="auto"/>
              <w:ind w:left="113" w:right="113"/>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mld. Kč</w:t>
            </w:r>
          </w:p>
        </w:tc>
        <w:tc>
          <w:tcPr>
            <w:tcW w:w="1100" w:type="dxa"/>
            <w:tcBorders>
              <w:top w:val="nil"/>
              <w:left w:val="nil"/>
              <w:bottom w:val="nil"/>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100" w:type="dxa"/>
            <w:tcBorders>
              <w:top w:val="nil"/>
              <w:left w:val="nil"/>
              <w:bottom w:val="nil"/>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193" w:type="dxa"/>
            <w:tcBorders>
              <w:top w:val="single" w:sz="8" w:space="0" w:color="auto"/>
              <w:left w:val="nil"/>
              <w:bottom w:val="nil"/>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007" w:type="dxa"/>
            <w:tcBorders>
              <w:top w:val="single" w:sz="8" w:space="0" w:color="auto"/>
              <w:left w:val="nil"/>
              <w:bottom w:val="nil"/>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101" w:type="dxa"/>
            <w:tcBorders>
              <w:top w:val="single" w:sz="8" w:space="0" w:color="auto"/>
              <w:left w:val="nil"/>
              <w:bottom w:val="nil"/>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294" w:type="dxa"/>
            <w:tcBorders>
              <w:top w:val="nil"/>
              <w:left w:val="single" w:sz="4" w:space="0" w:color="A6A6A6"/>
              <w:bottom w:val="single" w:sz="4" w:space="0" w:color="A6A6A6"/>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11,03</w:t>
            </w:r>
          </w:p>
        </w:tc>
        <w:tc>
          <w:tcPr>
            <w:tcW w:w="978" w:type="dxa"/>
            <w:tcBorders>
              <w:top w:val="nil"/>
              <w:left w:val="nil"/>
              <w:bottom w:val="single" w:sz="4" w:space="0" w:color="A6A6A6"/>
              <w:right w:val="nil"/>
            </w:tcBorders>
            <w:shd w:val="clear" w:color="auto" w:fill="auto"/>
            <w:noWrap/>
            <w:vAlign w:val="center"/>
            <w:hideMark/>
          </w:tcPr>
          <w:p w:rsidR="0069162C" w:rsidRPr="00431E04" w:rsidRDefault="0069162C" w:rsidP="0086009A">
            <w:pPr>
              <w:spacing w:after="0" w:line="240" w:lineRule="auto"/>
              <w:jc w:val="right"/>
              <w:rPr>
                <w:rFonts w:ascii="Arial" w:eastAsia="Times New Roman" w:hAnsi="Arial" w:cs="Arial"/>
                <w:b/>
                <w:color w:val="000000"/>
                <w:sz w:val="18"/>
                <w:szCs w:val="18"/>
                <w:lang w:eastAsia="cs-CZ"/>
              </w:rPr>
            </w:pPr>
            <w:r w:rsidRPr="00431E04">
              <w:rPr>
                <w:rFonts w:ascii="Arial" w:eastAsia="Times New Roman" w:hAnsi="Arial" w:cs="Arial"/>
                <w:b/>
                <w:color w:val="000000"/>
                <w:sz w:val="18"/>
                <w:szCs w:val="18"/>
                <w:lang w:eastAsia="cs-CZ"/>
              </w:rPr>
              <w:t>11,03</w:t>
            </w:r>
          </w:p>
        </w:tc>
      </w:tr>
      <w:tr w:rsidR="0069162C" w:rsidRPr="00431E04" w:rsidTr="0086009A">
        <w:trPr>
          <w:trHeight w:val="425"/>
        </w:trPr>
        <w:tc>
          <w:tcPr>
            <w:tcW w:w="383" w:type="dxa"/>
            <w:vMerge/>
            <w:tcBorders>
              <w:top w:val="single" w:sz="8" w:space="0" w:color="auto"/>
              <w:left w:val="nil"/>
              <w:bottom w:val="single" w:sz="8" w:space="0" w:color="000000"/>
              <w:right w:val="nil"/>
            </w:tcBorders>
            <w:textDirection w:val="btLr"/>
            <w:vAlign w:val="center"/>
            <w:hideMark/>
          </w:tcPr>
          <w:p w:rsidR="0069162C" w:rsidRPr="00431E04" w:rsidRDefault="0069162C" w:rsidP="0086009A">
            <w:pPr>
              <w:spacing w:after="0" w:line="240" w:lineRule="auto"/>
              <w:ind w:left="113" w:right="113"/>
              <w:rPr>
                <w:rFonts w:ascii="Arial" w:eastAsia="Times New Roman" w:hAnsi="Arial" w:cs="Arial"/>
                <w:b/>
                <w:bCs/>
                <w:color w:val="000000"/>
                <w:sz w:val="20"/>
                <w:szCs w:val="20"/>
                <w:lang w:eastAsia="cs-CZ"/>
              </w:rPr>
            </w:pPr>
          </w:p>
        </w:tc>
        <w:tc>
          <w:tcPr>
            <w:tcW w:w="582" w:type="dxa"/>
            <w:tcBorders>
              <w:top w:val="nil"/>
              <w:left w:val="single" w:sz="4" w:space="0" w:color="A6A6A6"/>
              <w:bottom w:val="single" w:sz="4" w:space="0" w:color="A6A6A6"/>
              <w:right w:val="single" w:sz="4" w:space="0" w:color="A6A6A6"/>
            </w:tcBorders>
            <w:shd w:val="clear" w:color="000000" w:fill="BFBFBF"/>
            <w:vAlign w:val="center"/>
            <w:hideMark/>
          </w:tcPr>
          <w:p w:rsidR="0069162C" w:rsidRPr="00431E04" w:rsidRDefault="0069162C" w:rsidP="0086009A">
            <w:pPr>
              <w:spacing w:after="0" w:line="240" w:lineRule="auto"/>
              <w:jc w:val="center"/>
              <w:rPr>
                <w:rFonts w:ascii="Arial" w:eastAsia="Times New Roman" w:hAnsi="Arial" w:cs="Arial"/>
                <w:b/>
                <w:bCs/>
                <w:color w:val="000000"/>
                <w:sz w:val="15"/>
                <w:szCs w:val="15"/>
                <w:lang w:eastAsia="cs-CZ"/>
              </w:rPr>
            </w:pPr>
            <w:r w:rsidRPr="00431E04">
              <w:rPr>
                <w:rFonts w:ascii="Arial" w:eastAsia="Times New Roman" w:hAnsi="Arial" w:cs="Arial"/>
                <w:b/>
                <w:bCs/>
                <w:color w:val="000000"/>
                <w:sz w:val="15"/>
                <w:szCs w:val="15"/>
                <w:lang w:eastAsia="cs-CZ"/>
              </w:rPr>
              <w:t>Stav</w:t>
            </w:r>
          </w:p>
        </w:tc>
        <w:tc>
          <w:tcPr>
            <w:tcW w:w="335" w:type="dxa"/>
            <w:vMerge/>
            <w:tcBorders>
              <w:top w:val="nil"/>
              <w:left w:val="single" w:sz="4" w:space="0" w:color="A6A6A6"/>
              <w:bottom w:val="single" w:sz="4" w:space="0" w:color="A6A6A6"/>
              <w:right w:val="single" w:sz="4" w:space="0" w:color="A6A6A6"/>
            </w:tcBorders>
            <w:textDirection w:val="btLr"/>
            <w:vAlign w:val="center"/>
            <w:hideMark/>
          </w:tcPr>
          <w:p w:rsidR="0069162C" w:rsidRPr="00431E04" w:rsidRDefault="0069162C" w:rsidP="0086009A">
            <w:pPr>
              <w:spacing w:after="0" w:line="240" w:lineRule="auto"/>
              <w:ind w:left="113" w:right="113"/>
              <w:rPr>
                <w:rFonts w:ascii="Arial" w:eastAsia="Times New Roman" w:hAnsi="Arial" w:cs="Arial"/>
                <w:b/>
                <w:bCs/>
                <w:color w:val="000000"/>
                <w:sz w:val="16"/>
                <w:szCs w:val="16"/>
                <w:lang w:eastAsia="cs-CZ"/>
              </w:rPr>
            </w:pPr>
          </w:p>
        </w:tc>
        <w:tc>
          <w:tcPr>
            <w:tcW w:w="1100" w:type="dxa"/>
            <w:tcBorders>
              <w:top w:val="nil"/>
              <w:left w:val="nil"/>
              <w:bottom w:val="nil"/>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100" w:type="dxa"/>
            <w:tcBorders>
              <w:top w:val="nil"/>
              <w:left w:val="nil"/>
              <w:bottom w:val="nil"/>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193" w:type="dxa"/>
            <w:tcBorders>
              <w:top w:val="nil"/>
              <w:left w:val="nil"/>
              <w:bottom w:val="nil"/>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007" w:type="dxa"/>
            <w:tcBorders>
              <w:top w:val="nil"/>
              <w:left w:val="nil"/>
              <w:bottom w:val="nil"/>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101" w:type="dxa"/>
            <w:tcBorders>
              <w:top w:val="nil"/>
              <w:left w:val="nil"/>
              <w:bottom w:val="nil"/>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294" w:type="dxa"/>
            <w:tcBorders>
              <w:top w:val="nil"/>
              <w:left w:val="single" w:sz="4" w:space="0" w:color="A6A6A6"/>
              <w:bottom w:val="single" w:sz="4" w:space="0" w:color="A6A6A6"/>
              <w:right w:val="single" w:sz="4" w:space="0" w:color="A6A6A6"/>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9,81</w:t>
            </w:r>
          </w:p>
        </w:tc>
        <w:tc>
          <w:tcPr>
            <w:tcW w:w="978" w:type="dxa"/>
            <w:tcBorders>
              <w:top w:val="nil"/>
              <w:left w:val="nil"/>
              <w:bottom w:val="single" w:sz="4" w:space="0" w:color="A6A6A6"/>
              <w:right w:val="nil"/>
            </w:tcBorders>
            <w:shd w:val="clear" w:color="auto" w:fill="auto"/>
            <w:vAlign w:val="center"/>
            <w:hideMark/>
          </w:tcPr>
          <w:p w:rsidR="0069162C" w:rsidRPr="00431E04" w:rsidRDefault="0069162C" w:rsidP="0086009A">
            <w:pPr>
              <w:spacing w:after="0" w:line="240" w:lineRule="auto"/>
              <w:jc w:val="right"/>
              <w:rPr>
                <w:rFonts w:ascii="Arial" w:eastAsia="Times New Roman" w:hAnsi="Arial" w:cs="Arial"/>
                <w:b/>
                <w:color w:val="000000"/>
                <w:sz w:val="18"/>
                <w:szCs w:val="18"/>
                <w:lang w:eastAsia="cs-CZ"/>
              </w:rPr>
            </w:pPr>
            <w:r w:rsidRPr="00431E04">
              <w:rPr>
                <w:rFonts w:ascii="Arial" w:eastAsia="Times New Roman" w:hAnsi="Arial" w:cs="Arial"/>
                <w:b/>
                <w:color w:val="000000"/>
                <w:sz w:val="18"/>
                <w:szCs w:val="18"/>
                <w:lang w:eastAsia="cs-CZ"/>
              </w:rPr>
              <w:t>9,81</w:t>
            </w:r>
          </w:p>
        </w:tc>
      </w:tr>
      <w:tr w:rsidR="0069162C" w:rsidRPr="00431E04" w:rsidTr="0086009A">
        <w:trPr>
          <w:cantSplit/>
          <w:trHeight w:val="425"/>
        </w:trPr>
        <w:tc>
          <w:tcPr>
            <w:tcW w:w="383" w:type="dxa"/>
            <w:vMerge/>
            <w:tcBorders>
              <w:top w:val="single" w:sz="8" w:space="0" w:color="auto"/>
              <w:left w:val="nil"/>
              <w:bottom w:val="single" w:sz="8" w:space="0" w:color="000000"/>
              <w:right w:val="nil"/>
            </w:tcBorders>
            <w:textDirection w:val="btLr"/>
            <w:vAlign w:val="center"/>
            <w:hideMark/>
          </w:tcPr>
          <w:p w:rsidR="0069162C" w:rsidRPr="00431E04" w:rsidRDefault="0069162C" w:rsidP="0086009A">
            <w:pPr>
              <w:spacing w:after="0" w:line="240" w:lineRule="auto"/>
              <w:ind w:left="113" w:right="113"/>
              <w:rPr>
                <w:rFonts w:ascii="Arial" w:eastAsia="Times New Roman" w:hAnsi="Arial" w:cs="Arial"/>
                <w:b/>
                <w:bCs/>
                <w:color w:val="000000"/>
                <w:sz w:val="20"/>
                <w:szCs w:val="20"/>
                <w:lang w:eastAsia="cs-CZ"/>
              </w:rPr>
            </w:pPr>
          </w:p>
        </w:tc>
        <w:tc>
          <w:tcPr>
            <w:tcW w:w="582" w:type="dxa"/>
            <w:tcBorders>
              <w:top w:val="nil"/>
              <w:left w:val="single" w:sz="4" w:space="0" w:color="A6A6A6"/>
              <w:bottom w:val="single" w:sz="8" w:space="0" w:color="auto"/>
              <w:right w:val="single" w:sz="4" w:space="0" w:color="A6A6A6"/>
            </w:tcBorders>
            <w:shd w:val="clear" w:color="000000" w:fill="BFBFBF"/>
            <w:vAlign w:val="center"/>
            <w:hideMark/>
          </w:tcPr>
          <w:p w:rsidR="0069162C" w:rsidRPr="00431E04" w:rsidRDefault="0069162C" w:rsidP="0086009A">
            <w:pPr>
              <w:spacing w:after="0" w:line="240" w:lineRule="auto"/>
              <w:jc w:val="center"/>
              <w:rPr>
                <w:rFonts w:ascii="Arial" w:eastAsia="Times New Roman" w:hAnsi="Arial" w:cs="Arial"/>
                <w:b/>
                <w:bCs/>
                <w:color w:val="000000"/>
                <w:sz w:val="15"/>
                <w:szCs w:val="15"/>
                <w:lang w:eastAsia="cs-CZ"/>
              </w:rPr>
            </w:pPr>
            <w:r w:rsidRPr="00431E04">
              <w:rPr>
                <w:rFonts w:ascii="Arial" w:eastAsia="Times New Roman" w:hAnsi="Arial" w:cs="Arial"/>
                <w:b/>
                <w:bCs/>
                <w:color w:val="000000"/>
                <w:sz w:val="15"/>
                <w:szCs w:val="15"/>
                <w:lang w:eastAsia="cs-CZ"/>
              </w:rPr>
              <w:t>Míra plnění</w:t>
            </w:r>
          </w:p>
        </w:tc>
        <w:tc>
          <w:tcPr>
            <w:tcW w:w="335" w:type="dxa"/>
            <w:tcBorders>
              <w:top w:val="nil"/>
              <w:left w:val="nil"/>
              <w:bottom w:val="single" w:sz="8" w:space="0" w:color="auto"/>
              <w:right w:val="single" w:sz="4" w:space="0" w:color="A6A6A6"/>
            </w:tcBorders>
            <w:shd w:val="clear" w:color="000000" w:fill="BFBFBF"/>
            <w:textDirection w:val="btLr"/>
            <w:vAlign w:val="center"/>
            <w:hideMark/>
          </w:tcPr>
          <w:p w:rsidR="0069162C" w:rsidRPr="00431E04" w:rsidRDefault="0069162C" w:rsidP="0086009A">
            <w:pPr>
              <w:spacing w:after="0" w:line="240" w:lineRule="auto"/>
              <w:ind w:left="113" w:right="113"/>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w:t>
            </w:r>
          </w:p>
        </w:tc>
        <w:tc>
          <w:tcPr>
            <w:tcW w:w="1100"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100"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193"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007"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101"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294" w:type="dxa"/>
            <w:tcBorders>
              <w:top w:val="nil"/>
              <w:left w:val="single" w:sz="4" w:space="0" w:color="A6A6A6"/>
              <w:bottom w:val="single" w:sz="8" w:space="0" w:color="auto"/>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89%</w:t>
            </w:r>
          </w:p>
        </w:tc>
        <w:tc>
          <w:tcPr>
            <w:tcW w:w="978"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right"/>
              <w:rPr>
                <w:rFonts w:ascii="Arial" w:eastAsia="Times New Roman" w:hAnsi="Arial" w:cs="Arial"/>
                <w:b/>
                <w:color w:val="000000"/>
                <w:sz w:val="18"/>
                <w:szCs w:val="18"/>
                <w:lang w:eastAsia="cs-CZ"/>
              </w:rPr>
            </w:pPr>
            <w:r w:rsidRPr="00431E04">
              <w:rPr>
                <w:rFonts w:ascii="Arial" w:eastAsia="Times New Roman" w:hAnsi="Arial" w:cs="Arial"/>
                <w:b/>
                <w:color w:val="000000"/>
                <w:sz w:val="18"/>
                <w:szCs w:val="18"/>
                <w:lang w:eastAsia="cs-CZ"/>
              </w:rPr>
              <w:t>89%</w:t>
            </w:r>
          </w:p>
        </w:tc>
      </w:tr>
      <w:tr w:rsidR="0069162C" w:rsidRPr="00431E04" w:rsidTr="0086009A">
        <w:trPr>
          <w:trHeight w:val="425"/>
        </w:trPr>
        <w:tc>
          <w:tcPr>
            <w:tcW w:w="383" w:type="dxa"/>
            <w:vMerge w:val="restart"/>
            <w:tcBorders>
              <w:top w:val="nil"/>
              <w:left w:val="nil"/>
              <w:bottom w:val="single" w:sz="8" w:space="0" w:color="000000"/>
              <w:right w:val="nil"/>
            </w:tcBorders>
            <w:shd w:val="clear" w:color="000000" w:fill="BFBFBF"/>
            <w:textDirection w:val="btLr"/>
            <w:vAlign w:val="center"/>
            <w:hideMark/>
          </w:tcPr>
          <w:p w:rsidR="0069162C" w:rsidRPr="00431E04" w:rsidRDefault="0069162C" w:rsidP="0086009A">
            <w:pPr>
              <w:spacing w:after="0" w:line="240" w:lineRule="auto"/>
              <w:ind w:left="113" w:right="113"/>
              <w:jc w:val="center"/>
              <w:rPr>
                <w:rFonts w:ascii="Arial" w:eastAsia="Times New Roman" w:hAnsi="Arial" w:cs="Arial"/>
                <w:b/>
                <w:bCs/>
                <w:color w:val="000000"/>
                <w:sz w:val="20"/>
                <w:szCs w:val="20"/>
                <w:lang w:eastAsia="cs-CZ"/>
              </w:rPr>
            </w:pPr>
            <w:r w:rsidRPr="00431E04">
              <w:rPr>
                <w:rFonts w:ascii="Arial" w:eastAsia="Times New Roman" w:hAnsi="Arial" w:cs="Arial"/>
                <w:b/>
                <w:bCs/>
                <w:color w:val="000000"/>
                <w:sz w:val="20"/>
                <w:szCs w:val="20"/>
                <w:lang w:eastAsia="cs-CZ"/>
              </w:rPr>
              <w:t>OP Z</w:t>
            </w:r>
          </w:p>
        </w:tc>
        <w:tc>
          <w:tcPr>
            <w:tcW w:w="582" w:type="dxa"/>
            <w:tcBorders>
              <w:top w:val="nil"/>
              <w:left w:val="single" w:sz="4" w:space="0" w:color="A6A6A6"/>
              <w:bottom w:val="single" w:sz="4" w:space="0" w:color="A6A6A6"/>
              <w:right w:val="single" w:sz="4" w:space="0" w:color="A6A6A6"/>
            </w:tcBorders>
            <w:shd w:val="clear" w:color="000000" w:fill="BFBFBF"/>
            <w:vAlign w:val="center"/>
            <w:hideMark/>
          </w:tcPr>
          <w:p w:rsidR="0069162C" w:rsidRPr="00431E04" w:rsidRDefault="0069162C" w:rsidP="0086009A">
            <w:pPr>
              <w:spacing w:after="0" w:line="240" w:lineRule="auto"/>
              <w:jc w:val="center"/>
              <w:rPr>
                <w:rFonts w:ascii="Arial" w:eastAsia="Times New Roman" w:hAnsi="Arial" w:cs="Arial"/>
                <w:b/>
                <w:bCs/>
                <w:color w:val="000000"/>
                <w:sz w:val="15"/>
                <w:szCs w:val="15"/>
                <w:lang w:eastAsia="cs-CZ"/>
              </w:rPr>
            </w:pPr>
            <w:r w:rsidRPr="00431E04">
              <w:rPr>
                <w:rFonts w:ascii="Arial" w:eastAsia="Times New Roman" w:hAnsi="Arial" w:cs="Arial"/>
                <w:b/>
                <w:bCs/>
                <w:color w:val="000000"/>
                <w:sz w:val="15"/>
                <w:szCs w:val="15"/>
                <w:lang w:eastAsia="cs-CZ"/>
              </w:rPr>
              <w:t>Plán dle RIS3</w:t>
            </w:r>
          </w:p>
        </w:tc>
        <w:tc>
          <w:tcPr>
            <w:tcW w:w="335" w:type="dxa"/>
            <w:vMerge w:val="restart"/>
            <w:tcBorders>
              <w:top w:val="nil"/>
              <w:left w:val="single" w:sz="4" w:space="0" w:color="A6A6A6"/>
              <w:bottom w:val="single" w:sz="4" w:space="0" w:color="A6A6A6"/>
              <w:right w:val="single" w:sz="4" w:space="0" w:color="A6A6A6"/>
            </w:tcBorders>
            <w:shd w:val="clear" w:color="000000" w:fill="BFBFBF"/>
            <w:textDirection w:val="btLr"/>
            <w:vAlign w:val="center"/>
            <w:hideMark/>
          </w:tcPr>
          <w:p w:rsidR="0069162C" w:rsidRPr="00431E04" w:rsidRDefault="0069162C" w:rsidP="0086009A">
            <w:pPr>
              <w:spacing w:after="0" w:line="240" w:lineRule="auto"/>
              <w:ind w:left="113" w:right="113"/>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mld. Kč</w:t>
            </w:r>
          </w:p>
        </w:tc>
        <w:tc>
          <w:tcPr>
            <w:tcW w:w="1100" w:type="dxa"/>
            <w:tcBorders>
              <w:top w:val="nil"/>
              <w:left w:val="nil"/>
              <w:bottom w:val="nil"/>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100" w:type="dxa"/>
            <w:tcBorders>
              <w:top w:val="nil"/>
              <w:left w:val="nil"/>
              <w:bottom w:val="nil"/>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193" w:type="dxa"/>
            <w:tcBorders>
              <w:top w:val="nil"/>
              <w:left w:val="nil"/>
              <w:bottom w:val="nil"/>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007" w:type="dxa"/>
            <w:tcBorders>
              <w:top w:val="nil"/>
              <w:left w:val="nil"/>
              <w:bottom w:val="nil"/>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101" w:type="dxa"/>
            <w:tcBorders>
              <w:top w:val="nil"/>
              <w:left w:val="single" w:sz="4" w:space="0" w:color="A6A6A6"/>
              <w:bottom w:val="single" w:sz="4" w:space="0" w:color="A6A6A6"/>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1,22</w:t>
            </w:r>
          </w:p>
        </w:tc>
        <w:tc>
          <w:tcPr>
            <w:tcW w:w="1294" w:type="dxa"/>
            <w:tcBorders>
              <w:top w:val="nil"/>
              <w:left w:val="nil"/>
              <w:bottom w:val="nil"/>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978" w:type="dxa"/>
            <w:tcBorders>
              <w:top w:val="nil"/>
              <w:left w:val="single" w:sz="4" w:space="0" w:color="A6A6A6"/>
              <w:bottom w:val="single" w:sz="4" w:space="0" w:color="A6A6A6"/>
              <w:right w:val="nil"/>
            </w:tcBorders>
            <w:shd w:val="clear" w:color="auto" w:fill="auto"/>
            <w:noWrap/>
            <w:vAlign w:val="center"/>
            <w:hideMark/>
          </w:tcPr>
          <w:p w:rsidR="0069162C" w:rsidRPr="00431E04" w:rsidRDefault="0069162C" w:rsidP="0086009A">
            <w:pPr>
              <w:spacing w:after="0" w:line="240" w:lineRule="auto"/>
              <w:jc w:val="right"/>
              <w:rPr>
                <w:rFonts w:ascii="Arial" w:eastAsia="Times New Roman" w:hAnsi="Arial" w:cs="Arial"/>
                <w:b/>
                <w:color w:val="000000"/>
                <w:sz w:val="18"/>
                <w:szCs w:val="18"/>
                <w:lang w:eastAsia="cs-CZ"/>
              </w:rPr>
            </w:pPr>
            <w:r w:rsidRPr="00431E04">
              <w:rPr>
                <w:rFonts w:ascii="Arial" w:eastAsia="Times New Roman" w:hAnsi="Arial" w:cs="Arial"/>
                <w:b/>
                <w:color w:val="000000"/>
                <w:sz w:val="18"/>
                <w:szCs w:val="18"/>
                <w:lang w:eastAsia="cs-CZ"/>
              </w:rPr>
              <w:t>1,22</w:t>
            </w:r>
          </w:p>
        </w:tc>
      </w:tr>
      <w:tr w:rsidR="0069162C" w:rsidRPr="00431E04" w:rsidTr="0086009A">
        <w:trPr>
          <w:trHeight w:val="425"/>
        </w:trPr>
        <w:tc>
          <w:tcPr>
            <w:tcW w:w="383" w:type="dxa"/>
            <w:vMerge/>
            <w:tcBorders>
              <w:top w:val="nil"/>
              <w:left w:val="nil"/>
              <w:bottom w:val="single" w:sz="8" w:space="0" w:color="000000"/>
              <w:right w:val="nil"/>
            </w:tcBorders>
            <w:vAlign w:val="center"/>
            <w:hideMark/>
          </w:tcPr>
          <w:p w:rsidR="0069162C" w:rsidRPr="00431E04" w:rsidRDefault="0069162C" w:rsidP="0086009A">
            <w:pPr>
              <w:spacing w:after="0" w:line="240" w:lineRule="auto"/>
              <w:rPr>
                <w:rFonts w:ascii="Arial" w:eastAsia="Times New Roman" w:hAnsi="Arial" w:cs="Arial"/>
                <w:b/>
                <w:bCs/>
                <w:color w:val="000000"/>
                <w:sz w:val="20"/>
                <w:szCs w:val="20"/>
                <w:lang w:eastAsia="cs-CZ"/>
              </w:rPr>
            </w:pPr>
          </w:p>
        </w:tc>
        <w:tc>
          <w:tcPr>
            <w:tcW w:w="582" w:type="dxa"/>
            <w:tcBorders>
              <w:top w:val="nil"/>
              <w:left w:val="single" w:sz="4" w:space="0" w:color="A6A6A6"/>
              <w:bottom w:val="single" w:sz="4" w:space="0" w:color="A6A6A6"/>
              <w:right w:val="single" w:sz="4" w:space="0" w:color="A6A6A6"/>
            </w:tcBorders>
            <w:shd w:val="clear" w:color="000000" w:fill="BFBFBF"/>
            <w:vAlign w:val="center"/>
            <w:hideMark/>
          </w:tcPr>
          <w:p w:rsidR="0069162C" w:rsidRPr="00431E04" w:rsidRDefault="0069162C" w:rsidP="0086009A">
            <w:pPr>
              <w:spacing w:after="0" w:line="240" w:lineRule="auto"/>
              <w:jc w:val="center"/>
              <w:rPr>
                <w:rFonts w:ascii="Arial" w:eastAsia="Times New Roman" w:hAnsi="Arial" w:cs="Arial"/>
                <w:b/>
                <w:bCs/>
                <w:color w:val="000000"/>
                <w:sz w:val="15"/>
                <w:szCs w:val="15"/>
                <w:lang w:eastAsia="cs-CZ"/>
              </w:rPr>
            </w:pPr>
            <w:r w:rsidRPr="00431E04">
              <w:rPr>
                <w:rFonts w:ascii="Arial" w:eastAsia="Times New Roman" w:hAnsi="Arial" w:cs="Arial"/>
                <w:b/>
                <w:bCs/>
                <w:color w:val="000000"/>
                <w:sz w:val="15"/>
                <w:szCs w:val="15"/>
                <w:lang w:eastAsia="cs-CZ"/>
              </w:rPr>
              <w:t>Stav</w:t>
            </w:r>
          </w:p>
        </w:tc>
        <w:tc>
          <w:tcPr>
            <w:tcW w:w="335" w:type="dxa"/>
            <w:vMerge/>
            <w:tcBorders>
              <w:top w:val="nil"/>
              <w:left w:val="single" w:sz="4" w:space="0" w:color="A6A6A6"/>
              <w:bottom w:val="single" w:sz="4" w:space="0" w:color="A6A6A6"/>
              <w:right w:val="single" w:sz="4" w:space="0" w:color="A6A6A6"/>
            </w:tcBorders>
            <w:textDirection w:val="btLr"/>
            <w:vAlign w:val="center"/>
            <w:hideMark/>
          </w:tcPr>
          <w:p w:rsidR="0069162C" w:rsidRPr="00431E04" w:rsidRDefault="0069162C" w:rsidP="0086009A">
            <w:pPr>
              <w:spacing w:after="0" w:line="240" w:lineRule="auto"/>
              <w:ind w:left="113" w:right="113"/>
              <w:rPr>
                <w:rFonts w:ascii="Arial" w:eastAsia="Times New Roman" w:hAnsi="Arial" w:cs="Arial"/>
                <w:b/>
                <w:bCs/>
                <w:color w:val="000000"/>
                <w:sz w:val="16"/>
                <w:szCs w:val="16"/>
                <w:lang w:eastAsia="cs-CZ"/>
              </w:rPr>
            </w:pPr>
          </w:p>
        </w:tc>
        <w:tc>
          <w:tcPr>
            <w:tcW w:w="1100" w:type="dxa"/>
            <w:tcBorders>
              <w:top w:val="nil"/>
              <w:left w:val="nil"/>
              <w:bottom w:val="nil"/>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100" w:type="dxa"/>
            <w:tcBorders>
              <w:top w:val="nil"/>
              <w:left w:val="nil"/>
              <w:bottom w:val="nil"/>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193" w:type="dxa"/>
            <w:tcBorders>
              <w:top w:val="nil"/>
              <w:left w:val="nil"/>
              <w:bottom w:val="nil"/>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007" w:type="dxa"/>
            <w:tcBorders>
              <w:top w:val="nil"/>
              <w:left w:val="nil"/>
              <w:bottom w:val="nil"/>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1101" w:type="dxa"/>
            <w:tcBorders>
              <w:top w:val="nil"/>
              <w:left w:val="single" w:sz="4" w:space="0" w:color="A6A6A6"/>
              <w:bottom w:val="single" w:sz="4" w:space="0" w:color="A6A6A6"/>
              <w:right w:val="single" w:sz="4" w:space="0" w:color="A6A6A6"/>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0,44</w:t>
            </w:r>
          </w:p>
        </w:tc>
        <w:tc>
          <w:tcPr>
            <w:tcW w:w="1294" w:type="dxa"/>
            <w:tcBorders>
              <w:top w:val="nil"/>
              <w:left w:val="nil"/>
              <w:bottom w:val="nil"/>
              <w:right w:val="nil"/>
            </w:tcBorders>
            <w:shd w:val="clear" w:color="auto" w:fill="auto"/>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p>
        </w:tc>
        <w:tc>
          <w:tcPr>
            <w:tcW w:w="978" w:type="dxa"/>
            <w:tcBorders>
              <w:top w:val="nil"/>
              <w:left w:val="single" w:sz="4" w:space="0" w:color="A6A6A6"/>
              <w:bottom w:val="single" w:sz="4" w:space="0" w:color="A6A6A6"/>
              <w:right w:val="nil"/>
            </w:tcBorders>
            <w:shd w:val="clear" w:color="auto" w:fill="auto"/>
            <w:vAlign w:val="center"/>
            <w:hideMark/>
          </w:tcPr>
          <w:p w:rsidR="0069162C" w:rsidRPr="00431E04" w:rsidRDefault="0069162C" w:rsidP="0086009A">
            <w:pPr>
              <w:spacing w:after="0" w:line="240" w:lineRule="auto"/>
              <w:jc w:val="right"/>
              <w:rPr>
                <w:rFonts w:ascii="Arial" w:eastAsia="Times New Roman" w:hAnsi="Arial" w:cs="Arial"/>
                <w:b/>
                <w:color w:val="000000"/>
                <w:sz w:val="18"/>
                <w:szCs w:val="18"/>
                <w:lang w:eastAsia="cs-CZ"/>
              </w:rPr>
            </w:pPr>
            <w:r w:rsidRPr="00431E04">
              <w:rPr>
                <w:rFonts w:ascii="Arial" w:eastAsia="Times New Roman" w:hAnsi="Arial" w:cs="Arial"/>
                <w:b/>
                <w:color w:val="000000"/>
                <w:sz w:val="18"/>
                <w:szCs w:val="18"/>
                <w:lang w:eastAsia="cs-CZ"/>
              </w:rPr>
              <w:t>0,44</w:t>
            </w:r>
          </w:p>
        </w:tc>
      </w:tr>
      <w:tr w:rsidR="0069162C" w:rsidRPr="00431E04" w:rsidTr="0086009A">
        <w:trPr>
          <w:cantSplit/>
          <w:trHeight w:val="425"/>
        </w:trPr>
        <w:tc>
          <w:tcPr>
            <w:tcW w:w="383" w:type="dxa"/>
            <w:vMerge/>
            <w:tcBorders>
              <w:top w:val="nil"/>
              <w:left w:val="nil"/>
              <w:bottom w:val="single" w:sz="8" w:space="0" w:color="000000"/>
              <w:right w:val="nil"/>
            </w:tcBorders>
            <w:vAlign w:val="center"/>
            <w:hideMark/>
          </w:tcPr>
          <w:p w:rsidR="0069162C" w:rsidRPr="00431E04" w:rsidRDefault="0069162C" w:rsidP="0086009A">
            <w:pPr>
              <w:spacing w:after="0" w:line="240" w:lineRule="auto"/>
              <w:rPr>
                <w:rFonts w:ascii="Arial" w:eastAsia="Times New Roman" w:hAnsi="Arial" w:cs="Arial"/>
                <w:b/>
                <w:bCs/>
                <w:color w:val="000000"/>
                <w:sz w:val="20"/>
                <w:szCs w:val="20"/>
                <w:lang w:eastAsia="cs-CZ"/>
              </w:rPr>
            </w:pPr>
          </w:p>
        </w:tc>
        <w:tc>
          <w:tcPr>
            <w:tcW w:w="582" w:type="dxa"/>
            <w:tcBorders>
              <w:top w:val="nil"/>
              <w:left w:val="single" w:sz="4" w:space="0" w:color="A6A6A6"/>
              <w:bottom w:val="single" w:sz="8" w:space="0" w:color="auto"/>
              <w:right w:val="single" w:sz="4" w:space="0" w:color="A6A6A6"/>
            </w:tcBorders>
            <w:shd w:val="clear" w:color="000000" w:fill="BFBFBF"/>
            <w:vAlign w:val="center"/>
            <w:hideMark/>
          </w:tcPr>
          <w:p w:rsidR="0069162C" w:rsidRPr="00431E04" w:rsidRDefault="0069162C" w:rsidP="0086009A">
            <w:pPr>
              <w:spacing w:after="0" w:line="240" w:lineRule="auto"/>
              <w:jc w:val="center"/>
              <w:rPr>
                <w:rFonts w:ascii="Arial" w:eastAsia="Times New Roman" w:hAnsi="Arial" w:cs="Arial"/>
                <w:b/>
                <w:bCs/>
                <w:color w:val="000000"/>
                <w:sz w:val="15"/>
                <w:szCs w:val="15"/>
                <w:lang w:eastAsia="cs-CZ"/>
              </w:rPr>
            </w:pPr>
            <w:r w:rsidRPr="00431E04">
              <w:rPr>
                <w:rFonts w:ascii="Arial" w:eastAsia="Times New Roman" w:hAnsi="Arial" w:cs="Arial"/>
                <w:b/>
                <w:bCs/>
                <w:color w:val="000000"/>
                <w:sz w:val="15"/>
                <w:szCs w:val="15"/>
                <w:lang w:eastAsia="cs-CZ"/>
              </w:rPr>
              <w:t>Míra plnění</w:t>
            </w:r>
          </w:p>
        </w:tc>
        <w:tc>
          <w:tcPr>
            <w:tcW w:w="335" w:type="dxa"/>
            <w:tcBorders>
              <w:top w:val="nil"/>
              <w:left w:val="nil"/>
              <w:bottom w:val="single" w:sz="8" w:space="0" w:color="auto"/>
              <w:right w:val="single" w:sz="4" w:space="0" w:color="A6A6A6"/>
            </w:tcBorders>
            <w:shd w:val="clear" w:color="000000" w:fill="BFBFBF"/>
            <w:textDirection w:val="btLr"/>
            <w:vAlign w:val="center"/>
            <w:hideMark/>
          </w:tcPr>
          <w:p w:rsidR="0069162C" w:rsidRPr="00431E04" w:rsidRDefault="0069162C" w:rsidP="0086009A">
            <w:pPr>
              <w:spacing w:after="0" w:line="240" w:lineRule="auto"/>
              <w:ind w:left="113" w:right="113"/>
              <w:jc w:val="center"/>
              <w:rPr>
                <w:rFonts w:ascii="Arial" w:eastAsia="Times New Roman" w:hAnsi="Arial" w:cs="Arial"/>
                <w:b/>
                <w:bCs/>
                <w:color w:val="000000"/>
                <w:sz w:val="16"/>
                <w:szCs w:val="16"/>
                <w:lang w:eastAsia="cs-CZ"/>
              </w:rPr>
            </w:pPr>
            <w:r w:rsidRPr="00431E04">
              <w:rPr>
                <w:rFonts w:ascii="Arial" w:eastAsia="Times New Roman" w:hAnsi="Arial" w:cs="Arial"/>
                <w:b/>
                <w:bCs/>
                <w:color w:val="000000"/>
                <w:sz w:val="16"/>
                <w:szCs w:val="16"/>
                <w:lang w:eastAsia="cs-CZ"/>
              </w:rPr>
              <w:t>%</w:t>
            </w:r>
          </w:p>
        </w:tc>
        <w:tc>
          <w:tcPr>
            <w:tcW w:w="1100"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100"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193"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007"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1101" w:type="dxa"/>
            <w:tcBorders>
              <w:top w:val="nil"/>
              <w:left w:val="single" w:sz="4" w:space="0" w:color="A6A6A6"/>
              <w:bottom w:val="single" w:sz="8" w:space="0" w:color="auto"/>
              <w:right w:val="single" w:sz="4" w:space="0" w:color="A6A6A6"/>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36%</w:t>
            </w:r>
          </w:p>
        </w:tc>
        <w:tc>
          <w:tcPr>
            <w:tcW w:w="1294" w:type="dxa"/>
            <w:tcBorders>
              <w:top w:val="nil"/>
              <w:left w:val="nil"/>
              <w:bottom w:val="single" w:sz="8" w:space="0" w:color="auto"/>
              <w:right w:val="nil"/>
            </w:tcBorders>
            <w:shd w:val="clear" w:color="auto" w:fill="auto"/>
            <w:noWrap/>
            <w:vAlign w:val="center"/>
            <w:hideMark/>
          </w:tcPr>
          <w:p w:rsidR="0069162C" w:rsidRPr="00431E04" w:rsidRDefault="0069162C" w:rsidP="0086009A">
            <w:pPr>
              <w:spacing w:after="0" w:line="240" w:lineRule="auto"/>
              <w:jc w:val="center"/>
              <w:rPr>
                <w:rFonts w:ascii="Arial" w:eastAsia="Times New Roman" w:hAnsi="Arial" w:cs="Arial"/>
                <w:color w:val="000000"/>
                <w:sz w:val="18"/>
                <w:szCs w:val="18"/>
                <w:lang w:eastAsia="cs-CZ"/>
              </w:rPr>
            </w:pPr>
            <w:r w:rsidRPr="00431E04">
              <w:rPr>
                <w:rFonts w:ascii="Arial" w:eastAsia="Times New Roman" w:hAnsi="Arial" w:cs="Arial"/>
                <w:color w:val="000000"/>
                <w:sz w:val="18"/>
                <w:szCs w:val="18"/>
                <w:lang w:eastAsia="cs-CZ"/>
              </w:rPr>
              <w:t> </w:t>
            </w:r>
          </w:p>
        </w:tc>
        <w:tc>
          <w:tcPr>
            <w:tcW w:w="978" w:type="dxa"/>
            <w:tcBorders>
              <w:top w:val="nil"/>
              <w:left w:val="single" w:sz="4" w:space="0" w:color="A6A6A6"/>
              <w:bottom w:val="single" w:sz="8" w:space="0" w:color="auto"/>
              <w:right w:val="nil"/>
            </w:tcBorders>
            <w:shd w:val="clear" w:color="auto" w:fill="auto"/>
            <w:noWrap/>
            <w:vAlign w:val="center"/>
            <w:hideMark/>
          </w:tcPr>
          <w:p w:rsidR="0069162C" w:rsidRPr="00431E04" w:rsidRDefault="0069162C" w:rsidP="0086009A">
            <w:pPr>
              <w:spacing w:after="0" w:line="240" w:lineRule="auto"/>
              <w:jc w:val="right"/>
              <w:rPr>
                <w:rFonts w:ascii="Arial" w:eastAsia="Times New Roman" w:hAnsi="Arial" w:cs="Arial"/>
                <w:b/>
                <w:color w:val="000000"/>
                <w:sz w:val="18"/>
                <w:szCs w:val="18"/>
                <w:lang w:eastAsia="cs-CZ"/>
              </w:rPr>
            </w:pPr>
            <w:r w:rsidRPr="00431E04">
              <w:rPr>
                <w:rFonts w:ascii="Arial" w:eastAsia="Times New Roman" w:hAnsi="Arial" w:cs="Arial"/>
                <w:b/>
                <w:color w:val="000000"/>
                <w:sz w:val="18"/>
                <w:szCs w:val="18"/>
                <w:lang w:eastAsia="cs-CZ"/>
              </w:rPr>
              <w:t>36%</w:t>
            </w:r>
          </w:p>
        </w:tc>
      </w:tr>
    </w:tbl>
    <w:p w:rsidR="0069162C" w:rsidRDefault="0069162C" w:rsidP="0069162C">
      <w:pPr>
        <w:pStyle w:val="Zdrojapoznmka"/>
      </w:pPr>
      <w:r w:rsidRPr="00BB383B">
        <w:t>Zdroj: data ŘO OP; vlastní zpracování MPO</w:t>
      </w:r>
    </w:p>
    <w:p w:rsidR="00177C95" w:rsidRPr="00177C95" w:rsidRDefault="00177C95" w:rsidP="00177C95">
      <w:pPr>
        <w:spacing w:after="0" w:line="360" w:lineRule="auto"/>
        <w:ind w:firstLine="708"/>
        <w:jc w:val="both"/>
        <w:rPr>
          <w:rFonts w:ascii="Arial" w:eastAsia="Times New Roman" w:hAnsi="Arial" w:cs="Arial"/>
          <w:lang w:eastAsia="cs-CZ"/>
        </w:rPr>
      </w:pPr>
    </w:p>
    <w:p w:rsidR="0069162C" w:rsidRDefault="0069162C" w:rsidP="0069162C">
      <w:pPr>
        <w:spacing w:after="0" w:line="360" w:lineRule="auto"/>
        <w:ind w:firstLine="357"/>
        <w:jc w:val="both"/>
        <w:rPr>
          <w:rFonts w:ascii="Arial" w:hAnsi="Arial" w:cs="Arial"/>
          <w:lang w:eastAsia="cs-CZ"/>
        </w:rPr>
      </w:pPr>
      <w:r>
        <w:rPr>
          <w:rFonts w:ascii="Arial" w:hAnsi="Arial" w:cs="Arial"/>
          <w:lang w:eastAsia="cs-CZ"/>
        </w:rPr>
        <w:t xml:space="preserve">Prozatím nejslabší plnění (21 %) vykazuje celková podpora </w:t>
      </w:r>
      <w:r w:rsidRPr="00BB383B">
        <w:rPr>
          <w:rFonts w:ascii="Arial" w:hAnsi="Arial" w:cs="Arial"/>
          <w:lang w:eastAsia="cs-CZ"/>
        </w:rPr>
        <w:t xml:space="preserve">sociálních a společenských výzev </w:t>
      </w:r>
      <w:r w:rsidRPr="009C3506">
        <w:rPr>
          <w:rFonts w:ascii="Arial" w:hAnsi="Arial" w:cs="Arial"/>
          <w:lang w:eastAsia="cs-CZ"/>
        </w:rPr>
        <w:t>(</w:t>
      </w:r>
      <w:r>
        <w:rPr>
          <w:rFonts w:ascii="Arial" w:hAnsi="Arial" w:cs="Arial"/>
          <w:lang w:eastAsia="cs-CZ"/>
        </w:rPr>
        <w:t>e</w:t>
      </w:r>
      <w:r w:rsidRPr="00813F1D">
        <w:rPr>
          <w:rFonts w:ascii="Arial" w:hAnsi="Arial" w:cs="Arial"/>
          <w:lang w:eastAsia="cs-CZ"/>
        </w:rPr>
        <w:t>xperimentální řešení společenských výzev</w:t>
      </w:r>
      <w:r>
        <w:rPr>
          <w:rFonts w:ascii="Arial" w:hAnsi="Arial" w:cs="Arial"/>
          <w:lang w:eastAsia="cs-CZ"/>
        </w:rPr>
        <w:t>, s</w:t>
      </w:r>
      <w:r w:rsidRPr="00813F1D">
        <w:rPr>
          <w:rFonts w:ascii="Arial" w:hAnsi="Arial" w:cs="Arial"/>
          <w:lang w:eastAsia="cs-CZ"/>
        </w:rPr>
        <w:t>polupráce místních aktérů při řešení zaměstnanosti a sociální inkluze v krajích ČR</w:t>
      </w:r>
      <w:r>
        <w:rPr>
          <w:rFonts w:ascii="Arial" w:hAnsi="Arial" w:cs="Arial"/>
          <w:lang w:eastAsia="cs-CZ"/>
        </w:rPr>
        <w:t>), která je vyčleněna z rozpočtů programů OP VVV a OP Z. Nejpravděpodobnější příčinou tohoto stavu je rozsáhlá a komplikovaná problematika implementace spojená s touto podporovanou oblastí, s čímž jsou spojené i velké nároky na administraci ze strany příjemce i poskytovatele.</w:t>
      </w:r>
    </w:p>
    <w:p w:rsidR="0069162C" w:rsidRDefault="0069162C" w:rsidP="0069162C">
      <w:pPr>
        <w:spacing w:after="0" w:line="360" w:lineRule="auto"/>
        <w:ind w:firstLine="357"/>
        <w:jc w:val="both"/>
        <w:rPr>
          <w:rFonts w:ascii="Arial" w:hAnsi="Arial" w:cs="Arial"/>
          <w:lang w:eastAsia="cs-CZ"/>
        </w:rPr>
      </w:pPr>
      <w:r w:rsidRPr="00FF62DF">
        <w:rPr>
          <w:rFonts w:ascii="Arial" w:hAnsi="Arial" w:cs="Arial"/>
          <w:lang w:eastAsia="cs-CZ"/>
        </w:rPr>
        <w:t>Za velmi pozitivní</w:t>
      </w:r>
      <w:r>
        <w:rPr>
          <w:rFonts w:ascii="Arial" w:hAnsi="Arial" w:cs="Arial"/>
          <w:lang w:eastAsia="cs-CZ"/>
        </w:rPr>
        <w:t xml:space="preserve">, a to i z pohledu EK, lze považovat podporu cílů </w:t>
      </w:r>
      <w:r w:rsidRPr="006A54E8">
        <w:rPr>
          <w:rFonts w:ascii="Arial" w:hAnsi="Arial" w:cs="Arial"/>
          <w:i/>
          <w:lang w:eastAsia="cs-CZ"/>
        </w:rPr>
        <w:t>Národní RIS3 strategie</w:t>
      </w:r>
      <w:r>
        <w:rPr>
          <w:rFonts w:ascii="Arial" w:hAnsi="Arial" w:cs="Arial"/>
          <w:lang w:eastAsia="cs-CZ"/>
        </w:rPr>
        <w:t xml:space="preserve"> v národních programech podpory, zejména podporu </w:t>
      </w:r>
      <w:r w:rsidRPr="00BB383B">
        <w:rPr>
          <w:rFonts w:ascii="Arial" w:hAnsi="Arial" w:cs="Arial"/>
          <w:lang w:eastAsia="cs-CZ"/>
        </w:rPr>
        <w:t>ekonomických přínosů VaVaI</w:t>
      </w:r>
      <w:r>
        <w:rPr>
          <w:rFonts w:ascii="Arial" w:hAnsi="Arial" w:cs="Arial"/>
          <w:lang w:eastAsia="cs-CZ"/>
        </w:rPr>
        <w:t>, kdy podpora této oblasti je srovnatelná s podporou z operačních programů (7,22 mld. Kč národní programy a 9,09 mld. Kč operační programy).</w:t>
      </w:r>
    </w:p>
    <w:p w:rsidR="0069162C" w:rsidRPr="00BB383B" w:rsidRDefault="0069162C" w:rsidP="0069162C">
      <w:pPr>
        <w:spacing w:after="0" w:line="360" w:lineRule="auto"/>
        <w:ind w:firstLine="357"/>
        <w:jc w:val="both"/>
        <w:rPr>
          <w:rFonts w:ascii="Arial" w:hAnsi="Arial" w:cs="Arial"/>
          <w:lang w:eastAsia="cs-CZ"/>
        </w:rPr>
      </w:pPr>
      <w:r w:rsidRPr="0097264C">
        <w:rPr>
          <w:rFonts w:ascii="Arial" w:hAnsi="Arial" w:cs="Arial"/>
          <w:lang w:eastAsia="cs-CZ"/>
        </w:rPr>
        <w:lastRenderedPageBreak/>
        <w:t xml:space="preserve">Zacílení na aplikační odvětví (ekonomická specializace) </w:t>
      </w:r>
      <w:r w:rsidRPr="006A54E8">
        <w:rPr>
          <w:rFonts w:ascii="Arial" w:hAnsi="Arial" w:cs="Arial"/>
          <w:i/>
          <w:lang w:eastAsia="cs-CZ"/>
        </w:rPr>
        <w:t>Národní RIS3 strategie</w:t>
      </w:r>
      <w:r w:rsidRPr="0097264C">
        <w:rPr>
          <w:rFonts w:ascii="Arial" w:hAnsi="Arial" w:cs="Arial"/>
          <w:lang w:eastAsia="cs-CZ"/>
        </w:rPr>
        <w:t xml:space="preserve"> za sledovaná období je zachyceno na projektech operačních a národních programů podpory a</w:t>
      </w:r>
      <w:r w:rsidR="00DA0191">
        <w:rPr>
          <w:rFonts w:ascii="Arial" w:hAnsi="Arial" w:cs="Arial"/>
          <w:lang w:eastAsia="cs-CZ"/>
        </w:rPr>
        <w:t> </w:t>
      </w:r>
      <w:r w:rsidRPr="0097264C">
        <w:rPr>
          <w:rFonts w:ascii="Arial" w:hAnsi="Arial" w:cs="Arial"/>
          <w:lang w:eastAsia="cs-CZ"/>
        </w:rPr>
        <w:t xml:space="preserve">zobrazeno v obrázcích </w:t>
      </w:r>
      <w:r>
        <w:rPr>
          <w:rFonts w:ascii="Arial" w:hAnsi="Arial" w:cs="Arial"/>
          <w:lang w:eastAsia="cs-CZ"/>
        </w:rPr>
        <w:t>4.</w:t>
      </w:r>
      <w:r w:rsidRPr="0097264C">
        <w:rPr>
          <w:rFonts w:ascii="Arial" w:hAnsi="Arial" w:cs="Arial"/>
          <w:lang w:eastAsia="cs-CZ"/>
        </w:rPr>
        <w:t xml:space="preserve">2 a </w:t>
      </w:r>
      <w:r>
        <w:rPr>
          <w:rFonts w:ascii="Arial" w:hAnsi="Arial" w:cs="Arial"/>
          <w:lang w:eastAsia="cs-CZ"/>
        </w:rPr>
        <w:t>4.</w:t>
      </w:r>
      <w:r w:rsidRPr="0097264C">
        <w:rPr>
          <w:rFonts w:ascii="Arial" w:hAnsi="Arial" w:cs="Arial"/>
          <w:lang w:eastAsia="cs-CZ"/>
        </w:rPr>
        <w:t>3, ve kterých je také zmapována situace v oblasti tzv. krajsky specifických aplikačních odvětvích (Gumárenství a plastikářství; Chemie a chemický průmysl; Sklářství a keramika a Textil).</w:t>
      </w:r>
      <w:r w:rsidRPr="00BB383B">
        <w:rPr>
          <w:rFonts w:ascii="Arial" w:hAnsi="Arial" w:cs="Arial"/>
          <w:lang w:eastAsia="cs-CZ"/>
        </w:rPr>
        <w:t xml:space="preserve"> </w:t>
      </w:r>
    </w:p>
    <w:p w:rsidR="0069162C" w:rsidRPr="00BB383B" w:rsidRDefault="0069162C" w:rsidP="0069162C">
      <w:pPr>
        <w:spacing w:after="0" w:line="360" w:lineRule="auto"/>
        <w:ind w:firstLine="357"/>
        <w:jc w:val="both"/>
        <w:rPr>
          <w:rFonts w:ascii="Arial" w:hAnsi="Arial" w:cs="Arial"/>
          <w:lang w:eastAsia="cs-CZ"/>
        </w:rPr>
      </w:pPr>
      <w:r w:rsidRPr="00BB383B">
        <w:rPr>
          <w:rFonts w:ascii="Arial" w:hAnsi="Arial" w:cs="Arial"/>
          <w:lang w:eastAsia="cs-CZ"/>
        </w:rPr>
        <w:t>Největší objem finančních prostředků (</w:t>
      </w:r>
      <w:r>
        <w:rPr>
          <w:rFonts w:ascii="Arial" w:hAnsi="Arial" w:cs="Arial"/>
          <w:lang w:eastAsia="cs-CZ"/>
        </w:rPr>
        <w:t>Obrázek</w:t>
      </w:r>
      <w:r w:rsidRPr="00BB383B">
        <w:rPr>
          <w:rFonts w:ascii="Arial" w:hAnsi="Arial" w:cs="Arial"/>
          <w:lang w:eastAsia="cs-CZ"/>
        </w:rPr>
        <w:t xml:space="preserve"> </w:t>
      </w:r>
      <w:r>
        <w:rPr>
          <w:rFonts w:ascii="Arial" w:hAnsi="Arial" w:cs="Arial"/>
          <w:lang w:eastAsia="cs-CZ"/>
        </w:rPr>
        <w:t>4.</w:t>
      </w:r>
      <w:r w:rsidRPr="00BB383B">
        <w:rPr>
          <w:rFonts w:ascii="Arial" w:hAnsi="Arial" w:cs="Arial"/>
          <w:lang w:eastAsia="cs-CZ"/>
        </w:rPr>
        <w:t xml:space="preserve">2) z projektů operačních programů vázaných na </w:t>
      </w:r>
      <w:r w:rsidRPr="006A54E8">
        <w:rPr>
          <w:rFonts w:ascii="Arial" w:hAnsi="Arial" w:cs="Arial"/>
          <w:i/>
          <w:lang w:eastAsia="cs-CZ"/>
        </w:rPr>
        <w:t>Národní RIS3 strategii</w:t>
      </w:r>
      <w:r w:rsidRPr="00BB383B">
        <w:rPr>
          <w:rFonts w:ascii="Arial" w:hAnsi="Arial" w:cs="Arial"/>
          <w:lang w:eastAsia="cs-CZ"/>
        </w:rPr>
        <w:t xml:space="preserve"> je podle místa realizace projektu soustředěn v Jihomoravském kraji, cca 13,5 mld. Kč. Následují Hlavní město Praha a Středočeský kraj s cca 10,5 mld. Kč. Zdaleka nejmenší podpora je směřována do Karlovarského kraje (cca 1 mld. Kč). Co se týká rozložení aplikačních odvětví (ekonomické specializace) napříč jednotlivými kraji ČR, nejvíce převládají Digitální ekonomika a digitální obsah, Strojírenství-mechatronika a Elektronika a elektrotechnika, přičemž Digitální ekonomika a digitální obsah se nejvíce uplatňuje v Jihomoravském kraji (6,17 mld. Kč), Hlavním městě Praze (4,78 mld. Kč), Středočeském kraji (2,57 mld. Kč), Moravskoslezském kraji (2,12 mld. Kč) a Ústeckém kraji (1,94 mld. Kč). Strojírenství-mechatronika se významně uplatňuje ve Středočeském (3,24 mld. Kč), Jihomoravském (1,82 mld. Kč), Zlínském (1,81 mld. Kč), Plzeňském (1,27 mld. Kč) a Moravskoslezském kraji (1,22 mld. Kč). Elektronika a elektrotechnika nalézá své největší uplatnění v Jihomoravském kraji (1,18 mld. Kč). Za významnou lze považovat podporu léčiv, biotechnologií a prostředků zdravotnické techniky v Jihomoravském (1,95 mld. Kč) a Středočeském (1,41 mld. Kč) kraji, podporu Leteckého a kosmického průmyslu v Hlavním městě Praze (1,10 mld. Kč) a podporu zdravého a kvalitního životního prostředí v Jihomoravském kraji (1,02 mld. Kč). </w:t>
      </w:r>
    </w:p>
    <w:p w:rsidR="0069162C" w:rsidRDefault="0069162C" w:rsidP="0069162C">
      <w:pPr>
        <w:spacing w:after="0" w:line="360" w:lineRule="auto"/>
        <w:ind w:firstLine="357"/>
        <w:jc w:val="both"/>
        <w:rPr>
          <w:rFonts w:ascii="Arial" w:hAnsi="Arial" w:cs="Arial"/>
          <w:lang w:eastAsia="cs-CZ"/>
        </w:rPr>
      </w:pPr>
      <w:r w:rsidRPr="00BB383B">
        <w:rPr>
          <w:rFonts w:ascii="Arial" w:hAnsi="Arial" w:cs="Arial"/>
          <w:lang w:eastAsia="cs-CZ"/>
        </w:rPr>
        <w:t>Rozložení aplikačních odvětví v projektech schválených či realizovaných v národních programech podpory je dáno, na rozdíl od operačních programů, sídlem uchazeče, příjemce podpory nebo účastníka projektu, a nikoliv místem realizace projektu. Ukazuje se ale, že v obou případech mají nejvyšší podporu stejné kraje. V národních programech jsou v</w:t>
      </w:r>
      <w:r w:rsidR="00DA0191">
        <w:rPr>
          <w:rFonts w:ascii="Arial" w:hAnsi="Arial" w:cs="Arial"/>
          <w:lang w:eastAsia="cs-CZ"/>
        </w:rPr>
        <w:t> </w:t>
      </w:r>
      <w:r w:rsidRPr="00BB383B">
        <w:rPr>
          <w:rFonts w:ascii="Arial" w:hAnsi="Arial" w:cs="Arial"/>
          <w:lang w:eastAsia="cs-CZ"/>
        </w:rPr>
        <w:t>Hlavním městě Praze evidovány v</w:t>
      </w:r>
      <w:r>
        <w:rPr>
          <w:rFonts w:ascii="Arial" w:hAnsi="Arial" w:cs="Arial"/>
          <w:lang w:eastAsia="cs-CZ"/>
        </w:rPr>
        <w:t> </w:t>
      </w:r>
      <w:r w:rsidRPr="006A54E8">
        <w:rPr>
          <w:rFonts w:ascii="Arial" w:hAnsi="Arial" w:cs="Arial"/>
          <w:i/>
          <w:lang w:eastAsia="cs-CZ"/>
        </w:rPr>
        <w:t>Národní RIS3 strategii</w:t>
      </w:r>
      <w:r w:rsidRPr="00BB383B">
        <w:rPr>
          <w:rFonts w:ascii="Arial" w:hAnsi="Arial" w:cs="Arial"/>
          <w:lang w:eastAsia="cs-CZ"/>
        </w:rPr>
        <w:t xml:space="preserve"> projekty s celkovými náklady cca 3 mld. Kč., v Jihomoravském kraji s náklady cca 2 mld. Kč a ve Středočeském kraji s náklady cca 1 mld. Kč. Oproti operačním, je však v národních programech podpora aplikačních odvětví napříč jednotlivými kraji ČR více rozložena. Stejně jako u operačních, jsou v národních programech nejvíce podpořena odvětví Strojírenství-mechatronika (cca 2 mld. Kč) a Elektronika a elektrotechnika (cca 2 mld. Kč), která mají také největší zastoupení v</w:t>
      </w:r>
      <w:r w:rsidR="00DA0191">
        <w:rPr>
          <w:rFonts w:ascii="Arial" w:hAnsi="Arial" w:cs="Arial"/>
          <w:lang w:eastAsia="cs-CZ"/>
        </w:rPr>
        <w:t> </w:t>
      </w:r>
      <w:r w:rsidRPr="00BB383B">
        <w:rPr>
          <w:rFonts w:ascii="Arial" w:hAnsi="Arial" w:cs="Arial"/>
          <w:lang w:eastAsia="cs-CZ"/>
        </w:rPr>
        <w:t>Hlavním městě Praze a Jihomoravském kraji, kladen je však větší důraz na bezpečnostní a</w:t>
      </w:r>
      <w:r w:rsidR="00DA0191">
        <w:rPr>
          <w:rFonts w:ascii="Arial" w:hAnsi="Arial" w:cs="Arial"/>
          <w:lang w:eastAsia="cs-CZ"/>
        </w:rPr>
        <w:t> </w:t>
      </w:r>
      <w:r w:rsidRPr="00BB383B">
        <w:rPr>
          <w:rFonts w:ascii="Arial" w:hAnsi="Arial" w:cs="Arial"/>
          <w:lang w:eastAsia="cs-CZ"/>
        </w:rPr>
        <w:t>zdravotnický výzkum (cca 1 mld. Kč) uplatňovaný ponejvíce v Hlavním městě Praze a na Energetiku (cca 0,8 mld. Kč), která je ponejvíce uplatňována v Hlavním městě Praze a Středočeském kraji.</w:t>
      </w:r>
    </w:p>
    <w:p w:rsidR="0069162C" w:rsidRDefault="0069162C" w:rsidP="0069162C">
      <w:pPr>
        <w:spacing w:line="360" w:lineRule="auto"/>
        <w:ind w:firstLine="357"/>
        <w:jc w:val="both"/>
        <w:rPr>
          <w:rFonts w:ascii="Arial" w:hAnsi="Arial" w:cs="Arial"/>
          <w:lang w:eastAsia="cs-CZ"/>
        </w:rPr>
        <w:sectPr w:rsidR="0069162C">
          <w:headerReference w:type="first" r:id="rId48"/>
          <w:footerReference w:type="first" r:id="rId49"/>
          <w:pgSz w:w="11906" w:h="16838"/>
          <w:pgMar w:top="1417" w:right="1417" w:bottom="1417" w:left="1417" w:header="708" w:footer="708" w:gutter="0"/>
          <w:cols w:space="708"/>
          <w:docGrid w:linePitch="360"/>
        </w:sectPr>
      </w:pPr>
    </w:p>
    <w:p w:rsidR="0069162C" w:rsidRDefault="0069162C" w:rsidP="0069162C">
      <w:pPr>
        <w:keepNext/>
        <w:spacing w:before="120" w:after="240" w:line="240" w:lineRule="auto"/>
        <w:rPr>
          <w:rFonts w:ascii="Arial" w:eastAsia="Times New Roman" w:hAnsi="Arial" w:cs="Times New Roman"/>
          <w:b/>
          <w:szCs w:val="24"/>
          <w:lang w:eastAsia="cs-CZ"/>
        </w:rPr>
      </w:pPr>
      <w:r>
        <w:rPr>
          <w:rFonts w:ascii="Arial" w:eastAsia="Times New Roman" w:hAnsi="Arial" w:cs="Times New Roman"/>
          <w:b/>
          <w:szCs w:val="24"/>
          <w:lang w:eastAsia="cs-CZ"/>
        </w:rPr>
        <w:lastRenderedPageBreak/>
        <w:t xml:space="preserve">Obrázek 4.2: </w:t>
      </w:r>
      <w:r w:rsidRPr="00B33B46">
        <w:rPr>
          <w:rFonts w:ascii="Arial" w:eastAsia="Times New Roman" w:hAnsi="Arial" w:cs="Times New Roman"/>
          <w:b/>
          <w:szCs w:val="24"/>
          <w:lang w:eastAsia="cs-CZ"/>
        </w:rPr>
        <w:t xml:space="preserve">Rozložení aplikačních odvětví (ekonomických specializací) </w:t>
      </w:r>
      <w:r w:rsidRPr="006A54E8">
        <w:rPr>
          <w:b/>
          <w:i/>
        </w:rPr>
        <w:t>–</w:t>
      </w:r>
      <w:r w:rsidRPr="00B33B46">
        <w:rPr>
          <w:rFonts w:ascii="Arial" w:eastAsia="Times New Roman" w:hAnsi="Arial" w:cs="Times New Roman"/>
          <w:b/>
          <w:szCs w:val="24"/>
          <w:lang w:eastAsia="cs-CZ"/>
        </w:rPr>
        <w:t xml:space="preserve"> operační programy</w:t>
      </w:r>
    </w:p>
    <w:p w:rsidR="0069162C" w:rsidRDefault="0069162C" w:rsidP="0069162C">
      <w:pPr>
        <w:keepNext/>
        <w:spacing w:before="120" w:after="240" w:line="240" w:lineRule="auto"/>
        <w:jc w:val="center"/>
      </w:pPr>
      <w:r>
        <w:rPr>
          <w:noProof/>
          <w:lang w:eastAsia="cs-CZ"/>
        </w:rPr>
        <w:drawing>
          <wp:inline distT="0" distB="0" distL="0" distR="0" wp14:anchorId="3EBF28F2" wp14:editId="46928F20">
            <wp:extent cx="7555467" cy="5126182"/>
            <wp:effectExtent l="0" t="0" r="7620" b="0"/>
            <wp:docPr id="3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0"/>
                    <a:srcRect l="998"/>
                    <a:stretch/>
                  </pic:blipFill>
                  <pic:spPr bwMode="auto">
                    <a:xfrm>
                      <a:off x="0" y="0"/>
                      <a:ext cx="7561778" cy="5130464"/>
                    </a:xfrm>
                    <a:prstGeom prst="rect">
                      <a:avLst/>
                    </a:prstGeom>
                    <a:ln>
                      <a:noFill/>
                    </a:ln>
                    <a:extLst>
                      <a:ext uri="{53640926-AAD7-44D8-BBD7-CCE9431645EC}">
                        <a14:shadowObscured xmlns:a14="http://schemas.microsoft.com/office/drawing/2010/main"/>
                      </a:ext>
                    </a:extLst>
                  </pic:spPr>
                </pic:pic>
              </a:graphicData>
            </a:graphic>
          </wp:inline>
        </w:drawing>
      </w:r>
    </w:p>
    <w:p w:rsidR="0069162C" w:rsidRPr="00640946" w:rsidRDefault="0069162C" w:rsidP="0069162C">
      <w:pPr>
        <w:pStyle w:val="Zdrojapoznmka"/>
      </w:pPr>
      <w:r>
        <w:t>Z</w:t>
      </w:r>
      <w:r w:rsidRPr="00640946">
        <w:t>droj: data ŘO OP; vlastní zpracování</w:t>
      </w:r>
    </w:p>
    <w:p w:rsidR="0069162C" w:rsidRDefault="0069162C" w:rsidP="0069162C">
      <w:pPr>
        <w:spacing w:line="360" w:lineRule="auto"/>
        <w:ind w:firstLine="357"/>
        <w:jc w:val="both"/>
        <w:sectPr w:rsidR="0069162C" w:rsidSect="0086009A">
          <w:pgSz w:w="16838" w:h="11906" w:orient="landscape"/>
          <w:pgMar w:top="1417" w:right="1417" w:bottom="1417" w:left="1417" w:header="708" w:footer="708" w:gutter="0"/>
          <w:cols w:space="708"/>
          <w:docGrid w:linePitch="360"/>
        </w:sectPr>
      </w:pPr>
    </w:p>
    <w:p w:rsidR="0069162C" w:rsidRDefault="0069162C" w:rsidP="0069162C">
      <w:pPr>
        <w:keepNext/>
        <w:spacing w:before="120" w:after="240" w:line="240" w:lineRule="auto"/>
        <w:jc w:val="both"/>
        <w:rPr>
          <w:rFonts w:ascii="Arial" w:eastAsia="Times New Roman" w:hAnsi="Arial" w:cs="Times New Roman"/>
          <w:b/>
          <w:szCs w:val="24"/>
          <w:lang w:eastAsia="cs-CZ"/>
        </w:rPr>
      </w:pPr>
      <w:r>
        <w:rPr>
          <w:rFonts w:ascii="Arial" w:eastAsia="Times New Roman" w:hAnsi="Arial" w:cs="Times New Roman"/>
          <w:b/>
          <w:szCs w:val="24"/>
          <w:lang w:eastAsia="cs-CZ"/>
        </w:rPr>
        <w:lastRenderedPageBreak/>
        <w:t xml:space="preserve">Obrázek 4.3: </w:t>
      </w:r>
      <w:r w:rsidRPr="00640946">
        <w:rPr>
          <w:rFonts w:ascii="Arial" w:eastAsia="Times New Roman" w:hAnsi="Arial" w:cs="Times New Roman"/>
          <w:b/>
          <w:szCs w:val="24"/>
          <w:lang w:eastAsia="cs-CZ"/>
        </w:rPr>
        <w:t>Krajsky specifická aplikační odvětví (ekonomické specializace)</w:t>
      </w:r>
    </w:p>
    <w:p w:rsidR="0069162C" w:rsidRDefault="0069162C" w:rsidP="00EA622F">
      <w:pPr>
        <w:spacing w:line="360" w:lineRule="auto"/>
        <w:ind w:firstLine="357"/>
      </w:pPr>
      <w:r>
        <w:rPr>
          <w:noProof/>
          <w:lang w:eastAsia="cs-CZ"/>
        </w:rPr>
        <w:drawing>
          <wp:inline distT="0" distB="0" distL="0" distR="0" wp14:anchorId="7F8995D7" wp14:editId="5C46436D">
            <wp:extent cx="5493328" cy="4537363"/>
            <wp:effectExtent l="0" t="0" r="0" b="0"/>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kap_09_g3.PNG"/>
                    <pic:cNvPicPr/>
                  </pic:nvPicPr>
                  <pic:blipFill rotWithShape="1">
                    <a:blip r:embed="rId51">
                      <a:extLst>
                        <a:ext uri="{28A0092B-C50C-407E-A947-70E740481C1C}">
                          <a14:useLocalDpi xmlns:a14="http://schemas.microsoft.com/office/drawing/2010/main" val="0"/>
                        </a:ext>
                      </a:extLst>
                    </a:blip>
                    <a:srcRect l="1323" r="1924"/>
                    <a:stretch/>
                  </pic:blipFill>
                  <pic:spPr bwMode="auto">
                    <a:xfrm>
                      <a:off x="0" y="0"/>
                      <a:ext cx="5493328" cy="4537363"/>
                    </a:xfrm>
                    <a:prstGeom prst="rect">
                      <a:avLst/>
                    </a:prstGeom>
                    <a:ln>
                      <a:noFill/>
                    </a:ln>
                    <a:extLst>
                      <a:ext uri="{53640926-AAD7-44D8-BBD7-CCE9431645EC}">
                        <a14:shadowObscured xmlns:a14="http://schemas.microsoft.com/office/drawing/2010/main"/>
                      </a:ext>
                    </a:extLst>
                  </pic:spPr>
                </pic:pic>
              </a:graphicData>
            </a:graphic>
          </wp:inline>
        </w:drawing>
      </w:r>
    </w:p>
    <w:p w:rsidR="0069162C" w:rsidRDefault="0069162C" w:rsidP="0069162C">
      <w:pPr>
        <w:pStyle w:val="Zdrojapoznmka"/>
      </w:pPr>
      <w:r>
        <w:t>Z</w:t>
      </w:r>
      <w:r w:rsidRPr="00640946">
        <w:t>droj:</w:t>
      </w:r>
      <w:r>
        <w:t xml:space="preserve"> data ŘO OP; vlastní zpracování</w:t>
      </w:r>
    </w:p>
    <w:p w:rsidR="00EA622F" w:rsidRPr="00640946" w:rsidRDefault="00EA622F" w:rsidP="0069162C">
      <w:pPr>
        <w:pStyle w:val="Zdrojapoznmka"/>
      </w:pPr>
    </w:p>
    <w:p w:rsidR="0069162C" w:rsidRDefault="0069162C" w:rsidP="0069162C">
      <w:pPr>
        <w:spacing w:after="0" w:line="360" w:lineRule="auto"/>
        <w:ind w:firstLine="709"/>
        <w:jc w:val="both"/>
        <w:rPr>
          <w:rFonts w:ascii="Arial" w:eastAsia="Times New Roman" w:hAnsi="Arial" w:cs="Arial"/>
          <w:color w:val="000000" w:themeColor="text1"/>
          <w:lang w:eastAsia="cs-CZ"/>
        </w:rPr>
      </w:pPr>
      <w:r w:rsidRPr="001E4881">
        <w:rPr>
          <w:rFonts w:ascii="Arial" w:eastAsia="Times New Roman" w:hAnsi="Arial" w:cs="Arial"/>
          <w:color w:val="000000" w:themeColor="text1"/>
          <w:lang w:eastAsia="cs-CZ"/>
        </w:rPr>
        <w:t xml:space="preserve">V oblasti krajsky specifických aplikačních odvětví </w:t>
      </w:r>
      <w:r>
        <w:rPr>
          <w:rFonts w:ascii="Arial" w:eastAsia="Times New Roman" w:hAnsi="Arial" w:cs="Arial"/>
          <w:color w:val="000000" w:themeColor="text1"/>
          <w:lang w:eastAsia="cs-CZ"/>
        </w:rPr>
        <w:t>obrázek 4.3</w:t>
      </w:r>
      <w:r w:rsidRPr="001E4881">
        <w:rPr>
          <w:rFonts w:ascii="Arial" w:eastAsia="Times New Roman" w:hAnsi="Arial" w:cs="Arial"/>
          <w:color w:val="000000" w:themeColor="text1"/>
          <w:lang w:eastAsia="cs-CZ"/>
        </w:rPr>
        <w:t xml:space="preserve"> naznačuje, že </w:t>
      </w:r>
      <w:r w:rsidRPr="006A54E8">
        <w:rPr>
          <w:rFonts w:ascii="Arial" w:eastAsia="Times New Roman" w:hAnsi="Arial" w:cs="Arial"/>
          <w:color w:val="000000" w:themeColor="text1"/>
          <w:lang w:eastAsia="cs-CZ"/>
        </w:rPr>
        <w:t>Gumárenství a plastikářství</w:t>
      </w:r>
      <w:r w:rsidRPr="001E4881">
        <w:rPr>
          <w:rFonts w:ascii="Arial" w:eastAsia="Times New Roman" w:hAnsi="Arial" w:cs="Arial"/>
          <w:color w:val="000000" w:themeColor="text1"/>
          <w:lang w:eastAsia="cs-CZ"/>
        </w:rPr>
        <w:t xml:space="preserve"> se </w:t>
      </w:r>
      <w:r>
        <w:rPr>
          <w:rFonts w:ascii="Arial" w:eastAsia="Times New Roman" w:hAnsi="Arial" w:cs="Arial"/>
          <w:color w:val="000000" w:themeColor="text1"/>
          <w:lang w:eastAsia="cs-CZ"/>
        </w:rPr>
        <w:t xml:space="preserve">v projektech operačních programů navázaných na </w:t>
      </w:r>
      <w:r w:rsidRPr="006A54E8">
        <w:rPr>
          <w:rFonts w:ascii="Arial" w:eastAsia="Times New Roman" w:hAnsi="Arial" w:cs="Arial"/>
          <w:i/>
          <w:color w:val="000000" w:themeColor="text1"/>
          <w:lang w:eastAsia="cs-CZ"/>
        </w:rPr>
        <w:t>Národní RIS3 strategii</w:t>
      </w:r>
      <w:r>
        <w:rPr>
          <w:rFonts w:ascii="Arial" w:eastAsia="Times New Roman" w:hAnsi="Arial" w:cs="Arial"/>
          <w:color w:val="000000" w:themeColor="text1"/>
          <w:lang w:eastAsia="cs-CZ"/>
        </w:rPr>
        <w:t xml:space="preserve"> </w:t>
      </w:r>
      <w:r w:rsidRPr="001E4881">
        <w:rPr>
          <w:rFonts w:ascii="Arial" w:eastAsia="Times New Roman" w:hAnsi="Arial" w:cs="Arial"/>
          <w:color w:val="000000" w:themeColor="text1"/>
          <w:lang w:eastAsia="cs-CZ"/>
        </w:rPr>
        <w:t>ponejvíce uplatňuje ve Středočeském</w:t>
      </w:r>
      <w:r>
        <w:rPr>
          <w:rFonts w:ascii="Arial" w:eastAsia="Times New Roman" w:hAnsi="Arial" w:cs="Arial"/>
          <w:color w:val="000000" w:themeColor="text1"/>
          <w:lang w:eastAsia="cs-CZ"/>
        </w:rPr>
        <w:t xml:space="preserve"> (0,46 mld. Kč)</w:t>
      </w:r>
      <w:r w:rsidRPr="001E4881">
        <w:rPr>
          <w:rFonts w:ascii="Arial" w:eastAsia="Times New Roman" w:hAnsi="Arial" w:cs="Arial"/>
          <w:color w:val="000000" w:themeColor="text1"/>
          <w:lang w:eastAsia="cs-CZ"/>
        </w:rPr>
        <w:t>, Jihomoravském</w:t>
      </w:r>
      <w:r>
        <w:rPr>
          <w:rFonts w:ascii="Arial" w:eastAsia="Times New Roman" w:hAnsi="Arial" w:cs="Arial"/>
          <w:color w:val="000000" w:themeColor="text1"/>
          <w:lang w:eastAsia="cs-CZ"/>
        </w:rPr>
        <w:t xml:space="preserve"> (0,33 mld. Kč)</w:t>
      </w:r>
      <w:r w:rsidRPr="001E4881">
        <w:rPr>
          <w:rFonts w:ascii="Arial" w:eastAsia="Times New Roman" w:hAnsi="Arial" w:cs="Arial"/>
          <w:color w:val="000000" w:themeColor="text1"/>
          <w:lang w:eastAsia="cs-CZ"/>
        </w:rPr>
        <w:t>, Plzeňském</w:t>
      </w:r>
      <w:r>
        <w:rPr>
          <w:rFonts w:ascii="Arial" w:eastAsia="Times New Roman" w:hAnsi="Arial" w:cs="Arial"/>
          <w:color w:val="000000" w:themeColor="text1"/>
          <w:lang w:eastAsia="cs-CZ"/>
        </w:rPr>
        <w:t xml:space="preserve"> (0,22 mld. Kč)</w:t>
      </w:r>
      <w:r w:rsidRPr="001E4881">
        <w:rPr>
          <w:rFonts w:ascii="Arial" w:eastAsia="Times New Roman" w:hAnsi="Arial" w:cs="Arial"/>
          <w:color w:val="000000" w:themeColor="text1"/>
          <w:lang w:eastAsia="cs-CZ"/>
        </w:rPr>
        <w:t xml:space="preserve"> a</w:t>
      </w:r>
      <w:r>
        <w:rPr>
          <w:rFonts w:ascii="Arial" w:eastAsia="Times New Roman" w:hAnsi="Arial" w:cs="Arial"/>
          <w:color w:val="000000" w:themeColor="text1"/>
          <w:lang w:eastAsia="cs-CZ"/>
        </w:rPr>
        <w:t> </w:t>
      </w:r>
      <w:r w:rsidRPr="001E4881">
        <w:rPr>
          <w:rFonts w:ascii="Arial" w:eastAsia="Times New Roman" w:hAnsi="Arial" w:cs="Arial"/>
          <w:color w:val="000000" w:themeColor="text1"/>
          <w:lang w:eastAsia="cs-CZ"/>
        </w:rPr>
        <w:t>Olomouckém kraji</w:t>
      </w:r>
      <w:r>
        <w:rPr>
          <w:rFonts w:ascii="Arial" w:eastAsia="Times New Roman" w:hAnsi="Arial" w:cs="Arial"/>
          <w:color w:val="000000" w:themeColor="text1"/>
          <w:lang w:eastAsia="cs-CZ"/>
        </w:rPr>
        <w:t xml:space="preserve"> (0,21 mld. Kč). Dále </w:t>
      </w:r>
      <w:r w:rsidRPr="001E4881">
        <w:rPr>
          <w:rFonts w:ascii="Arial" w:eastAsia="Times New Roman" w:hAnsi="Arial" w:cs="Arial"/>
          <w:color w:val="000000" w:themeColor="text1"/>
          <w:lang w:eastAsia="cs-CZ"/>
        </w:rPr>
        <w:t xml:space="preserve">odvětví </w:t>
      </w:r>
      <w:r w:rsidRPr="006A54E8">
        <w:rPr>
          <w:rFonts w:ascii="Arial" w:eastAsia="Times New Roman" w:hAnsi="Arial" w:cs="Arial"/>
          <w:color w:val="000000" w:themeColor="text1"/>
          <w:lang w:eastAsia="cs-CZ"/>
        </w:rPr>
        <w:t>Chemie a chemický průmysl</w:t>
      </w:r>
      <w:r>
        <w:rPr>
          <w:rFonts w:ascii="Arial" w:eastAsia="Times New Roman" w:hAnsi="Arial" w:cs="Arial"/>
          <w:color w:val="000000" w:themeColor="text1"/>
          <w:lang w:eastAsia="cs-CZ"/>
        </w:rPr>
        <w:t xml:space="preserve">, </w:t>
      </w:r>
      <w:r w:rsidRPr="001E4881">
        <w:rPr>
          <w:rFonts w:ascii="Arial" w:eastAsia="Times New Roman" w:hAnsi="Arial" w:cs="Arial"/>
          <w:color w:val="000000" w:themeColor="text1"/>
          <w:lang w:eastAsia="cs-CZ"/>
        </w:rPr>
        <w:t>které má ze všech specifických odvětví nejslabší podporu</w:t>
      </w:r>
      <w:r>
        <w:rPr>
          <w:rFonts w:ascii="Arial" w:eastAsia="Times New Roman" w:hAnsi="Arial" w:cs="Arial"/>
          <w:color w:val="000000" w:themeColor="text1"/>
          <w:lang w:eastAsia="cs-CZ"/>
        </w:rPr>
        <w:t>,</w:t>
      </w:r>
      <w:r w:rsidRPr="001E4881">
        <w:rPr>
          <w:rFonts w:ascii="Arial" w:eastAsia="Times New Roman" w:hAnsi="Arial" w:cs="Arial"/>
          <w:color w:val="000000" w:themeColor="text1"/>
          <w:lang w:eastAsia="cs-CZ"/>
        </w:rPr>
        <w:t xml:space="preserve"> </w:t>
      </w:r>
      <w:r>
        <w:rPr>
          <w:rFonts w:ascii="Arial" w:eastAsia="Times New Roman" w:hAnsi="Arial" w:cs="Arial"/>
          <w:color w:val="000000" w:themeColor="text1"/>
          <w:lang w:eastAsia="cs-CZ"/>
        </w:rPr>
        <w:t xml:space="preserve">se uplatňuje </w:t>
      </w:r>
      <w:r w:rsidRPr="001E4881">
        <w:rPr>
          <w:rFonts w:ascii="Arial" w:eastAsia="Times New Roman" w:hAnsi="Arial" w:cs="Arial"/>
          <w:color w:val="000000" w:themeColor="text1"/>
          <w:lang w:eastAsia="cs-CZ"/>
        </w:rPr>
        <w:t>v</w:t>
      </w:r>
      <w:r>
        <w:rPr>
          <w:rFonts w:ascii="Arial" w:eastAsia="Times New Roman" w:hAnsi="Arial" w:cs="Arial"/>
          <w:color w:val="000000" w:themeColor="text1"/>
          <w:lang w:eastAsia="cs-CZ"/>
        </w:rPr>
        <w:t> </w:t>
      </w:r>
      <w:r w:rsidRPr="001E4881">
        <w:rPr>
          <w:rFonts w:ascii="Arial" w:eastAsia="Times New Roman" w:hAnsi="Arial" w:cs="Arial"/>
          <w:color w:val="000000" w:themeColor="text1"/>
          <w:lang w:eastAsia="cs-CZ"/>
        </w:rPr>
        <w:t>Ústeckém kraji</w:t>
      </w:r>
      <w:r>
        <w:rPr>
          <w:rFonts w:ascii="Arial" w:eastAsia="Times New Roman" w:hAnsi="Arial" w:cs="Arial"/>
          <w:color w:val="000000" w:themeColor="text1"/>
          <w:lang w:eastAsia="cs-CZ"/>
        </w:rPr>
        <w:t xml:space="preserve"> (0,22 mld. Kč)</w:t>
      </w:r>
      <w:r w:rsidRPr="001E4881">
        <w:rPr>
          <w:rFonts w:ascii="Arial" w:eastAsia="Times New Roman" w:hAnsi="Arial" w:cs="Arial"/>
          <w:color w:val="000000" w:themeColor="text1"/>
          <w:lang w:eastAsia="cs-CZ"/>
        </w:rPr>
        <w:t>,</w:t>
      </w:r>
      <w:r>
        <w:rPr>
          <w:rFonts w:ascii="Arial" w:eastAsia="Times New Roman" w:hAnsi="Arial" w:cs="Arial"/>
          <w:color w:val="000000" w:themeColor="text1"/>
          <w:lang w:eastAsia="cs-CZ"/>
        </w:rPr>
        <w:t xml:space="preserve"> odvětví </w:t>
      </w:r>
      <w:r w:rsidRPr="006A54E8">
        <w:rPr>
          <w:rFonts w:ascii="Arial" w:eastAsia="Times New Roman" w:hAnsi="Arial" w:cs="Arial"/>
          <w:color w:val="000000" w:themeColor="text1"/>
          <w:lang w:eastAsia="cs-CZ"/>
        </w:rPr>
        <w:t>Sklářství a keramika</w:t>
      </w:r>
      <w:r w:rsidRPr="001E4881">
        <w:rPr>
          <w:rFonts w:ascii="Arial" w:eastAsia="Times New Roman" w:hAnsi="Arial" w:cs="Arial"/>
          <w:color w:val="000000" w:themeColor="text1"/>
          <w:lang w:eastAsia="cs-CZ"/>
        </w:rPr>
        <w:t xml:space="preserve"> </w:t>
      </w:r>
      <w:r>
        <w:rPr>
          <w:rFonts w:ascii="Arial" w:eastAsia="Times New Roman" w:hAnsi="Arial" w:cs="Arial"/>
          <w:color w:val="000000" w:themeColor="text1"/>
          <w:lang w:eastAsia="cs-CZ"/>
        </w:rPr>
        <w:t xml:space="preserve">v Libereckém (0,19 mld. Kč) a </w:t>
      </w:r>
      <w:r w:rsidRPr="001E4881">
        <w:rPr>
          <w:rFonts w:ascii="Arial" w:eastAsia="Times New Roman" w:hAnsi="Arial" w:cs="Arial"/>
          <w:color w:val="000000" w:themeColor="text1"/>
          <w:lang w:eastAsia="cs-CZ"/>
        </w:rPr>
        <w:t>ve Zlínském kraji</w:t>
      </w:r>
      <w:r>
        <w:rPr>
          <w:rFonts w:ascii="Arial" w:eastAsia="Times New Roman" w:hAnsi="Arial" w:cs="Arial"/>
          <w:color w:val="000000" w:themeColor="text1"/>
          <w:lang w:eastAsia="cs-CZ"/>
        </w:rPr>
        <w:t xml:space="preserve"> (0,14 mld. Kč), </w:t>
      </w:r>
      <w:r w:rsidRPr="006A54E8">
        <w:rPr>
          <w:rFonts w:ascii="Arial" w:eastAsia="Times New Roman" w:hAnsi="Arial" w:cs="Arial"/>
          <w:color w:val="000000" w:themeColor="text1"/>
          <w:lang w:eastAsia="cs-CZ"/>
        </w:rPr>
        <w:t>Textil</w:t>
      </w:r>
      <w:r w:rsidRPr="00C82B8E">
        <w:rPr>
          <w:rFonts w:ascii="Arial" w:eastAsia="Times New Roman" w:hAnsi="Arial" w:cs="Arial"/>
          <w:color w:val="000000" w:themeColor="text1"/>
          <w:lang w:eastAsia="cs-CZ"/>
        </w:rPr>
        <w:t xml:space="preserve"> </w:t>
      </w:r>
      <w:r w:rsidRPr="001E4881">
        <w:rPr>
          <w:rFonts w:ascii="Arial" w:eastAsia="Times New Roman" w:hAnsi="Arial" w:cs="Arial"/>
          <w:color w:val="000000" w:themeColor="text1"/>
          <w:lang w:eastAsia="cs-CZ"/>
        </w:rPr>
        <w:t>v</w:t>
      </w:r>
      <w:r>
        <w:rPr>
          <w:rFonts w:ascii="Arial" w:eastAsia="Times New Roman" w:hAnsi="Arial" w:cs="Arial"/>
          <w:color w:val="000000" w:themeColor="text1"/>
          <w:lang w:eastAsia="cs-CZ"/>
        </w:rPr>
        <w:t> </w:t>
      </w:r>
      <w:r w:rsidRPr="001E4881">
        <w:rPr>
          <w:rFonts w:ascii="Arial" w:eastAsia="Times New Roman" w:hAnsi="Arial" w:cs="Arial"/>
          <w:color w:val="000000" w:themeColor="text1"/>
          <w:lang w:eastAsia="cs-CZ"/>
        </w:rPr>
        <w:t>Jihočeském</w:t>
      </w:r>
      <w:r>
        <w:rPr>
          <w:rFonts w:ascii="Arial" w:eastAsia="Times New Roman" w:hAnsi="Arial" w:cs="Arial"/>
          <w:color w:val="000000" w:themeColor="text1"/>
          <w:lang w:eastAsia="cs-CZ"/>
        </w:rPr>
        <w:t xml:space="preserve"> (0,39 mld. Kč)</w:t>
      </w:r>
      <w:r w:rsidRPr="001E4881">
        <w:rPr>
          <w:rFonts w:ascii="Arial" w:eastAsia="Times New Roman" w:hAnsi="Arial" w:cs="Arial"/>
          <w:color w:val="000000" w:themeColor="text1"/>
          <w:lang w:eastAsia="cs-CZ"/>
        </w:rPr>
        <w:t xml:space="preserve">, Jihomoravském </w:t>
      </w:r>
      <w:r>
        <w:rPr>
          <w:rFonts w:ascii="Arial" w:eastAsia="Times New Roman" w:hAnsi="Arial" w:cs="Arial"/>
          <w:color w:val="000000" w:themeColor="text1"/>
          <w:lang w:eastAsia="cs-CZ"/>
        </w:rPr>
        <w:t xml:space="preserve">(0,30 mld. Kč) </w:t>
      </w:r>
      <w:r w:rsidRPr="001E4881">
        <w:rPr>
          <w:rFonts w:ascii="Arial" w:eastAsia="Times New Roman" w:hAnsi="Arial" w:cs="Arial"/>
          <w:color w:val="000000" w:themeColor="text1"/>
          <w:lang w:eastAsia="cs-CZ"/>
        </w:rPr>
        <w:t>a</w:t>
      </w:r>
      <w:r>
        <w:rPr>
          <w:rFonts w:ascii="Arial" w:eastAsia="Times New Roman" w:hAnsi="Arial" w:cs="Arial"/>
          <w:color w:val="000000" w:themeColor="text1"/>
          <w:lang w:eastAsia="cs-CZ"/>
        </w:rPr>
        <w:t> </w:t>
      </w:r>
      <w:r w:rsidRPr="001E4881">
        <w:rPr>
          <w:rFonts w:ascii="Arial" w:eastAsia="Times New Roman" w:hAnsi="Arial" w:cs="Arial"/>
          <w:color w:val="000000" w:themeColor="text1"/>
          <w:lang w:eastAsia="cs-CZ"/>
        </w:rPr>
        <w:t xml:space="preserve">Libereckém kraji </w:t>
      </w:r>
      <w:r>
        <w:rPr>
          <w:rFonts w:ascii="Arial" w:eastAsia="Times New Roman" w:hAnsi="Arial" w:cs="Arial"/>
          <w:color w:val="000000" w:themeColor="text1"/>
          <w:lang w:eastAsia="cs-CZ"/>
        </w:rPr>
        <w:t>(0,20 mld. Kč).</w:t>
      </w:r>
    </w:p>
    <w:p w:rsidR="005F5A7B" w:rsidRPr="005F5A7B" w:rsidRDefault="0069162C" w:rsidP="0069162C">
      <w:pPr>
        <w:spacing w:after="0" w:line="360" w:lineRule="auto"/>
        <w:ind w:firstLine="709"/>
        <w:jc w:val="both"/>
        <w:rPr>
          <w:rFonts w:ascii="Arial" w:eastAsia="Times New Roman" w:hAnsi="Arial" w:cs="Arial"/>
          <w:lang w:eastAsia="cs-CZ"/>
        </w:rPr>
      </w:pPr>
      <w:r>
        <w:rPr>
          <w:rFonts w:ascii="Arial" w:eastAsia="Times New Roman" w:hAnsi="Arial" w:cs="Arial"/>
          <w:color w:val="000000" w:themeColor="text1"/>
          <w:lang w:eastAsia="cs-CZ"/>
        </w:rPr>
        <w:t>U </w:t>
      </w:r>
      <w:r w:rsidRPr="001E4881">
        <w:rPr>
          <w:rFonts w:ascii="Arial" w:eastAsia="Times New Roman" w:hAnsi="Arial" w:cs="Arial"/>
          <w:color w:val="000000" w:themeColor="text1"/>
          <w:lang w:eastAsia="cs-CZ"/>
        </w:rPr>
        <w:t xml:space="preserve">národních programů podpory </w:t>
      </w:r>
      <w:r>
        <w:rPr>
          <w:rFonts w:ascii="Arial" w:eastAsia="Times New Roman" w:hAnsi="Arial" w:cs="Arial"/>
          <w:color w:val="000000" w:themeColor="text1"/>
          <w:lang w:eastAsia="cs-CZ"/>
        </w:rPr>
        <w:t>je výrazněji zastoupeno pouze odvětví</w:t>
      </w:r>
      <w:r w:rsidRPr="001E4881">
        <w:rPr>
          <w:rFonts w:ascii="Arial" w:eastAsia="Times New Roman" w:hAnsi="Arial" w:cs="Arial"/>
          <w:color w:val="000000" w:themeColor="text1"/>
          <w:lang w:eastAsia="cs-CZ"/>
        </w:rPr>
        <w:t xml:space="preserve"> </w:t>
      </w:r>
      <w:r w:rsidRPr="006A54E8">
        <w:rPr>
          <w:rFonts w:ascii="Arial" w:eastAsia="Times New Roman" w:hAnsi="Arial" w:cs="Arial"/>
          <w:color w:val="000000" w:themeColor="text1"/>
          <w:lang w:eastAsia="cs-CZ"/>
        </w:rPr>
        <w:t>Chemie a chemický průmysl</w:t>
      </w:r>
      <w:r>
        <w:rPr>
          <w:rFonts w:ascii="Arial" w:eastAsia="Times New Roman" w:hAnsi="Arial" w:cs="Arial"/>
          <w:color w:val="000000" w:themeColor="text1"/>
          <w:lang w:eastAsia="cs-CZ"/>
        </w:rPr>
        <w:t xml:space="preserve">, a to v Hlavním městě Praze (0,21 mld. Kč), </w:t>
      </w:r>
      <w:r w:rsidRPr="001E4881">
        <w:rPr>
          <w:rFonts w:ascii="Arial" w:eastAsia="Times New Roman" w:hAnsi="Arial" w:cs="Arial"/>
          <w:color w:val="000000" w:themeColor="text1"/>
          <w:lang w:eastAsia="cs-CZ"/>
        </w:rPr>
        <w:t xml:space="preserve">Středočeském </w:t>
      </w:r>
      <w:r>
        <w:rPr>
          <w:rFonts w:ascii="Arial" w:eastAsia="Times New Roman" w:hAnsi="Arial" w:cs="Arial"/>
          <w:color w:val="000000" w:themeColor="text1"/>
          <w:lang w:eastAsia="cs-CZ"/>
        </w:rPr>
        <w:t xml:space="preserve">(0,10 mld. Kč), Zlínském (0,09 mld. Kč) </w:t>
      </w:r>
      <w:r w:rsidRPr="001E4881">
        <w:rPr>
          <w:rFonts w:ascii="Arial" w:eastAsia="Times New Roman" w:hAnsi="Arial" w:cs="Arial"/>
          <w:color w:val="000000" w:themeColor="text1"/>
          <w:lang w:eastAsia="cs-CZ"/>
        </w:rPr>
        <w:t>a Pardubickém kraji</w:t>
      </w:r>
      <w:r>
        <w:rPr>
          <w:rFonts w:ascii="Arial" w:eastAsia="Times New Roman" w:hAnsi="Arial" w:cs="Arial"/>
          <w:color w:val="000000" w:themeColor="text1"/>
          <w:lang w:eastAsia="cs-CZ"/>
        </w:rPr>
        <w:t xml:space="preserve"> (0,06 mld. Kč)</w:t>
      </w:r>
      <w:r w:rsidRPr="001E4881">
        <w:rPr>
          <w:rFonts w:ascii="Arial" w:eastAsia="Times New Roman" w:hAnsi="Arial" w:cs="Arial"/>
          <w:color w:val="000000" w:themeColor="text1"/>
          <w:lang w:eastAsia="cs-CZ"/>
        </w:rPr>
        <w:t>.</w:t>
      </w:r>
    </w:p>
    <w:p w:rsidR="000C39F7" w:rsidRDefault="000C39F7">
      <w:pPr>
        <w:rPr>
          <w:rFonts w:ascii="Arial" w:eastAsia="Times New Roman" w:hAnsi="Arial" w:cs="Arial"/>
          <w:lang w:eastAsia="cs-CZ"/>
        </w:rPr>
      </w:pPr>
      <w:r>
        <w:rPr>
          <w:rFonts w:ascii="Arial" w:eastAsia="Times New Roman" w:hAnsi="Arial" w:cs="Arial"/>
          <w:lang w:eastAsia="cs-CZ"/>
        </w:rPr>
        <w:br w:type="page"/>
      </w:r>
    </w:p>
    <w:p w:rsidR="006338C7" w:rsidRDefault="006338C7" w:rsidP="00CD1C40">
      <w:pPr>
        <w:pStyle w:val="NadpisurovenI"/>
        <w:numPr>
          <w:ilvl w:val="0"/>
          <w:numId w:val="33"/>
        </w:numPr>
        <w:jc w:val="both"/>
      </w:pPr>
      <w:bookmarkStart w:id="31" w:name="_Toc427676898"/>
      <w:bookmarkStart w:id="32" w:name="_Toc529974114"/>
      <w:r w:rsidRPr="00DA3248">
        <w:lastRenderedPageBreak/>
        <w:t>Lidské zdroje ve výzkumu a vývoji</w:t>
      </w:r>
      <w:bookmarkEnd w:id="31"/>
      <w:bookmarkEnd w:id="32"/>
    </w:p>
    <w:p w:rsidR="005F5A7B" w:rsidRPr="005F5A7B" w:rsidRDefault="005F5A7B" w:rsidP="005F5A7B">
      <w:pPr>
        <w:spacing w:after="0" w:line="360" w:lineRule="auto"/>
        <w:ind w:firstLine="708"/>
        <w:jc w:val="both"/>
        <w:rPr>
          <w:rFonts w:ascii="Arial" w:eastAsia="Times New Roman" w:hAnsi="Arial" w:cs="Arial"/>
          <w:lang w:eastAsia="cs-CZ"/>
        </w:rPr>
      </w:pPr>
    </w:p>
    <w:p w:rsidR="00385CFC" w:rsidRDefault="00385CFC" w:rsidP="00CD1C40">
      <w:pPr>
        <w:pStyle w:val="NadpisurovemII"/>
        <w:numPr>
          <w:ilvl w:val="1"/>
          <w:numId w:val="33"/>
        </w:numPr>
        <w:ind w:hanging="792"/>
        <w:jc w:val="both"/>
        <w:rPr>
          <w:rFonts w:eastAsia="Times New Roman"/>
        </w:rPr>
      </w:pPr>
      <w:bookmarkStart w:id="33" w:name="_Toc529974115"/>
      <w:r w:rsidRPr="00CD1C40">
        <w:rPr>
          <w:rFonts w:eastAsia="Times New Roman"/>
        </w:rPr>
        <w:t>Počty osob zaměstnaných ve výzkumu a vývoji</w:t>
      </w:r>
      <w:bookmarkEnd w:id="33"/>
    </w:p>
    <w:p w:rsidR="00CD1C40" w:rsidRPr="00CD1C40" w:rsidRDefault="00CD1C40" w:rsidP="00CD1C40">
      <w:pPr>
        <w:spacing w:after="0" w:line="360" w:lineRule="auto"/>
        <w:ind w:firstLine="708"/>
        <w:jc w:val="both"/>
        <w:rPr>
          <w:rFonts w:ascii="Arial" w:eastAsia="Times New Roman" w:hAnsi="Arial" w:cs="Arial"/>
          <w:lang w:eastAsia="cs-CZ"/>
        </w:rPr>
      </w:pPr>
    </w:p>
    <w:p w:rsidR="00FC158E" w:rsidRDefault="00FC158E" w:rsidP="00CD1C40">
      <w:pPr>
        <w:pStyle w:val="NadpisurovemII"/>
        <w:numPr>
          <w:ilvl w:val="1"/>
          <w:numId w:val="33"/>
        </w:numPr>
        <w:ind w:hanging="792"/>
        <w:jc w:val="both"/>
        <w:rPr>
          <w:rFonts w:eastAsia="Times New Roman"/>
        </w:rPr>
      </w:pPr>
      <w:bookmarkStart w:id="34" w:name="_Toc529974116"/>
      <w:r w:rsidRPr="00CD1C40">
        <w:rPr>
          <w:rFonts w:eastAsia="Times New Roman"/>
        </w:rPr>
        <w:t>Počty výzkumných pracovníků</w:t>
      </w:r>
      <w:bookmarkEnd w:id="34"/>
    </w:p>
    <w:p w:rsidR="00CD1C40" w:rsidRPr="00CD1C40" w:rsidRDefault="00CD1C40" w:rsidP="00CD1C40">
      <w:pPr>
        <w:spacing w:after="0" w:line="360" w:lineRule="auto"/>
        <w:ind w:firstLine="708"/>
        <w:jc w:val="both"/>
        <w:rPr>
          <w:rFonts w:ascii="Arial" w:eastAsia="Times New Roman" w:hAnsi="Arial" w:cs="Arial"/>
          <w:lang w:eastAsia="cs-CZ"/>
        </w:rPr>
      </w:pPr>
    </w:p>
    <w:p w:rsidR="00D91D9B" w:rsidRDefault="00D91D9B" w:rsidP="00CD1C40">
      <w:pPr>
        <w:pStyle w:val="NadpisurovemII"/>
        <w:numPr>
          <w:ilvl w:val="1"/>
          <w:numId w:val="33"/>
        </w:numPr>
        <w:ind w:hanging="792"/>
        <w:jc w:val="both"/>
        <w:rPr>
          <w:rFonts w:eastAsia="Times New Roman"/>
        </w:rPr>
      </w:pPr>
      <w:bookmarkStart w:id="35" w:name="_Toc468439695"/>
      <w:bookmarkStart w:id="36" w:name="_Toc529974117"/>
      <w:r w:rsidRPr="00CD1C40">
        <w:rPr>
          <w:rFonts w:eastAsia="Times New Roman"/>
        </w:rPr>
        <w:t>Výzkumní pracovníci ve vazbě na obor dosaženého vzdělání</w:t>
      </w:r>
      <w:bookmarkEnd w:id="35"/>
      <w:bookmarkEnd w:id="36"/>
    </w:p>
    <w:p w:rsidR="00CD1C40" w:rsidRPr="00CD1C40" w:rsidRDefault="00CD1C40" w:rsidP="00CD1C40">
      <w:pPr>
        <w:spacing w:after="0" w:line="360" w:lineRule="auto"/>
        <w:ind w:firstLine="708"/>
        <w:jc w:val="both"/>
        <w:rPr>
          <w:rFonts w:ascii="Arial" w:eastAsia="Times New Roman" w:hAnsi="Arial" w:cs="Arial"/>
          <w:lang w:eastAsia="cs-CZ"/>
        </w:rPr>
      </w:pPr>
    </w:p>
    <w:p w:rsidR="00FC158E" w:rsidRDefault="00D91D9B" w:rsidP="00CD1C40">
      <w:pPr>
        <w:pStyle w:val="NadpisurovemII"/>
        <w:numPr>
          <w:ilvl w:val="1"/>
          <w:numId w:val="33"/>
        </w:numPr>
        <w:ind w:hanging="792"/>
        <w:jc w:val="both"/>
        <w:rPr>
          <w:rFonts w:eastAsia="Times New Roman"/>
        </w:rPr>
      </w:pPr>
      <w:bookmarkStart w:id="37" w:name="_Toc529974118"/>
      <w:r w:rsidRPr="00CD1C40">
        <w:rPr>
          <w:rFonts w:eastAsia="Times New Roman"/>
        </w:rPr>
        <w:t>Genderové hledisko</w:t>
      </w:r>
      <w:bookmarkEnd w:id="37"/>
    </w:p>
    <w:p w:rsidR="000C39F7" w:rsidRDefault="000C39F7" w:rsidP="000C39F7">
      <w:pPr>
        <w:spacing w:after="0" w:line="360" w:lineRule="auto"/>
        <w:ind w:firstLine="708"/>
        <w:jc w:val="both"/>
        <w:rPr>
          <w:rFonts w:ascii="Arial" w:eastAsia="Times New Roman" w:hAnsi="Arial" w:cs="Arial"/>
          <w:lang w:eastAsia="cs-CZ"/>
        </w:rPr>
      </w:pPr>
    </w:p>
    <w:p w:rsidR="000C39F7" w:rsidRDefault="000C39F7">
      <w:pPr>
        <w:rPr>
          <w:rFonts w:ascii="Arial" w:eastAsia="Times New Roman" w:hAnsi="Arial" w:cs="Arial"/>
          <w:lang w:eastAsia="cs-CZ"/>
        </w:rPr>
      </w:pPr>
      <w:r>
        <w:rPr>
          <w:rFonts w:ascii="Arial" w:eastAsia="Times New Roman" w:hAnsi="Arial" w:cs="Arial"/>
          <w:lang w:eastAsia="cs-CZ"/>
        </w:rPr>
        <w:br w:type="page"/>
      </w:r>
    </w:p>
    <w:p w:rsidR="0058151E" w:rsidRDefault="00103A47" w:rsidP="00CD1C40">
      <w:pPr>
        <w:pStyle w:val="NadpisurovenI"/>
        <w:numPr>
          <w:ilvl w:val="0"/>
          <w:numId w:val="33"/>
        </w:numPr>
        <w:jc w:val="both"/>
      </w:pPr>
      <w:bookmarkStart w:id="38" w:name="_Toc427676900"/>
      <w:bookmarkStart w:id="39" w:name="_Toc529974119"/>
      <w:r>
        <w:lastRenderedPageBreak/>
        <w:t>Výzkumné i</w:t>
      </w:r>
      <w:r w:rsidRPr="009B2333">
        <w:t xml:space="preserve">nfrastruktury </w:t>
      </w:r>
      <w:r>
        <w:t>a centra výzkumu a vývoje</w:t>
      </w:r>
      <w:bookmarkEnd w:id="39"/>
    </w:p>
    <w:p w:rsidR="000C39F7" w:rsidRDefault="000C39F7">
      <w:pPr>
        <w:rPr>
          <w:rFonts w:ascii="Arial" w:eastAsia="Times New Roman" w:hAnsi="Arial" w:cs="Arial"/>
          <w:lang w:eastAsia="cs-CZ"/>
        </w:rPr>
      </w:pPr>
      <w:r>
        <w:rPr>
          <w:rFonts w:ascii="Arial" w:eastAsia="Times New Roman" w:hAnsi="Arial" w:cs="Arial"/>
          <w:lang w:eastAsia="cs-CZ"/>
        </w:rPr>
        <w:br w:type="page"/>
      </w:r>
    </w:p>
    <w:p w:rsidR="006338C7" w:rsidRDefault="002E51E9" w:rsidP="00CD1C40">
      <w:pPr>
        <w:pStyle w:val="NadpisurovenI"/>
        <w:numPr>
          <w:ilvl w:val="0"/>
          <w:numId w:val="33"/>
        </w:numPr>
        <w:jc w:val="both"/>
      </w:pPr>
      <w:bookmarkStart w:id="40" w:name="_Toc529974120"/>
      <w:r>
        <w:lastRenderedPageBreak/>
        <w:t>V</w:t>
      </w:r>
      <w:r w:rsidR="006338C7" w:rsidRPr="005F2F7D">
        <w:t>ýsledky výzkumu a vývoje</w:t>
      </w:r>
      <w:bookmarkEnd w:id="38"/>
      <w:bookmarkEnd w:id="40"/>
    </w:p>
    <w:p w:rsidR="008B51EA" w:rsidRDefault="008B51EA" w:rsidP="008B51EA">
      <w:pPr>
        <w:spacing w:after="0" w:line="360" w:lineRule="auto"/>
        <w:ind w:firstLine="709"/>
        <w:jc w:val="both"/>
        <w:rPr>
          <w:rFonts w:ascii="Arial" w:hAnsi="Arial" w:cs="Arial"/>
        </w:rPr>
      </w:pPr>
      <w:r>
        <w:rPr>
          <w:rFonts w:ascii="Arial" w:hAnsi="Arial" w:cs="Arial"/>
        </w:rPr>
        <w:t>Výsledky jsou důležitým dokladem o provádění výzkumné a vývojové činnosti. V závislosti na typu prováděné aktivity (základní nebo aplikovaný výzkum, experimentální vývoj, inovační aktivity) a jejími cíli vznikají výsledky různého charakteru. V ČR jsou definovány druhy výsledků,</w:t>
      </w:r>
      <w:r>
        <w:rPr>
          <w:rFonts w:cs="Arial"/>
          <w:vertAlign w:val="superscript"/>
        </w:rPr>
        <w:footnoteReference w:id="23"/>
      </w:r>
      <w:r>
        <w:rPr>
          <w:rFonts w:ascii="Arial" w:hAnsi="Arial" w:cs="Arial"/>
        </w:rPr>
        <w:t xml:space="preserve"> které jsou centrálně shromažďovány v IS VaVaI. Tyto výsledky lze podle jejich charakteru rozdělit na skupinu výsledků publikačních a nepublikačních, která je možné dále dělit na výsledky aplikované a ostatní</w:t>
      </w:r>
      <w:r>
        <w:rPr>
          <w:rFonts w:cs="Arial"/>
          <w:vertAlign w:val="superscript"/>
        </w:rPr>
        <w:footnoteReference w:id="24"/>
      </w:r>
      <w:r>
        <w:rPr>
          <w:rFonts w:ascii="Arial" w:hAnsi="Arial" w:cs="Arial"/>
        </w:rPr>
        <w:t xml:space="preserve"> (obrázek 7.1).</w:t>
      </w:r>
    </w:p>
    <w:p w:rsidR="008B51EA" w:rsidRDefault="008B51EA" w:rsidP="008B51EA">
      <w:pPr>
        <w:spacing w:after="0" w:line="360" w:lineRule="auto"/>
        <w:ind w:firstLine="709"/>
        <w:jc w:val="both"/>
        <w:rPr>
          <w:rFonts w:ascii="Arial" w:hAnsi="Arial" w:cs="Arial"/>
        </w:rPr>
      </w:pPr>
      <w:r>
        <w:rPr>
          <w:rFonts w:ascii="Arial" w:hAnsi="Arial" w:cs="Arial"/>
        </w:rPr>
        <w:t>Publikační výsledky jsou obvykle spojovány zejména se základním výzkumem, přestože bývají publikována také nová zjištění v aplikovaném výzkumu. Z publikačních výsledků jsou ceněny především ty, které svou kvalitou odpovídají světové špičce.</w:t>
      </w:r>
    </w:p>
    <w:p w:rsidR="008B51EA" w:rsidRDefault="008B51EA" w:rsidP="008B51EA">
      <w:pPr>
        <w:spacing w:after="0" w:line="360" w:lineRule="auto"/>
        <w:ind w:firstLine="709"/>
        <w:jc w:val="both"/>
        <w:rPr>
          <w:rFonts w:ascii="Arial" w:hAnsi="Arial" w:cs="Arial"/>
        </w:rPr>
      </w:pPr>
      <w:r>
        <w:rPr>
          <w:rFonts w:ascii="Arial" w:hAnsi="Arial" w:cs="Arial"/>
        </w:rPr>
        <w:t>Pokud jde o výsledky nepublikační aplikované, jejich vznik provází nejčastěji aplikovaný výzkum a experimentální vývoj. U většiny těchto výsledků se předpokládá jejich využitelnost v</w:t>
      </w:r>
      <w:r w:rsidR="00DA0191">
        <w:rPr>
          <w:rFonts w:ascii="Arial" w:hAnsi="Arial" w:cs="Arial"/>
        </w:rPr>
        <w:t> </w:t>
      </w:r>
      <w:r>
        <w:rPr>
          <w:rFonts w:ascii="Arial" w:hAnsi="Arial" w:cs="Arial"/>
        </w:rPr>
        <w:t>praxi s možností komercializace, zejména proto je tvorba takových výsledků akcentována ve strategických dokumentech VaVaI.</w:t>
      </w:r>
      <w:r>
        <w:rPr>
          <w:rFonts w:cs="Arial"/>
          <w:vertAlign w:val="superscript"/>
        </w:rPr>
        <w:footnoteReference w:id="25"/>
      </w:r>
    </w:p>
    <w:p w:rsidR="008B51EA" w:rsidRDefault="008B51EA" w:rsidP="008B51EA">
      <w:pPr>
        <w:keepNext/>
        <w:spacing w:before="120" w:after="240" w:line="240" w:lineRule="auto"/>
        <w:jc w:val="both"/>
        <w:rPr>
          <w:rFonts w:ascii="Arial" w:eastAsia="Times New Roman" w:hAnsi="Arial" w:cs="Times New Roman"/>
          <w:b/>
          <w:szCs w:val="24"/>
          <w:lang w:eastAsia="cs-CZ"/>
        </w:rPr>
      </w:pPr>
      <w:r>
        <w:rPr>
          <w:rFonts w:ascii="Arial" w:eastAsia="Times New Roman" w:hAnsi="Arial" w:cs="Times New Roman"/>
          <w:b/>
          <w:szCs w:val="24"/>
          <w:lang w:eastAsia="cs-CZ"/>
        </w:rPr>
        <w:t>Obrázek 7.1: Druhy výsledků výzkumu a vývoje definované v ČR</w:t>
      </w:r>
    </w:p>
    <w:tbl>
      <w:tblPr>
        <w:tblW w:w="5000" w:type="pct"/>
        <w:tblInd w:w="55" w:type="dxa"/>
        <w:tblCellMar>
          <w:left w:w="70" w:type="dxa"/>
          <w:right w:w="70" w:type="dxa"/>
        </w:tblCellMar>
        <w:tblLook w:val="04A0" w:firstRow="1" w:lastRow="0" w:firstColumn="1" w:lastColumn="0" w:noHBand="0" w:noVBand="1"/>
      </w:tblPr>
      <w:tblGrid>
        <w:gridCol w:w="1701"/>
        <w:gridCol w:w="2255"/>
        <w:gridCol w:w="2296"/>
        <w:gridCol w:w="2071"/>
        <w:gridCol w:w="1455"/>
      </w:tblGrid>
      <w:tr w:rsidR="008B51EA" w:rsidTr="008B51EA">
        <w:trPr>
          <w:trHeight w:val="300"/>
        </w:trPr>
        <w:tc>
          <w:tcPr>
            <w:tcW w:w="1701" w:type="dxa"/>
            <w:vMerge w:val="restart"/>
            <w:tcBorders>
              <w:top w:val="single" w:sz="8" w:space="0" w:color="auto"/>
              <w:left w:val="single" w:sz="8" w:space="0" w:color="000000"/>
              <w:bottom w:val="single" w:sz="8" w:space="0" w:color="000000"/>
              <w:right w:val="single" w:sz="8" w:space="0" w:color="000000"/>
            </w:tcBorders>
            <w:shd w:val="clear" w:color="auto" w:fill="FFC000"/>
            <w:vAlign w:val="center"/>
            <w:hideMark/>
          </w:tcPr>
          <w:p w:rsidR="008B51EA" w:rsidRDefault="008B51EA">
            <w:pPr>
              <w:spacing w:after="0" w:line="240" w:lineRule="auto"/>
              <w:jc w:val="center"/>
              <w:rPr>
                <w:rFonts w:ascii="Arial" w:eastAsia="Times New Roman" w:hAnsi="Arial" w:cs="Arial"/>
                <w:color w:val="000000"/>
                <w:lang w:eastAsia="cs-CZ"/>
              </w:rPr>
            </w:pPr>
            <w:r>
              <w:rPr>
                <w:rFonts w:ascii="Arial" w:eastAsia="Times New Roman" w:hAnsi="Arial" w:cs="Arial"/>
                <w:color w:val="000000"/>
                <w:lang w:eastAsia="cs-CZ"/>
              </w:rPr>
              <w:t>Výsledky publikační</w:t>
            </w:r>
          </w:p>
          <w:p w:rsidR="008B51EA" w:rsidRDefault="008B51EA">
            <w:pPr>
              <w:spacing w:after="0" w:line="240" w:lineRule="auto"/>
              <w:jc w:val="center"/>
              <w:rPr>
                <w:rFonts w:ascii="Arial" w:eastAsia="Times New Roman" w:hAnsi="Arial" w:cs="Arial"/>
                <w:color w:val="000000"/>
                <w:lang w:eastAsia="cs-CZ"/>
              </w:rPr>
            </w:pPr>
            <w:r>
              <w:rPr>
                <w:rFonts w:ascii="Arial" w:eastAsia="Times New Roman" w:hAnsi="Arial" w:cs="Arial"/>
                <w:color w:val="000000"/>
                <w:sz w:val="18"/>
                <w:szCs w:val="18"/>
                <w:lang w:eastAsia="cs-CZ"/>
              </w:rPr>
              <w:t>(J, B, C, D) </w:t>
            </w:r>
            <w:r>
              <w:rPr>
                <w:rFonts w:ascii="Arial" w:eastAsia="Times New Roman" w:hAnsi="Arial" w:cs="Arial"/>
                <w:color w:val="000000"/>
                <w:lang w:eastAsia="cs-CZ"/>
              </w:rPr>
              <w:t> </w:t>
            </w:r>
          </w:p>
        </w:tc>
        <w:tc>
          <w:tcPr>
            <w:tcW w:w="8077" w:type="dxa"/>
            <w:gridSpan w:val="4"/>
            <w:tcBorders>
              <w:top w:val="single" w:sz="8" w:space="0" w:color="auto"/>
              <w:left w:val="nil"/>
              <w:bottom w:val="single" w:sz="8" w:space="0" w:color="auto"/>
              <w:right w:val="single" w:sz="8" w:space="0" w:color="000000"/>
            </w:tcBorders>
            <w:shd w:val="clear" w:color="auto" w:fill="366092"/>
            <w:noWrap/>
            <w:vAlign w:val="center"/>
            <w:hideMark/>
          </w:tcPr>
          <w:p w:rsidR="008B51EA" w:rsidRDefault="008B51EA">
            <w:pPr>
              <w:spacing w:after="0" w:line="240" w:lineRule="auto"/>
              <w:jc w:val="center"/>
              <w:rPr>
                <w:rFonts w:ascii="Arial" w:eastAsia="Times New Roman" w:hAnsi="Arial" w:cs="Arial"/>
                <w:color w:val="FFFFFF"/>
                <w:lang w:eastAsia="cs-CZ"/>
              </w:rPr>
            </w:pPr>
            <w:r>
              <w:rPr>
                <w:rFonts w:ascii="Arial" w:eastAsia="Times New Roman" w:hAnsi="Arial" w:cs="Arial"/>
                <w:color w:val="FFFFFF"/>
                <w:lang w:eastAsia="cs-CZ"/>
              </w:rPr>
              <w:t>Výsledky nepublikační</w:t>
            </w:r>
          </w:p>
        </w:tc>
      </w:tr>
      <w:tr w:rsidR="008B51EA" w:rsidTr="008B51EA">
        <w:trPr>
          <w:trHeight w:val="300"/>
        </w:trPr>
        <w:tc>
          <w:tcPr>
            <w:tcW w:w="0" w:type="auto"/>
            <w:vMerge/>
            <w:tcBorders>
              <w:top w:val="single" w:sz="8" w:space="0" w:color="auto"/>
              <w:left w:val="single" w:sz="8" w:space="0" w:color="000000"/>
              <w:bottom w:val="single" w:sz="8" w:space="0" w:color="000000"/>
              <w:right w:val="single" w:sz="8" w:space="0" w:color="000000"/>
            </w:tcBorders>
            <w:vAlign w:val="center"/>
            <w:hideMark/>
          </w:tcPr>
          <w:p w:rsidR="008B51EA" w:rsidRDefault="008B51EA">
            <w:pPr>
              <w:spacing w:after="0" w:line="240" w:lineRule="auto"/>
              <w:rPr>
                <w:rFonts w:ascii="Arial" w:eastAsia="Times New Roman" w:hAnsi="Arial" w:cs="Arial"/>
                <w:color w:val="000000"/>
                <w:lang w:eastAsia="cs-CZ"/>
              </w:rPr>
            </w:pPr>
          </w:p>
        </w:tc>
        <w:tc>
          <w:tcPr>
            <w:tcW w:w="6622" w:type="dxa"/>
            <w:gridSpan w:val="3"/>
            <w:tcBorders>
              <w:top w:val="single" w:sz="8" w:space="0" w:color="auto"/>
              <w:left w:val="nil"/>
              <w:bottom w:val="single" w:sz="8" w:space="0" w:color="auto"/>
              <w:right w:val="single" w:sz="8" w:space="0" w:color="000000"/>
            </w:tcBorders>
            <w:shd w:val="clear" w:color="auto" w:fill="538DD5"/>
            <w:noWrap/>
            <w:vAlign w:val="center"/>
            <w:hideMark/>
          </w:tcPr>
          <w:p w:rsidR="008B51EA" w:rsidRDefault="008B51EA">
            <w:pPr>
              <w:spacing w:after="0" w:line="240" w:lineRule="auto"/>
              <w:jc w:val="center"/>
              <w:rPr>
                <w:rFonts w:ascii="Arial" w:eastAsia="Times New Roman" w:hAnsi="Arial" w:cs="Arial"/>
                <w:color w:val="FFFFFF"/>
                <w:lang w:eastAsia="cs-CZ"/>
              </w:rPr>
            </w:pPr>
            <w:r>
              <w:rPr>
                <w:rFonts w:ascii="Arial" w:eastAsia="Times New Roman" w:hAnsi="Arial" w:cs="Arial"/>
                <w:color w:val="FFFFFF"/>
                <w:lang w:eastAsia="cs-CZ"/>
              </w:rPr>
              <w:t>Aplikované</w:t>
            </w:r>
          </w:p>
        </w:tc>
        <w:tc>
          <w:tcPr>
            <w:tcW w:w="1455" w:type="dxa"/>
            <w:vMerge w:val="restart"/>
            <w:tcBorders>
              <w:top w:val="nil"/>
              <w:left w:val="nil"/>
              <w:bottom w:val="single" w:sz="8" w:space="0" w:color="000000"/>
              <w:right w:val="single" w:sz="8" w:space="0" w:color="auto"/>
            </w:tcBorders>
            <w:shd w:val="clear" w:color="auto" w:fill="DCE6F1"/>
            <w:vAlign w:val="center"/>
            <w:hideMark/>
          </w:tcPr>
          <w:p w:rsidR="008B51EA" w:rsidRDefault="008B51EA">
            <w:pPr>
              <w:spacing w:after="0" w:line="240" w:lineRule="auto"/>
              <w:jc w:val="center"/>
              <w:rPr>
                <w:rFonts w:ascii="Arial" w:eastAsia="Times New Roman" w:hAnsi="Arial" w:cs="Arial"/>
                <w:color w:val="000000"/>
                <w:lang w:eastAsia="cs-CZ"/>
              </w:rPr>
            </w:pPr>
            <w:r>
              <w:rPr>
                <w:rFonts w:ascii="Arial" w:eastAsia="Times New Roman" w:hAnsi="Arial" w:cs="Arial"/>
                <w:color w:val="000000"/>
                <w:lang w:eastAsia="cs-CZ"/>
              </w:rPr>
              <w:t>Ostatní</w:t>
            </w:r>
          </w:p>
          <w:p w:rsidR="008B51EA" w:rsidRDefault="008B51EA">
            <w:pPr>
              <w:spacing w:after="0" w:line="240" w:lineRule="auto"/>
              <w:jc w:val="center"/>
              <w:rPr>
                <w:rFonts w:ascii="Arial" w:eastAsia="Times New Roman" w:hAnsi="Arial" w:cs="Arial"/>
                <w:color w:val="000000"/>
                <w:lang w:eastAsia="cs-CZ"/>
              </w:rPr>
            </w:pPr>
            <w:r>
              <w:rPr>
                <w:rFonts w:ascii="Arial" w:eastAsia="Times New Roman" w:hAnsi="Arial" w:cs="Arial"/>
                <w:color w:val="000000"/>
                <w:sz w:val="18"/>
                <w:szCs w:val="18"/>
                <w:lang w:eastAsia="cs-CZ"/>
              </w:rPr>
              <w:t>(A, M, W, E, O)</w:t>
            </w:r>
            <w:r>
              <w:rPr>
                <w:rFonts w:ascii="Arial" w:eastAsia="Times New Roman" w:hAnsi="Arial" w:cs="Arial"/>
                <w:color w:val="000000"/>
                <w:lang w:eastAsia="cs-CZ"/>
              </w:rPr>
              <w:t> </w:t>
            </w:r>
          </w:p>
        </w:tc>
      </w:tr>
      <w:tr w:rsidR="008B51EA" w:rsidTr="008B51EA">
        <w:trPr>
          <w:trHeight w:val="447"/>
        </w:trPr>
        <w:tc>
          <w:tcPr>
            <w:tcW w:w="0" w:type="auto"/>
            <w:vMerge/>
            <w:tcBorders>
              <w:top w:val="single" w:sz="8" w:space="0" w:color="auto"/>
              <w:left w:val="single" w:sz="8" w:space="0" w:color="000000"/>
              <w:bottom w:val="single" w:sz="8" w:space="0" w:color="000000"/>
              <w:right w:val="single" w:sz="8" w:space="0" w:color="000000"/>
            </w:tcBorders>
            <w:vAlign w:val="center"/>
            <w:hideMark/>
          </w:tcPr>
          <w:p w:rsidR="008B51EA" w:rsidRDefault="008B51EA">
            <w:pPr>
              <w:spacing w:after="0" w:line="240" w:lineRule="auto"/>
              <w:rPr>
                <w:rFonts w:ascii="Arial" w:eastAsia="Times New Roman" w:hAnsi="Arial" w:cs="Arial"/>
                <w:color w:val="000000"/>
                <w:lang w:eastAsia="cs-CZ"/>
              </w:rPr>
            </w:pPr>
          </w:p>
        </w:tc>
        <w:tc>
          <w:tcPr>
            <w:tcW w:w="2255" w:type="dxa"/>
            <w:vMerge w:val="restart"/>
            <w:tcBorders>
              <w:top w:val="nil"/>
              <w:left w:val="single" w:sz="8" w:space="0" w:color="auto"/>
              <w:bottom w:val="single" w:sz="8" w:space="0" w:color="000000"/>
              <w:right w:val="single" w:sz="8" w:space="0" w:color="auto"/>
            </w:tcBorders>
            <w:shd w:val="clear" w:color="auto" w:fill="EAEAEA"/>
            <w:vAlign w:val="center"/>
            <w:hideMark/>
          </w:tcPr>
          <w:p w:rsidR="008B51EA" w:rsidRDefault="008B51EA">
            <w:pPr>
              <w:spacing w:after="0" w:line="240" w:lineRule="auto"/>
              <w:jc w:val="center"/>
              <w:rPr>
                <w:rFonts w:ascii="Arial" w:eastAsia="Times New Roman" w:hAnsi="Arial" w:cs="Arial"/>
                <w:color w:val="000000"/>
                <w:lang w:eastAsia="cs-CZ"/>
              </w:rPr>
            </w:pPr>
            <w:r>
              <w:rPr>
                <w:rFonts w:ascii="Arial" w:eastAsia="Times New Roman" w:hAnsi="Arial" w:cs="Arial"/>
                <w:color w:val="000000"/>
                <w:lang w:eastAsia="cs-CZ"/>
              </w:rPr>
              <w:t xml:space="preserve">Patenty </w:t>
            </w:r>
            <w:r>
              <w:rPr>
                <w:rFonts w:ascii="Arial" w:eastAsia="Times New Roman" w:hAnsi="Arial" w:cs="Arial"/>
                <w:color w:val="000000"/>
                <w:sz w:val="18"/>
                <w:szCs w:val="18"/>
                <w:lang w:eastAsia="cs-CZ"/>
              </w:rPr>
              <w:t>(P)</w:t>
            </w:r>
          </w:p>
        </w:tc>
        <w:tc>
          <w:tcPr>
            <w:tcW w:w="2296" w:type="dxa"/>
            <w:vMerge w:val="restart"/>
            <w:tcBorders>
              <w:top w:val="nil"/>
              <w:left w:val="single" w:sz="8" w:space="0" w:color="auto"/>
              <w:bottom w:val="single" w:sz="8" w:space="0" w:color="000000"/>
              <w:right w:val="single" w:sz="8" w:space="0" w:color="auto"/>
            </w:tcBorders>
            <w:shd w:val="clear" w:color="auto" w:fill="EAEAEA"/>
            <w:vAlign w:val="center"/>
            <w:hideMark/>
          </w:tcPr>
          <w:p w:rsidR="008B51EA" w:rsidRDefault="008B51EA">
            <w:pPr>
              <w:spacing w:after="0" w:line="240" w:lineRule="auto"/>
              <w:jc w:val="center"/>
              <w:rPr>
                <w:rFonts w:ascii="Arial" w:eastAsia="Times New Roman" w:hAnsi="Arial" w:cs="Arial"/>
                <w:color w:val="000000"/>
                <w:lang w:eastAsia="cs-CZ"/>
              </w:rPr>
            </w:pPr>
            <w:r>
              <w:rPr>
                <w:rFonts w:ascii="Arial" w:eastAsia="Times New Roman" w:hAnsi="Arial" w:cs="Arial"/>
                <w:color w:val="000000"/>
                <w:lang w:eastAsia="cs-CZ"/>
              </w:rPr>
              <w:t xml:space="preserve">Užitné či průmyslové vzory </w:t>
            </w:r>
            <w:r>
              <w:rPr>
                <w:rFonts w:ascii="Arial" w:eastAsia="Times New Roman" w:hAnsi="Arial" w:cs="Arial"/>
                <w:color w:val="000000"/>
                <w:sz w:val="18"/>
                <w:szCs w:val="18"/>
                <w:lang w:eastAsia="cs-CZ"/>
              </w:rPr>
              <w:t>(F)</w:t>
            </w:r>
          </w:p>
        </w:tc>
        <w:tc>
          <w:tcPr>
            <w:tcW w:w="2071" w:type="dxa"/>
            <w:tcBorders>
              <w:top w:val="nil"/>
              <w:left w:val="nil"/>
              <w:bottom w:val="nil"/>
              <w:right w:val="single" w:sz="8" w:space="0" w:color="auto"/>
            </w:tcBorders>
            <w:vAlign w:val="center"/>
            <w:hideMark/>
          </w:tcPr>
          <w:p w:rsidR="008B51EA" w:rsidRDefault="008B51EA">
            <w:pPr>
              <w:spacing w:after="0" w:line="240" w:lineRule="auto"/>
              <w:jc w:val="center"/>
              <w:rPr>
                <w:rFonts w:ascii="Arial" w:eastAsia="Times New Roman" w:hAnsi="Arial" w:cs="Arial"/>
                <w:color w:val="000000"/>
                <w:lang w:eastAsia="cs-CZ"/>
              </w:rPr>
            </w:pPr>
            <w:r>
              <w:rPr>
                <w:rFonts w:ascii="Arial" w:eastAsia="Times New Roman" w:hAnsi="Arial" w:cs="Arial"/>
                <w:color w:val="000000"/>
                <w:lang w:eastAsia="cs-CZ"/>
              </w:rPr>
              <w:t>Další aplikované</w:t>
            </w:r>
          </w:p>
        </w:tc>
        <w:tc>
          <w:tcPr>
            <w:tcW w:w="0" w:type="auto"/>
            <w:vMerge/>
            <w:tcBorders>
              <w:top w:val="nil"/>
              <w:left w:val="nil"/>
              <w:bottom w:val="single" w:sz="8" w:space="0" w:color="000000"/>
              <w:right w:val="single" w:sz="8" w:space="0" w:color="auto"/>
            </w:tcBorders>
            <w:vAlign w:val="center"/>
            <w:hideMark/>
          </w:tcPr>
          <w:p w:rsidR="008B51EA" w:rsidRDefault="008B51EA">
            <w:pPr>
              <w:spacing w:after="0" w:line="240" w:lineRule="auto"/>
              <w:rPr>
                <w:rFonts w:ascii="Arial" w:eastAsia="Times New Roman" w:hAnsi="Arial" w:cs="Arial"/>
                <w:color w:val="000000"/>
                <w:lang w:eastAsia="cs-CZ"/>
              </w:rPr>
            </w:pPr>
          </w:p>
        </w:tc>
      </w:tr>
      <w:tr w:rsidR="008B51EA" w:rsidTr="008B51EA">
        <w:trPr>
          <w:trHeight w:val="412"/>
        </w:trPr>
        <w:tc>
          <w:tcPr>
            <w:tcW w:w="0" w:type="auto"/>
            <w:vMerge/>
            <w:tcBorders>
              <w:top w:val="single" w:sz="8" w:space="0" w:color="auto"/>
              <w:left w:val="single" w:sz="8" w:space="0" w:color="000000"/>
              <w:bottom w:val="single" w:sz="8" w:space="0" w:color="000000"/>
              <w:right w:val="single" w:sz="8" w:space="0" w:color="000000"/>
            </w:tcBorders>
            <w:vAlign w:val="center"/>
            <w:hideMark/>
          </w:tcPr>
          <w:p w:rsidR="008B51EA" w:rsidRDefault="008B51EA">
            <w:pPr>
              <w:spacing w:after="0" w:line="240" w:lineRule="auto"/>
              <w:rPr>
                <w:rFonts w:ascii="Arial" w:eastAsia="Times New Roman" w:hAnsi="Arial" w:cs="Arial"/>
                <w:color w:val="000000"/>
                <w:lang w:eastAsia="cs-CZ"/>
              </w:rPr>
            </w:pPr>
          </w:p>
        </w:tc>
        <w:tc>
          <w:tcPr>
            <w:tcW w:w="0" w:type="auto"/>
            <w:vMerge/>
            <w:tcBorders>
              <w:top w:val="nil"/>
              <w:left w:val="single" w:sz="8" w:space="0" w:color="auto"/>
              <w:bottom w:val="single" w:sz="8" w:space="0" w:color="000000"/>
              <w:right w:val="single" w:sz="8" w:space="0" w:color="auto"/>
            </w:tcBorders>
            <w:vAlign w:val="center"/>
            <w:hideMark/>
          </w:tcPr>
          <w:p w:rsidR="008B51EA" w:rsidRDefault="008B51EA">
            <w:pPr>
              <w:spacing w:after="0" w:line="240" w:lineRule="auto"/>
              <w:rPr>
                <w:rFonts w:ascii="Arial" w:eastAsia="Times New Roman" w:hAnsi="Arial" w:cs="Arial"/>
                <w:color w:val="000000"/>
                <w:lang w:eastAsia="cs-CZ"/>
              </w:rPr>
            </w:pPr>
          </w:p>
        </w:tc>
        <w:tc>
          <w:tcPr>
            <w:tcW w:w="0" w:type="auto"/>
            <w:vMerge/>
            <w:tcBorders>
              <w:top w:val="nil"/>
              <w:left w:val="single" w:sz="8" w:space="0" w:color="auto"/>
              <w:bottom w:val="single" w:sz="8" w:space="0" w:color="000000"/>
              <w:right w:val="single" w:sz="8" w:space="0" w:color="auto"/>
            </w:tcBorders>
            <w:vAlign w:val="center"/>
            <w:hideMark/>
          </w:tcPr>
          <w:p w:rsidR="008B51EA" w:rsidRDefault="008B51EA">
            <w:pPr>
              <w:spacing w:after="0" w:line="240" w:lineRule="auto"/>
              <w:rPr>
                <w:rFonts w:ascii="Arial" w:eastAsia="Times New Roman" w:hAnsi="Arial" w:cs="Arial"/>
                <w:color w:val="000000"/>
                <w:lang w:eastAsia="cs-CZ"/>
              </w:rPr>
            </w:pPr>
          </w:p>
        </w:tc>
        <w:tc>
          <w:tcPr>
            <w:tcW w:w="2071" w:type="dxa"/>
            <w:tcBorders>
              <w:top w:val="nil"/>
              <w:left w:val="nil"/>
              <w:bottom w:val="single" w:sz="8" w:space="0" w:color="auto"/>
              <w:right w:val="single" w:sz="8" w:space="0" w:color="auto"/>
            </w:tcBorders>
            <w:vAlign w:val="center"/>
            <w:hideMark/>
          </w:tcPr>
          <w:p w:rsidR="008B51EA" w:rsidRDefault="008B51EA">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(Z, G, H, N, R, V, S, T)</w:t>
            </w:r>
          </w:p>
        </w:tc>
        <w:tc>
          <w:tcPr>
            <w:tcW w:w="0" w:type="auto"/>
            <w:vMerge/>
            <w:tcBorders>
              <w:top w:val="nil"/>
              <w:left w:val="nil"/>
              <w:bottom w:val="single" w:sz="8" w:space="0" w:color="000000"/>
              <w:right w:val="single" w:sz="8" w:space="0" w:color="auto"/>
            </w:tcBorders>
            <w:vAlign w:val="center"/>
            <w:hideMark/>
          </w:tcPr>
          <w:p w:rsidR="008B51EA" w:rsidRDefault="008B51EA">
            <w:pPr>
              <w:spacing w:after="0" w:line="240" w:lineRule="auto"/>
              <w:rPr>
                <w:rFonts w:ascii="Arial" w:eastAsia="Times New Roman" w:hAnsi="Arial" w:cs="Arial"/>
                <w:color w:val="000000"/>
                <w:lang w:eastAsia="cs-CZ"/>
              </w:rPr>
            </w:pPr>
          </w:p>
        </w:tc>
      </w:tr>
      <w:tr w:rsidR="008B51EA" w:rsidTr="008B51EA">
        <w:trPr>
          <w:trHeight w:val="288"/>
        </w:trPr>
        <w:tc>
          <w:tcPr>
            <w:tcW w:w="1701" w:type="dxa"/>
            <w:tcBorders>
              <w:top w:val="single" w:sz="8" w:space="0" w:color="000000"/>
              <w:left w:val="nil"/>
              <w:bottom w:val="nil"/>
              <w:right w:val="nil"/>
            </w:tcBorders>
            <w:shd w:val="clear" w:color="auto" w:fill="EAEAEA"/>
            <w:noWrap/>
            <w:vAlign w:val="center"/>
            <w:hideMark/>
          </w:tcPr>
          <w:p w:rsidR="008B51EA" w:rsidRDefault="008B51EA">
            <w:pPr>
              <w:spacing w:after="0" w:line="240" w:lineRule="auto"/>
              <w:jc w:val="both"/>
              <w:rPr>
                <w:rFonts w:ascii="Arial" w:eastAsia="Times New Roman" w:hAnsi="Arial" w:cs="Arial"/>
                <w:i/>
                <w:iCs/>
                <w:color w:val="000000"/>
                <w:sz w:val="20"/>
                <w:szCs w:val="20"/>
                <w:lang w:eastAsia="cs-CZ"/>
              </w:rPr>
            </w:pPr>
            <w:r>
              <w:rPr>
                <w:rFonts w:ascii="Arial" w:eastAsia="Times New Roman" w:hAnsi="Arial" w:cs="Arial"/>
                <w:i/>
                <w:iCs/>
                <w:color w:val="000000"/>
                <w:sz w:val="20"/>
                <w:szCs w:val="20"/>
                <w:lang w:eastAsia="cs-CZ"/>
              </w:rPr>
              <w:t> </w:t>
            </w:r>
          </w:p>
        </w:tc>
        <w:tc>
          <w:tcPr>
            <w:tcW w:w="4551" w:type="dxa"/>
            <w:gridSpan w:val="2"/>
            <w:tcBorders>
              <w:top w:val="single" w:sz="8" w:space="0" w:color="auto"/>
              <w:left w:val="nil"/>
              <w:bottom w:val="nil"/>
              <w:right w:val="nil"/>
            </w:tcBorders>
            <w:noWrap/>
            <w:vAlign w:val="center"/>
            <w:hideMark/>
          </w:tcPr>
          <w:p w:rsidR="008B51EA" w:rsidRDefault="008B51EA">
            <w:pPr>
              <w:spacing w:after="0" w:line="240" w:lineRule="auto"/>
              <w:rPr>
                <w:rFonts w:ascii="Arial" w:eastAsia="Times New Roman" w:hAnsi="Arial" w:cs="Arial"/>
                <w:i/>
                <w:iCs/>
                <w:color w:val="000000"/>
                <w:sz w:val="20"/>
                <w:szCs w:val="20"/>
                <w:lang w:eastAsia="cs-CZ"/>
              </w:rPr>
            </w:pPr>
            <w:r>
              <w:rPr>
                <w:rFonts w:ascii="Arial" w:eastAsia="Times New Roman" w:hAnsi="Arial" w:cs="Arial"/>
                <w:i/>
                <w:iCs/>
                <w:color w:val="000000"/>
                <w:sz w:val="20"/>
                <w:szCs w:val="20"/>
                <w:lang w:eastAsia="cs-CZ"/>
              </w:rPr>
              <w:t>výsledky se zvláštní právní ochranou</w:t>
            </w:r>
          </w:p>
        </w:tc>
        <w:tc>
          <w:tcPr>
            <w:tcW w:w="2071" w:type="dxa"/>
            <w:noWrap/>
            <w:vAlign w:val="center"/>
            <w:hideMark/>
          </w:tcPr>
          <w:p w:rsidR="008B51EA" w:rsidRDefault="008B51EA">
            <w:pPr>
              <w:spacing w:after="0"/>
              <w:rPr>
                <w:rFonts w:cs="Times New Roman"/>
              </w:rPr>
            </w:pPr>
          </w:p>
        </w:tc>
        <w:tc>
          <w:tcPr>
            <w:tcW w:w="1455" w:type="dxa"/>
            <w:noWrap/>
            <w:vAlign w:val="center"/>
            <w:hideMark/>
          </w:tcPr>
          <w:p w:rsidR="008B51EA" w:rsidRDefault="008B51EA">
            <w:pPr>
              <w:spacing w:after="0"/>
              <w:rPr>
                <w:rFonts w:cs="Times New Roman"/>
              </w:rPr>
            </w:pPr>
          </w:p>
        </w:tc>
      </w:tr>
    </w:tbl>
    <w:p w:rsidR="008B51EA" w:rsidRDefault="008B51EA" w:rsidP="008B51EA">
      <w:pPr>
        <w:spacing w:before="120" w:after="12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V závorkách jsou uvedeny kódy výsledků, číselník jednotlivých kódů výsledků je uveden v příloze č. 3.</w:t>
      </w:r>
    </w:p>
    <w:p w:rsidR="008B51EA" w:rsidRDefault="008B51EA" w:rsidP="008B51EA">
      <w:pPr>
        <w:spacing w:after="0" w:line="360" w:lineRule="auto"/>
        <w:ind w:firstLine="709"/>
        <w:jc w:val="both"/>
        <w:rPr>
          <w:rFonts w:ascii="Arial" w:hAnsi="Arial" w:cs="Arial"/>
        </w:rPr>
      </w:pPr>
      <w:r>
        <w:rPr>
          <w:rFonts w:ascii="Arial" w:hAnsi="Arial" w:cs="Arial"/>
        </w:rPr>
        <w:t>Výsledky VaVaI se v ČR významným způsobem promítají do hodnocení výzkumných organizací. Z pohledu efektivity využití financí je potřeba sledovat především podíl konkrétních druhů výsledků a jejich kvalitu, případně potenciál k praktickému využití. Kvalitu publikačních výsledků lze v případě článků v periodikách odvozovat od úrovně těchto periodik</w:t>
      </w:r>
      <w:r>
        <w:rPr>
          <w:rStyle w:val="Znakapoznpodarou"/>
          <w:rFonts w:ascii="Arial" w:hAnsi="Arial" w:cs="Arial"/>
        </w:rPr>
        <w:footnoteReference w:id="26"/>
      </w:r>
      <w:r>
        <w:rPr>
          <w:rFonts w:ascii="Arial" w:hAnsi="Arial" w:cs="Arial"/>
        </w:rPr>
        <w:t xml:space="preserve"> a citovanosti konkrétních článků, která obvykle svědčí o využívání poznatků v nich obsažených jinými autory v souvisejících výzkumných a vývojových aktivitách. U monografií a článků ve sbornících podobný ukazatel kvality chybí. Kvalita aplikovaných výsledků není posuzována, podstatné jsou přínosy </w:t>
      </w:r>
      <w:r>
        <w:rPr>
          <w:rFonts w:ascii="Arial" w:hAnsi="Arial" w:cs="Arial"/>
        </w:rPr>
        <w:lastRenderedPageBreak/>
        <w:t>těchto výsledků v podobě jejich praktického využití. U patentů lze přínosy odvozovat od finančních prostředků utržených za prodej licencí, ne vždy je však prodej licencí cílem patentové ochrany, často jde o snahu ochránit unikátní postup či technologii za účelem jejich dalšího využití v instituci původce.</w:t>
      </w:r>
    </w:p>
    <w:p w:rsidR="008B51EA" w:rsidRDefault="008B51EA" w:rsidP="008B51EA">
      <w:pPr>
        <w:spacing w:after="0" w:line="360" w:lineRule="auto"/>
        <w:ind w:firstLine="709"/>
        <w:jc w:val="both"/>
        <w:rPr>
          <w:rFonts w:ascii="Arial" w:hAnsi="Arial" w:cs="Arial"/>
        </w:rPr>
      </w:pPr>
      <w:r>
        <w:rPr>
          <w:rFonts w:ascii="Arial" w:hAnsi="Arial" w:cs="Arial"/>
        </w:rPr>
        <w:t>Údaje o výsledcích z IS VaVaI poskytují ucelený přehled o produktivitě VaVaI v ČR. Ve vazbě na charakter podpory prováděného VaVaI (institucionální nebo účelová, podrobněji viz kapitola 2 - Financování výzkumu a vývoje ze státního rozpočtu) lze dílčím způsobem hodnotit finanční nástroje. Je však nutno mít na zřeteli také zásadní omezení spojená s využitím informací o výsledcích:</w:t>
      </w:r>
    </w:p>
    <w:p w:rsidR="008B51EA" w:rsidRDefault="008B51EA" w:rsidP="008B51EA">
      <w:pPr>
        <w:numPr>
          <w:ilvl w:val="0"/>
          <w:numId w:val="35"/>
        </w:numPr>
        <w:spacing w:after="0" w:line="360" w:lineRule="auto"/>
        <w:contextualSpacing/>
        <w:jc w:val="both"/>
        <w:rPr>
          <w:rFonts w:ascii="Arial" w:eastAsia="Times New Roman" w:hAnsi="Arial" w:cs="Arial"/>
          <w:lang w:eastAsia="cs-CZ"/>
        </w:rPr>
      </w:pPr>
      <w:r>
        <w:rPr>
          <w:rFonts w:ascii="Arial" w:eastAsia="Times New Roman" w:hAnsi="Arial" w:cs="Arial"/>
          <w:lang w:eastAsia="cs-CZ"/>
        </w:rPr>
        <w:t xml:space="preserve">Předávání údajů o výsledcích výzkumu a vývoje do IS VaVaI je zákonem o podpoře výzkumu, experimentálního vývoje a inovací stanovenou povinností pouze pro příjemce dotace z veřejných rozpočtů na výzkum, vývoj a inovace. Informace o výsledcích v podnikatelské sféře jsou tím značně omezeny. </w:t>
      </w:r>
    </w:p>
    <w:p w:rsidR="008B51EA" w:rsidRDefault="008B51EA" w:rsidP="008B51EA">
      <w:pPr>
        <w:numPr>
          <w:ilvl w:val="0"/>
          <w:numId w:val="35"/>
        </w:numPr>
        <w:spacing w:after="0" w:line="360" w:lineRule="auto"/>
        <w:contextualSpacing/>
        <w:jc w:val="both"/>
        <w:rPr>
          <w:rFonts w:ascii="Arial" w:eastAsia="Times New Roman" w:hAnsi="Arial" w:cs="Arial"/>
          <w:lang w:eastAsia="cs-CZ"/>
        </w:rPr>
      </w:pPr>
      <w:r>
        <w:rPr>
          <w:rFonts w:ascii="Arial" w:eastAsia="Times New Roman" w:hAnsi="Arial" w:cs="Arial"/>
          <w:lang w:eastAsia="cs-CZ"/>
        </w:rPr>
        <w:t>Většinu výše uvedených druhů výsledků nelze chápat jako výsledek v pravém slova smyslu, neboť cílem prováděného výzkumu, ať již základního nebo aplikovaného, není tvorba publikace, ale získání nového poznatku. Publikace je tudíž způsobem zveřejnění poznatku, tj. jeho šíření. Podobně patent či užitný nebo průmyslový vzor není primárním cílem aplikovaného výzkumu či experimentálního vývoje, ale formou ochrany nových zjištění. Z analytického pohledu se jedná o zásadní indikátory svědčící o úrovni provádění výzkumu, nelze však jimi přímo měřit výkonnost výzkumných a vývojových činností.</w:t>
      </w:r>
    </w:p>
    <w:p w:rsidR="00CD1C40" w:rsidRPr="008B51EA" w:rsidRDefault="008B51EA" w:rsidP="008B51EA">
      <w:pPr>
        <w:numPr>
          <w:ilvl w:val="0"/>
          <w:numId w:val="35"/>
        </w:numPr>
        <w:spacing w:after="0" w:line="360" w:lineRule="auto"/>
        <w:contextualSpacing/>
        <w:jc w:val="both"/>
        <w:rPr>
          <w:rFonts w:ascii="Arial" w:eastAsia="Times New Roman" w:hAnsi="Arial" w:cs="Arial"/>
          <w:lang w:eastAsia="cs-CZ"/>
        </w:rPr>
      </w:pPr>
      <w:r>
        <w:rPr>
          <w:rFonts w:ascii="Arial" w:eastAsia="Times New Roman" w:hAnsi="Arial" w:cs="Arial"/>
          <w:lang w:eastAsia="cs-CZ"/>
        </w:rPr>
        <w:t>Skutečným přínosem výzkumu a vývoje je teprve využití nových poznatků, ať již publikovaných nebo právně ochráněných, nikoliv tvorba publikací, patentů, průmyslových a užitných vzorů sama o sobě.</w:t>
      </w:r>
    </w:p>
    <w:p w:rsidR="006338C7" w:rsidRDefault="006338C7" w:rsidP="00CD1C40">
      <w:pPr>
        <w:pStyle w:val="NadpisurovemII"/>
        <w:numPr>
          <w:ilvl w:val="1"/>
          <w:numId w:val="33"/>
        </w:numPr>
        <w:ind w:hanging="792"/>
        <w:jc w:val="both"/>
        <w:rPr>
          <w:rFonts w:eastAsia="Times New Roman"/>
        </w:rPr>
      </w:pPr>
      <w:bookmarkStart w:id="41" w:name="_Toc427676901"/>
      <w:bookmarkStart w:id="42" w:name="_Toc529974121"/>
      <w:r w:rsidRPr="00CD1C40">
        <w:rPr>
          <w:rFonts w:eastAsia="Times New Roman"/>
        </w:rPr>
        <w:t>Druhy výsledků a časový trend jejich počtů</w:t>
      </w:r>
      <w:bookmarkEnd w:id="41"/>
      <w:bookmarkEnd w:id="42"/>
    </w:p>
    <w:p w:rsidR="008B51EA" w:rsidRDefault="008B51EA" w:rsidP="008B51EA">
      <w:pPr>
        <w:spacing w:after="0" w:line="360" w:lineRule="auto"/>
        <w:ind w:firstLine="709"/>
        <w:jc w:val="both"/>
        <w:rPr>
          <w:rFonts w:ascii="Arial" w:hAnsi="Arial" w:cs="Arial"/>
        </w:rPr>
      </w:pPr>
      <w:r>
        <w:rPr>
          <w:rFonts w:ascii="Arial" w:hAnsi="Arial" w:cs="Arial"/>
        </w:rPr>
        <w:t>Vývoj tvorby výsledků v ČR na základě údajů z IS VaVaI za období 2007–2017 je patrný z obrázku 7.2. Ve sledovaném období měl vývoj počtu výsledků převážně rostoucí trend, nicméně v posledních dvou letech je možné sledovat pokles celkového počtu výsledků. Pokles výsledků mezi lety 2016 a 2017 byl způsoben především z důvodu poklesu publikačních výsledků druhu J − článek v odborném periodiku (meziroční pokles cca o 1900) a druhu D – článek ve sborníku (pokles cca o 2500). Pokles je možné také sledovat u tzv. nepublikačních výsledků, a to především u výsledku druhu V – výzkumná zpráva (pokles cca o 1 000). Dlouhodobě je zaznamenáván nízký podíl nepublikačních výsledků na celkovém počtu výsledků, nicméně pokud porovnáme průměrný podíl nepublikačních výsledků vypočtený za dvě 5letá období (2008–2012 a 2013–2017), je možné sledovat, že podíl nepublikačních výsledků na celkovém počtu vzrostl o 4 p. b. (z 20 % na 24 %).</w:t>
      </w:r>
    </w:p>
    <w:p w:rsidR="008B51EA" w:rsidRDefault="008B51EA" w:rsidP="008B51EA">
      <w:pPr>
        <w:keepNext/>
        <w:spacing w:before="120" w:after="240" w:line="240" w:lineRule="auto"/>
        <w:jc w:val="both"/>
        <w:rPr>
          <w:rFonts w:ascii="Arial" w:eastAsia="Times New Roman" w:hAnsi="Arial" w:cs="Times New Roman"/>
          <w:b/>
          <w:szCs w:val="24"/>
          <w:lang w:eastAsia="cs-CZ"/>
        </w:rPr>
      </w:pPr>
      <w:r>
        <w:rPr>
          <w:rFonts w:ascii="Arial" w:eastAsia="Times New Roman" w:hAnsi="Arial" w:cs="Times New Roman"/>
          <w:b/>
          <w:szCs w:val="24"/>
          <w:lang w:eastAsia="cs-CZ"/>
        </w:rPr>
        <w:lastRenderedPageBreak/>
        <w:t xml:space="preserve">Obrázek </w:t>
      </w:r>
      <w:r w:rsidR="00712CCB">
        <w:rPr>
          <w:rFonts w:ascii="Arial" w:eastAsia="Times New Roman" w:hAnsi="Arial" w:cs="Times New Roman"/>
          <w:b/>
          <w:szCs w:val="24"/>
          <w:lang w:eastAsia="cs-CZ"/>
        </w:rPr>
        <w:t>7.</w:t>
      </w:r>
      <w:r>
        <w:rPr>
          <w:rFonts w:ascii="Arial" w:eastAsia="Times New Roman" w:hAnsi="Arial" w:cs="Times New Roman"/>
          <w:b/>
          <w:szCs w:val="24"/>
          <w:lang w:eastAsia="cs-CZ"/>
        </w:rPr>
        <w:t>2: Počty publikačních a nepublikačních výsledků v ČR v letech 2007–2017 a jejich průměrné relativní zastoupení v letech 2008–2012 a 2013–2017</w:t>
      </w:r>
    </w:p>
    <w:p w:rsidR="008B51EA" w:rsidRDefault="008B51EA" w:rsidP="008B51EA">
      <w:pPr>
        <w:keepNext/>
        <w:jc w:val="center"/>
        <w:rPr>
          <w:b/>
        </w:rPr>
      </w:pPr>
      <w:r>
        <w:rPr>
          <w:b/>
          <w:noProof/>
          <w:lang w:eastAsia="cs-CZ"/>
        </w:rPr>
        <w:drawing>
          <wp:inline distT="0" distB="0" distL="0" distR="0" wp14:anchorId="32A584BA" wp14:editId="12E19775">
            <wp:extent cx="5471160" cy="247650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52">
                      <a:extLst>
                        <a:ext uri="{28A0092B-C50C-407E-A947-70E740481C1C}">
                          <a14:useLocalDpi xmlns:a14="http://schemas.microsoft.com/office/drawing/2010/main" val="0"/>
                        </a:ext>
                      </a:extLst>
                    </a:blip>
                    <a:srcRect l="2644"/>
                    <a:stretch>
                      <a:fillRect/>
                    </a:stretch>
                  </pic:blipFill>
                  <pic:spPr bwMode="auto">
                    <a:xfrm>
                      <a:off x="0" y="0"/>
                      <a:ext cx="5471160" cy="2476500"/>
                    </a:xfrm>
                    <a:prstGeom prst="rect">
                      <a:avLst/>
                    </a:prstGeom>
                    <a:noFill/>
                    <a:ln>
                      <a:noFill/>
                    </a:ln>
                  </pic:spPr>
                </pic:pic>
              </a:graphicData>
            </a:graphic>
          </wp:inline>
        </w:drawing>
      </w:r>
    </w:p>
    <w:p w:rsidR="008B51EA" w:rsidRDefault="008B51EA" w:rsidP="008B51EA">
      <w:pPr>
        <w:spacing w:before="120" w:after="120" w:line="240" w:lineRule="auto"/>
        <w:rPr>
          <w:rFonts w:ascii="Arial" w:eastAsia="Times New Roman" w:hAnsi="Arial" w:cs="Times New Roman"/>
          <w:i/>
          <w:sz w:val="18"/>
          <w:szCs w:val="24"/>
          <w:lang w:eastAsia="cs-CZ"/>
        </w:rPr>
      </w:pPr>
      <w:r>
        <w:rPr>
          <w:rFonts w:ascii="Arial" w:eastAsia="Times New Roman" w:hAnsi="Arial" w:cs="Times New Roman"/>
          <w:i/>
          <w:sz w:val="18"/>
          <w:szCs w:val="24"/>
          <w:lang w:eastAsia="cs-CZ"/>
        </w:rPr>
        <w:t>Zdroj dat: IS VaVaI, stav databáze k 31. 5. 2017, export dat 15. 8. 2018</w:t>
      </w:r>
    </w:p>
    <w:p w:rsidR="008B51EA" w:rsidRDefault="008B51EA" w:rsidP="008B51EA">
      <w:pPr>
        <w:spacing w:after="24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Počty výsledků za rok 2017 nejsou konečné, neboť v průběhu měsíců září až prosince dochází ke sběru dat od organizací nemajících povahu VO. Konečný počet výsledků bude pravděpodobně pouze mírně odlišný (v řádu jednotek</w:t>
      </w:r>
      <w:r w:rsidR="00712CCB">
        <w:rPr>
          <w:rFonts w:ascii="Arial" w:eastAsia="Times New Roman" w:hAnsi="Arial" w:cs="Times New Roman"/>
          <w:i/>
          <w:sz w:val="18"/>
          <w:szCs w:val="24"/>
          <w:lang w:eastAsia="cs-CZ"/>
        </w:rPr>
        <w:t> </w:t>
      </w:r>
      <w:r>
        <w:rPr>
          <w:rFonts w:ascii="Arial" w:eastAsia="Times New Roman" w:hAnsi="Arial" w:cs="Times New Roman"/>
          <w:i/>
          <w:sz w:val="18"/>
          <w:szCs w:val="24"/>
          <w:lang w:eastAsia="cs-CZ"/>
        </w:rPr>
        <w:t>%).</w:t>
      </w:r>
    </w:p>
    <w:p w:rsidR="008B51EA" w:rsidRDefault="008B51EA" w:rsidP="008B51EA">
      <w:pPr>
        <w:spacing w:after="0" w:line="360" w:lineRule="auto"/>
        <w:ind w:firstLine="709"/>
        <w:jc w:val="both"/>
        <w:rPr>
          <w:rFonts w:ascii="Arial" w:hAnsi="Arial" w:cs="Arial"/>
        </w:rPr>
      </w:pPr>
      <w:r>
        <w:rPr>
          <w:rFonts w:ascii="Arial" w:hAnsi="Arial" w:cs="Arial"/>
        </w:rPr>
        <w:t xml:space="preserve">Pokud jde o druhy publikačních výsledků (obrázek </w:t>
      </w:r>
      <w:r w:rsidR="00712CCB">
        <w:rPr>
          <w:rFonts w:ascii="Arial" w:hAnsi="Arial" w:cs="Arial"/>
        </w:rPr>
        <w:t>7.</w:t>
      </w:r>
      <w:r>
        <w:rPr>
          <w:rFonts w:ascii="Arial" w:hAnsi="Arial" w:cs="Arial"/>
        </w:rPr>
        <w:t>3), převažují v posledních letech recenzované odborné články (druh J). Jejich počet narostl od roku 2007 do roku 2016 zhruba o čtvrtinu na 26,8 tis. v roce 2016. Následně došlo k  poklesu na necelých 25 tis. v roce 2017. V roce 2017 se podílely recenzované odborné články na počtu publikačních výsledků téměř 61 % (v roce 2016 to bylo přibližně 58 %). Počet článků ve sbornících (druh D) postupně od roku 2007 klesal, velmi výrazný pokles byl zaznamenán mezi lety 2016 a 2017, kdy jejich počet klesl meziročně téměř o 1,6 tis. v roce 2016 a o 2,5 tis. v roce 2017. Články ve sbornících představovaly ještě v roce 2007 nejpočetnější druh publikačních výsledků (bylo jich téměř 22 tis.), později však byly nahrazovány především recenzovanými články. To je možné také sledovat na základě porovnání průměrného podílu výsledků typu J a D vypočtený za dvě 5letá období (2008–2012 a</w:t>
      </w:r>
      <w:r w:rsidR="00DA0191">
        <w:rPr>
          <w:rFonts w:ascii="Arial" w:hAnsi="Arial" w:cs="Arial"/>
        </w:rPr>
        <w:t> </w:t>
      </w:r>
      <w:r>
        <w:rPr>
          <w:rFonts w:ascii="Arial" w:hAnsi="Arial" w:cs="Arial"/>
        </w:rPr>
        <w:t xml:space="preserve">2013–2017): podíl výsledků typu D klesl o více jak 4 p. b. (z 34,9 % na 30,8 %) ve prospěch podílu výsledků typu J (z 51,8 % na 55,6 %). Rostoucí podíl recenzovaných odborných článků na publikačních výsledcích může indikovat rostoucí kvalitu publikací. Pravděpodobně k tomu výrazně přispěly změny v přístupu k hodnocení výzkumných organizací, kdy je stále větší důraz kladen na publikace v kvalitních periodikách. Podíl výsledků typu C a B byl téměř konstantní v čase, což je možné interpretovat tak, že produkce těchto výsledků je méně citlivá na změny v metodice hodnocení, což také může být dáno časovou dotací, která je potřebná pro dokončení výsledků těchto typů. Z obrázku </w:t>
      </w:r>
      <w:r w:rsidR="00712CCB">
        <w:rPr>
          <w:rFonts w:ascii="Arial" w:hAnsi="Arial" w:cs="Arial"/>
        </w:rPr>
        <w:t>7.</w:t>
      </w:r>
      <w:r>
        <w:rPr>
          <w:rFonts w:ascii="Arial" w:hAnsi="Arial" w:cs="Arial"/>
        </w:rPr>
        <w:t>3 je dále možné vyčíst strukturu výsledků druhu J podle výskytu v periodiku a podle druhu instituce, která se podílela na vzniku výsledku.</w:t>
      </w:r>
    </w:p>
    <w:p w:rsidR="008B51EA" w:rsidRDefault="008B51EA" w:rsidP="008B51EA">
      <w:pPr>
        <w:keepNext/>
        <w:spacing w:before="120" w:after="240" w:line="240" w:lineRule="auto"/>
        <w:jc w:val="both"/>
        <w:rPr>
          <w:rFonts w:ascii="Arial" w:eastAsia="Times New Roman" w:hAnsi="Arial" w:cs="Times New Roman"/>
          <w:b/>
          <w:szCs w:val="24"/>
          <w:lang w:eastAsia="cs-CZ"/>
        </w:rPr>
      </w:pPr>
      <w:r>
        <w:rPr>
          <w:rFonts w:ascii="Arial" w:eastAsia="Times New Roman" w:hAnsi="Arial" w:cs="Times New Roman"/>
          <w:b/>
          <w:szCs w:val="24"/>
          <w:lang w:eastAsia="cs-CZ"/>
        </w:rPr>
        <w:lastRenderedPageBreak/>
        <w:t xml:space="preserve">Obrázek </w:t>
      </w:r>
      <w:r w:rsidR="00712CCB">
        <w:rPr>
          <w:rFonts w:ascii="Arial" w:eastAsia="Times New Roman" w:hAnsi="Arial" w:cs="Times New Roman"/>
          <w:b/>
          <w:szCs w:val="24"/>
          <w:lang w:eastAsia="cs-CZ"/>
        </w:rPr>
        <w:t>7.</w:t>
      </w:r>
      <w:r>
        <w:rPr>
          <w:rFonts w:ascii="Arial" w:eastAsia="Times New Roman" w:hAnsi="Arial" w:cs="Times New Roman"/>
          <w:b/>
          <w:szCs w:val="24"/>
          <w:lang w:eastAsia="cs-CZ"/>
        </w:rPr>
        <w:t>3: Druhy publikačních výsledků a jejich počty v ČR v letech 2007–2017 a jejich průměrné relativní zastoupení v letech 2008–2012 a 2013–2017</w:t>
      </w:r>
    </w:p>
    <w:p w:rsidR="008B51EA" w:rsidRDefault="008B51EA" w:rsidP="008B51EA">
      <w:pPr>
        <w:keepNext/>
        <w:spacing w:before="120" w:after="240" w:line="240" w:lineRule="auto"/>
        <w:jc w:val="center"/>
        <w:rPr>
          <w:rFonts w:ascii="Arial" w:eastAsia="Times New Roman" w:hAnsi="Arial" w:cs="Times New Roman"/>
          <w:b/>
          <w:szCs w:val="24"/>
          <w:lang w:eastAsia="cs-CZ"/>
        </w:rPr>
      </w:pPr>
      <w:r>
        <w:rPr>
          <w:rFonts w:ascii="Arial" w:eastAsia="Times New Roman" w:hAnsi="Arial" w:cs="Times New Roman"/>
          <w:b/>
          <w:noProof/>
          <w:szCs w:val="24"/>
          <w:lang w:eastAsia="cs-CZ"/>
        </w:rPr>
        <w:drawing>
          <wp:inline distT="0" distB="0" distL="0" distR="0" wp14:anchorId="737C2CB5" wp14:editId="7DCC0759">
            <wp:extent cx="5120640" cy="2156460"/>
            <wp:effectExtent l="0" t="0" r="381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53">
                      <a:extLst>
                        <a:ext uri="{28A0092B-C50C-407E-A947-70E740481C1C}">
                          <a14:useLocalDpi xmlns:a14="http://schemas.microsoft.com/office/drawing/2010/main" val="0"/>
                        </a:ext>
                      </a:extLst>
                    </a:blip>
                    <a:srcRect l="1247" r="935"/>
                    <a:stretch>
                      <a:fillRect/>
                    </a:stretch>
                  </pic:blipFill>
                  <pic:spPr bwMode="auto">
                    <a:xfrm>
                      <a:off x="0" y="0"/>
                      <a:ext cx="5120640" cy="2156460"/>
                    </a:xfrm>
                    <a:prstGeom prst="rect">
                      <a:avLst/>
                    </a:prstGeom>
                    <a:noFill/>
                    <a:ln>
                      <a:noFill/>
                    </a:ln>
                  </pic:spPr>
                </pic:pic>
              </a:graphicData>
            </a:graphic>
          </wp:inline>
        </w:drawing>
      </w:r>
    </w:p>
    <w:p w:rsidR="008B51EA" w:rsidRDefault="008B51EA" w:rsidP="008B51EA">
      <w:pPr>
        <w:keepNext/>
        <w:spacing w:before="120" w:after="240" w:line="240" w:lineRule="auto"/>
        <w:jc w:val="center"/>
        <w:rPr>
          <w:rFonts w:ascii="Arial" w:eastAsia="Times New Roman" w:hAnsi="Arial" w:cs="Times New Roman"/>
          <w:szCs w:val="24"/>
          <w:lang w:eastAsia="cs-CZ"/>
        </w:rPr>
      </w:pPr>
      <w:r>
        <w:rPr>
          <w:rFonts w:ascii="Arial" w:eastAsia="Times New Roman" w:hAnsi="Arial" w:cs="Times New Roman"/>
          <w:noProof/>
          <w:szCs w:val="24"/>
          <w:lang w:eastAsia="cs-CZ"/>
        </w:rPr>
        <w:drawing>
          <wp:inline distT="0" distB="0" distL="0" distR="0" wp14:anchorId="1742DB3E" wp14:editId="7AE1A160">
            <wp:extent cx="3817620" cy="4145280"/>
            <wp:effectExtent l="0" t="0" r="0" b="762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817620" cy="4145280"/>
                    </a:xfrm>
                    <a:prstGeom prst="rect">
                      <a:avLst/>
                    </a:prstGeom>
                    <a:noFill/>
                    <a:ln>
                      <a:noFill/>
                    </a:ln>
                  </pic:spPr>
                </pic:pic>
              </a:graphicData>
            </a:graphic>
          </wp:inline>
        </w:drawing>
      </w:r>
    </w:p>
    <w:p w:rsidR="008B51EA" w:rsidRDefault="008B51EA" w:rsidP="008B51EA">
      <w:pPr>
        <w:spacing w:before="120" w:after="120" w:line="240" w:lineRule="auto"/>
        <w:rPr>
          <w:rFonts w:ascii="Arial" w:eastAsia="Times New Roman" w:hAnsi="Arial" w:cs="Times New Roman"/>
          <w:i/>
          <w:sz w:val="18"/>
          <w:szCs w:val="24"/>
          <w:lang w:eastAsia="cs-CZ"/>
        </w:rPr>
      </w:pPr>
      <w:r>
        <w:rPr>
          <w:rFonts w:ascii="Arial" w:eastAsia="Times New Roman" w:hAnsi="Arial" w:cs="Times New Roman"/>
          <w:i/>
          <w:sz w:val="18"/>
          <w:szCs w:val="24"/>
          <w:lang w:eastAsia="cs-CZ"/>
        </w:rPr>
        <w:t>Zdroj dat: IS VaVaI, stav databáze k 31. 5. 2017, export dat 15. 8. 2018</w:t>
      </w:r>
    </w:p>
    <w:p w:rsidR="008B51EA" w:rsidRDefault="008B51EA" w:rsidP="008B51EA">
      <w:pPr>
        <w:spacing w:after="12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Počty výsledků za rok 2017 nejsou konečné, neboť v průběhu měsíců září až prosince dochází ke sběru dat od organizací nemajících povahu výzkumné organizace. Konečný počet výsledků bude pravděpodobně pouze mírně odlišný (v řádu jednotek %). Struktura výsledků druhu J obsahuje data ve struktuře z hodnocení výsledků výzkumných organizací 2016, tj. výsledky uplatněné v letech 2011–2015.</w:t>
      </w:r>
    </w:p>
    <w:p w:rsidR="008B51EA" w:rsidRDefault="008B51EA" w:rsidP="008B51EA">
      <w:pPr>
        <w:spacing w:after="0" w:line="360" w:lineRule="auto"/>
        <w:ind w:firstLine="709"/>
        <w:jc w:val="both"/>
        <w:rPr>
          <w:rFonts w:ascii="Arial" w:hAnsi="Arial" w:cs="Arial"/>
        </w:rPr>
      </w:pPr>
      <w:r>
        <w:rPr>
          <w:rFonts w:ascii="Arial" w:hAnsi="Arial" w:cs="Arial"/>
        </w:rPr>
        <w:t xml:space="preserve">Meziroční pokles počtu výsledků v IS VaVaI v roce 2017 postihl i aplikované výsledky. Nejvýrazněji se snížil počet výzkumných zpráv (druh V; pokles o 1,1 tis.), prototypů a funkčních vzorků (druh G; pokles o 0,2 tis.). Jediným druhem aplikovaných výsledků, který zaznamenal nárůst v roce 2017, byl druh Z − poloprovoz, ověřená technologie, odrůda. Počet patentů do roku 2016 každoročně narůstal, v roce 2017 byl však zaznamenán pokles (ze 402 v roce 2016 na 344 </w:t>
      </w:r>
      <w:r>
        <w:rPr>
          <w:rFonts w:ascii="Arial" w:hAnsi="Arial" w:cs="Arial"/>
        </w:rPr>
        <w:lastRenderedPageBreak/>
        <w:t>v roce 2017). I přes v minulosti rostoucí vývoj počtu patentů byl podíl výsledků se zvláštní právní ochranou, tj. patentů (druh P) a užitných a průmyslových vzorů (druh F), v celém období 2007–2017 nízký (průměrný podíl za období 2008–2012 byl 12,4 %, za období 2013–2017 byl 11,6 %). Nízká produkce patentů v ČR je patrná rovněž z mezinárodního srovnání (viz kapitola 7 − Inovační výkonnost české ekonomiky a její mezinárodní srovnání). ČR zaostává za evropským průměrem, např. Rakousko vykazuje více než dvojnásobné hodnoty.</w:t>
      </w:r>
    </w:p>
    <w:p w:rsidR="008B51EA" w:rsidRDefault="008B51EA" w:rsidP="008B51EA">
      <w:pPr>
        <w:spacing w:after="0" w:line="360" w:lineRule="auto"/>
        <w:ind w:firstLine="709"/>
        <w:jc w:val="both"/>
        <w:rPr>
          <w:rFonts w:ascii="Arial" w:hAnsi="Arial" w:cs="Arial"/>
        </w:rPr>
      </w:pPr>
      <w:r>
        <w:rPr>
          <w:rFonts w:ascii="Arial" w:hAnsi="Arial" w:cs="Arial"/>
        </w:rPr>
        <w:t xml:space="preserve">Struktura jednotlivých druhů aplikovaných výsledků se v období 2007–2017 rovněž měnila (obrázek </w:t>
      </w:r>
      <w:r w:rsidR="00712CCB">
        <w:rPr>
          <w:rFonts w:ascii="Arial" w:hAnsi="Arial" w:cs="Arial"/>
        </w:rPr>
        <w:t>7.</w:t>
      </w:r>
      <w:r>
        <w:rPr>
          <w:rFonts w:ascii="Arial" w:hAnsi="Arial" w:cs="Arial"/>
        </w:rPr>
        <w:t>4). Nejvýznamnější podíl aplikovaných výsledků v roce 2017 tvořily výzkumné zprávy (druh V; cca 1,5 tis.), následované prototypy a funkčními vzorky (druh G; cca 0,9 tis.), naproti tomu v roce 2012 patřily k nejpočetnějším výsledkům certifikované metodiky (druh N; 2,3 tis v roce 2012, 1,2 tis. v roce 2015, 0,6 tis. v roce 2017). Výzkumné zprávy se vyskytují ve vyšším počtu od roku 2012, kdy začaly být k tomuto druhu započítávány rovněž tzv. souhrnné výzkumné zprávy shrnující výsledky řešení projektů aplikovaného výzkumu, zatímco v letech předchozích se jednalo pouze o</w:t>
      </w:r>
      <w:r w:rsidR="00DA0191">
        <w:rPr>
          <w:rFonts w:ascii="Arial" w:hAnsi="Arial" w:cs="Arial"/>
        </w:rPr>
        <w:t> </w:t>
      </w:r>
      <w:r>
        <w:rPr>
          <w:rFonts w:ascii="Arial" w:hAnsi="Arial" w:cs="Arial"/>
        </w:rPr>
        <w:t>výzkumné zprávy o výzkumu v utajení.</w:t>
      </w:r>
    </w:p>
    <w:p w:rsidR="008B51EA" w:rsidRDefault="008B51EA" w:rsidP="008B51EA">
      <w:pPr>
        <w:keepNext/>
        <w:spacing w:before="120" w:after="240" w:line="240" w:lineRule="auto"/>
        <w:jc w:val="both"/>
        <w:rPr>
          <w:rFonts w:ascii="Arial" w:eastAsia="Times New Roman" w:hAnsi="Arial" w:cs="Times New Roman"/>
          <w:b/>
          <w:szCs w:val="24"/>
          <w:lang w:eastAsia="cs-CZ"/>
        </w:rPr>
      </w:pPr>
      <w:r>
        <w:rPr>
          <w:rFonts w:ascii="Arial" w:eastAsia="Times New Roman" w:hAnsi="Arial" w:cs="Times New Roman"/>
          <w:b/>
          <w:szCs w:val="24"/>
          <w:lang w:eastAsia="cs-CZ"/>
        </w:rPr>
        <w:t xml:space="preserve">Obr. </w:t>
      </w:r>
      <w:r w:rsidR="00712CCB">
        <w:rPr>
          <w:rFonts w:ascii="Arial" w:eastAsia="Times New Roman" w:hAnsi="Arial" w:cs="Times New Roman"/>
          <w:b/>
          <w:szCs w:val="24"/>
          <w:lang w:eastAsia="cs-CZ"/>
        </w:rPr>
        <w:t>7.</w:t>
      </w:r>
      <w:r>
        <w:rPr>
          <w:rFonts w:ascii="Arial" w:eastAsia="Times New Roman" w:hAnsi="Arial" w:cs="Times New Roman"/>
          <w:b/>
          <w:szCs w:val="24"/>
          <w:lang w:eastAsia="cs-CZ"/>
        </w:rPr>
        <w:t>4: Druhy aplikovaných výsledků a jejich počty v ČR v letech 2007–2017 a jejich průměrné relativní zastoupení v letech 2008–2012 a 2013–2017</w:t>
      </w:r>
    </w:p>
    <w:p w:rsidR="008B51EA" w:rsidRDefault="008B51EA" w:rsidP="008B51EA">
      <w:pPr>
        <w:keepNext/>
        <w:jc w:val="center"/>
        <w:rPr>
          <w:b/>
        </w:rPr>
      </w:pPr>
      <w:r>
        <w:rPr>
          <w:b/>
          <w:noProof/>
          <w:lang w:eastAsia="cs-CZ"/>
        </w:rPr>
        <w:drawing>
          <wp:inline distT="0" distB="0" distL="0" distR="0" wp14:anchorId="3CF8E77F" wp14:editId="33D5C423">
            <wp:extent cx="6019800" cy="275082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55">
                      <a:extLst>
                        <a:ext uri="{28A0092B-C50C-407E-A947-70E740481C1C}">
                          <a14:useLocalDpi xmlns:a14="http://schemas.microsoft.com/office/drawing/2010/main" val="0"/>
                        </a:ext>
                      </a:extLst>
                    </a:blip>
                    <a:srcRect l="1660" b="1945"/>
                    <a:stretch>
                      <a:fillRect/>
                    </a:stretch>
                  </pic:blipFill>
                  <pic:spPr bwMode="auto">
                    <a:xfrm>
                      <a:off x="0" y="0"/>
                      <a:ext cx="6019800" cy="2750820"/>
                    </a:xfrm>
                    <a:prstGeom prst="rect">
                      <a:avLst/>
                    </a:prstGeom>
                    <a:noFill/>
                    <a:ln>
                      <a:noFill/>
                    </a:ln>
                  </pic:spPr>
                </pic:pic>
              </a:graphicData>
            </a:graphic>
          </wp:inline>
        </w:drawing>
      </w:r>
    </w:p>
    <w:p w:rsidR="008B51EA" w:rsidRDefault="008B51EA" w:rsidP="008B51EA">
      <w:pPr>
        <w:spacing w:before="120" w:after="120" w:line="240" w:lineRule="auto"/>
        <w:rPr>
          <w:rFonts w:ascii="Arial" w:eastAsia="Times New Roman" w:hAnsi="Arial" w:cs="Times New Roman"/>
          <w:i/>
          <w:sz w:val="18"/>
          <w:szCs w:val="24"/>
          <w:lang w:eastAsia="cs-CZ"/>
        </w:rPr>
      </w:pPr>
      <w:r>
        <w:rPr>
          <w:rFonts w:ascii="Arial" w:eastAsia="Times New Roman" w:hAnsi="Arial" w:cs="Times New Roman"/>
          <w:i/>
          <w:sz w:val="18"/>
          <w:szCs w:val="24"/>
          <w:lang w:eastAsia="cs-CZ"/>
        </w:rPr>
        <w:t>Zdroj dat: IS VaVaI, stav databáze k 31. 5. 2017, export dat 15. 8. 2018</w:t>
      </w:r>
    </w:p>
    <w:p w:rsidR="008B51EA" w:rsidRDefault="008B51EA" w:rsidP="008B51EA">
      <w:pPr>
        <w:spacing w:after="24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Počty výsledků za rok 2017 nejsou konečné, neboť v průběhu měsíců září až prosince dochází ke sběru dat od organizací nemajících povahu VO. Konečný počet výsledků bude pravděpodobně pouze mírně odlišný (v řádu jednotek %). Výsledky druhu S a T jsou souhrnné kategorie používané pro výsledky aplikovaného výzkumu do roku 2006, resp. 2007.</w:t>
      </w:r>
    </w:p>
    <w:p w:rsidR="00CD1C40" w:rsidRPr="008B51EA" w:rsidRDefault="008B51EA" w:rsidP="008B51EA">
      <w:pPr>
        <w:spacing w:after="0" w:line="360" w:lineRule="auto"/>
        <w:ind w:firstLine="708"/>
        <w:jc w:val="both"/>
        <w:rPr>
          <w:rFonts w:ascii="Arial" w:hAnsi="Arial" w:cs="Arial"/>
        </w:rPr>
      </w:pPr>
      <w:r>
        <w:rPr>
          <w:rFonts w:ascii="Arial" w:eastAsia="Times New Roman" w:hAnsi="Arial" w:cs="Arial"/>
          <w:lang w:eastAsia="cs-CZ"/>
        </w:rPr>
        <w:t xml:space="preserve">Změny ve vykazovaných počtech jednotlivých druhů aplikovaných výsledků pravděpodobně souvisí s úpravami ve způsobu jejich průmětu do hodnocení výzkumných organizací. Např. výsledky druhu N (certifikované metodiky, léčebné a památkové postupy, specializované mapy) a F (užitný vzor, průmyslový vzor) se v minulosti bodově hodnotily. S bodovým hodnocením těchto druhů výsledků bylo započato v roce 2007, nejspíš proto došlo v následujícím období k jejich nárůstu. Od roku 2013 do roku 2016 byl kromě výsledků druhu P (patent) a některých výsledků </w:t>
      </w:r>
      <w:r>
        <w:rPr>
          <w:rFonts w:ascii="Arial" w:eastAsia="Times New Roman" w:hAnsi="Arial" w:cs="Arial"/>
          <w:lang w:eastAsia="cs-CZ"/>
        </w:rPr>
        <w:lastRenderedPageBreak/>
        <w:t>druhu Z (odrůda a plemeno), které byly nadále bodovány, hodnocen aplikovaný výzkum na základě finančních objemů smluvního výzkumu. Body za certifikované metodiky, užitné a průmyslové vzory nejsou následně přidělovány, analogicky proto došlo v posledních letech opět k poklesu jejich počtu. Uvedená fakta mohou indikovat nežádoucí účelovost v tvorbě výsledků v přímé vazbě na dřívější způsob hodnocení. Vytvořené aplikované výsledky tudíž pravděpodobně jen velmi málo reflektují potřeby výrobní praxe.</w:t>
      </w:r>
    </w:p>
    <w:p w:rsidR="006338C7" w:rsidRDefault="006338C7" w:rsidP="00CD1C40">
      <w:pPr>
        <w:pStyle w:val="NadpisurovemII"/>
        <w:numPr>
          <w:ilvl w:val="1"/>
          <w:numId w:val="33"/>
        </w:numPr>
        <w:ind w:hanging="792"/>
        <w:jc w:val="both"/>
        <w:rPr>
          <w:rFonts w:eastAsia="Times New Roman"/>
        </w:rPr>
      </w:pPr>
      <w:bookmarkStart w:id="43" w:name="_Toc427676902"/>
      <w:bookmarkStart w:id="44" w:name="_Toc529974122"/>
      <w:r w:rsidRPr="00CD1C40">
        <w:rPr>
          <w:rFonts w:eastAsia="Times New Roman"/>
        </w:rPr>
        <w:t>Oborová struktura výsledků a její změny</w:t>
      </w:r>
      <w:r w:rsidR="00EB0FF6" w:rsidRPr="00CD1C40">
        <w:rPr>
          <w:rFonts w:eastAsia="Times New Roman"/>
        </w:rPr>
        <w:t xml:space="preserve"> v</w:t>
      </w:r>
      <w:r w:rsidR="00CD1C40">
        <w:rPr>
          <w:rFonts w:eastAsia="Times New Roman"/>
        </w:rPr>
        <w:t> </w:t>
      </w:r>
      <w:r w:rsidRPr="00CD1C40">
        <w:rPr>
          <w:rFonts w:eastAsia="Times New Roman"/>
        </w:rPr>
        <w:t>čase</w:t>
      </w:r>
      <w:bookmarkEnd w:id="43"/>
      <w:bookmarkEnd w:id="44"/>
    </w:p>
    <w:p w:rsidR="008B51EA" w:rsidRDefault="008B51EA" w:rsidP="008B51EA">
      <w:pPr>
        <w:spacing w:after="0" w:line="360" w:lineRule="auto"/>
        <w:ind w:firstLine="360"/>
        <w:jc w:val="both"/>
        <w:rPr>
          <w:rFonts w:ascii="Arial" w:hAnsi="Arial" w:cs="Arial"/>
        </w:rPr>
      </w:pPr>
      <w:r>
        <w:rPr>
          <w:rFonts w:ascii="Arial" w:hAnsi="Arial" w:cs="Arial"/>
        </w:rPr>
        <w:t xml:space="preserve">Na obrázku </w:t>
      </w:r>
      <w:r w:rsidR="00712CCB">
        <w:rPr>
          <w:rFonts w:ascii="Arial" w:hAnsi="Arial" w:cs="Arial"/>
        </w:rPr>
        <w:t>7.</w:t>
      </w:r>
      <w:r>
        <w:rPr>
          <w:rFonts w:ascii="Arial" w:hAnsi="Arial" w:cs="Arial"/>
        </w:rPr>
        <w:t>5 jsou uvedeny počty výsledků v členění dle oborových skupin.</w:t>
      </w:r>
      <w:r>
        <w:rPr>
          <w:rFonts w:cs="Arial"/>
          <w:vertAlign w:val="superscript"/>
        </w:rPr>
        <w:footnoteReference w:id="27"/>
      </w:r>
      <w:r>
        <w:rPr>
          <w:rFonts w:ascii="Arial" w:hAnsi="Arial" w:cs="Arial"/>
        </w:rPr>
        <w:t xml:space="preserve"> Obrázek </w:t>
      </w:r>
      <w:r w:rsidR="00712CCB">
        <w:rPr>
          <w:rFonts w:ascii="Arial" w:hAnsi="Arial" w:cs="Arial"/>
        </w:rPr>
        <w:t>7.</w:t>
      </w:r>
      <w:r>
        <w:rPr>
          <w:rFonts w:ascii="Arial" w:hAnsi="Arial" w:cs="Arial"/>
        </w:rPr>
        <w:t>5 rovněž demonstruje časovou dynamiku v podobě srovnání dvou po sobě jdoucích pětiletých období, tj. 2008–2012 a 2013–2017. Jednoznačně největší počet výsledků vzniká ve Společenských a humanitních vědách, je u nich navíc patrný nejvýraznější nárůst počtu publikací ze všech oborových skupin. Druhou nejvýznamnější skupinou oborů z hlediska počtu výsledků je Průmysl.</w:t>
      </w:r>
      <w:r>
        <w:rPr>
          <w:rFonts w:cs="Arial"/>
          <w:vertAlign w:val="superscript"/>
        </w:rPr>
        <w:footnoteReference w:id="28"/>
      </w:r>
      <w:r>
        <w:rPr>
          <w:rFonts w:ascii="Arial" w:hAnsi="Arial" w:cs="Arial"/>
        </w:rPr>
        <w:t xml:space="preserve"> Ve skupině oborů Průmysl sice dochází k mírnému poklesu počtu publikačních výsledků, roste však počet výsledků aplikovaných a tím i jejich podíl na celkovém počtu výsledků v této skupině. Relativně vysoké je také zastoupení Lékařských věd, navíc s mírným nárůstem počtu publikací i aplikovaných výsledků. Mírně rostoucí trend v počtu publikací je patrný také v </w:t>
      </w:r>
      <w:proofErr w:type="spellStart"/>
      <w:r>
        <w:rPr>
          <w:rFonts w:ascii="Arial" w:hAnsi="Arial" w:cs="Arial"/>
        </w:rPr>
        <w:t>Biovědách</w:t>
      </w:r>
      <w:proofErr w:type="spellEnd"/>
      <w:r>
        <w:rPr>
          <w:rFonts w:ascii="Arial" w:hAnsi="Arial" w:cs="Arial"/>
        </w:rPr>
        <w:t>, Informatice, Lékařských vědách, naopak mírně klesající trend je zaznamenán u Fyziky a matematiky, Věd o zemi, Zemědělství a Průmyslu. Počty publikací v</w:t>
      </w:r>
      <w:r w:rsidR="00DA0191">
        <w:rPr>
          <w:rFonts w:ascii="Arial" w:hAnsi="Arial" w:cs="Arial"/>
        </w:rPr>
        <w:t> </w:t>
      </w:r>
      <w:r>
        <w:rPr>
          <w:rFonts w:ascii="Arial" w:hAnsi="Arial" w:cs="Arial"/>
        </w:rPr>
        <w:t>Chemii a ve Vojenství jsou v čase relativně vyrovnané. Ve Fyzice a matematice, Zemědělství a</w:t>
      </w:r>
      <w:r w:rsidR="00DA0191">
        <w:rPr>
          <w:rFonts w:ascii="Arial" w:hAnsi="Arial" w:cs="Arial"/>
        </w:rPr>
        <w:t> </w:t>
      </w:r>
      <w:r>
        <w:rPr>
          <w:rFonts w:ascii="Arial" w:hAnsi="Arial" w:cs="Arial"/>
        </w:rPr>
        <w:t>ve Vědách o Zemi sice dochází podobně jako ve skupině oborů Průmysl k poklesu počtů publikačních výsledků, zároveň však v těchto skupinách oborů rostou počty nepublikačních výsledků. To naznačuje změnu v zaměření výzkumu směrem k tématům bližším provozním aplikacím.</w:t>
      </w:r>
    </w:p>
    <w:p w:rsidR="008B51EA" w:rsidRDefault="008B51EA" w:rsidP="008B51EA">
      <w:pPr>
        <w:spacing w:after="0" w:line="360" w:lineRule="auto"/>
        <w:ind w:firstLine="360"/>
        <w:jc w:val="both"/>
        <w:rPr>
          <w:rFonts w:ascii="Arial" w:hAnsi="Arial" w:cs="Arial"/>
        </w:rPr>
      </w:pPr>
      <w:r>
        <w:rPr>
          <w:rFonts w:ascii="Arial" w:hAnsi="Arial" w:cs="Arial"/>
        </w:rPr>
        <w:t xml:space="preserve">Podíl nepublikačních výsledků na celkovém počtu výsledků se v čase měnil, nejvýrazněji narostl u skupin Průmysl, Zemědělské vědy a Chemie, zůstává však i nadále nízký. Ve skupině oborů Průmysl je podíl nepublikačních výsledků nejvýznamnější, ani zde však nedosahuje 50 %. Z ostatních skupin oborů je relativně nejvyšší podíl nepublikačních výsledků ve Vědách o Zemi (32.5 %) a v Zemědělských vědách (31.5 %), naopak minimální je v Lékařských vědách nebo ve Fyzice a matematice (do 15 %). Uvedená fakta jsou ovlivněna způsobem sběru dat do IS VaVaI, který je spojen s veřejnou podporou výzkumu a vývoje, chybí tak údaje o výsledcích </w:t>
      </w:r>
      <w:proofErr w:type="spellStart"/>
      <w:r>
        <w:rPr>
          <w:rFonts w:ascii="Arial" w:hAnsi="Arial" w:cs="Arial"/>
        </w:rPr>
        <w:t>VaV</w:t>
      </w:r>
      <w:proofErr w:type="spellEnd"/>
      <w:r>
        <w:rPr>
          <w:rFonts w:ascii="Arial" w:hAnsi="Arial" w:cs="Arial"/>
        </w:rPr>
        <w:t xml:space="preserve"> financovaných čistě z podnikatelských zdrojů.</w:t>
      </w:r>
    </w:p>
    <w:p w:rsidR="008B51EA" w:rsidRDefault="008B51EA" w:rsidP="008B51EA">
      <w:pPr>
        <w:spacing w:after="0" w:line="360" w:lineRule="auto"/>
        <w:ind w:firstLine="360"/>
        <w:jc w:val="both"/>
        <w:rPr>
          <w:rFonts w:ascii="Arial" w:hAnsi="Arial" w:cs="Arial"/>
        </w:rPr>
        <w:sectPr w:rsidR="008B51EA" w:rsidSect="008E7867">
          <w:pgSz w:w="11906" w:h="16838"/>
          <w:pgMar w:top="1134" w:right="1134" w:bottom="1134" w:left="1134" w:header="709" w:footer="709" w:gutter="0"/>
          <w:cols w:space="708"/>
          <w:docGrid w:linePitch="360"/>
        </w:sectPr>
      </w:pPr>
    </w:p>
    <w:p w:rsidR="008B51EA" w:rsidRDefault="008B51EA" w:rsidP="008B51EA">
      <w:pPr>
        <w:keepNext/>
        <w:spacing w:before="120" w:after="240" w:line="240" w:lineRule="auto"/>
        <w:jc w:val="both"/>
        <w:rPr>
          <w:rFonts w:ascii="Arial" w:eastAsia="Times New Roman" w:hAnsi="Arial" w:cs="Times New Roman"/>
          <w:b/>
          <w:szCs w:val="24"/>
          <w:lang w:eastAsia="cs-CZ"/>
        </w:rPr>
      </w:pPr>
      <w:r>
        <w:rPr>
          <w:rFonts w:ascii="Arial" w:eastAsia="Times New Roman" w:hAnsi="Arial" w:cs="Times New Roman"/>
          <w:b/>
          <w:szCs w:val="24"/>
          <w:lang w:eastAsia="cs-CZ"/>
        </w:rPr>
        <w:lastRenderedPageBreak/>
        <w:t xml:space="preserve">Obr. </w:t>
      </w:r>
      <w:r w:rsidR="00712CCB">
        <w:rPr>
          <w:rFonts w:ascii="Arial" w:eastAsia="Times New Roman" w:hAnsi="Arial" w:cs="Times New Roman"/>
          <w:b/>
          <w:szCs w:val="24"/>
          <w:lang w:eastAsia="cs-CZ"/>
        </w:rPr>
        <w:t>7.</w:t>
      </w:r>
      <w:r>
        <w:rPr>
          <w:rFonts w:ascii="Arial" w:eastAsia="Times New Roman" w:hAnsi="Arial" w:cs="Times New Roman"/>
          <w:b/>
          <w:szCs w:val="24"/>
          <w:lang w:eastAsia="cs-CZ"/>
        </w:rPr>
        <w:t>5: Tvorba publikačních a aplikovaných výsledků v ČR dle skupin vědních oborů a jejich změny v čase</w:t>
      </w:r>
    </w:p>
    <w:p w:rsidR="008B51EA" w:rsidRDefault="008B51EA" w:rsidP="008B51EA">
      <w:pPr>
        <w:keepNext/>
        <w:jc w:val="center"/>
        <w:rPr>
          <w:b/>
        </w:rPr>
      </w:pPr>
      <w:r>
        <w:rPr>
          <w:b/>
          <w:noProof/>
          <w:lang w:eastAsia="cs-CZ"/>
        </w:rPr>
        <w:drawing>
          <wp:inline distT="0" distB="0" distL="0" distR="0" wp14:anchorId="12E1AB37" wp14:editId="76721AB9">
            <wp:extent cx="7901940" cy="4762500"/>
            <wp:effectExtent l="0" t="0" r="381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a:picLocks noChangeAspect="1" noChangeArrowheads="1"/>
                    </pic:cNvPicPr>
                  </pic:nvPicPr>
                  <pic:blipFill>
                    <a:blip r:embed="rId56">
                      <a:extLst>
                        <a:ext uri="{28A0092B-C50C-407E-A947-70E740481C1C}">
                          <a14:useLocalDpi xmlns:a14="http://schemas.microsoft.com/office/drawing/2010/main" val="0"/>
                        </a:ext>
                      </a:extLst>
                    </a:blip>
                    <a:srcRect t="2286" b="2408"/>
                    <a:stretch>
                      <a:fillRect/>
                    </a:stretch>
                  </pic:blipFill>
                  <pic:spPr bwMode="auto">
                    <a:xfrm>
                      <a:off x="0" y="0"/>
                      <a:ext cx="7901940" cy="4762500"/>
                    </a:xfrm>
                    <a:prstGeom prst="rect">
                      <a:avLst/>
                    </a:prstGeom>
                    <a:noFill/>
                    <a:ln>
                      <a:noFill/>
                    </a:ln>
                  </pic:spPr>
                </pic:pic>
              </a:graphicData>
            </a:graphic>
          </wp:inline>
        </w:drawing>
      </w:r>
    </w:p>
    <w:p w:rsidR="008B51EA" w:rsidRDefault="008B51EA" w:rsidP="008B51EA">
      <w:pPr>
        <w:spacing w:before="120" w:after="120" w:line="240" w:lineRule="auto"/>
        <w:rPr>
          <w:rFonts w:ascii="Arial" w:eastAsia="Times New Roman" w:hAnsi="Arial" w:cs="Times New Roman"/>
          <w:i/>
          <w:sz w:val="18"/>
          <w:szCs w:val="24"/>
          <w:lang w:eastAsia="cs-CZ"/>
        </w:rPr>
      </w:pPr>
      <w:r>
        <w:rPr>
          <w:rFonts w:ascii="Arial" w:eastAsia="Times New Roman" w:hAnsi="Arial" w:cs="Times New Roman"/>
          <w:i/>
          <w:sz w:val="18"/>
          <w:szCs w:val="24"/>
          <w:lang w:eastAsia="cs-CZ"/>
        </w:rPr>
        <w:t>Zdroj dat: IS VaVaI, export dat 15. 8. 2018</w:t>
      </w:r>
    </w:p>
    <w:p w:rsidR="008B51EA" w:rsidRDefault="008B51EA" w:rsidP="008B51EA">
      <w:pPr>
        <w:spacing w:after="0" w:line="360" w:lineRule="auto"/>
        <w:ind w:firstLine="360"/>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Počty výsledků za rok 2017 nejsou konečné, neboť v průběhu měsíců září až prosince dochází ke sběru dat od organizací nemajících povahu VO. Konečný počet výsledků bude pravděpodobně pouze mírně odlišný (v řádu jednotek %)</w:t>
      </w:r>
    </w:p>
    <w:p w:rsidR="008B51EA" w:rsidRDefault="008B51EA" w:rsidP="008B51EA">
      <w:pPr>
        <w:spacing w:after="0" w:line="360" w:lineRule="auto"/>
        <w:ind w:firstLine="360"/>
        <w:jc w:val="both"/>
        <w:rPr>
          <w:rFonts w:ascii="Arial" w:eastAsia="Times New Roman" w:hAnsi="Arial" w:cs="Times New Roman"/>
          <w:i/>
          <w:sz w:val="18"/>
          <w:szCs w:val="24"/>
          <w:lang w:eastAsia="cs-CZ"/>
        </w:rPr>
        <w:sectPr w:rsidR="008B51EA" w:rsidSect="008B51EA">
          <w:pgSz w:w="16838" w:h="11906" w:orient="landscape"/>
          <w:pgMar w:top="1134" w:right="1134" w:bottom="1134" w:left="1134" w:header="709" w:footer="709" w:gutter="0"/>
          <w:cols w:space="708"/>
          <w:docGrid w:linePitch="360"/>
        </w:sectPr>
      </w:pPr>
    </w:p>
    <w:p w:rsidR="00AD7092" w:rsidRDefault="006338C7" w:rsidP="009A4B85">
      <w:pPr>
        <w:pStyle w:val="NadpisurovemII"/>
        <w:numPr>
          <w:ilvl w:val="1"/>
          <w:numId w:val="33"/>
        </w:numPr>
        <w:ind w:hanging="792"/>
        <w:jc w:val="both"/>
        <w:rPr>
          <w:rFonts w:eastAsia="Times New Roman"/>
        </w:rPr>
      </w:pPr>
      <w:bookmarkStart w:id="45" w:name="_Toc427676903"/>
      <w:bookmarkStart w:id="46" w:name="_Toc529974123"/>
      <w:r w:rsidRPr="00CD1C40">
        <w:rPr>
          <w:rFonts w:eastAsia="Times New Roman"/>
        </w:rPr>
        <w:lastRenderedPageBreak/>
        <w:t>Kvalita výsledků a jejich mezinárodní srovnání</w:t>
      </w:r>
      <w:bookmarkStart w:id="47" w:name="_Toc427676904"/>
      <w:bookmarkEnd w:id="45"/>
      <w:r w:rsidR="00D7788A" w:rsidRPr="009A4B85">
        <w:rPr>
          <w:vertAlign w:val="superscript"/>
        </w:rPr>
        <w:footnoteReference w:id="29"/>
      </w:r>
      <w:bookmarkEnd w:id="46"/>
    </w:p>
    <w:p w:rsidR="008B51EA" w:rsidRDefault="008B51EA" w:rsidP="008B51EA">
      <w:pPr>
        <w:spacing w:after="0" w:line="360" w:lineRule="auto"/>
        <w:ind w:firstLine="709"/>
        <w:jc w:val="both"/>
        <w:rPr>
          <w:rFonts w:ascii="Arial" w:hAnsi="Arial" w:cs="Arial"/>
        </w:rPr>
      </w:pPr>
      <w:r>
        <w:rPr>
          <w:rFonts w:ascii="Arial" w:hAnsi="Arial" w:cs="Arial"/>
        </w:rPr>
        <w:t xml:space="preserve">Z hlediska kvality vytvořených publikací je podstatné kromě sledování vzájemného poměru jednotlivých druhů rovněž detailnější členění recenzovaných článků dle indexace ve světových databázích. V obrázku 7.3 je uvedeno rozdělení na základě údajů z posledního dokončeného hodnocení podle staré metodiky, které obsahuje uplatněné výsledky za roky 2011–2015. Důležité je vést v patrnosti, že srovnání struktury publikací je mimo jiné ovlivněno oborovým zaměřením vysokých škol a ústavů AV ČR. Podobně jako u předchozích dvou hodnocení platí, že největší počet článků indexovaných ve </w:t>
      </w:r>
      <w:proofErr w:type="gramStart"/>
      <w:r>
        <w:rPr>
          <w:rFonts w:ascii="Arial" w:hAnsi="Arial" w:cs="Arial"/>
        </w:rPr>
        <w:t>Web</w:t>
      </w:r>
      <w:proofErr w:type="gramEnd"/>
      <w:r>
        <w:rPr>
          <w:rFonts w:ascii="Arial" w:hAnsi="Arial" w:cs="Arial"/>
        </w:rPr>
        <w:t xml:space="preserve"> </w:t>
      </w:r>
      <w:proofErr w:type="spellStart"/>
      <w:r>
        <w:rPr>
          <w:rFonts w:ascii="Arial" w:hAnsi="Arial" w:cs="Arial"/>
        </w:rPr>
        <w:t>of</w:t>
      </w:r>
      <w:proofErr w:type="spellEnd"/>
      <w:r>
        <w:rPr>
          <w:rFonts w:ascii="Arial" w:hAnsi="Arial" w:cs="Arial"/>
        </w:rPr>
        <w:t xml:space="preserve"> Science vzniká na vysokých školách. Vysoké školy produkují celkově nejvíce recenzovaných článků a také zaměstnávají nejvíce výzkumných pracovníků, jak je patrné z kap. 4 – Lidské zdroje ve výzkumu a vývoji. Zajímavé je také zjištění, že obor </w:t>
      </w:r>
      <w:proofErr w:type="spellStart"/>
      <w:r>
        <w:rPr>
          <w:rFonts w:ascii="Arial" w:hAnsi="Arial" w:cs="Arial"/>
        </w:rPr>
        <w:t>Educational</w:t>
      </w:r>
      <w:proofErr w:type="spellEnd"/>
      <w:r>
        <w:rPr>
          <w:rFonts w:ascii="Arial" w:hAnsi="Arial" w:cs="Arial"/>
        </w:rPr>
        <w:t xml:space="preserve"> Sciences (viz obrázek 7.7), má nejnižší normalizovaný citační index a patří k oborům, jejichž změna v počtu publikací mezi roky 2012 a 2016 byla záporná, čili počet publikací v tomto oboru výrazně klesl (o 42 %). Z tohoto zjištění lze usuzovat, že vysoké školy se pravděpodobně zabývaly více předmětem výuky než problematikou vyučování samého. Pokud se zaměříme na podíl publikací ve Web </w:t>
      </w:r>
      <w:proofErr w:type="spellStart"/>
      <w:r>
        <w:rPr>
          <w:rFonts w:ascii="Arial" w:hAnsi="Arial" w:cs="Arial"/>
        </w:rPr>
        <w:t>of</w:t>
      </w:r>
      <w:proofErr w:type="spellEnd"/>
      <w:r>
        <w:rPr>
          <w:rFonts w:ascii="Arial" w:hAnsi="Arial" w:cs="Arial"/>
        </w:rPr>
        <w:t xml:space="preserve"> Science na všech recenzovaných článcích vyprodukovaných danou skupinou subjektů, ústavy AV ČR výrazně převyšují vysoké školy</w:t>
      </w:r>
      <w:r>
        <w:rPr>
          <w:rFonts w:cs="Arial"/>
          <w:vertAlign w:val="superscript"/>
        </w:rPr>
        <w:footnoteReference w:id="30"/>
      </w:r>
      <w:r>
        <w:rPr>
          <w:rFonts w:ascii="Arial" w:hAnsi="Arial" w:cs="Arial"/>
        </w:rPr>
        <w:t xml:space="preserve"> (86 % článků ve </w:t>
      </w:r>
      <w:proofErr w:type="gramStart"/>
      <w:r>
        <w:rPr>
          <w:rFonts w:ascii="Arial" w:hAnsi="Arial" w:cs="Arial"/>
        </w:rPr>
        <w:t>Web</w:t>
      </w:r>
      <w:proofErr w:type="gramEnd"/>
      <w:r>
        <w:rPr>
          <w:rFonts w:ascii="Arial" w:hAnsi="Arial" w:cs="Arial"/>
        </w:rPr>
        <w:t xml:space="preserve"> </w:t>
      </w:r>
      <w:proofErr w:type="spellStart"/>
      <w:r>
        <w:rPr>
          <w:rFonts w:ascii="Arial" w:hAnsi="Arial" w:cs="Arial"/>
        </w:rPr>
        <w:t>of</w:t>
      </w:r>
      <w:proofErr w:type="spellEnd"/>
      <w:r>
        <w:rPr>
          <w:rFonts w:ascii="Arial" w:hAnsi="Arial" w:cs="Arial"/>
        </w:rPr>
        <w:t xml:space="preserve"> Science ústavů AV ČR oproti 54 % vysokých škol). U vysokých škol se, podobně jako u státních příspěvkových organizací a podnikatelských subjektů, vyskytují ve významnějším počtu publikace v českých recenzovaných periodikách a v databázi </w:t>
      </w:r>
      <w:proofErr w:type="spellStart"/>
      <w:r>
        <w:rPr>
          <w:rFonts w:ascii="Arial" w:hAnsi="Arial" w:cs="Arial"/>
        </w:rPr>
        <w:t>Scopus</w:t>
      </w:r>
      <w:proofErr w:type="spellEnd"/>
      <w:r>
        <w:rPr>
          <w:rFonts w:ascii="Arial" w:hAnsi="Arial" w:cs="Arial"/>
        </w:rPr>
        <w:t>. To může souviset se snahou těchto subjektů šířit výsledky výzkumu do praxe, neboť zejména české recenzované časopisy mohou být, podobně jako sborníky z konferencí, pro domácí odborníky, veřejnost i</w:t>
      </w:r>
      <w:r w:rsidR="00DA0191">
        <w:rPr>
          <w:rFonts w:ascii="Arial" w:hAnsi="Arial" w:cs="Arial"/>
        </w:rPr>
        <w:t> </w:t>
      </w:r>
      <w:r>
        <w:rPr>
          <w:rFonts w:ascii="Arial" w:hAnsi="Arial" w:cs="Arial"/>
        </w:rPr>
        <w:t>výrobní praxi přístupnější a využívanější. Rovněž to však může indikovat snahu publikovat pouze dílčí nebo málo zajímavé výsledky výzkumu snazším způsobem, přičemž subjekty mohly být k takovému jednání motivovány systémem hodnocení výzkumných organizací používaným do roku 2016. K rozlišení toho, zda se jedná o efekt pozitivní (šíření poznatků do praxe), nebo negativní (publikovat za každou cenu), a zhodnocení všech jeho důsledků (fragmentace poznatků do více publikací s menším ohlasem, znemožnění získání ochrany duševního vlastnictví atd.), chybí informace o dalším využití publikací provozními subjekty.</w:t>
      </w:r>
    </w:p>
    <w:p w:rsidR="008B51EA" w:rsidRDefault="008B51EA" w:rsidP="008B51EA">
      <w:pPr>
        <w:spacing w:after="0" w:line="360" w:lineRule="auto"/>
        <w:ind w:firstLine="708"/>
        <w:jc w:val="both"/>
        <w:rPr>
          <w:rFonts w:ascii="Arial" w:hAnsi="Arial" w:cs="Arial"/>
        </w:rPr>
      </w:pPr>
      <w:r>
        <w:rPr>
          <w:rFonts w:ascii="Arial" w:hAnsi="Arial" w:cs="Arial"/>
        </w:rPr>
        <w:t xml:space="preserve">Zaměříme-li se na kvalitu článků v periodikách Web </w:t>
      </w:r>
      <w:proofErr w:type="spellStart"/>
      <w:r>
        <w:rPr>
          <w:rFonts w:ascii="Arial" w:hAnsi="Arial" w:cs="Arial"/>
        </w:rPr>
        <w:t>of</w:t>
      </w:r>
      <w:proofErr w:type="spellEnd"/>
      <w:r>
        <w:rPr>
          <w:rFonts w:ascii="Arial" w:hAnsi="Arial" w:cs="Arial"/>
        </w:rPr>
        <w:t xml:space="preserve"> Science měřenou jejich skutečnou citovaností v mezinárodním kontextu, i zde vykazuje ČR pozitivní trend. V některých oborových </w:t>
      </w:r>
      <w:r>
        <w:rPr>
          <w:rFonts w:ascii="Arial" w:hAnsi="Arial" w:cs="Arial"/>
        </w:rPr>
        <w:lastRenderedPageBreak/>
        <w:t xml:space="preserve">skupinách a oborech je ČR nad světovým průměrem a počty kvalitních publikací meziročně rostou. Obrázky </w:t>
      </w:r>
      <w:r w:rsidR="00712CCB">
        <w:rPr>
          <w:rFonts w:ascii="Arial" w:hAnsi="Arial" w:cs="Arial"/>
        </w:rPr>
        <w:t>7.</w:t>
      </w:r>
      <w:r>
        <w:rPr>
          <w:rFonts w:ascii="Arial" w:hAnsi="Arial" w:cs="Arial"/>
        </w:rPr>
        <w:t xml:space="preserve">6 a </w:t>
      </w:r>
      <w:r w:rsidR="00712CCB">
        <w:rPr>
          <w:rFonts w:ascii="Arial" w:hAnsi="Arial" w:cs="Arial"/>
        </w:rPr>
        <w:t>7.</w:t>
      </w:r>
      <w:r>
        <w:rPr>
          <w:rFonts w:ascii="Arial" w:hAnsi="Arial" w:cs="Arial"/>
        </w:rPr>
        <w:t xml:space="preserve">7 uvádí změny v počtech článků českých autorů a spoluautorů v období 2012–2016 a zároveň jejich citační ohlas (stanovený v červnu roku 2018), a to jak na úrovni skupinových oborů, tak na úrovni oborů (FORD). K nejvýraznějšímu nárůstu počtu publikací ve Web </w:t>
      </w:r>
      <w:proofErr w:type="spellStart"/>
      <w:r>
        <w:rPr>
          <w:rFonts w:ascii="Arial" w:hAnsi="Arial" w:cs="Arial"/>
        </w:rPr>
        <w:t>of</w:t>
      </w:r>
      <w:proofErr w:type="spellEnd"/>
      <w:r>
        <w:rPr>
          <w:rFonts w:ascii="Arial" w:hAnsi="Arial" w:cs="Arial"/>
        </w:rPr>
        <w:t xml:space="preserve"> Science mezi léty 2012 a 2016 došlo na úrovni oborových skupin v </w:t>
      </w:r>
      <w:proofErr w:type="spellStart"/>
      <w:r>
        <w:rPr>
          <w:rFonts w:ascii="Arial" w:hAnsi="Arial" w:cs="Arial"/>
        </w:rPr>
        <w:t>Engineering</w:t>
      </w:r>
      <w:proofErr w:type="spellEnd"/>
      <w:r>
        <w:rPr>
          <w:rFonts w:ascii="Arial" w:hAnsi="Arial" w:cs="Arial"/>
        </w:rPr>
        <w:t xml:space="preserve"> and Technology (téměř 34% nárůst), v </w:t>
      </w:r>
      <w:proofErr w:type="spellStart"/>
      <w:r>
        <w:rPr>
          <w:rFonts w:ascii="Arial" w:hAnsi="Arial" w:cs="Arial"/>
        </w:rPr>
        <w:t>Medical</w:t>
      </w:r>
      <w:proofErr w:type="spellEnd"/>
      <w:r>
        <w:rPr>
          <w:rFonts w:ascii="Arial" w:hAnsi="Arial" w:cs="Arial"/>
        </w:rPr>
        <w:t xml:space="preserve"> and </w:t>
      </w:r>
      <w:proofErr w:type="spellStart"/>
      <w:r>
        <w:rPr>
          <w:rFonts w:ascii="Arial" w:hAnsi="Arial" w:cs="Arial"/>
        </w:rPr>
        <w:t>Health</w:t>
      </w:r>
      <w:proofErr w:type="spellEnd"/>
      <w:r>
        <w:rPr>
          <w:rFonts w:ascii="Arial" w:hAnsi="Arial" w:cs="Arial"/>
        </w:rPr>
        <w:t xml:space="preserve"> Sciences (téměř 30% nárůst) a v </w:t>
      </w:r>
      <w:proofErr w:type="spellStart"/>
      <w:r>
        <w:rPr>
          <w:rFonts w:ascii="Arial" w:hAnsi="Arial" w:cs="Arial"/>
        </w:rPr>
        <w:t>Social</w:t>
      </w:r>
      <w:proofErr w:type="spellEnd"/>
      <w:r>
        <w:rPr>
          <w:rFonts w:ascii="Arial" w:hAnsi="Arial" w:cs="Arial"/>
        </w:rPr>
        <w:t xml:space="preserve"> Sciences (více než 27% nárůst), viz více obrázek </w:t>
      </w:r>
      <w:r w:rsidR="00712CCB">
        <w:rPr>
          <w:rFonts w:ascii="Arial" w:hAnsi="Arial" w:cs="Arial"/>
        </w:rPr>
        <w:t>7.</w:t>
      </w:r>
      <w:r>
        <w:rPr>
          <w:rFonts w:ascii="Arial" w:hAnsi="Arial" w:cs="Arial"/>
        </w:rPr>
        <w:t>7 pravý horní roh. K nejvýraznějšímu nárůstu počtu publikací u</w:t>
      </w:r>
      <w:r w:rsidR="00DA0191">
        <w:rPr>
          <w:rFonts w:ascii="Arial" w:hAnsi="Arial" w:cs="Arial"/>
        </w:rPr>
        <w:t> </w:t>
      </w:r>
      <w:r>
        <w:rPr>
          <w:rFonts w:ascii="Arial" w:hAnsi="Arial" w:cs="Arial"/>
        </w:rPr>
        <w:t xml:space="preserve">oborů, které jsou zastoupeny nad 1 000 publikací za sledované období (obrázek </w:t>
      </w:r>
      <w:r w:rsidR="00712CCB">
        <w:rPr>
          <w:rFonts w:ascii="Arial" w:hAnsi="Arial" w:cs="Arial"/>
        </w:rPr>
        <w:t>7.</w:t>
      </w:r>
      <w:r>
        <w:rPr>
          <w:rFonts w:ascii="Arial" w:hAnsi="Arial" w:cs="Arial"/>
        </w:rPr>
        <w:t>6) došlo v</w:t>
      </w:r>
      <w:r w:rsidR="00DA0191">
        <w:rPr>
          <w:rFonts w:ascii="Arial" w:hAnsi="Arial" w:cs="Arial"/>
        </w:rPr>
        <w:t> </w:t>
      </w:r>
      <w:proofErr w:type="spellStart"/>
      <w:r>
        <w:rPr>
          <w:rFonts w:ascii="Arial" w:hAnsi="Arial" w:cs="Arial"/>
        </w:rPr>
        <w:t>Environmental</w:t>
      </w:r>
      <w:proofErr w:type="spellEnd"/>
      <w:r>
        <w:rPr>
          <w:rFonts w:ascii="Arial" w:hAnsi="Arial" w:cs="Arial"/>
        </w:rPr>
        <w:t xml:space="preserve"> </w:t>
      </w:r>
      <w:proofErr w:type="spellStart"/>
      <w:r>
        <w:rPr>
          <w:rFonts w:ascii="Arial" w:hAnsi="Arial" w:cs="Arial"/>
        </w:rPr>
        <w:t>engineering</w:t>
      </w:r>
      <w:proofErr w:type="spellEnd"/>
      <w:r>
        <w:rPr>
          <w:rFonts w:ascii="Arial" w:hAnsi="Arial" w:cs="Arial"/>
        </w:rPr>
        <w:t xml:space="preserve"> (58% nárůst), v </w:t>
      </w:r>
      <w:proofErr w:type="spellStart"/>
      <w:r>
        <w:rPr>
          <w:rFonts w:ascii="Arial" w:hAnsi="Arial" w:cs="Arial"/>
        </w:rPr>
        <w:t>Earth</w:t>
      </w:r>
      <w:proofErr w:type="spellEnd"/>
      <w:r>
        <w:rPr>
          <w:rFonts w:ascii="Arial" w:hAnsi="Arial" w:cs="Arial"/>
        </w:rPr>
        <w:t xml:space="preserve"> and </w:t>
      </w:r>
      <w:proofErr w:type="spellStart"/>
      <w:r>
        <w:rPr>
          <w:rFonts w:ascii="Arial" w:hAnsi="Arial" w:cs="Arial"/>
        </w:rPr>
        <w:t>related</w:t>
      </w:r>
      <w:proofErr w:type="spellEnd"/>
      <w:r>
        <w:rPr>
          <w:rFonts w:ascii="Arial" w:hAnsi="Arial" w:cs="Arial"/>
        </w:rPr>
        <w:t xml:space="preserve"> </w:t>
      </w:r>
      <w:proofErr w:type="spellStart"/>
      <w:r>
        <w:rPr>
          <w:rFonts w:ascii="Arial" w:hAnsi="Arial" w:cs="Arial"/>
        </w:rPr>
        <w:t>environmental</w:t>
      </w:r>
      <w:proofErr w:type="spellEnd"/>
      <w:r>
        <w:rPr>
          <w:rFonts w:ascii="Arial" w:hAnsi="Arial" w:cs="Arial"/>
        </w:rPr>
        <w:t xml:space="preserve"> </w:t>
      </w:r>
      <w:proofErr w:type="spellStart"/>
      <w:r>
        <w:rPr>
          <w:rFonts w:ascii="Arial" w:hAnsi="Arial" w:cs="Arial"/>
        </w:rPr>
        <w:t>sciences</w:t>
      </w:r>
      <w:proofErr w:type="spellEnd"/>
      <w:r>
        <w:rPr>
          <w:rFonts w:ascii="Arial" w:hAnsi="Arial" w:cs="Arial"/>
        </w:rPr>
        <w:t xml:space="preserve"> (52% nárůst) a v </w:t>
      </w:r>
      <w:proofErr w:type="spellStart"/>
      <w:r>
        <w:rPr>
          <w:rFonts w:ascii="Arial" w:hAnsi="Arial" w:cs="Arial"/>
        </w:rPr>
        <w:t>Materials</w:t>
      </w:r>
      <w:proofErr w:type="spellEnd"/>
      <w:r>
        <w:rPr>
          <w:rFonts w:ascii="Arial" w:hAnsi="Arial" w:cs="Arial"/>
        </w:rPr>
        <w:t xml:space="preserve"> </w:t>
      </w:r>
      <w:proofErr w:type="spellStart"/>
      <w:r>
        <w:rPr>
          <w:rFonts w:ascii="Arial" w:hAnsi="Arial" w:cs="Arial"/>
        </w:rPr>
        <w:t>engineering</w:t>
      </w:r>
      <w:proofErr w:type="spellEnd"/>
      <w:r>
        <w:rPr>
          <w:rFonts w:ascii="Arial" w:hAnsi="Arial" w:cs="Arial"/>
        </w:rPr>
        <w:t xml:space="preserve"> (48% nárůst).</w:t>
      </w:r>
    </w:p>
    <w:p w:rsidR="008B51EA" w:rsidRDefault="008B51EA" w:rsidP="008B51EA">
      <w:pPr>
        <w:spacing w:after="0" w:line="360" w:lineRule="auto"/>
        <w:ind w:firstLine="708"/>
        <w:jc w:val="both"/>
        <w:rPr>
          <w:rFonts w:ascii="Arial" w:hAnsi="Arial" w:cs="Arial"/>
        </w:rPr>
      </w:pPr>
      <w:r>
        <w:rPr>
          <w:rFonts w:ascii="Arial" w:hAnsi="Arial" w:cs="Arial"/>
        </w:rPr>
        <w:t xml:space="preserve">Nejvýznamnějšími obory z hlediska počtu článků českých autorů ve Web </w:t>
      </w:r>
      <w:proofErr w:type="spellStart"/>
      <w:r>
        <w:rPr>
          <w:rFonts w:ascii="Arial" w:hAnsi="Arial" w:cs="Arial"/>
        </w:rPr>
        <w:t>of</w:t>
      </w:r>
      <w:proofErr w:type="spellEnd"/>
      <w:r>
        <w:rPr>
          <w:rFonts w:ascii="Arial" w:hAnsi="Arial" w:cs="Arial"/>
        </w:rPr>
        <w:t xml:space="preserve"> Science jsou </w:t>
      </w:r>
      <w:proofErr w:type="spellStart"/>
      <w:r>
        <w:rPr>
          <w:rFonts w:ascii="Arial" w:hAnsi="Arial" w:cs="Arial"/>
        </w:rPr>
        <w:t>Biological</w:t>
      </w:r>
      <w:proofErr w:type="spellEnd"/>
      <w:r>
        <w:rPr>
          <w:rFonts w:ascii="Arial" w:hAnsi="Arial" w:cs="Arial"/>
        </w:rPr>
        <w:t xml:space="preserve"> </w:t>
      </w:r>
      <w:proofErr w:type="spellStart"/>
      <w:r>
        <w:rPr>
          <w:rFonts w:ascii="Arial" w:hAnsi="Arial" w:cs="Arial"/>
        </w:rPr>
        <w:t>sciences</w:t>
      </w:r>
      <w:proofErr w:type="spellEnd"/>
      <w:r>
        <w:rPr>
          <w:rFonts w:ascii="Arial" w:hAnsi="Arial" w:cs="Arial"/>
        </w:rPr>
        <w:t xml:space="preserve"> (téměř 12.5 tis. článků za pět let), </w:t>
      </w:r>
      <w:proofErr w:type="spellStart"/>
      <w:r>
        <w:rPr>
          <w:rFonts w:ascii="Arial" w:hAnsi="Arial" w:cs="Arial"/>
        </w:rPr>
        <w:t>Chemical</w:t>
      </w:r>
      <w:proofErr w:type="spellEnd"/>
      <w:r>
        <w:rPr>
          <w:rFonts w:ascii="Arial" w:hAnsi="Arial" w:cs="Arial"/>
        </w:rPr>
        <w:t xml:space="preserve"> </w:t>
      </w:r>
      <w:proofErr w:type="spellStart"/>
      <w:r>
        <w:rPr>
          <w:rFonts w:ascii="Arial" w:hAnsi="Arial" w:cs="Arial"/>
        </w:rPr>
        <w:t>sciences</w:t>
      </w:r>
      <w:proofErr w:type="spellEnd"/>
      <w:r>
        <w:rPr>
          <w:rFonts w:ascii="Arial" w:hAnsi="Arial" w:cs="Arial"/>
        </w:rPr>
        <w:t xml:space="preserve"> (přes 10 tis.), </w:t>
      </w:r>
      <w:proofErr w:type="spellStart"/>
      <w:r>
        <w:rPr>
          <w:rFonts w:ascii="Arial" w:hAnsi="Arial" w:cs="Arial"/>
        </w:rPr>
        <w:t>Physical</w:t>
      </w:r>
      <w:proofErr w:type="spellEnd"/>
      <w:r>
        <w:rPr>
          <w:rFonts w:ascii="Arial" w:hAnsi="Arial" w:cs="Arial"/>
        </w:rPr>
        <w:t xml:space="preserve"> </w:t>
      </w:r>
      <w:proofErr w:type="spellStart"/>
      <w:r>
        <w:rPr>
          <w:rFonts w:ascii="Arial" w:hAnsi="Arial" w:cs="Arial"/>
        </w:rPr>
        <w:t>sciences</w:t>
      </w:r>
      <w:proofErr w:type="spellEnd"/>
      <w:r>
        <w:rPr>
          <w:rFonts w:ascii="Arial" w:hAnsi="Arial" w:cs="Arial"/>
        </w:rPr>
        <w:t xml:space="preserve"> and astronomy (9.3 tis.) a </w:t>
      </w:r>
      <w:proofErr w:type="spellStart"/>
      <w:r>
        <w:rPr>
          <w:rFonts w:ascii="Arial" w:hAnsi="Arial" w:cs="Arial"/>
        </w:rPr>
        <w:t>Clinical</w:t>
      </w:r>
      <w:proofErr w:type="spellEnd"/>
      <w:r>
        <w:rPr>
          <w:rFonts w:ascii="Arial" w:hAnsi="Arial" w:cs="Arial"/>
        </w:rPr>
        <w:t xml:space="preserve"> </w:t>
      </w:r>
      <w:proofErr w:type="spellStart"/>
      <w:r>
        <w:rPr>
          <w:rFonts w:ascii="Arial" w:hAnsi="Arial" w:cs="Arial"/>
        </w:rPr>
        <w:t>medicine</w:t>
      </w:r>
      <w:proofErr w:type="spellEnd"/>
      <w:r>
        <w:rPr>
          <w:rFonts w:ascii="Arial" w:hAnsi="Arial" w:cs="Arial"/>
        </w:rPr>
        <w:t xml:space="preserve"> (téměř 7.7 tis.). V případě </w:t>
      </w:r>
      <w:proofErr w:type="spellStart"/>
      <w:r>
        <w:rPr>
          <w:rFonts w:ascii="Arial" w:hAnsi="Arial" w:cs="Arial"/>
        </w:rPr>
        <w:t>Clinical</w:t>
      </w:r>
      <w:proofErr w:type="spellEnd"/>
      <w:r>
        <w:rPr>
          <w:rFonts w:ascii="Arial" w:hAnsi="Arial" w:cs="Arial"/>
        </w:rPr>
        <w:t xml:space="preserve"> </w:t>
      </w:r>
      <w:proofErr w:type="spellStart"/>
      <w:r>
        <w:rPr>
          <w:rFonts w:ascii="Arial" w:hAnsi="Arial" w:cs="Arial"/>
        </w:rPr>
        <w:t>medicine</w:t>
      </w:r>
      <w:proofErr w:type="spellEnd"/>
      <w:r>
        <w:rPr>
          <w:rFonts w:ascii="Arial" w:hAnsi="Arial" w:cs="Arial"/>
        </w:rPr>
        <w:t xml:space="preserve"> a </w:t>
      </w:r>
      <w:proofErr w:type="spellStart"/>
      <w:r>
        <w:rPr>
          <w:rFonts w:ascii="Arial" w:hAnsi="Arial" w:cs="Arial"/>
        </w:rPr>
        <w:t>Physical</w:t>
      </w:r>
      <w:proofErr w:type="spellEnd"/>
      <w:r>
        <w:rPr>
          <w:rFonts w:ascii="Arial" w:hAnsi="Arial" w:cs="Arial"/>
        </w:rPr>
        <w:t xml:space="preserve"> </w:t>
      </w:r>
      <w:proofErr w:type="spellStart"/>
      <w:r>
        <w:rPr>
          <w:rFonts w:ascii="Arial" w:hAnsi="Arial" w:cs="Arial"/>
        </w:rPr>
        <w:t>sciences</w:t>
      </w:r>
      <w:proofErr w:type="spellEnd"/>
      <w:r>
        <w:rPr>
          <w:rFonts w:ascii="Arial" w:hAnsi="Arial" w:cs="Arial"/>
        </w:rPr>
        <w:t xml:space="preserve"> and astronomy se zároveň jedná o publikace, které jsou výrazněji nadprůměrně citovány (normalizovaný citační index dosahuje téměř 1,8 v případě </w:t>
      </w:r>
      <w:proofErr w:type="spellStart"/>
      <w:r>
        <w:rPr>
          <w:rFonts w:ascii="Arial" w:hAnsi="Arial" w:cs="Arial"/>
        </w:rPr>
        <w:t>Clinical</w:t>
      </w:r>
      <w:proofErr w:type="spellEnd"/>
      <w:r>
        <w:rPr>
          <w:rFonts w:ascii="Arial" w:hAnsi="Arial" w:cs="Arial"/>
        </w:rPr>
        <w:t xml:space="preserve"> </w:t>
      </w:r>
      <w:proofErr w:type="spellStart"/>
      <w:r>
        <w:rPr>
          <w:rFonts w:ascii="Arial" w:hAnsi="Arial" w:cs="Arial"/>
        </w:rPr>
        <w:t>medicine</w:t>
      </w:r>
      <w:proofErr w:type="spellEnd"/>
      <w:r>
        <w:rPr>
          <w:rFonts w:ascii="Arial" w:hAnsi="Arial" w:cs="Arial"/>
        </w:rPr>
        <w:t xml:space="preserve">, cca 1,4 u </w:t>
      </w:r>
      <w:proofErr w:type="spellStart"/>
      <w:r>
        <w:rPr>
          <w:rFonts w:ascii="Arial" w:hAnsi="Arial" w:cs="Arial"/>
        </w:rPr>
        <w:t>Physical</w:t>
      </w:r>
      <w:proofErr w:type="spellEnd"/>
      <w:r>
        <w:rPr>
          <w:rFonts w:ascii="Arial" w:hAnsi="Arial" w:cs="Arial"/>
        </w:rPr>
        <w:t xml:space="preserve"> </w:t>
      </w:r>
      <w:proofErr w:type="spellStart"/>
      <w:r>
        <w:rPr>
          <w:rFonts w:ascii="Arial" w:hAnsi="Arial" w:cs="Arial"/>
        </w:rPr>
        <w:t>sciences</w:t>
      </w:r>
      <w:proofErr w:type="spellEnd"/>
      <w:r>
        <w:rPr>
          <w:rFonts w:ascii="Arial" w:hAnsi="Arial" w:cs="Arial"/>
        </w:rPr>
        <w:t xml:space="preserve"> and astronomy). Je pravděpodobné, že obor </w:t>
      </w:r>
      <w:proofErr w:type="spellStart"/>
      <w:r>
        <w:rPr>
          <w:rFonts w:ascii="Arial" w:hAnsi="Arial" w:cs="Arial"/>
        </w:rPr>
        <w:t>Clinical</w:t>
      </w:r>
      <w:proofErr w:type="spellEnd"/>
      <w:r>
        <w:rPr>
          <w:rFonts w:ascii="Arial" w:hAnsi="Arial" w:cs="Arial"/>
        </w:rPr>
        <w:t xml:space="preserve"> </w:t>
      </w:r>
      <w:proofErr w:type="spellStart"/>
      <w:r>
        <w:rPr>
          <w:rFonts w:ascii="Arial" w:hAnsi="Arial" w:cs="Arial"/>
        </w:rPr>
        <w:t>Medicine</w:t>
      </w:r>
      <w:proofErr w:type="spellEnd"/>
      <w:r>
        <w:rPr>
          <w:rFonts w:ascii="Arial" w:hAnsi="Arial" w:cs="Arial"/>
        </w:rPr>
        <w:t xml:space="preserve"> má vysokou citovanost mimo jiné díky členstvím vědeckých pracovníků v mezinárodních konsorciích. Z oborové skupiny </w:t>
      </w:r>
      <w:proofErr w:type="spellStart"/>
      <w:r>
        <w:rPr>
          <w:rFonts w:ascii="Arial" w:hAnsi="Arial" w:cs="Arial"/>
        </w:rPr>
        <w:t>Engineering</w:t>
      </w:r>
      <w:proofErr w:type="spellEnd"/>
      <w:r>
        <w:rPr>
          <w:rFonts w:ascii="Arial" w:hAnsi="Arial" w:cs="Arial"/>
        </w:rPr>
        <w:t xml:space="preserve"> and Technology vykazuje nejvyšší citovanost obor </w:t>
      </w:r>
      <w:proofErr w:type="spellStart"/>
      <w:r>
        <w:rPr>
          <w:rFonts w:ascii="Arial" w:hAnsi="Arial" w:cs="Arial"/>
        </w:rPr>
        <w:t>Nano</w:t>
      </w:r>
      <w:proofErr w:type="spellEnd"/>
      <w:r>
        <w:rPr>
          <w:rFonts w:ascii="Arial" w:hAnsi="Arial" w:cs="Arial"/>
        </w:rPr>
        <w:t xml:space="preserve">-technology (index 1.3), nicméně počtem publikací patří tento obor k těm relativně menším oborům (viz obrázek </w:t>
      </w:r>
      <w:r w:rsidR="00712CCB">
        <w:rPr>
          <w:rFonts w:ascii="Arial" w:hAnsi="Arial" w:cs="Arial"/>
        </w:rPr>
        <w:t>7.</w:t>
      </w:r>
      <w:r>
        <w:rPr>
          <w:rFonts w:ascii="Arial" w:hAnsi="Arial" w:cs="Arial"/>
        </w:rPr>
        <w:t xml:space="preserve">7). Další technický obor s vysokým citačním indexem je </w:t>
      </w:r>
      <w:proofErr w:type="spellStart"/>
      <w:r>
        <w:rPr>
          <w:rFonts w:ascii="Arial" w:hAnsi="Arial" w:cs="Arial"/>
        </w:rPr>
        <w:t>Environmental</w:t>
      </w:r>
      <w:proofErr w:type="spellEnd"/>
      <w:r>
        <w:rPr>
          <w:rFonts w:ascii="Arial" w:hAnsi="Arial" w:cs="Arial"/>
        </w:rPr>
        <w:t xml:space="preserve"> </w:t>
      </w:r>
      <w:proofErr w:type="spellStart"/>
      <w:r>
        <w:rPr>
          <w:rFonts w:ascii="Arial" w:hAnsi="Arial" w:cs="Arial"/>
        </w:rPr>
        <w:t>engineering</w:t>
      </w:r>
      <w:proofErr w:type="spellEnd"/>
      <w:r>
        <w:rPr>
          <w:rFonts w:ascii="Arial" w:hAnsi="Arial" w:cs="Arial"/>
        </w:rPr>
        <w:t xml:space="preserve">, který je mírně nadprůměrný (index cca 1,1). Co se týká oborů, které patří z hlediska počtu publikací k těm relativně menším (obrázek </w:t>
      </w:r>
      <w:r w:rsidR="00712CCB">
        <w:rPr>
          <w:rFonts w:ascii="Arial" w:hAnsi="Arial" w:cs="Arial"/>
        </w:rPr>
        <w:t>7.</w:t>
      </w:r>
      <w:r>
        <w:rPr>
          <w:rFonts w:ascii="Arial" w:hAnsi="Arial" w:cs="Arial"/>
        </w:rPr>
        <w:t xml:space="preserve">7), tak podle citačního indexu jsou na tom velmi dobře </w:t>
      </w:r>
      <w:proofErr w:type="spellStart"/>
      <w:r>
        <w:rPr>
          <w:rFonts w:ascii="Arial" w:hAnsi="Arial" w:cs="Arial"/>
        </w:rPr>
        <w:t>Other</w:t>
      </w:r>
      <w:proofErr w:type="spellEnd"/>
      <w:r>
        <w:rPr>
          <w:rFonts w:ascii="Arial" w:hAnsi="Arial" w:cs="Arial"/>
        </w:rPr>
        <w:t xml:space="preserve"> natural </w:t>
      </w:r>
      <w:proofErr w:type="spellStart"/>
      <w:r>
        <w:rPr>
          <w:rFonts w:ascii="Arial" w:hAnsi="Arial" w:cs="Arial"/>
        </w:rPr>
        <w:t>sciences</w:t>
      </w:r>
      <w:proofErr w:type="spellEnd"/>
      <w:r>
        <w:rPr>
          <w:rFonts w:ascii="Arial" w:hAnsi="Arial" w:cs="Arial"/>
        </w:rPr>
        <w:t xml:space="preserve"> (index 1.34) a </w:t>
      </w:r>
      <w:proofErr w:type="spellStart"/>
      <w:r>
        <w:rPr>
          <w:rFonts w:ascii="Arial" w:hAnsi="Arial" w:cs="Arial"/>
        </w:rPr>
        <w:t>History</w:t>
      </w:r>
      <w:proofErr w:type="spellEnd"/>
      <w:r>
        <w:rPr>
          <w:rFonts w:ascii="Arial" w:hAnsi="Arial" w:cs="Arial"/>
        </w:rPr>
        <w:t xml:space="preserve"> and </w:t>
      </w:r>
      <w:proofErr w:type="spellStart"/>
      <w:r>
        <w:rPr>
          <w:rFonts w:ascii="Arial" w:hAnsi="Arial" w:cs="Arial"/>
        </w:rPr>
        <w:t>archaeology</w:t>
      </w:r>
      <w:proofErr w:type="spellEnd"/>
      <w:r>
        <w:rPr>
          <w:rFonts w:ascii="Arial" w:hAnsi="Arial" w:cs="Arial"/>
        </w:rPr>
        <w:t xml:space="preserve"> (index 1.31). Další menší obory, které jsou nad světovým průměrem, jsou </w:t>
      </w:r>
      <w:proofErr w:type="spellStart"/>
      <w:r>
        <w:rPr>
          <w:rFonts w:ascii="Arial" w:hAnsi="Arial" w:cs="Arial"/>
        </w:rPr>
        <w:t>Social</w:t>
      </w:r>
      <w:proofErr w:type="spellEnd"/>
      <w:r>
        <w:rPr>
          <w:rFonts w:ascii="Arial" w:hAnsi="Arial" w:cs="Arial"/>
        </w:rPr>
        <w:t xml:space="preserve"> and </w:t>
      </w:r>
      <w:proofErr w:type="spellStart"/>
      <w:r>
        <w:rPr>
          <w:rFonts w:ascii="Arial" w:hAnsi="Arial" w:cs="Arial"/>
        </w:rPr>
        <w:t>economic</w:t>
      </w:r>
      <w:proofErr w:type="spellEnd"/>
      <w:r>
        <w:rPr>
          <w:rFonts w:ascii="Arial" w:hAnsi="Arial" w:cs="Arial"/>
        </w:rPr>
        <w:t xml:space="preserve"> </w:t>
      </w:r>
      <w:proofErr w:type="spellStart"/>
      <w:r>
        <w:rPr>
          <w:rFonts w:ascii="Arial" w:hAnsi="Arial" w:cs="Arial"/>
        </w:rPr>
        <w:t>geography</w:t>
      </w:r>
      <w:proofErr w:type="spellEnd"/>
      <w:r>
        <w:rPr>
          <w:rFonts w:ascii="Arial" w:hAnsi="Arial" w:cs="Arial"/>
        </w:rPr>
        <w:t xml:space="preserve"> (index 1.16) a</w:t>
      </w:r>
      <w:r w:rsidR="00DA0191">
        <w:rPr>
          <w:rFonts w:ascii="Arial" w:hAnsi="Arial" w:cs="Arial"/>
        </w:rPr>
        <w:t> </w:t>
      </w:r>
      <w:proofErr w:type="spellStart"/>
      <w:r>
        <w:rPr>
          <w:rFonts w:ascii="Arial" w:hAnsi="Arial" w:cs="Arial"/>
        </w:rPr>
        <w:t>Industrial</w:t>
      </w:r>
      <w:proofErr w:type="spellEnd"/>
      <w:r>
        <w:rPr>
          <w:rFonts w:ascii="Arial" w:hAnsi="Arial" w:cs="Arial"/>
        </w:rPr>
        <w:t xml:space="preserve"> biotechnology (index 1.14).</w:t>
      </w:r>
    </w:p>
    <w:p w:rsidR="008B51EA" w:rsidRDefault="008B51EA" w:rsidP="008B51EA">
      <w:pPr>
        <w:spacing w:after="0" w:line="360" w:lineRule="auto"/>
        <w:ind w:firstLine="708"/>
        <w:jc w:val="both"/>
        <w:rPr>
          <w:rFonts w:ascii="Arial" w:hAnsi="Arial" w:cs="Arial"/>
        </w:rPr>
      </w:pPr>
      <w:r>
        <w:rPr>
          <w:rFonts w:ascii="Arial" w:hAnsi="Arial" w:cs="Arial"/>
        </w:rPr>
        <w:t xml:space="preserve">Na základě porovnání hodnot normalizovaného citačního indexu na úrovni oborů lze pak říci, že většina oborů se pohybuje pod průměrem (index nižší než 1). Toto především platí u oborů, které jsou z hlediska počtu publikací ty menší, neboť pouze 5 oborů dosahovalo indexu vyššího než 1 (obrázek </w:t>
      </w:r>
      <w:r w:rsidR="00712CCB">
        <w:rPr>
          <w:rFonts w:ascii="Arial" w:hAnsi="Arial" w:cs="Arial"/>
        </w:rPr>
        <w:t>7.</w:t>
      </w:r>
      <w:r>
        <w:rPr>
          <w:rFonts w:ascii="Arial" w:hAnsi="Arial" w:cs="Arial"/>
        </w:rPr>
        <w:t xml:space="preserve">7). Citovanost mírně pod průměrem (index 0.8 až 1) je evidována ve větších oborech např. u </w:t>
      </w:r>
      <w:proofErr w:type="spellStart"/>
      <w:r>
        <w:rPr>
          <w:rFonts w:ascii="Arial" w:hAnsi="Arial" w:cs="Arial"/>
        </w:rPr>
        <w:t>Earth</w:t>
      </w:r>
      <w:proofErr w:type="spellEnd"/>
      <w:r>
        <w:rPr>
          <w:rFonts w:ascii="Arial" w:hAnsi="Arial" w:cs="Arial"/>
        </w:rPr>
        <w:t xml:space="preserve"> and </w:t>
      </w:r>
      <w:proofErr w:type="spellStart"/>
      <w:r>
        <w:rPr>
          <w:rFonts w:ascii="Arial" w:hAnsi="Arial" w:cs="Arial"/>
        </w:rPr>
        <w:t>related</w:t>
      </w:r>
      <w:proofErr w:type="spellEnd"/>
      <w:r>
        <w:rPr>
          <w:rFonts w:ascii="Arial" w:hAnsi="Arial" w:cs="Arial"/>
        </w:rPr>
        <w:t xml:space="preserve"> </w:t>
      </w:r>
      <w:proofErr w:type="spellStart"/>
      <w:r>
        <w:rPr>
          <w:rFonts w:ascii="Arial" w:hAnsi="Arial" w:cs="Arial"/>
        </w:rPr>
        <w:t>environmental</w:t>
      </w:r>
      <w:proofErr w:type="spellEnd"/>
      <w:r>
        <w:rPr>
          <w:rFonts w:ascii="Arial" w:hAnsi="Arial" w:cs="Arial"/>
        </w:rPr>
        <w:t xml:space="preserve"> </w:t>
      </w:r>
      <w:proofErr w:type="spellStart"/>
      <w:r>
        <w:rPr>
          <w:rFonts w:ascii="Arial" w:hAnsi="Arial" w:cs="Arial"/>
        </w:rPr>
        <w:t>sciences</w:t>
      </w:r>
      <w:proofErr w:type="spellEnd"/>
      <w:r>
        <w:rPr>
          <w:rFonts w:ascii="Arial" w:hAnsi="Arial" w:cs="Arial"/>
        </w:rPr>
        <w:t xml:space="preserve">, </w:t>
      </w:r>
      <w:proofErr w:type="spellStart"/>
      <w:r>
        <w:rPr>
          <w:rFonts w:ascii="Arial" w:hAnsi="Arial" w:cs="Arial"/>
        </w:rPr>
        <w:t>Chemical</w:t>
      </w:r>
      <w:proofErr w:type="spellEnd"/>
      <w:r>
        <w:rPr>
          <w:rFonts w:ascii="Arial" w:hAnsi="Arial" w:cs="Arial"/>
        </w:rPr>
        <w:t xml:space="preserve"> </w:t>
      </w:r>
      <w:proofErr w:type="spellStart"/>
      <w:r>
        <w:rPr>
          <w:rFonts w:ascii="Arial" w:hAnsi="Arial" w:cs="Arial"/>
        </w:rPr>
        <w:t>sciences</w:t>
      </w:r>
      <w:proofErr w:type="spellEnd"/>
      <w:r>
        <w:rPr>
          <w:rFonts w:ascii="Arial" w:hAnsi="Arial" w:cs="Arial"/>
        </w:rPr>
        <w:t xml:space="preserve"> a </w:t>
      </w:r>
      <w:proofErr w:type="spellStart"/>
      <w:r>
        <w:rPr>
          <w:rFonts w:ascii="Arial" w:hAnsi="Arial" w:cs="Arial"/>
        </w:rPr>
        <w:t>Electrical</w:t>
      </w:r>
      <w:proofErr w:type="spellEnd"/>
      <w:r>
        <w:rPr>
          <w:rFonts w:ascii="Arial" w:hAnsi="Arial" w:cs="Arial"/>
        </w:rPr>
        <w:t xml:space="preserve"> and </w:t>
      </w:r>
      <w:proofErr w:type="spellStart"/>
      <w:r>
        <w:rPr>
          <w:rFonts w:ascii="Arial" w:hAnsi="Arial" w:cs="Arial"/>
        </w:rPr>
        <w:t>electronic</w:t>
      </w:r>
      <w:proofErr w:type="spellEnd"/>
      <w:r>
        <w:rPr>
          <w:rFonts w:ascii="Arial" w:hAnsi="Arial" w:cs="Arial"/>
        </w:rPr>
        <w:t xml:space="preserve"> </w:t>
      </w:r>
      <w:proofErr w:type="spellStart"/>
      <w:r>
        <w:rPr>
          <w:rFonts w:ascii="Arial" w:hAnsi="Arial" w:cs="Arial"/>
        </w:rPr>
        <w:t>engineering</w:t>
      </w:r>
      <w:proofErr w:type="spellEnd"/>
      <w:r>
        <w:rPr>
          <w:rFonts w:ascii="Arial" w:hAnsi="Arial" w:cs="Arial"/>
        </w:rPr>
        <w:t xml:space="preserve">, u menších oborů pak např. v případě Psychology, Civil </w:t>
      </w:r>
      <w:proofErr w:type="spellStart"/>
      <w:r>
        <w:rPr>
          <w:rFonts w:ascii="Arial" w:hAnsi="Arial" w:cs="Arial"/>
        </w:rPr>
        <w:t>engineering</w:t>
      </w:r>
      <w:proofErr w:type="spellEnd"/>
      <w:r>
        <w:rPr>
          <w:rFonts w:ascii="Arial" w:hAnsi="Arial" w:cs="Arial"/>
        </w:rPr>
        <w:t xml:space="preserve"> a</w:t>
      </w:r>
      <w:r w:rsidR="00DA0191">
        <w:rPr>
          <w:rFonts w:ascii="Arial" w:hAnsi="Arial" w:cs="Arial"/>
        </w:rPr>
        <w:t> </w:t>
      </w:r>
      <w:proofErr w:type="spellStart"/>
      <w:r>
        <w:rPr>
          <w:rFonts w:ascii="Arial" w:hAnsi="Arial" w:cs="Arial"/>
        </w:rPr>
        <w:t>Chemical</w:t>
      </w:r>
      <w:proofErr w:type="spellEnd"/>
      <w:r>
        <w:rPr>
          <w:rFonts w:ascii="Arial" w:hAnsi="Arial" w:cs="Arial"/>
        </w:rPr>
        <w:t xml:space="preserve"> </w:t>
      </w:r>
      <w:proofErr w:type="spellStart"/>
      <w:r>
        <w:rPr>
          <w:rFonts w:ascii="Arial" w:hAnsi="Arial" w:cs="Arial"/>
        </w:rPr>
        <w:t>engineering</w:t>
      </w:r>
      <w:proofErr w:type="spellEnd"/>
      <w:r>
        <w:rPr>
          <w:rFonts w:ascii="Arial" w:hAnsi="Arial" w:cs="Arial"/>
        </w:rPr>
        <w:t xml:space="preserve">. Nízká (index mezi 0,6 a 0,8) citovanost publikací je zaznamenána u větších oborů např. v </w:t>
      </w:r>
      <w:proofErr w:type="spellStart"/>
      <w:r>
        <w:rPr>
          <w:rFonts w:ascii="Arial" w:hAnsi="Arial" w:cs="Arial"/>
        </w:rPr>
        <w:t>Other</w:t>
      </w:r>
      <w:proofErr w:type="spellEnd"/>
      <w:r>
        <w:rPr>
          <w:rFonts w:ascii="Arial" w:hAnsi="Arial" w:cs="Arial"/>
        </w:rPr>
        <w:t xml:space="preserve"> </w:t>
      </w:r>
      <w:proofErr w:type="spellStart"/>
      <w:r>
        <w:rPr>
          <w:rFonts w:ascii="Arial" w:hAnsi="Arial" w:cs="Arial"/>
        </w:rPr>
        <w:t>engineering</w:t>
      </w:r>
      <w:proofErr w:type="spellEnd"/>
      <w:r>
        <w:rPr>
          <w:rFonts w:ascii="Arial" w:hAnsi="Arial" w:cs="Arial"/>
        </w:rPr>
        <w:t xml:space="preserve"> and </w:t>
      </w:r>
      <w:proofErr w:type="spellStart"/>
      <w:r>
        <w:rPr>
          <w:rFonts w:ascii="Arial" w:hAnsi="Arial" w:cs="Arial"/>
        </w:rPr>
        <w:t>technologies</w:t>
      </w:r>
      <w:proofErr w:type="spellEnd"/>
      <w:r>
        <w:rPr>
          <w:rFonts w:ascii="Arial" w:hAnsi="Arial" w:cs="Arial"/>
        </w:rPr>
        <w:t xml:space="preserve">, </w:t>
      </w:r>
      <w:proofErr w:type="spellStart"/>
      <w:r>
        <w:rPr>
          <w:rFonts w:ascii="Arial" w:hAnsi="Arial" w:cs="Arial"/>
        </w:rPr>
        <w:t>Computer</w:t>
      </w:r>
      <w:proofErr w:type="spellEnd"/>
      <w:r>
        <w:rPr>
          <w:rFonts w:ascii="Arial" w:hAnsi="Arial" w:cs="Arial"/>
        </w:rPr>
        <w:t xml:space="preserve"> and </w:t>
      </w:r>
      <w:proofErr w:type="spellStart"/>
      <w:r>
        <w:rPr>
          <w:rFonts w:ascii="Arial" w:hAnsi="Arial" w:cs="Arial"/>
        </w:rPr>
        <w:t>information</w:t>
      </w:r>
      <w:proofErr w:type="spellEnd"/>
      <w:r>
        <w:rPr>
          <w:rFonts w:ascii="Arial" w:hAnsi="Arial" w:cs="Arial"/>
        </w:rPr>
        <w:t xml:space="preserve"> </w:t>
      </w:r>
      <w:proofErr w:type="spellStart"/>
      <w:r>
        <w:rPr>
          <w:rFonts w:ascii="Arial" w:hAnsi="Arial" w:cs="Arial"/>
        </w:rPr>
        <w:t>sciences</w:t>
      </w:r>
      <w:proofErr w:type="spellEnd"/>
      <w:r>
        <w:rPr>
          <w:rFonts w:ascii="Arial" w:hAnsi="Arial" w:cs="Arial"/>
        </w:rPr>
        <w:t xml:space="preserve">, </w:t>
      </w:r>
      <w:proofErr w:type="spellStart"/>
      <w:r>
        <w:rPr>
          <w:rFonts w:ascii="Arial" w:hAnsi="Arial" w:cs="Arial"/>
        </w:rPr>
        <w:t>Other</w:t>
      </w:r>
      <w:proofErr w:type="spellEnd"/>
      <w:r>
        <w:rPr>
          <w:rFonts w:ascii="Arial" w:hAnsi="Arial" w:cs="Arial"/>
        </w:rPr>
        <w:t xml:space="preserve"> </w:t>
      </w:r>
      <w:proofErr w:type="spellStart"/>
      <w:r>
        <w:rPr>
          <w:rFonts w:ascii="Arial" w:hAnsi="Arial" w:cs="Arial"/>
        </w:rPr>
        <w:t>agricultural</w:t>
      </w:r>
      <w:proofErr w:type="spellEnd"/>
      <w:r>
        <w:rPr>
          <w:rFonts w:ascii="Arial" w:hAnsi="Arial" w:cs="Arial"/>
        </w:rPr>
        <w:t xml:space="preserve"> science a </w:t>
      </w:r>
      <w:proofErr w:type="spellStart"/>
      <w:r>
        <w:rPr>
          <w:rFonts w:ascii="Arial" w:hAnsi="Arial" w:cs="Arial"/>
        </w:rPr>
        <w:t>Mechanical</w:t>
      </w:r>
      <w:proofErr w:type="spellEnd"/>
      <w:r>
        <w:rPr>
          <w:rFonts w:ascii="Arial" w:hAnsi="Arial" w:cs="Arial"/>
        </w:rPr>
        <w:t xml:space="preserve"> </w:t>
      </w:r>
      <w:proofErr w:type="spellStart"/>
      <w:r>
        <w:rPr>
          <w:rFonts w:ascii="Arial" w:hAnsi="Arial" w:cs="Arial"/>
        </w:rPr>
        <w:t>engineering</w:t>
      </w:r>
      <w:proofErr w:type="spellEnd"/>
      <w:r>
        <w:rPr>
          <w:rFonts w:ascii="Arial" w:hAnsi="Arial" w:cs="Arial"/>
        </w:rPr>
        <w:t xml:space="preserve">. Pouze jeden větší obor dosahuje relativně nízké hodnoty citovanosti: </w:t>
      </w:r>
      <w:proofErr w:type="spellStart"/>
      <w:r>
        <w:rPr>
          <w:rFonts w:ascii="Arial" w:hAnsi="Arial" w:cs="Arial"/>
        </w:rPr>
        <w:t>Mathematics</w:t>
      </w:r>
      <w:proofErr w:type="spellEnd"/>
      <w:r>
        <w:rPr>
          <w:rFonts w:ascii="Arial" w:hAnsi="Arial" w:cs="Arial"/>
        </w:rPr>
        <w:t xml:space="preserve"> (index 0,6), což je ovlivněno odlišnými publikačními zvyklostmi oborů, kupř. v </w:t>
      </w:r>
      <w:proofErr w:type="spellStart"/>
      <w:r>
        <w:rPr>
          <w:rFonts w:ascii="Arial" w:hAnsi="Arial" w:cs="Arial"/>
        </w:rPr>
        <w:t>Mathematics</w:t>
      </w:r>
      <w:proofErr w:type="spellEnd"/>
      <w:r>
        <w:rPr>
          <w:rFonts w:ascii="Arial" w:hAnsi="Arial" w:cs="Arial"/>
        </w:rPr>
        <w:t xml:space="preserve"> či v </w:t>
      </w:r>
      <w:proofErr w:type="spellStart"/>
      <w:r>
        <w:rPr>
          <w:rFonts w:ascii="Arial" w:hAnsi="Arial" w:cs="Arial"/>
        </w:rPr>
        <w:t>Social</w:t>
      </w:r>
      <w:proofErr w:type="spellEnd"/>
      <w:r>
        <w:rPr>
          <w:rFonts w:ascii="Arial" w:hAnsi="Arial" w:cs="Arial"/>
        </w:rPr>
        <w:t xml:space="preserve"> Sciences je obvyklé publikovat formou monografií.</w:t>
      </w:r>
    </w:p>
    <w:p w:rsidR="008B51EA" w:rsidRDefault="008B51EA" w:rsidP="008B51EA">
      <w:pPr>
        <w:keepNext/>
        <w:spacing w:after="240" w:line="240" w:lineRule="auto"/>
        <w:jc w:val="both"/>
        <w:rPr>
          <w:rFonts w:ascii="Arial" w:eastAsia="Times New Roman" w:hAnsi="Arial" w:cs="Times New Roman"/>
          <w:b/>
          <w:szCs w:val="24"/>
          <w:lang w:eastAsia="cs-CZ"/>
        </w:rPr>
      </w:pPr>
      <w:r>
        <w:rPr>
          <w:noProof/>
          <w:lang w:eastAsia="cs-CZ"/>
        </w:rPr>
        <w:lastRenderedPageBreak/>
        <w:drawing>
          <wp:anchor distT="0" distB="0" distL="114300" distR="114300" simplePos="0" relativeHeight="251659264" behindDoc="0" locked="0" layoutInCell="1" allowOverlap="1" wp14:anchorId="494BB31E" wp14:editId="78235EC3">
            <wp:simplePos x="0" y="0"/>
            <wp:positionH relativeFrom="margin">
              <wp:posOffset>4128520</wp:posOffset>
            </wp:positionH>
            <wp:positionV relativeFrom="paragraph">
              <wp:posOffset>354965</wp:posOffset>
            </wp:positionV>
            <wp:extent cx="1843405" cy="1918970"/>
            <wp:effectExtent l="0" t="0" r="4445" b="5080"/>
            <wp:wrapNone/>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4"/>
                    <pic:cNvPicPr>
                      <a:picLocks noChangeAspect="1" noChangeArrowheads="1"/>
                    </pic:cNvPicPr>
                  </pic:nvPicPr>
                  <pic:blipFill>
                    <a:blip r:embed="rId57">
                      <a:extLst>
                        <a:ext uri="{28A0092B-C50C-407E-A947-70E740481C1C}">
                          <a14:useLocalDpi xmlns:a14="http://schemas.microsoft.com/office/drawing/2010/main" val="0"/>
                        </a:ext>
                      </a:extLst>
                    </a:blip>
                    <a:srcRect l="2895" t="5055" r="4677"/>
                    <a:stretch>
                      <a:fillRect/>
                    </a:stretch>
                  </pic:blipFill>
                  <pic:spPr bwMode="auto">
                    <a:xfrm>
                      <a:off x="0" y="0"/>
                      <a:ext cx="1843405" cy="1918970"/>
                    </a:xfrm>
                    <a:prstGeom prst="rect">
                      <a:avLst/>
                    </a:prstGeom>
                    <a:noFill/>
                  </pic:spPr>
                </pic:pic>
              </a:graphicData>
            </a:graphic>
            <wp14:sizeRelH relativeFrom="page">
              <wp14:pctWidth>0</wp14:pctWidth>
            </wp14:sizeRelH>
            <wp14:sizeRelV relativeFrom="page">
              <wp14:pctHeight>0</wp14:pctHeight>
            </wp14:sizeRelV>
          </wp:anchor>
        </w:drawing>
      </w:r>
      <w:r>
        <w:rPr>
          <w:rFonts w:ascii="Arial" w:eastAsia="Times New Roman" w:hAnsi="Arial" w:cs="Times New Roman"/>
          <w:b/>
          <w:szCs w:val="24"/>
          <w:lang w:eastAsia="cs-CZ"/>
        </w:rPr>
        <w:t xml:space="preserve">Obrázek </w:t>
      </w:r>
      <w:r w:rsidR="00712CCB">
        <w:rPr>
          <w:rFonts w:ascii="Arial" w:eastAsia="Times New Roman" w:hAnsi="Arial" w:cs="Times New Roman"/>
          <w:b/>
          <w:szCs w:val="24"/>
          <w:lang w:eastAsia="cs-CZ"/>
        </w:rPr>
        <w:t>7.</w:t>
      </w:r>
      <w:r>
        <w:rPr>
          <w:rFonts w:ascii="Arial" w:eastAsia="Times New Roman" w:hAnsi="Arial" w:cs="Times New Roman"/>
          <w:b/>
          <w:szCs w:val="24"/>
          <w:lang w:eastAsia="cs-CZ"/>
        </w:rPr>
        <w:t xml:space="preserve">6: Počty publikací českých autorů ve Web </w:t>
      </w:r>
      <w:proofErr w:type="spellStart"/>
      <w:r>
        <w:rPr>
          <w:rFonts w:ascii="Arial" w:eastAsia="Times New Roman" w:hAnsi="Arial" w:cs="Times New Roman"/>
          <w:b/>
          <w:szCs w:val="24"/>
          <w:lang w:eastAsia="cs-CZ"/>
        </w:rPr>
        <w:t>of</w:t>
      </w:r>
      <w:proofErr w:type="spellEnd"/>
      <w:r>
        <w:rPr>
          <w:rFonts w:ascii="Arial" w:eastAsia="Times New Roman" w:hAnsi="Arial" w:cs="Times New Roman"/>
          <w:b/>
          <w:szCs w:val="24"/>
          <w:lang w:eastAsia="cs-CZ"/>
        </w:rPr>
        <w:t xml:space="preserve"> Science v oborech a jejich citovanost (obory s více než 1 000 publikací)</w:t>
      </w:r>
    </w:p>
    <w:p w:rsidR="008B51EA" w:rsidRDefault="008B51EA" w:rsidP="008B51EA">
      <w:pPr>
        <w:spacing w:after="60"/>
        <w:jc w:val="center"/>
      </w:pPr>
      <w:r>
        <w:rPr>
          <w:noProof/>
          <w:lang w:eastAsia="cs-CZ"/>
        </w:rPr>
        <w:drawing>
          <wp:inline distT="0" distB="0" distL="0" distR="0" wp14:anchorId="7FF74902" wp14:editId="4CB8E0C4">
            <wp:extent cx="5951220" cy="5942218"/>
            <wp:effectExtent l="0" t="0" r="0" b="190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5"/>
                    <pic:cNvPicPr>
                      <a:picLocks noChangeAspect="1" noChangeArrowheads="1"/>
                    </pic:cNvPicPr>
                  </pic:nvPicPr>
                  <pic:blipFill>
                    <a:blip r:embed="rId58">
                      <a:extLst>
                        <a:ext uri="{28A0092B-C50C-407E-A947-70E740481C1C}">
                          <a14:useLocalDpi xmlns:a14="http://schemas.microsoft.com/office/drawing/2010/main" val="0"/>
                        </a:ext>
                      </a:extLst>
                    </a:blip>
                    <a:srcRect t="1913" r="2602" b="1228"/>
                    <a:stretch>
                      <a:fillRect/>
                    </a:stretch>
                  </pic:blipFill>
                  <pic:spPr bwMode="auto">
                    <a:xfrm>
                      <a:off x="0" y="0"/>
                      <a:ext cx="5951959" cy="5942956"/>
                    </a:xfrm>
                    <a:prstGeom prst="rect">
                      <a:avLst/>
                    </a:prstGeom>
                    <a:noFill/>
                    <a:ln>
                      <a:noFill/>
                    </a:ln>
                  </pic:spPr>
                </pic:pic>
              </a:graphicData>
            </a:graphic>
          </wp:inline>
        </w:drawing>
      </w:r>
    </w:p>
    <w:p w:rsidR="008B51EA" w:rsidRDefault="008B51EA" w:rsidP="008B51EA">
      <w:pPr>
        <w:spacing w:after="6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 xml:space="preserve">Zdroj dat: Web </w:t>
      </w:r>
      <w:proofErr w:type="spellStart"/>
      <w:r>
        <w:rPr>
          <w:rFonts w:ascii="Arial" w:eastAsia="Times New Roman" w:hAnsi="Arial" w:cs="Times New Roman"/>
          <w:i/>
          <w:sz w:val="18"/>
          <w:szCs w:val="24"/>
          <w:lang w:eastAsia="cs-CZ"/>
        </w:rPr>
        <w:t>of</w:t>
      </w:r>
      <w:proofErr w:type="spellEnd"/>
      <w:r>
        <w:rPr>
          <w:rFonts w:ascii="Arial" w:eastAsia="Times New Roman" w:hAnsi="Arial" w:cs="Times New Roman"/>
          <w:i/>
          <w:sz w:val="18"/>
          <w:szCs w:val="24"/>
          <w:lang w:eastAsia="cs-CZ"/>
        </w:rPr>
        <w:t xml:space="preserve"> Science, zařazeny jsou publikace typu </w:t>
      </w:r>
      <w:proofErr w:type="spellStart"/>
      <w:r>
        <w:rPr>
          <w:rFonts w:ascii="Arial" w:eastAsia="Times New Roman" w:hAnsi="Arial" w:cs="Times New Roman"/>
          <w:i/>
          <w:sz w:val="18"/>
          <w:szCs w:val="24"/>
          <w:lang w:eastAsia="cs-CZ"/>
        </w:rPr>
        <w:t>article</w:t>
      </w:r>
      <w:proofErr w:type="spellEnd"/>
      <w:r>
        <w:rPr>
          <w:rFonts w:ascii="Arial" w:eastAsia="Times New Roman" w:hAnsi="Arial" w:cs="Times New Roman"/>
          <w:i/>
          <w:sz w:val="18"/>
          <w:szCs w:val="24"/>
          <w:lang w:eastAsia="cs-CZ"/>
        </w:rPr>
        <w:t xml:space="preserve"> a </w:t>
      </w:r>
      <w:proofErr w:type="spellStart"/>
      <w:r>
        <w:rPr>
          <w:rFonts w:ascii="Arial" w:eastAsia="Times New Roman" w:hAnsi="Arial" w:cs="Times New Roman"/>
          <w:i/>
          <w:sz w:val="18"/>
          <w:szCs w:val="24"/>
          <w:lang w:eastAsia="cs-CZ"/>
        </w:rPr>
        <w:t>review</w:t>
      </w:r>
      <w:proofErr w:type="spellEnd"/>
      <w:r>
        <w:rPr>
          <w:rFonts w:ascii="Arial" w:eastAsia="Times New Roman" w:hAnsi="Arial" w:cs="Times New Roman"/>
          <w:i/>
          <w:sz w:val="18"/>
          <w:szCs w:val="24"/>
          <w:lang w:eastAsia="cs-CZ"/>
        </w:rPr>
        <w:t xml:space="preserve"> za období 2012–2016 v periodikách Web </w:t>
      </w:r>
      <w:proofErr w:type="spellStart"/>
      <w:r>
        <w:rPr>
          <w:rFonts w:ascii="Arial" w:eastAsia="Times New Roman" w:hAnsi="Arial" w:cs="Times New Roman"/>
          <w:i/>
          <w:sz w:val="18"/>
          <w:szCs w:val="24"/>
          <w:lang w:eastAsia="cs-CZ"/>
        </w:rPr>
        <w:t>of</w:t>
      </w:r>
      <w:proofErr w:type="spellEnd"/>
      <w:r>
        <w:rPr>
          <w:rFonts w:ascii="Arial" w:eastAsia="Times New Roman" w:hAnsi="Arial" w:cs="Times New Roman"/>
          <w:i/>
          <w:sz w:val="18"/>
          <w:szCs w:val="24"/>
          <w:lang w:eastAsia="cs-CZ"/>
        </w:rPr>
        <w:t xml:space="preserve"> Science </w:t>
      </w:r>
      <w:proofErr w:type="spellStart"/>
      <w:r>
        <w:rPr>
          <w:rFonts w:ascii="Arial" w:eastAsia="Times New Roman" w:hAnsi="Arial" w:cs="Times New Roman"/>
          <w:i/>
          <w:sz w:val="18"/>
          <w:szCs w:val="24"/>
          <w:lang w:eastAsia="cs-CZ"/>
        </w:rPr>
        <w:t>Core</w:t>
      </w:r>
      <w:proofErr w:type="spellEnd"/>
      <w:r>
        <w:rPr>
          <w:rFonts w:ascii="Arial" w:eastAsia="Times New Roman" w:hAnsi="Arial" w:cs="Times New Roman"/>
          <w:i/>
          <w:sz w:val="18"/>
          <w:szCs w:val="24"/>
          <w:lang w:eastAsia="cs-CZ"/>
        </w:rPr>
        <w:t xml:space="preserve"> </w:t>
      </w:r>
      <w:proofErr w:type="spellStart"/>
      <w:r>
        <w:rPr>
          <w:rFonts w:ascii="Arial" w:eastAsia="Times New Roman" w:hAnsi="Arial" w:cs="Times New Roman"/>
          <w:i/>
          <w:sz w:val="18"/>
          <w:szCs w:val="24"/>
          <w:lang w:eastAsia="cs-CZ"/>
        </w:rPr>
        <w:t>Collection</w:t>
      </w:r>
      <w:proofErr w:type="spellEnd"/>
      <w:r>
        <w:rPr>
          <w:rFonts w:ascii="Arial" w:eastAsia="Times New Roman" w:hAnsi="Arial" w:cs="Times New Roman"/>
          <w:i/>
          <w:sz w:val="18"/>
          <w:szCs w:val="24"/>
          <w:lang w:eastAsia="cs-CZ"/>
        </w:rPr>
        <w:t xml:space="preserve">, oborové členění dle OECD </w:t>
      </w:r>
      <w:proofErr w:type="spellStart"/>
      <w:r>
        <w:rPr>
          <w:rFonts w:ascii="Arial" w:eastAsia="Times New Roman" w:hAnsi="Arial" w:cs="Times New Roman"/>
          <w:i/>
          <w:sz w:val="18"/>
          <w:szCs w:val="24"/>
          <w:lang w:eastAsia="cs-CZ"/>
        </w:rPr>
        <w:t>Fields</w:t>
      </w:r>
      <w:proofErr w:type="spellEnd"/>
      <w:r>
        <w:rPr>
          <w:rFonts w:ascii="Arial" w:eastAsia="Times New Roman" w:hAnsi="Arial" w:cs="Times New Roman"/>
          <w:i/>
          <w:sz w:val="18"/>
          <w:szCs w:val="24"/>
          <w:lang w:eastAsia="cs-CZ"/>
        </w:rPr>
        <w:t xml:space="preserve"> </w:t>
      </w:r>
      <w:proofErr w:type="spellStart"/>
      <w:r>
        <w:rPr>
          <w:rFonts w:ascii="Arial" w:eastAsia="Times New Roman" w:hAnsi="Arial" w:cs="Times New Roman"/>
          <w:i/>
          <w:sz w:val="18"/>
          <w:szCs w:val="24"/>
          <w:lang w:eastAsia="cs-CZ"/>
        </w:rPr>
        <w:t>of</w:t>
      </w:r>
      <w:proofErr w:type="spellEnd"/>
      <w:r>
        <w:rPr>
          <w:rFonts w:ascii="Arial" w:eastAsia="Times New Roman" w:hAnsi="Arial" w:cs="Times New Roman"/>
          <w:i/>
          <w:sz w:val="18"/>
          <w:szCs w:val="24"/>
          <w:lang w:eastAsia="cs-CZ"/>
        </w:rPr>
        <w:t xml:space="preserve"> R</w:t>
      </w:r>
      <w:r>
        <w:rPr>
          <w:rFonts w:ascii="Arial" w:eastAsia="Times New Roman" w:hAnsi="Arial" w:cs="Arial"/>
          <w:i/>
          <w:sz w:val="18"/>
          <w:szCs w:val="24"/>
          <w:lang w:eastAsia="cs-CZ"/>
        </w:rPr>
        <w:t>&amp;</w:t>
      </w:r>
      <w:r>
        <w:rPr>
          <w:rFonts w:ascii="Arial" w:eastAsia="Times New Roman" w:hAnsi="Arial" w:cs="Times New Roman"/>
          <w:i/>
          <w:sz w:val="18"/>
          <w:szCs w:val="24"/>
          <w:lang w:eastAsia="cs-CZ"/>
        </w:rPr>
        <w:t>D (</w:t>
      </w:r>
      <w:proofErr w:type="spellStart"/>
      <w:r>
        <w:rPr>
          <w:rFonts w:ascii="Arial" w:eastAsia="Times New Roman" w:hAnsi="Arial" w:cs="Times New Roman"/>
          <w:i/>
          <w:sz w:val="18"/>
          <w:szCs w:val="24"/>
          <w:lang w:eastAsia="cs-CZ"/>
        </w:rPr>
        <w:t>Frascati</w:t>
      </w:r>
      <w:proofErr w:type="spellEnd"/>
      <w:r>
        <w:rPr>
          <w:rFonts w:ascii="Arial" w:eastAsia="Times New Roman" w:hAnsi="Arial" w:cs="Times New Roman"/>
          <w:i/>
          <w:sz w:val="18"/>
          <w:szCs w:val="24"/>
          <w:lang w:eastAsia="cs-CZ"/>
        </w:rPr>
        <w:t xml:space="preserve"> </w:t>
      </w:r>
      <w:proofErr w:type="spellStart"/>
      <w:r>
        <w:rPr>
          <w:rFonts w:ascii="Arial" w:eastAsia="Times New Roman" w:hAnsi="Arial" w:cs="Times New Roman"/>
          <w:i/>
          <w:sz w:val="18"/>
          <w:szCs w:val="24"/>
          <w:lang w:eastAsia="cs-CZ"/>
        </w:rPr>
        <w:t>Manual</w:t>
      </w:r>
      <w:proofErr w:type="spellEnd"/>
      <w:r>
        <w:rPr>
          <w:rFonts w:ascii="Arial" w:eastAsia="Times New Roman" w:hAnsi="Arial" w:cs="Times New Roman"/>
          <w:i/>
          <w:sz w:val="18"/>
          <w:szCs w:val="24"/>
          <w:lang w:eastAsia="cs-CZ"/>
        </w:rPr>
        <w:t xml:space="preserve">) </w:t>
      </w:r>
    </w:p>
    <w:p w:rsidR="008B51EA" w:rsidRDefault="008B51EA" w:rsidP="008B51EA">
      <w:pPr>
        <w:spacing w:after="6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Započteny jsou publikace, u nichž má alespoň jeden z autorů v adrese uvedeno „Czech“ (není zohledněno spoluautorství).</w:t>
      </w:r>
    </w:p>
    <w:p w:rsidR="008B51EA" w:rsidRDefault="008B51EA" w:rsidP="008B51EA">
      <w:pPr>
        <w:spacing w:after="6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Zařazeny jsou pouze skupiny oborů, u nichž bylo v databázi alespoň 1 000 publikací za sledované období.</w:t>
      </w:r>
    </w:p>
    <w:p w:rsidR="008B51EA" w:rsidRDefault="008B51EA" w:rsidP="008B51EA">
      <w:pPr>
        <w:spacing w:after="6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 xml:space="preserve">Horizontální osa: Index změny v počtu publikací mezi roky 2012 a 2016: (2016–2012)/2012 v % </w:t>
      </w:r>
      <w:r>
        <w:rPr>
          <w:rFonts w:ascii="Arial" w:eastAsia="Times New Roman" w:hAnsi="Arial" w:cs="Times New Roman"/>
          <w:i/>
          <w:sz w:val="18"/>
          <w:szCs w:val="24"/>
          <w:lang w:val="en-US" w:eastAsia="cs-CZ"/>
        </w:rPr>
        <w:t xml:space="preserve">| </w:t>
      </w:r>
      <w:r>
        <w:rPr>
          <w:rFonts w:ascii="Arial" w:eastAsia="Times New Roman" w:hAnsi="Arial" w:cs="Times New Roman"/>
          <w:i/>
          <w:sz w:val="18"/>
          <w:szCs w:val="24"/>
          <w:lang w:eastAsia="cs-CZ"/>
        </w:rPr>
        <w:t xml:space="preserve">Vertikální osa: </w:t>
      </w:r>
      <w:proofErr w:type="spellStart"/>
      <w:r>
        <w:rPr>
          <w:rFonts w:ascii="Arial" w:eastAsia="Times New Roman" w:hAnsi="Arial" w:cs="Times New Roman"/>
          <w:i/>
          <w:sz w:val="18"/>
          <w:szCs w:val="24"/>
          <w:lang w:eastAsia="cs-CZ"/>
        </w:rPr>
        <w:t>Normalized</w:t>
      </w:r>
      <w:proofErr w:type="spellEnd"/>
      <w:r>
        <w:rPr>
          <w:rFonts w:ascii="Arial" w:eastAsia="Times New Roman" w:hAnsi="Arial" w:cs="Times New Roman"/>
          <w:i/>
          <w:sz w:val="18"/>
          <w:szCs w:val="24"/>
          <w:lang w:eastAsia="cs-CZ"/>
        </w:rPr>
        <w:t xml:space="preserve"> </w:t>
      </w:r>
      <w:proofErr w:type="spellStart"/>
      <w:r>
        <w:rPr>
          <w:rFonts w:ascii="Arial" w:eastAsia="Times New Roman" w:hAnsi="Arial" w:cs="Times New Roman"/>
          <w:i/>
          <w:sz w:val="18"/>
          <w:szCs w:val="24"/>
          <w:lang w:eastAsia="cs-CZ"/>
        </w:rPr>
        <w:t>Citation</w:t>
      </w:r>
      <w:proofErr w:type="spellEnd"/>
      <w:r>
        <w:rPr>
          <w:rFonts w:ascii="Arial" w:eastAsia="Times New Roman" w:hAnsi="Arial" w:cs="Times New Roman"/>
          <w:i/>
          <w:sz w:val="18"/>
          <w:szCs w:val="24"/>
          <w:lang w:eastAsia="cs-CZ"/>
        </w:rPr>
        <w:t xml:space="preserve"> </w:t>
      </w:r>
      <w:proofErr w:type="spellStart"/>
      <w:r>
        <w:rPr>
          <w:rFonts w:ascii="Arial" w:eastAsia="Times New Roman" w:hAnsi="Arial" w:cs="Times New Roman"/>
          <w:i/>
          <w:sz w:val="18"/>
          <w:szCs w:val="24"/>
          <w:lang w:eastAsia="cs-CZ"/>
        </w:rPr>
        <w:t>Impact</w:t>
      </w:r>
      <w:proofErr w:type="spellEnd"/>
      <w:r>
        <w:rPr>
          <w:rFonts w:ascii="Arial" w:eastAsia="Times New Roman" w:hAnsi="Arial" w:cs="Times New Roman"/>
          <w:i/>
          <w:sz w:val="18"/>
          <w:szCs w:val="24"/>
          <w:lang w:eastAsia="cs-CZ"/>
        </w:rPr>
        <w:t xml:space="preserve"> k datu 5. 6. 2018 (normalizováno na úrovni jednotlivých oborů s následnou agregací indexu; v případě, že publikace naleží k více oborům, je použit aritmetický průměr); hodnota y = 1 odpovídá přibližně světovému průměru</w:t>
      </w:r>
    </w:p>
    <w:p w:rsidR="005F5A7B" w:rsidRDefault="008B51EA" w:rsidP="00D7788A">
      <w:pPr>
        <w:spacing w:after="0" w:line="240" w:lineRule="auto"/>
        <w:jc w:val="both"/>
        <w:rPr>
          <w:rFonts w:ascii="Arial" w:eastAsia="Times New Roman" w:hAnsi="Arial" w:cs="Arial"/>
          <w:lang w:eastAsia="cs-CZ"/>
        </w:rPr>
      </w:pPr>
      <w:r>
        <w:rPr>
          <w:rFonts w:ascii="Arial" w:eastAsia="Times New Roman" w:hAnsi="Arial" w:cs="Times New Roman"/>
          <w:i/>
          <w:sz w:val="18"/>
          <w:szCs w:val="24"/>
          <w:lang w:eastAsia="cs-CZ"/>
        </w:rPr>
        <w:t>Plocha bublin vyjadřuje počet publikací za období 2012–2016.</w:t>
      </w:r>
    </w:p>
    <w:p w:rsidR="008B51EA" w:rsidRDefault="008B51EA" w:rsidP="008B51EA">
      <w:pPr>
        <w:keepNext/>
        <w:spacing w:before="120" w:after="240" w:line="240" w:lineRule="auto"/>
        <w:jc w:val="both"/>
        <w:rPr>
          <w:rFonts w:ascii="Arial" w:eastAsia="Times New Roman" w:hAnsi="Arial" w:cs="Times New Roman"/>
          <w:b/>
          <w:szCs w:val="24"/>
          <w:lang w:eastAsia="cs-CZ"/>
        </w:rPr>
      </w:pPr>
      <w:r>
        <w:rPr>
          <w:rFonts w:ascii="Arial" w:eastAsia="Times New Roman" w:hAnsi="Arial" w:cs="Times New Roman"/>
          <w:b/>
          <w:szCs w:val="24"/>
          <w:lang w:eastAsia="cs-CZ"/>
        </w:rPr>
        <w:lastRenderedPageBreak/>
        <w:t xml:space="preserve">Obrázek </w:t>
      </w:r>
      <w:r w:rsidR="00712CCB">
        <w:rPr>
          <w:rFonts w:ascii="Arial" w:eastAsia="Times New Roman" w:hAnsi="Arial" w:cs="Times New Roman"/>
          <w:b/>
          <w:szCs w:val="24"/>
          <w:lang w:eastAsia="cs-CZ"/>
        </w:rPr>
        <w:t>7.</w:t>
      </w:r>
      <w:r>
        <w:rPr>
          <w:rFonts w:ascii="Arial" w:eastAsia="Times New Roman" w:hAnsi="Arial" w:cs="Times New Roman"/>
          <w:b/>
          <w:szCs w:val="24"/>
          <w:lang w:eastAsia="cs-CZ"/>
        </w:rPr>
        <w:t xml:space="preserve">7: Počty publikací českých autorů ve Web </w:t>
      </w:r>
      <w:proofErr w:type="spellStart"/>
      <w:r>
        <w:rPr>
          <w:rFonts w:ascii="Arial" w:eastAsia="Times New Roman" w:hAnsi="Arial" w:cs="Times New Roman"/>
          <w:b/>
          <w:szCs w:val="24"/>
          <w:lang w:eastAsia="cs-CZ"/>
        </w:rPr>
        <w:t>of</w:t>
      </w:r>
      <w:proofErr w:type="spellEnd"/>
      <w:r>
        <w:rPr>
          <w:rFonts w:ascii="Arial" w:eastAsia="Times New Roman" w:hAnsi="Arial" w:cs="Times New Roman"/>
          <w:b/>
          <w:szCs w:val="24"/>
          <w:lang w:eastAsia="cs-CZ"/>
        </w:rPr>
        <w:t xml:space="preserve"> Science v oborech a jejich citovanost (obory s méně než 1 000 publikací)</w:t>
      </w:r>
    </w:p>
    <w:p w:rsidR="008B51EA" w:rsidRDefault="008B51EA" w:rsidP="008B51EA">
      <w:pPr>
        <w:jc w:val="center"/>
      </w:pPr>
      <w:r>
        <w:rPr>
          <w:noProof/>
          <w:lang w:eastAsia="cs-CZ"/>
        </w:rPr>
        <w:drawing>
          <wp:inline distT="0" distB="0" distL="0" distR="0" wp14:anchorId="6B938F99" wp14:editId="16F8DCF7">
            <wp:extent cx="5532120" cy="5707303"/>
            <wp:effectExtent l="0" t="0" r="0" b="825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6"/>
                    <pic:cNvPicPr>
                      <a:picLocks noChangeAspect="1" noChangeArrowheads="1"/>
                    </pic:cNvPicPr>
                  </pic:nvPicPr>
                  <pic:blipFill>
                    <a:blip r:embed="rId59">
                      <a:extLst>
                        <a:ext uri="{28A0092B-C50C-407E-A947-70E740481C1C}">
                          <a14:useLocalDpi xmlns:a14="http://schemas.microsoft.com/office/drawing/2010/main" val="0"/>
                        </a:ext>
                      </a:extLst>
                    </a:blip>
                    <a:srcRect l="1324" t="1942" r="3577" b="2071"/>
                    <a:stretch>
                      <a:fillRect/>
                    </a:stretch>
                  </pic:blipFill>
                  <pic:spPr bwMode="auto">
                    <a:xfrm>
                      <a:off x="0" y="0"/>
                      <a:ext cx="5532120" cy="5707303"/>
                    </a:xfrm>
                    <a:prstGeom prst="rect">
                      <a:avLst/>
                    </a:prstGeom>
                    <a:noFill/>
                    <a:ln>
                      <a:noFill/>
                    </a:ln>
                  </pic:spPr>
                </pic:pic>
              </a:graphicData>
            </a:graphic>
          </wp:inline>
        </w:drawing>
      </w:r>
    </w:p>
    <w:p w:rsidR="008B51EA" w:rsidRDefault="008B51EA" w:rsidP="008B51EA">
      <w:pPr>
        <w:spacing w:after="6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 xml:space="preserve">Zdroj dat: Web </w:t>
      </w:r>
      <w:proofErr w:type="spellStart"/>
      <w:r>
        <w:rPr>
          <w:rFonts w:ascii="Arial" w:eastAsia="Times New Roman" w:hAnsi="Arial" w:cs="Times New Roman"/>
          <w:i/>
          <w:sz w:val="18"/>
          <w:szCs w:val="24"/>
          <w:lang w:eastAsia="cs-CZ"/>
        </w:rPr>
        <w:t>of</w:t>
      </w:r>
      <w:proofErr w:type="spellEnd"/>
      <w:r>
        <w:rPr>
          <w:rFonts w:ascii="Arial" w:eastAsia="Times New Roman" w:hAnsi="Arial" w:cs="Times New Roman"/>
          <w:i/>
          <w:sz w:val="18"/>
          <w:szCs w:val="24"/>
          <w:lang w:eastAsia="cs-CZ"/>
        </w:rPr>
        <w:t xml:space="preserve"> Science, zařazeny jsou publikace typu </w:t>
      </w:r>
      <w:proofErr w:type="spellStart"/>
      <w:r>
        <w:rPr>
          <w:rFonts w:ascii="Arial" w:eastAsia="Times New Roman" w:hAnsi="Arial" w:cs="Times New Roman"/>
          <w:i/>
          <w:sz w:val="18"/>
          <w:szCs w:val="24"/>
          <w:lang w:eastAsia="cs-CZ"/>
        </w:rPr>
        <w:t>article</w:t>
      </w:r>
      <w:proofErr w:type="spellEnd"/>
      <w:r>
        <w:rPr>
          <w:rFonts w:ascii="Arial" w:eastAsia="Times New Roman" w:hAnsi="Arial" w:cs="Times New Roman"/>
          <w:i/>
          <w:sz w:val="18"/>
          <w:szCs w:val="24"/>
          <w:lang w:eastAsia="cs-CZ"/>
        </w:rPr>
        <w:t xml:space="preserve"> a </w:t>
      </w:r>
      <w:proofErr w:type="spellStart"/>
      <w:r>
        <w:rPr>
          <w:rFonts w:ascii="Arial" w:eastAsia="Times New Roman" w:hAnsi="Arial" w:cs="Times New Roman"/>
          <w:i/>
          <w:sz w:val="18"/>
          <w:szCs w:val="24"/>
          <w:lang w:eastAsia="cs-CZ"/>
        </w:rPr>
        <w:t>review</w:t>
      </w:r>
      <w:proofErr w:type="spellEnd"/>
      <w:r>
        <w:rPr>
          <w:rFonts w:ascii="Arial" w:eastAsia="Times New Roman" w:hAnsi="Arial" w:cs="Times New Roman"/>
          <w:i/>
          <w:sz w:val="18"/>
          <w:szCs w:val="24"/>
          <w:lang w:eastAsia="cs-CZ"/>
        </w:rPr>
        <w:t xml:space="preserve"> za období 2012–2016 v periodikách Web </w:t>
      </w:r>
      <w:proofErr w:type="spellStart"/>
      <w:r>
        <w:rPr>
          <w:rFonts w:ascii="Arial" w:eastAsia="Times New Roman" w:hAnsi="Arial" w:cs="Times New Roman"/>
          <w:i/>
          <w:sz w:val="18"/>
          <w:szCs w:val="24"/>
          <w:lang w:eastAsia="cs-CZ"/>
        </w:rPr>
        <w:t>of</w:t>
      </w:r>
      <w:proofErr w:type="spellEnd"/>
      <w:r>
        <w:rPr>
          <w:rFonts w:ascii="Arial" w:eastAsia="Times New Roman" w:hAnsi="Arial" w:cs="Times New Roman"/>
          <w:i/>
          <w:sz w:val="18"/>
          <w:szCs w:val="24"/>
          <w:lang w:eastAsia="cs-CZ"/>
        </w:rPr>
        <w:t xml:space="preserve"> Science </w:t>
      </w:r>
      <w:proofErr w:type="spellStart"/>
      <w:r>
        <w:rPr>
          <w:rFonts w:ascii="Arial" w:eastAsia="Times New Roman" w:hAnsi="Arial" w:cs="Times New Roman"/>
          <w:i/>
          <w:sz w:val="18"/>
          <w:szCs w:val="24"/>
          <w:lang w:eastAsia="cs-CZ"/>
        </w:rPr>
        <w:t>Core</w:t>
      </w:r>
      <w:proofErr w:type="spellEnd"/>
      <w:r>
        <w:rPr>
          <w:rFonts w:ascii="Arial" w:eastAsia="Times New Roman" w:hAnsi="Arial" w:cs="Times New Roman"/>
          <w:i/>
          <w:sz w:val="18"/>
          <w:szCs w:val="24"/>
          <w:lang w:eastAsia="cs-CZ"/>
        </w:rPr>
        <w:t xml:space="preserve"> </w:t>
      </w:r>
      <w:proofErr w:type="spellStart"/>
      <w:r>
        <w:rPr>
          <w:rFonts w:ascii="Arial" w:eastAsia="Times New Roman" w:hAnsi="Arial" w:cs="Times New Roman"/>
          <w:i/>
          <w:sz w:val="18"/>
          <w:szCs w:val="24"/>
          <w:lang w:eastAsia="cs-CZ"/>
        </w:rPr>
        <w:t>Collection</w:t>
      </w:r>
      <w:proofErr w:type="spellEnd"/>
      <w:r>
        <w:rPr>
          <w:rFonts w:ascii="Arial" w:eastAsia="Times New Roman" w:hAnsi="Arial" w:cs="Times New Roman"/>
          <w:i/>
          <w:sz w:val="18"/>
          <w:szCs w:val="24"/>
          <w:lang w:eastAsia="cs-CZ"/>
        </w:rPr>
        <w:t xml:space="preserve">, oborové členění dle OECD </w:t>
      </w:r>
      <w:proofErr w:type="spellStart"/>
      <w:r>
        <w:rPr>
          <w:rFonts w:ascii="Arial" w:eastAsia="Times New Roman" w:hAnsi="Arial" w:cs="Times New Roman"/>
          <w:i/>
          <w:sz w:val="18"/>
          <w:szCs w:val="24"/>
          <w:lang w:eastAsia="cs-CZ"/>
        </w:rPr>
        <w:t>Fields</w:t>
      </w:r>
      <w:proofErr w:type="spellEnd"/>
      <w:r>
        <w:rPr>
          <w:rFonts w:ascii="Arial" w:eastAsia="Times New Roman" w:hAnsi="Arial" w:cs="Times New Roman"/>
          <w:i/>
          <w:sz w:val="18"/>
          <w:szCs w:val="24"/>
          <w:lang w:eastAsia="cs-CZ"/>
        </w:rPr>
        <w:t xml:space="preserve"> </w:t>
      </w:r>
      <w:proofErr w:type="spellStart"/>
      <w:r>
        <w:rPr>
          <w:rFonts w:ascii="Arial" w:eastAsia="Times New Roman" w:hAnsi="Arial" w:cs="Times New Roman"/>
          <w:i/>
          <w:sz w:val="18"/>
          <w:szCs w:val="24"/>
          <w:lang w:eastAsia="cs-CZ"/>
        </w:rPr>
        <w:t>of</w:t>
      </w:r>
      <w:proofErr w:type="spellEnd"/>
      <w:r>
        <w:rPr>
          <w:rFonts w:ascii="Arial" w:eastAsia="Times New Roman" w:hAnsi="Arial" w:cs="Times New Roman"/>
          <w:i/>
          <w:sz w:val="18"/>
          <w:szCs w:val="24"/>
          <w:lang w:eastAsia="cs-CZ"/>
        </w:rPr>
        <w:t xml:space="preserve"> R</w:t>
      </w:r>
      <w:r>
        <w:rPr>
          <w:rFonts w:ascii="Arial" w:eastAsia="Times New Roman" w:hAnsi="Arial" w:cs="Arial"/>
          <w:i/>
          <w:sz w:val="18"/>
          <w:szCs w:val="24"/>
          <w:lang w:eastAsia="cs-CZ"/>
        </w:rPr>
        <w:t>&amp;</w:t>
      </w:r>
      <w:r>
        <w:rPr>
          <w:rFonts w:ascii="Arial" w:eastAsia="Times New Roman" w:hAnsi="Arial" w:cs="Times New Roman"/>
          <w:i/>
          <w:sz w:val="18"/>
          <w:szCs w:val="24"/>
          <w:lang w:eastAsia="cs-CZ"/>
        </w:rPr>
        <w:t>D (</w:t>
      </w:r>
      <w:proofErr w:type="spellStart"/>
      <w:r>
        <w:rPr>
          <w:rFonts w:ascii="Arial" w:eastAsia="Times New Roman" w:hAnsi="Arial" w:cs="Times New Roman"/>
          <w:i/>
          <w:sz w:val="18"/>
          <w:szCs w:val="24"/>
          <w:lang w:eastAsia="cs-CZ"/>
        </w:rPr>
        <w:t>Frascati</w:t>
      </w:r>
      <w:proofErr w:type="spellEnd"/>
      <w:r>
        <w:rPr>
          <w:rFonts w:ascii="Arial" w:eastAsia="Times New Roman" w:hAnsi="Arial" w:cs="Times New Roman"/>
          <w:i/>
          <w:sz w:val="18"/>
          <w:szCs w:val="24"/>
          <w:lang w:eastAsia="cs-CZ"/>
        </w:rPr>
        <w:t xml:space="preserve"> </w:t>
      </w:r>
      <w:proofErr w:type="spellStart"/>
      <w:r>
        <w:rPr>
          <w:rFonts w:ascii="Arial" w:eastAsia="Times New Roman" w:hAnsi="Arial" w:cs="Times New Roman"/>
          <w:i/>
          <w:sz w:val="18"/>
          <w:szCs w:val="24"/>
          <w:lang w:eastAsia="cs-CZ"/>
        </w:rPr>
        <w:t>Manual</w:t>
      </w:r>
      <w:proofErr w:type="spellEnd"/>
      <w:r>
        <w:rPr>
          <w:rFonts w:ascii="Arial" w:eastAsia="Times New Roman" w:hAnsi="Arial" w:cs="Times New Roman"/>
          <w:i/>
          <w:sz w:val="18"/>
          <w:szCs w:val="24"/>
          <w:lang w:eastAsia="cs-CZ"/>
        </w:rPr>
        <w:t xml:space="preserve">) </w:t>
      </w:r>
    </w:p>
    <w:p w:rsidR="008B51EA" w:rsidRDefault="008B51EA" w:rsidP="008B51EA">
      <w:pPr>
        <w:spacing w:after="6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Započteny jsou publikace, u nichž má alespoň jeden z autorů v adrese uvedeno „Czech“ (není zohledněno spoluautorství).</w:t>
      </w:r>
    </w:p>
    <w:p w:rsidR="008B51EA" w:rsidRDefault="008B51EA" w:rsidP="008B51EA">
      <w:pPr>
        <w:spacing w:after="6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Jsou zařazeny pouze skupiny oborů, u nichž bylo v databázi méně než 1 000 publikací za sledované období.</w:t>
      </w:r>
    </w:p>
    <w:p w:rsidR="008B51EA" w:rsidRDefault="008B51EA" w:rsidP="00D7788A">
      <w:pPr>
        <w:spacing w:after="24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 xml:space="preserve">Horizontální osa a vertikální osa jsou vyjádřeny stejně jako v obrázku </w:t>
      </w:r>
      <w:r w:rsidR="00712CCB">
        <w:rPr>
          <w:rFonts w:ascii="Arial" w:eastAsia="Times New Roman" w:hAnsi="Arial" w:cs="Times New Roman"/>
          <w:i/>
          <w:sz w:val="18"/>
          <w:szCs w:val="24"/>
          <w:lang w:eastAsia="cs-CZ"/>
        </w:rPr>
        <w:t>7.</w:t>
      </w:r>
      <w:r>
        <w:rPr>
          <w:rFonts w:ascii="Arial" w:eastAsia="Times New Roman" w:hAnsi="Arial" w:cs="Times New Roman"/>
          <w:i/>
          <w:sz w:val="18"/>
          <w:szCs w:val="24"/>
          <w:lang w:eastAsia="cs-CZ"/>
        </w:rPr>
        <w:t>6.</w:t>
      </w:r>
    </w:p>
    <w:p w:rsidR="008B51EA" w:rsidRDefault="008B51EA" w:rsidP="008B51EA">
      <w:pPr>
        <w:spacing w:after="0" w:line="360" w:lineRule="auto"/>
        <w:ind w:firstLine="708"/>
        <w:jc w:val="both"/>
        <w:rPr>
          <w:rFonts w:ascii="Arial" w:hAnsi="Arial" w:cs="Arial"/>
        </w:rPr>
      </w:pPr>
      <w:r>
        <w:rPr>
          <w:rFonts w:ascii="Arial" w:hAnsi="Arial" w:cs="Arial"/>
        </w:rPr>
        <w:t>Pokud se zaměříme podrobněji na mezinárodní srovnání kvality publikačně oborových skupin v ČR</w:t>
      </w:r>
      <w:r>
        <w:rPr>
          <w:rStyle w:val="Znakapoznpodarou"/>
          <w:rFonts w:ascii="Arial" w:hAnsi="Arial" w:cs="Arial"/>
        </w:rPr>
        <w:footnoteReference w:id="31"/>
      </w:r>
      <w:r>
        <w:rPr>
          <w:rFonts w:ascii="Arial" w:hAnsi="Arial" w:cs="Arial"/>
        </w:rPr>
        <w:t xml:space="preserve"> a porovnáme ČR s velikostně srovnatelnými evropskými zeměmi Rakouskem, Nizozemskem, Dánskem, Belgií a dále také s průměrem EU15, jsou mezi nimi zřejmé rozdíly (obrázek </w:t>
      </w:r>
      <w:r w:rsidR="00712CCB">
        <w:rPr>
          <w:rFonts w:ascii="Arial" w:hAnsi="Arial" w:cs="Arial"/>
        </w:rPr>
        <w:t>7.</w:t>
      </w:r>
      <w:r>
        <w:rPr>
          <w:rFonts w:ascii="Arial" w:hAnsi="Arial" w:cs="Arial"/>
        </w:rPr>
        <w:t xml:space="preserve">8). Citovanost Natural Sciences se v ČR pohybovala kolem hodnoty 1, v ostatních </w:t>
      </w:r>
      <w:r>
        <w:rPr>
          <w:rFonts w:ascii="Arial" w:hAnsi="Arial" w:cs="Arial"/>
        </w:rPr>
        <w:lastRenderedPageBreak/>
        <w:t>zemích se citovanost pohybovala mezi 1,5 až 1,8 násobkem světového průměru, průměr EU15 se pohyboval kolem 1,2 násobku světového průměru. Přestože v citovanosti Natural Sciences v ČR na ostatní země ztrácí, je však možné pozitivně hodnotit, že citovanost dosahuje citovanost světového průměru. V </w:t>
      </w:r>
      <w:proofErr w:type="spellStart"/>
      <w:proofErr w:type="gramStart"/>
      <w:r>
        <w:rPr>
          <w:rFonts w:ascii="Arial" w:hAnsi="Arial" w:cs="Arial"/>
        </w:rPr>
        <w:t>Engineering</w:t>
      </w:r>
      <w:proofErr w:type="spellEnd"/>
      <w:proofErr w:type="gramEnd"/>
      <w:r>
        <w:rPr>
          <w:rFonts w:ascii="Arial" w:hAnsi="Arial" w:cs="Arial"/>
        </w:rPr>
        <w:t xml:space="preserve"> and technology nabývala citovanost 0,8 násobku světového průměru, trendy vývoje u všech států byl ve sledovaném období téměř konstantní, bohužel i v této skupině patří ČR k těm nejslabším. ČR v </w:t>
      </w:r>
      <w:proofErr w:type="spellStart"/>
      <w:r>
        <w:rPr>
          <w:rFonts w:ascii="Arial" w:hAnsi="Arial" w:cs="Arial"/>
        </w:rPr>
        <w:t>Medical</w:t>
      </w:r>
      <w:proofErr w:type="spellEnd"/>
      <w:r>
        <w:rPr>
          <w:rFonts w:ascii="Arial" w:hAnsi="Arial" w:cs="Arial"/>
        </w:rPr>
        <w:t xml:space="preserve"> and </w:t>
      </w:r>
      <w:proofErr w:type="spellStart"/>
      <w:r>
        <w:rPr>
          <w:rFonts w:ascii="Arial" w:hAnsi="Arial" w:cs="Arial"/>
        </w:rPr>
        <w:t>health</w:t>
      </w:r>
      <w:proofErr w:type="spellEnd"/>
      <w:r>
        <w:rPr>
          <w:rFonts w:ascii="Arial" w:hAnsi="Arial" w:cs="Arial"/>
        </w:rPr>
        <w:t xml:space="preserve"> </w:t>
      </w:r>
      <w:proofErr w:type="spellStart"/>
      <w:r>
        <w:rPr>
          <w:rFonts w:ascii="Arial" w:hAnsi="Arial" w:cs="Arial"/>
        </w:rPr>
        <w:t>sciences</w:t>
      </w:r>
      <w:proofErr w:type="spellEnd"/>
      <w:r>
        <w:rPr>
          <w:rFonts w:ascii="Arial" w:hAnsi="Arial" w:cs="Arial"/>
        </w:rPr>
        <w:t xml:space="preserve"> se blíží z hlediska citovanosti kvalitou k publikacím autorů z ostatních uvedených zemí. Oborově normalizovaná citovanost článků z roku 2016 dosahuje hodnot mezi 1,24 a 1,81 násobku světového průměru. Příznivý je rovněž rostoucí trend citovanosti českých prací v čase, který překonává ostatní země. České práce v </w:t>
      </w:r>
      <w:proofErr w:type="spellStart"/>
      <w:r>
        <w:rPr>
          <w:rFonts w:ascii="Arial" w:hAnsi="Arial" w:cs="Arial"/>
        </w:rPr>
        <w:t>Agriculture</w:t>
      </w:r>
      <w:proofErr w:type="spellEnd"/>
      <w:r>
        <w:rPr>
          <w:rFonts w:ascii="Arial" w:hAnsi="Arial" w:cs="Arial"/>
        </w:rPr>
        <w:t xml:space="preserve"> </w:t>
      </w:r>
      <w:proofErr w:type="spellStart"/>
      <w:r>
        <w:rPr>
          <w:rFonts w:ascii="Arial" w:hAnsi="Arial" w:cs="Arial"/>
        </w:rPr>
        <w:t>sciences</w:t>
      </w:r>
      <w:proofErr w:type="spellEnd"/>
      <w:r>
        <w:rPr>
          <w:rFonts w:ascii="Arial" w:hAnsi="Arial" w:cs="Arial"/>
        </w:rPr>
        <w:t xml:space="preserve"> vykazují citovanost 0,92, což je mírně pod světovým průměrem. Přestože je možné sledovat mírný pozitivní trend vývoje citovanosti, ČR stále ztrácí na sledované státy. Citovanost v </w:t>
      </w:r>
      <w:proofErr w:type="spellStart"/>
      <w:r>
        <w:rPr>
          <w:rFonts w:ascii="Arial" w:hAnsi="Arial" w:cs="Arial"/>
        </w:rPr>
        <w:t>Social</w:t>
      </w:r>
      <w:proofErr w:type="spellEnd"/>
      <w:r>
        <w:rPr>
          <w:rFonts w:ascii="Arial" w:hAnsi="Arial" w:cs="Arial"/>
        </w:rPr>
        <w:t xml:space="preserve"> </w:t>
      </w:r>
      <w:proofErr w:type="spellStart"/>
      <w:r>
        <w:rPr>
          <w:rFonts w:ascii="Arial" w:hAnsi="Arial" w:cs="Arial"/>
        </w:rPr>
        <w:t>sciences</w:t>
      </w:r>
      <w:proofErr w:type="spellEnd"/>
      <w:r>
        <w:rPr>
          <w:rFonts w:ascii="Arial" w:hAnsi="Arial" w:cs="Arial"/>
        </w:rPr>
        <w:t xml:space="preserve"> během posledních let rostla (index 0.7 v roce 2012 a</w:t>
      </w:r>
      <w:r w:rsidR="00DA0191">
        <w:rPr>
          <w:rFonts w:ascii="Arial" w:hAnsi="Arial" w:cs="Arial"/>
        </w:rPr>
        <w:t> </w:t>
      </w:r>
      <w:r>
        <w:rPr>
          <w:rFonts w:ascii="Arial" w:hAnsi="Arial" w:cs="Arial"/>
        </w:rPr>
        <w:t>0,88 v roce 2016), nicméně je stále pod světovým průměrem. V </w:t>
      </w:r>
      <w:proofErr w:type="spellStart"/>
      <w:r>
        <w:rPr>
          <w:rFonts w:ascii="Arial" w:hAnsi="Arial" w:cs="Arial"/>
        </w:rPr>
        <w:t>Humanities</w:t>
      </w:r>
      <w:proofErr w:type="spellEnd"/>
      <w:r>
        <w:rPr>
          <w:rFonts w:ascii="Arial" w:hAnsi="Arial" w:cs="Arial"/>
        </w:rPr>
        <w:t xml:space="preserve"> je ztráta ČR na Nizozemsko, Belgii a Dánsko markantní. Srovnatelné postavení má ČR ze sledovaných zemí pouze s Rakouskem a s průměrem EU15. České práce měly citovanost pod světovým průměrem (index kolem 0,86), avšak v roce 2016 citovanost vzrostla oproti roku 2012 téměř o 70 %.</w:t>
      </w:r>
    </w:p>
    <w:p w:rsidR="008B51EA" w:rsidRDefault="008B51EA" w:rsidP="008B51EA">
      <w:pPr>
        <w:keepNext/>
        <w:spacing w:before="120" w:after="240" w:line="240" w:lineRule="auto"/>
        <w:jc w:val="both"/>
        <w:rPr>
          <w:rFonts w:ascii="Arial" w:eastAsia="Times New Roman" w:hAnsi="Arial" w:cs="Times New Roman"/>
          <w:b/>
          <w:szCs w:val="24"/>
          <w:lang w:eastAsia="cs-CZ"/>
        </w:rPr>
      </w:pPr>
      <w:r>
        <w:rPr>
          <w:rFonts w:ascii="Arial" w:eastAsia="Times New Roman" w:hAnsi="Arial" w:cs="Times New Roman"/>
          <w:b/>
          <w:szCs w:val="24"/>
          <w:lang w:eastAsia="cs-CZ"/>
        </w:rPr>
        <w:lastRenderedPageBreak/>
        <w:t xml:space="preserve">Obrázek </w:t>
      </w:r>
      <w:r w:rsidR="00712CCB">
        <w:rPr>
          <w:rFonts w:ascii="Arial" w:eastAsia="Times New Roman" w:hAnsi="Arial" w:cs="Times New Roman"/>
          <w:b/>
          <w:szCs w:val="24"/>
          <w:lang w:eastAsia="cs-CZ"/>
        </w:rPr>
        <w:t>7.</w:t>
      </w:r>
      <w:r>
        <w:rPr>
          <w:rFonts w:ascii="Arial" w:eastAsia="Times New Roman" w:hAnsi="Arial" w:cs="Times New Roman"/>
          <w:b/>
          <w:szCs w:val="24"/>
          <w:lang w:eastAsia="cs-CZ"/>
        </w:rPr>
        <w:t xml:space="preserve">8: Citovanost publikací českých autorů ve Web </w:t>
      </w:r>
      <w:proofErr w:type="spellStart"/>
      <w:r>
        <w:rPr>
          <w:rFonts w:ascii="Arial" w:eastAsia="Times New Roman" w:hAnsi="Arial" w:cs="Times New Roman"/>
          <w:b/>
          <w:szCs w:val="24"/>
          <w:lang w:eastAsia="cs-CZ"/>
        </w:rPr>
        <w:t>of</w:t>
      </w:r>
      <w:proofErr w:type="spellEnd"/>
      <w:r>
        <w:rPr>
          <w:rFonts w:ascii="Arial" w:eastAsia="Times New Roman" w:hAnsi="Arial" w:cs="Times New Roman"/>
          <w:b/>
          <w:szCs w:val="24"/>
          <w:lang w:eastAsia="cs-CZ"/>
        </w:rPr>
        <w:t xml:space="preserve"> Science na úrovni oborových skupin ve srovnání s autory vybraných evropských zemí a průměrem EU15</w:t>
      </w:r>
    </w:p>
    <w:p w:rsidR="008B51EA" w:rsidRDefault="008B51EA" w:rsidP="008B51EA">
      <w:pPr>
        <w:spacing w:after="60" w:line="240" w:lineRule="auto"/>
        <w:jc w:val="center"/>
        <w:rPr>
          <w:rFonts w:ascii="Arial" w:eastAsia="Times New Roman" w:hAnsi="Arial" w:cs="Times New Roman"/>
          <w:i/>
          <w:sz w:val="18"/>
          <w:szCs w:val="24"/>
          <w:lang w:eastAsia="cs-CZ"/>
        </w:rPr>
      </w:pPr>
      <w:r>
        <w:rPr>
          <w:rFonts w:ascii="Arial" w:eastAsia="Times New Roman" w:hAnsi="Arial" w:cs="Times New Roman"/>
          <w:i/>
          <w:noProof/>
          <w:sz w:val="18"/>
          <w:szCs w:val="24"/>
          <w:lang w:eastAsia="cs-CZ"/>
        </w:rPr>
        <w:drawing>
          <wp:inline distT="0" distB="0" distL="0" distR="0" wp14:anchorId="6441B749" wp14:editId="48215744">
            <wp:extent cx="5548327" cy="5577840"/>
            <wp:effectExtent l="0" t="0" r="0" b="381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60">
                      <a:extLst>
                        <a:ext uri="{28A0092B-C50C-407E-A947-70E740481C1C}">
                          <a14:useLocalDpi xmlns:a14="http://schemas.microsoft.com/office/drawing/2010/main" val="0"/>
                        </a:ext>
                      </a:extLst>
                    </a:blip>
                    <a:srcRect t="1707" b="854"/>
                    <a:stretch>
                      <a:fillRect/>
                    </a:stretch>
                  </pic:blipFill>
                  <pic:spPr bwMode="auto">
                    <a:xfrm>
                      <a:off x="0" y="0"/>
                      <a:ext cx="5553012" cy="5582550"/>
                    </a:xfrm>
                    <a:prstGeom prst="rect">
                      <a:avLst/>
                    </a:prstGeom>
                    <a:noFill/>
                    <a:ln>
                      <a:noFill/>
                    </a:ln>
                  </pic:spPr>
                </pic:pic>
              </a:graphicData>
            </a:graphic>
          </wp:inline>
        </w:drawing>
      </w:r>
    </w:p>
    <w:p w:rsidR="008B51EA" w:rsidRDefault="008B51EA" w:rsidP="008B51EA">
      <w:pPr>
        <w:spacing w:after="6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 xml:space="preserve">Zdroj dat: Web </w:t>
      </w:r>
      <w:proofErr w:type="spellStart"/>
      <w:r>
        <w:rPr>
          <w:rFonts w:ascii="Arial" w:eastAsia="Times New Roman" w:hAnsi="Arial" w:cs="Times New Roman"/>
          <w:i/>
          <w:sz w:val="18"/>
          <w:szCs w:val="24"/>
          <w:lang w:eastAsia="cs-CZ"/>
        </w:rPr>
        <w:t>of</w:t>
      </w:r>
      <w:proofErr w:type="spellEnd"/>
      <w:r>
        <w:rPr>
          <w:rFonts w:ascii="Arial" w:eastAsia="Times New Roman" w:hAnsi="Arial" w:cs="Times New Roman"/>
          <w:i/>
          <w:sz w:val="18"/>
          <w:szCs w:val="24"/>
          <w:lang w:eastAsia="cs-CZ"/>
        </w:rPr>
        <w:t xml:space="preserve"> Science, zařazeny jsou publikace typu </w:t>
      </w:r>
      <w:proofErr w:type="spellStart"/>
      <w:r>
        <w:rPr>
          <w:rFonts w:ascii="Arial" w:eastAsia="Times New Roman" w:hAnsi="Arial" w:cs="Times New Roman"/>
          <w:i/>
          <w:sz w:val="18"/>
          <w:szCs w:val="24"/>
          <w:lang w:eastAsia="cs-CZ"/>
        </w:rPr>
        <w:t>article</w:t>
      </w:r>
      <w:proofErr w:type="spellEnd"/>
      <w:r>
        <w:rPr>
          <w:rFonts w:ascii="Arial" w:eastAsia="Times New Roman" w:hAnsi="Arial" w:cs="Times New Roman"/>
          <w:i/>
          <w:sz w:val="18"/>
          <w:szCs w:val="24"/>
          <w:lang w:eastAsia="cs-CZ"/>
        </w:rPr>
        <w:t xml:space="preserve"> a </w:t>
      </w:r>
      <w:proofErr w:type="spellStart"/>
      <w:r>
        <w:rPr>
          <w:rFonts w:ascii="Arial" w:eastAsia="Times New Roman" w:hAnsi="Arial" w:cs="Times New Roman"/>
          <w:i/>
          <w:sz w:val="18"/>
          <w:szCs w:val="24"/>
          <w:lang w:eastAsia="cs-CZ"/>
        </w:rPr>
        <w:t>review</w:t>
      </w:r>
      <w:proofErr w:type="spellEnd"/>
      <w:r>
        <w:rPr>
          <w:rFonts w:ascii="Arial" w:eastAsia="Times New Roman" w:hAnsi="Arial" w:cs="Times New Roman"/>
          <w:i/>
          <w:sz w:val="18"/>
          <w:szCs w:val="24"/>
          <w:lang w:eastAsia="cs-CZ"/>
        </w:rPr>
        <w:t xml:space="preserve"> za období 2011 – 2015 v periodikách Web </w:t>
      </w:r>
      <w:proofErr w:type="spellStart"/>
      <w:r>
        <w:rPr>
          <w:rFonts w:ascii="Arial" w:eastAsia="Times New Roman" w:hAnsi="Arial" w:cs="Times New Roman"/>
          <w:i/>
          <w:sz w:val="18"/>
          <w:szCs w:val="24"/>
          <w:lang w:eastAsia="cs-CZ"/>
        </w:rPr>
        <w:t>of</w:t>
      </w:r>
      <w:proofErr w:type="spellEnd"/>
      <w:r>
        <w:rPr>
          <w:rFonts w:ascii="Arial" w:eastAsia="Times New Roman" w:hAnsi="Arial" w:cs="Times New Roman"/>
          <w:i/>
          <w:sz w:val="18"/>
          <w:szCs w:val="24"/>
          <w:lang w:eastAsia="cs-CZ"/>
        </w:rPr>
        <w:t xml:space="preserve"> Science </w:t>
      </w:r>
      <w:proofErr w:type="spellStart"/>
      <w:r>
        <w:rPr>
          <w:rFonts w:ascii="Arial" w:eastAsia="Times New Roman" w:hAnsi="Arial" w:cs="Times New Roman"/>
          <w:i/>
          <w:sz w:val="18"/>
          <w:szCs w:val="24"/>
          <w:lang w:eastAsia="cs-CZ"/>
        </w:rPr>
        <w:t>Core</w:t>
      </w:r>
      <w:proofErr w:type="spellEnd"/>
      <w:r>
        <w:rPr>
          <w:rFonts w:ascii="Arial" w:eastAsia="Times New Roman" w:hAnsi="Arial" w:cs="Times New Roman"/>
          <w:i/>
          <w:sz w:val="18"/>
          <w:szCs w:val="24"/>
          <w:lang w:eastAsia="cs-CZ"/>
        </w:rPr>
        <w:t xml:space="preserve"> </w:t>
      </w:r>
      <w:proofErr w:type="spellStart"/>
      <w:r>
        <w:rPr>
          <w:rFonts w:ascii="Arial" w:eastAsia="Times New Roman" w:hAnsi="Arial" w:cs="Times New Roman"/>
          <w:i/>
          <w:sz w:val="18"/>
          <w:szCs w:val="24"/>
          <w:lang w:eastAsia="cs-CZ"/>
        </w:rPr>
        <w:t>Collection</w:t>
      </w:r>
      <w:proofErr w:type="spellEnd"/>
      <w:r>
        <w:rPr>
          <w:rFonts w:ascii="Arial" w:eastAsia="Times New Roman" w:hAnsi="Arial" w:cs="Times New Roman"/>
          <w:i/>
          <w:sz w:val="18"/>
          <w:szCs w:val="24"/>
          <w:lang w:eastAsia="cs-CZ"/>
        </w:rPr>
        <w:t xml:space="preserve">, oborové členění dle OECD </w:t>
      </w:r>
      <w:proofErr w:type="spellStart"/>
      <w:r>
        <w:rPr>
          <w:rFonts w:ascii="Arial" w:eastAsia="Times New Roman" w:hAnsi="Arial" w:cs="Times New Roman"/>
          <w:i/>
          <w:sz w:val="18"/>
          <w:szCs w:val="24"/>
          <w:lang w:eastAsia="cs-CZ"/>
        </w:rPr>
        <w:t>Fields</w:t>
      </w:r>
      <w:proofErr w:type="spellEnd"/>
      <w:r>
        <w:rPr>
          <w:rFonts w:ascii="Arial" w:eastAsia="Times New Roman" w:hAnsi="Arial" w:cs="Times New Roman"/>
          <w:i/>
          <w:sz w:val="18"/>
          <w:szCs w:val="24"/>
          <w:lang w:eastAsia="cs-CZ"/>
        </w:rPr>
        <w:t xml:space="preserve"> </w:t>
      </w:r>
      <w:proofErr w:type="spellStart"/>
      <w:r>
        <w:rPr>
          <w:rFonts w:ascii="Arial" w:eastAsia="Times New Roman" w:hAnsi="Arial" w:cs="Times New Roman"/>
          <w:i/>
          <w:sz w:val="18"/>
          <w:szCs w:val="24"/>
          <w:lang w:eastAsia="cs-CZ"/>
        </w:rPr>
        <w:t>of</w:t>
      </w:r>
      <w:proofErr w:type="spellEnd"/>
      <w:r>
        <w:rPr>
          <w:rFonts w:ascii="Arial" w:eastAsia="Times New Roman" w:hAnsi="Arial" w:cs="Times New Roman"/>
          <w:i/>
          <w:sz w:val="18"/>
          <w:szCs w:val="24"/>
          <w:lang w:eastAsia="cs-CZ"/>
        </w:rPr>
        <w:t xml:space="preserve"> R</w:t>
      </w:r>
      <w:r>
        <w:rPr>
          <w:rFonts w:ascii="Arial" w:eastAsia="Times New Roman" w:hAnsi="Arial" w:cs="Arial"/>
          <w:i/>
          <w:sz w:val="18"/>
          <w:szCs w:val="24"/>
          <w:lang w:eastAsia="cs-CZ"/>
        </w:rPr>
        <w:t>&amp;</w:t>
      </w:r>
      <w:r>
        <w:rPr>
          <w:rFonts w:ascii="Arial" w:eastAsia="Times New Roman" w:hAnsi="Arial" w:cs="Times New Roman"/>
          <w:i/>
          <w:sz w:val="18"/>
          <w:szCs w:val="24"/>
          <w:lang w:eastAsia="cs-CZ"/>
        </w:rPr>
        <w:t>D (</w:t>
      </w:r>
      <w:proofErr w:type="spellStart"/>
      <w:r>
        <w:rPr>
          <w:rFonts w:ascii="Arial" w:eastAsia="Times New Roman" w:hAnsi="Arial" w:cs="Times New Roman"/>
          <w:i/>
          <w:sz w:val="18"/>
          <w:szCs w:val="24"/>
          <w:lang w:eastAsia="cs-CZ"/>
        </w:rPr>
        <w:t>Frascati</w:t>
      </w:r>
      <w:proofErr w:type="spellEnd"/>
      <w:r>
        <w:rPr>
          <w:rFonts w:ascii="Arial" w:eastAsia="Times New Roman" w:hAnsi="Arial" w:cs="Times New Roman"/>
          <w:i/>
          <w:sz w:val="18"/>
          <w:szCs w:val="24"/>
          <w:lang w:eastAsia="cs-CZ"/>
        </w:rPr>
        <w:t xml:space="preserve"> </w:t>
      </w:r>
      <w:proofErr w:type="spellStart"/>
      <w:r>
        <w:rPr>
          <w:rFonts w:ascii="Arial" w:eastAsia="Times New Roman" w:hAnsi="Arial" w:cs="Times New Roman"/>
          <w:i/>
          <w:sz w:val="18"/>
          <w:szCs w:val="24"/>
          <w:lang w:eastAsia="cs-CZ"/>
        </w:rPr>
        <w:t>Manual</w:t>
      </w:r>
      <w:proofErr w:type="spellEnd"/>
      <w:r>
        <w:rPr>
          <w:rFonts w:ascii="Arial" w:eastAsia="Times New Roman" w:hAnsi="Arial" w:cs="Times New Roman"/>
          <w:i/>
          <w:sz w:val="18"/>
          <w:szCs w:val="24"/>
          <w:lang w:eastAsia="cs-CZ"/>
        </w:rPr>
        <w:t>)</w:t>
      </w:r>
    </w:p>
    <w:p w:rsidR="008B51EA" w:rsidRDefault="008B51EA" w:rsidP="008B51EA">
      <w:pPr>
        <w:spacing w:after="6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Započteny jsou publikace, u nichž má alespoň jeden z autorů v adrese uvedenu danou zemi (není zohledněno spoluautorství).</w:t>
      </w:r>
    </w:p>
    <w:p w:rsidR="008B51EA" w:rsidRDefault="008B51EA" w:rsidP="00D7788A">
      <w:pPr>
        <w:spacing w:after="24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Horizontální osa: Roky publikování článků zahrnutých do výpočtu | Vertikální osa: NCI k datu 5. 6. 2018 (normalizováno na úrovni jednotlivých oborů s následnou agregací indexu; v případě, že publikace naleží k více oborům, je použit aritmetický průměr); hodnota y = 1 odpovídá přibližně světovému průměru</w:t>
      </w:r>
    </w:p>
    <w:p w:rsidR="008B51EA" w:rsidRDefault="008B51EA" w:rsidP="008B51EA">
      <w:pPr>
        <w:spacing w:after="0" w:line="360" w:lineRule="auto"/>
        <w:ind w:firstLine="709"/>
        <w:jc w:val="both"/>
        <w:rPr>
          <w:rFonts w:ascii="Arial" w:hAnsi="Arial" w:cs="Arial"/>
        </w:rPr>
      </w:pPr>
      <w:r>
        <w:rPr>
          <w:rFonts w:ascii="Arial" w:hAnsi="Arial" w:cs="Arial"/>
        </w:rPr>
        <w:t xml:space="preserve">Při hodnocení kvality publikací je užitečné rovněž sledovat strukturu publikací z hlediska citačního ohlasu periodik a s ní související publikační strategii, která se může oborově lišit. Obrázek </w:t>
      </w:r>
      <w:r w:rsidR="00712CCB">
        <w:rPr>
          <w:rFonts w:ascii="Arial" w:hAnsi="Arial" w:cs="Arial"/>
        </w:rPr>
        <w:t>7.</w:t>
      </w:r>
      <w:r>
        <w:rPr>
          <w:rFonts w:ascii="Arial" w:hAnsi="Arial" w:cs="Arial"/>
        </w:rPr>
        <w:t>9 charakterizuje tento fenomén na příkladu oborových skupin</w:t>
      </w:r>
      <w:r>
        <w:rPr>
          <w:rFonts w:cs="Arial"/>
          <w:vertAlign w:val="superscript"/>
        </w:rPr>
        <w:footnoteReference w:id="32"/>
      </w:r>
      <w:r>
        <w:rPr>
          <w:rFonts w:ascii="Arial" w:hAnsi="Arial" w:cs="Arial"/>
        </w:rPr>
        <w:t xml:space="preserve"> v ČR v mezinárodním srovnání. Jsou u nich zřejmé rozdíly, které do značné míry korespondují s mezinárodním srovnáním skutečné citovanosti publikací (obrázek  </w:t>
      </w:r>
      <w:r w:rsidR="00712CCB">
        <w:rPr>
          <w:rFonts w:ascii="Arial" w:hAnsi="Arial" w:cs="Arial"/>
        </w:rPr>
        <w:t>7.</w:t>
      </w:r>
      <w:r>
        <w:rPr>
          <w:rFonts w:ascii="Arial" w:hAnsi="Arial" w:cs="Arial"/>
        </w:rPr>
        <w:t xml:space="preserve">8). V Natural </w:t>
      </w:r>
      <w:proofErr w:type="spellStart"/>
      <w:r>
        <w:rPr>
          <w:rFonts w:ascii="Arial" w:hAnsi="Arial" w:cs="Arial"/>
        </w:rPr>
        <w:t>sciences</w:t>
      </w:r>
      <w:proofErr w:type="spellEnd"/>
      <w:r>
        <w:rPr>
          <w:rFonts w:ascii="Arial" w:hAnsi="Arial" w:cs="Arial"/>
        </w:rPr>
        <w:t xml:space="preserve"> a </w:t>
      </w:r>
      <w:proofErr w:type="spellStart"/>
      <w:r>
        <w:rPr>
          <w:rFonts w:ascii="Arial" w:hAnsi="Arial" w:cs="Arial"/>
        </w:rPr>
        <w:t>Medical</w:t>
      </w:r>
      <w:proofErr w:type="spellEnd"/>
      <w:r>
        <w:rPr>
          <w:rFonts w:ascii="Arial" w:hAnsi="Arial" w:cs="Arial"/>
        </w:rPr>
        <w:t xml:space="preserve"> and </w:t>
      </w:r>
      <w:proofErr w:type="spellStart"/>
      <w:r>
        <w:rPr>
          <w:rFonts w:ascii="Arial" w:hAnsi="Arial" w:cs="Arial"/>
        </w:rPr>
        <w:t>health</w:t>
      </w:r>
      <w:proofErr w:type="spellEnd"/>
      <w:r>
        <w:rPr>
          <w:rFonts w:ascii="Arial" w:hAnsi="Arial" w:cs="Arial"/>
        </w:rPr>
        <w:t xml:space="preserve"> </w:t>
      </w:r>
      <w:proofErr w:type="spellStart"/>
      <w:r>
        <w:rPr>
          <w:rFonts w:ascii="Arial" w:hAnsi="Arial" w:cs="Arial"/>
        </w:rPr>
        <w:lastRenderedPageBreak/>
        <w:t>sciences</w:t>
      </w:r>
      <w:proofErr w:type="spellEnd"/>
      <w:r>
        <w:rPr>
          <w:rFonts w:ascii="Arial" w:hAnsi="Arial" w:cs="Arial"/>
        </w:rPr>
        <w:t xml:space="preserve"> je v ČR podíl publikací v jednotlivých kvartilech téměř vyrovnaný, u ostatních sledovaných států (s výjimkou Polska a Slovenska), tj. např. v Rakousku, Belgii, Dánsku nebo Nizozemsku, výrazně převažují publikace v horním kvartilu nejcitovanějších periodik. V Natural </w:t>
      </w:r>
      <w:proofErr w:type="spellStart"/>
      <w:r>
        <w:rPr>
          <w:rFonts w:ascii="Arial" w:hAnsi="Arial" w:cs="Arial"/>
        </w:rPr>
        <w:t>sciences</w:t>
      </w:r>
      <w:proofErr w:type="spellEnd"/>
      <w:r>
        <w:rPr>
          <w:rFonts w:ascii="Arial" w:hAnsi="Arial" w:cs="Arial"/>
        </w:rPr>
        <w:t xml:space="preserve"> kvalita značné části českých článků není příliš vysoká, což se projevuje nižší úrovní skutečné citovanosti publikací českých autorů ve srovnání s publikacemi rakouských, belgických, dánských nebo nizozemských autorů (obrázek </w:t>
      </w:r>
      <w:r w:rsidR="00712CCB">
        <w:rPr>
          <w:rFonts w:ascii="Arial" w:hAnsi="Arial" w:cs="Arial"/>
        </w:rPr>
        <w:t>7.</w:t>
      </w:r>
      <w:r>
        <w:rPr>
          <w:rFonts w:ascii="Arial" w:hAnsi="Arial" w:cs="Arial"/>
        </w:rPr>
        <w:t>8). Na druhou stranu hodnota vyjadřující procentuální zastoupení článků vyskytující se v tzv. top decilu (11,23 %) je relativně vysoká, a</w:t>
      </w:r>
      <w:r w:rsidR="00DA0191">
        <w:rPr>
          <w:rFonts w:ascii="Arial" w:hAnsi="Arial" w:cs="Arial"/>
        </w:rPr>
        <w:t> </w:t>
      </w:r>
      <w:r>
        <w:rPr>
          <w:rFonts w:ascii="Arial" w:hAnsi="Arial" w:cs="Arial"/>
        </w:rPr>
        <w:t xml:space="preserve">pokud toto procento poroste, může docházet ke zvýšení citovanosti českých publikací zastoupených v této oborové skupině, čili ke zvýšení citovanosti této skupiny jako takové. V případě </w:t>
      </w:r>
      <w:proofErr w:type="spellStart"/>
      <w:r>
        <w:rPr>
          <w:rFonts w:ascii="Arial" w:hAnsi="Arial" w:cs="Arial"/>
        </w:rPr>
        <w:t>Medical</w:t>
      </w:r>
      <w:proofErr w:type="spellEnd"/>
      <w:r>
        <w:rPr>
          <w:rFonts w:ascii="Arial" w:hAnsi="Arial" w:cs="Arial"/>
        </w:rPr>
        <w:t xml:space="preserve"> and </w:t>
      </w:r>
      <w:proofErr w:type="spellStart"/>
      <w:r>
        <w:rPr>
          <w:rFonts w:ascii="Arial" w:hAnsi="Arial" w:cs="Arial"/>
        </w:rPr>
        <w:t>health</w:t>
      </w:r>
      <w:proofErr w:type="spellEnd"/>
      <w:r>
        <w:rPr>
          <w:rFonts w:ascii="Arial" w:hAnsi="Arial" w:cs="Arial"/>
        </w:rPr>
        <w:t xml:space="preserve"> </w:t>
      </w:r>
      <w:proofErr w:type="spellStart"/>
      <w:r>
        <w:rPr>
          <w:rFonts w:ascii="Arial" w:hAnsi="Arial" w:cs="Arial"/>
        </w:rPr>
        <w:t>sciences</w:t>
      </w:r>
      <w:proofErr w:type="spellEnd"/>
      <w:r>
        <w:rPr>
          <w:rFonts w:ascii="Arial" w:hAnsi="Arial" w:cs="Arial"/>
        </w:rPr>
        <w:t xml:space="preserve"> i přes nižší zastoupení článků v periodikách horního kvartilu citovanosti platí, že </w:t>
      </w:r>
      <w:proofErr w:type="spellStart"/>
      <w:r>
        <w:rPr>
          <w:rFonts w:ascii="Arial" w:hAnsi="Arial" w:cs="Arial"/>
        </w:rPr>
        <w:t>Medical</w:t>
      </w:r>
      <w:proofErr w:type="spellEnd"/>
      <w:r>
        <w:rPr>
          <w:rFonts w:ascii="Arial" w:hAnsi="Arial" w:cs="Arial"/>
        </w:rPr>
        <w:t xml:space="preserve"> and </w:t>
      </w:r>
      <w:proofErr w:type="spellStart"/>
      <w:r>
        <w:rPr>
          <w:rFonts w:ascii="Arial" w:hAnsi="Arial" w:cs="Arial"/>
        </w:rPr>
        <w:t>health</w:t>
      </w:r>
      <w:proofErr w:type="spellEnd"/>
      <w:r>
        <w:rPr>
          <w:rFonts w:ascii="Arial" w:hAnsi="Arial" w:cs="Arial"/>
        </w:rPr>
        <w:t xml:space="preserve"> </w:t>
      </w:r>
      <w:proofErr w:type="spellStart"/>
      <w:r>
        <w:rPr>
          <w:rFonts w:ascii="Arial" w:hAnsi="Arial" w:cs="Arial"/>
        </w:rPr>
        <w:t>sciences</w:t>
      </w:r>
      <w:proofErr w:type="spellEnd"/>
      <w:r>
        <w:rPr>
          <w:rFonts w:ascii="Arial" w:hAnsi="Arial" w:cs="Arial"/>
        </w:rPr>
        <w:t xml:space="preserve">, potažmo obor </w:t>
      </w:r>
      <w:proofErr w:type="spellStart"/>
      <w:r>
        <w:rPr>
          <w:rFonts w:ascii="Arial" w:hAnsi="Arial" w:cs="Arial"/>
        </w:rPr>
        <w:t>Clinical</w:t>
      </w:r>
      <w:proofErr w:type="spellEnd"/>
      <w:r>
        <w:rPr>
          <w:rFonts w:ascii="Arial" w:hAnsi="Arial" w:cs="Arial"/>
        </w:rPr>
        <w:t xml:space="preserve"> </w:t>
      </w:r>
      <w:proofErr w:type="spellStart"/>
      <w:r>
        <w:rPr>
          <w:rFonts w:ascii="Arial" w:hAnsi="Arial" w:cs="Arial"/>
        </w:rPr>
        <w:t>medicine</w:t>
      </w:r>
      <w:proofErr w:type="spellEnd"/>
      <w:r>
        <w:rPr>
          <w:rFonts w:ascii="Arial" w:hAnsi="Arial" w:cs="Arial"/>
        </w:rPr>
        <w:t xml:space="preserve"> patří v rámci ČR k nejvíce citovaným oborovým skupinám a i v mezinárodním srovnání je citovanost vysoká (obrázky </w:t>
      </w:r>
      <w:r w:rsidR="00712CCB">
        <w:rPr>
          <w:rFonts w:ascii="Arial" w:hAnsi="Arial" w:cs="Arial"/>
        </w:rPr>
        <w:t>7.</w:t>
      </w:r>
      <w:r>
        <w:rPr>
          <w:rFonts w:ascii="Arial" w:hAnsi="Arial" w:cs="Arial"/>
        </w:rPr>
        <w:t xml:space="preserve">6 a </w:t>
      </w:r>
      <w:r w:rsidR="00712CCB">
        <w:rPr>
          <w:rFonts w:ascii="Arial" w:hAnsi="Arial" w:cs="Arial"/>
        </w:rPr>
        <w:t>7.</w:t>
      </w:r>
      <w:r>
        <w:rPr>
          <w:rFonts w:ascii="Arial" w:hAnsi="Arial" w:cs="Arial"/>
        </w:rPr>
        <w:t>8). Články českých autorů tedy pravděpodobně patří mezi nadprůměrně citované v rámci jednotlivých časopisů.</w:t>
      </w:r>
    </w:p>
    <w:p w:rsidR="008B51EA" w:rsidRDefault="008B51EA" w:rsidP="008B51EA">
      <w:pPr>
        <w:spacing w:after="0" w:line="360" w:lineRule="auto"/>
        <w:ind w:firstLine="709"/>
        <w:jc w:val="both"/>
        <w:rPr>
          <w:rFonts w:ascii="Arial" w:hAnsi="Arial" w:cs="Arial"/>
        </w:rPr>
      </w:pPr>
      <w:r>
        <w:rPr>
          <w:rFonts w:ascii="Arial" w:hAnsi="Arial" w:cs="Arial"/>
        </w:rPr>
        <w:t xml:space="preserve">V oborové skupině </w:t>
      </w:r>
      <w:proofErr w:type="spellStart"/>
      <w:r>
        <w:rPr>
          <w:rFonts w:ascii="Arial" w:hAnsi="Arial" w:cs="Arial"/>
        </w:rPr>
        <w:t>Engineering</w:t>
      </w:r>
      <w:proofErr w:type="spellEnd"/>
      <w:r>
        <w:rPr>
          <w:rFonts w:ascii="Arial" w:hAnsi="Arial" w:cs="Arial"/>
        </w:rPr>
        <w:t xml:space="preserve"> and technology vychází převažující část článků českých autorů v periodikách ve dvou horních kvartilech citovanosti (Q1 a Q2), podíl prací v periodikách spodního kvartilu citovanosti je malý, i když mírně vyšší ve srovnání s Rakouskem, Belgií, Dánskem nebo Nizozemskem. Tato oborová skupina je z pohledu počtu </w:t>
      </w:r>
      <w:proofErr w:type="spellStart"/>
      <w:r>
        <w:rPr>
          <w:rFonts w:ascii="Arial" w:hAnsi="Arial" w:cs="Arial"/>
        </w:rPr>
        <w:t>FORDů</w:t>
      </w:r>
      <w:proofErr w:type="spellEnd"/>
      <w:r>
        <w:rPr>
          <w:rFonts w:ascii="Arial" w:hAnsi="Arial" w:cs="Arial"/>
        </w:rPr>
        <w:t xml:space="preserve"> největší, obsahuje 11 </w:t>
      </w:r>
      <w:proofErr w:type="spellStart"/>
      <w:r>
        <w:rPr>
          <w:rFonts w:ascii="Arial" w:hAnsi="Arial" w:cs="Arial"/>
        </w:rPr>
        <w:t>FORDů</w:t>
      </w:r>
      <w:proofErr w:type="spellEnd"/>
      <w:r>
        <w:rPr>
          <w:rFonts w:ascii="Arial" w:hAnsi="Arial" w:cs="Arial"/>
        </w:rPr>
        <w:t xml:space="preserve">, z pohledu počtu publikací i citovanosti se jedná o heterogenní skupinu. V této oborové skupině jsou v ČR zastoupeny velké obory jako je </w:t>
      </w:r>
      <w:proofErr w:type="spellStart"/>
      <w:r>
        <w:rPr>
          <w:rFonts w:ascii="Arial" w:hAnsi="Arial" w:cs="Arial"/>
        </w:rPr>
        <w:t>Materials</w:t>
      </w:r>
      <w:proofErr w:type="spellEnd"/>
      <w:r>
        <w:rPr>
          <w:rFonts w:ascii="Arial" w:hAnsi="Arial" w:cs="Arial"/>
        </w:rPr>
        <w:t xml:space="preserve"> </w:t>
      </w:r>
      <w:proofErr w:type="spellStart"/>
      <w:r>
        <w:rPr>
          <w:rFonts w:ascii="Arial" w:hAnsi="Arial" w:cs="Arial"/>
        </w:rPr>
        <w:t>engineering</w:t>
      </w:r>
      <w:proofErr w:type="spellEnd"/>
      <w:r>
        <w:rPr>
          <w:rFonts w:ascii="Arial" w:hAnsi="Arial" w:cs="Arial"/>
        </w:rPr>
        <w:t xml:space="preserve"> (počet publikací 4,8 tis., index 0,8) a řekněme malé obory až mikro-obory jako je např. </w:t>
      </w:r>
      <w:proofErr w:type="spellStart"/>
      <w:r>
        <w:rPr>
          <w:rFonts w:ascii="Arial" w:hAnsi="Arial" w:cs="Arial"/>
        </w:rPr>
        <w:t>Industrial</w:t>
      </w:r>
      <w:proofErr w:type="spellEnd"/>
      <w:r>
        <w:rPr>
          <w:rFonts w:ascii="Arial" w:hAnsi="Arial" w:cs="Arial"/>
        </w:rPr>
        <w:t xml:space="preserve"> biotechnology (počet publikací 218, index 1,14). Zajímavé výsledky poskytuje mezinárodní srovnání dalších tří obrových skupin. V </w:t>
      </w:r>
      <w:proofErr w:type="spellStart"/>
      <w:r>
        <w:rPr>
          <w:rFonts w:ascii="Arial" w:hAnsi="Arial" w:cs="Arial"/>
        </w:rPr>
        <w:t>Agricultural</w:t>
      </w:r>
      <w:proofErr w:type="spellEnd"/>
      <w:r>
        <w:rPr>
          <w:rFonts w:ascii="Arial" w:hAnsi="Arial" w:cs="Arial"/>
        </w:rPr>
        <w:t xml:space="preserve"> </w:t>
      </w:r>
      <w:proofErr w:type="spellStart"/>
      <w:r>
        <w:rPr>
          <w:rFonts w:ascii="Arial" w:hAnsi="Arial" w:cs="Arial"/>
        </w:rPr>
        <w:t>sciences</w:t>
      </w:r>
      <w:proofErr w:type="spellEnd"/>
      <w:r>
        <w:rPr>
          <w:rFonts w:ascii="Arial" w:hAnsi="Arial" w:cs="Arial"/>
        </w:rPr>
        <w:t xml:space="preserve"> ČR patří k publikačně větším státům, v této skupině vzniká srovnatelné množství výsledků jako v Rakousku. Ve srovnání s Rakouskem je v ČR méně publikací v horním kvartilu a v top decilu citovanosti, což se samozřejmě odráží v hodnotách NCI (index AUT 1,12, CZE 0,86). Obě skupiny </w:t>
      </w:r>
      <w:proofErr w:type="spellStart"/>
      <w:r>
        <w:rPr>
          <w:rFonts w:ascii="Arial" w:hAnsi="Arial" w:cs="Arial"/>
        </w:rPr>
        <w:t>Social</w:t>
      </w:r>
      <w:proofErr w:type="spellEnd"/>
      <w:r>
        <w:rPr>
          <w:rFonts w:ascii="Arial" w:hAnsi="Arial" w:cs="Arial"/>
        </w:rPr>
        <w:t xml:space="preserve"> </w:t>
      </w:r>
      <w:proofErr w:type="spellStart"/>
      <w:r>
        <w:rPr>
          <w:rFonts w:ascii="Arial" w:hAnsi="Arial" w:cs="Arial"/>
        </w:rPr>
        <w:t>sciences</w:t>
      </w:r>
      <w:proofErr w:type="spellEnd"/>
      <w:r>
        <w:rPr>
          <w:rFonts w:ascii="Arial" w:hAnsi="Arial" w:cs="Arial"/>
        </w:rPr>
        <w:t xml:space="preserve"> a </w:t>
      </w:r>
      <w:proofErr w:type="spellStart"/>
      <w:r>
        <w:rPr>
          <w:rFonts w:ascii="Arial" w:hAnsi="Arial" w:cs="Arial"/>
        </w:rPr>
        <w:t>Humanities</w:t>
      </w:r>
      <w:proofErr w:type="spellEnd"/>
      <w:r>
        <w:rPr>
          <w:rFonts w:ascii="Arial" w:hAnsi="Arial" w:cs="Arial"/>
        </w:rPr>
        <w:t xml:space="preserve"> mají nízké zastoupení článků v top decilu citovanosti a vznikají zde převážně publikace řazené do spodního kvartilu citovanosti.</w:t>
      </w:r>
    </w:p>
    <w:p w:rsidR="008B51EA" w:rsidRDefault="008B51EA" w:rsidP="008B51EA">
      <w:pPr>
        <w:keepNext/>
        <w:spacing w:before="120" w:after="240" w:line="240" w:lineRule="auto"/>
        <w:jc w:val="both"/>
        <w:rPr>
          <w:rFonts w:ascii="Arial" w:eastAsia="Times New Roman" w:hAnsi="Arial" w:cs="Times New Roman"/>
          <w:b/>
          <w:szCs w:val="24"/>
          <w:lang w:eastAsia="cs-CZ"/>
        </w:rPr>
      </w:pPr>
      <w:r>
        <w:rPr>
          <w:rFonts w:ascii="Arial" w:eastAsia="Times New Roman" w:hAnsi="Arial" w:cs="Times New Roman"/>
          <w:b/>
          <w:szCs w:val="24"/>
          <w:lang w:eastAsia="cs-CZ"/>
        </w:rPr>
        <w:lastRenderedPageBreak/>
        <w:t xml:space="preserve">Obrázek </w:t>
      </w:r>
      <w:r w:rsidR="00712CCB">
        <w:rPr>
          <w:rFonts w:ascii="Arial" w:eastAsia="Times New Roman" w:hAnsi="Arial" w:cs="Times New Roman"/>
          <w:b/>
          <w:szCs w:val="24"/>
          <w:lang w:eastAsia="cs-CZ"/>
        </w:rPr>
        <w:t>7.</w:t>
      </w:r>
      <w:r>
        <w:rPr>
          <w:rFonts w:ascii="Arial" w:eastAsia="Times New Roman" w:hAnsi="Arial" w:cs="Times New Roman"/>
          <w:b/>
          <w:szCs w:val="24"/>
          <w:lang w:eastAsia="cs-CZ"/>
        </w:rPr>
        <w:t>9: Mezinárodní srovnání kvality publikací v oborových skupinách v ČR dle citačního ohlasu periodik</w:t>
      </w:r>
    </w:p>
    <w:p w:rsidR="008B51EA" w:rsidRDefault="008B51EA" w:rsidP="008B51EA">
      <w:pPr>
        <w:keepNext/>
        <w:spacing w:before="120" w:after="240" w:line="240" w:lineRule="auto"/>
        <w:jc w:val="both"/>
        <w:rPr>
          <w:noProof/>
          <w:lang w:eastAsia="cs-CZ"/>
        </w:rPr>
      </w:pPr>
      <w:r>
        <w:rPr>
          <w:noProof/>
          <w:lang w:eastAsia="cs-CZ"/>
        </w:rPr>
        <w:drawing>
          <wp:inline distT="0" distB="0" distL="0" distR="0" wp14:anchorId="421DAD2F" wp14:editId="0789C9FB">
            <wp:extent cx="5760720" cy="2697480"/>
            <wp:effectExtent l="0" t="0" r="0" b="7620"/>
            <wp:docPr id="34" name="Graf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r>
        <w:rPr>
          <w:noProof/>
          <w:lang w:eastAsia="cs-CZ"/>
        </w:rPr>
        <w:drawing>
          <wp:inline distT="0" distB="0" distL="0" distR="0" wp14:anchorId="4C1656DC" wp14:editId="100F0400">
            <wp:extent cx="5760720" cy="2697480"/>
            <wp:effectExtent l="0" t="0" r="0" b="7620"/>
            <wp:docPr id="35" name="Graf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r>
        <w:rPr>
          <w:noProof/>
          <w:lang w:eastAsia="cs-CZ"/>
        </w:rPr>
        <w:t xml:space="preserve"> </w:t>
      </w:r>
      <w:r>
        <w:rPr>
          <w:noProof/>
          <w:lang w:eastAsia="cs-CZ"/>
        </w:rPr>
        <w:drawing>
          <wp:inline distT="0" distB="0" distL="0" distR="0" wp14:anchorId="2B1931D1" wp14:editId="0098F326">
            <wp:extent cx="5760720" cy="2697480"/>
            <wp:effectExtent l="0" t="0" r="0" b="7620"/>
            <wp:docPr id="36" name="Graf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D7788A" w:rsidRDefault="008B51EA" w:rsidP="008B51EA">
      <w:pPr>
        <w:rPr>
          <w:noProof/>
          <w:lang w:eastAsia="cs-CZ"/>
        </w:rPr>
      </w:pPr>
      <w:r>
        <w:rPr>
          <w:noProof/>
          <w:lang w:eastAsia="cs-CZ"/>
        </w:rPr>
        <w:lastRenderedPageBreak/>
        <w:drawing>
          <wp:inline distT="0" distB="0" distL="0" distR="0" wp14:anchorId="06B4B294" wp14:editId="5D338CF7">
            <wp:extent cx="5760720" cy="2339340"/>
            <wp:effectExtent l="0" t="0" r="0" b="3810"/>
            <wp:docPr id="37" name="Graf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r>
        <w:rPr>
          <w:noProof/>
          <w:lang w:eastAsia="cs-CZ"/>
        </w:rPr>
        <w:drawing>
          <wp:inline distT="0" distB="0" distL="0" distR="0" wp14:anchorId="1DB3C3BA" wp14:editId="1468663A">
            <wp:extent cx="5760720" cy="2522220"/>
            <wp:effectExtent l="0" t="0" r="0" b="0"/>
            <wp:docPr id="24" name="Graf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r>
        <w:rPr>
          <w:noProof/>
          <w:lang w:eastAsia="cs-CZ"/>
        </w:rPr>
        <w:t xml:space="preserve"> </w:t>
      </w:r>
      <w:r>
        <w:rPr>
          <w:noProof/>
          <w:lang w:eastAsia="cs-CZ"/>
        </w:rPr>
        <w:drawing>
          <wp:inline distT="0" distB="0" distL="0" distR="0" wp14:anchorId="042686A1" wp14:editId="550793DF">
            <wp:extent cx="5760720" cy="2522220"/>
            <wp:effectExtent l="0" t="0" r="0" b="0"/>
            <wp:docPr id="40" name="Graf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8B51EA" w:rsidRDefault="008B51EA" w:rsidP="008B51EA">
      <w:pPr>
        <w:rPr>
          <w:rFonts w:ascii="Arial" w:eastAsia="Times New Roman" w:hAnsi="Arial" w:cs="Times New Roman"/>
          <w:i/>
          <w:sz w:val="18"/>
          <w:szCs w:val="24"/>
          <w:lang w:eastAsia="cs-CZ"/>
        </w:rPr>
      </w:pPr>
      <w:r>
        <w:rPr>
          <w:rFonts w:ascii="Arial" w:eastAsia="Times New Roman" w:hAnsi="Arial" w:cs="Times New Roman"/>
          <w:i/>
          <w:sz w:val="18"/>
          <w:szCs w:val="24"/>
          <w:lang w:eastAsia="cs-CZ"/>
        </w:rPr>
        <w:t xml:space="preserve">Zdroj dat: Thomson Reuters Web </w:t>
      </w:r>
      <w:proofErr w:type="spellStart"/>
      <w:r>
        <w:rPr>
          <w:rFonts w:ascii="Arial" w:eastAsia="Times New Roman" w:hAnsi="Arial" w:cs="Times New Roman"/>
          <w:i/>
          <w:sz w:val="18"/>
          <w:szCs w:val="24"/>
          <w:lang w:eastAsia="cs-CZ"/>
        </w:rPr>
        <w:t>of</w:t>
      </w:r>
      <w:proofErr w:type="spellEnd"/>
      <w:r>
        <w:rPr>
          <w:rFonts w:ascii="Arial" w:eastAsia="Times New Roman" w:hAnsi="Arial" w:cs="Times New Roman"/>
          <w:i/>
          <w:sz w:val="18"/>
          <w:szCs w:val="24"/>
          <w:lang w:eastAsia="cs-CZ"/>
        </w:rPr>
        <w:t xml:space="preserve"> Science, </w:t>
      </w:r>
      <w:proofErr w:type="spellStart"/>
      <w:r>
        <w:rPr>
          <w:rFonts w:ascii="Arial" w:eastAsia="Times New Roman" w:hAnsi="Arial" w:cs="Times New Roman"/>
          <w:i/>
          <w:sz w:val="18"/>
          <w:szCs w:val="24"/>
          <w:lang w:eastAsia="cs-CZ"/>
        </w:rPr>
        <w:t>InCites</w:t>
      </w:r>
      <w:proofErr w:type="spellEnd"/>
    </w:p>
    <w:p w:rsidR="008B51EA" w:rsidRDefault="008B51EA" w:rsidP="008B51EA">
      <w:pPr>
        <w:spacing w:after="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 xml:space="preserve">Jsou uvedeny počty článků za roky 2012–2016 v oborových kvartilech hodnot AIS (Article Influence Score) periodik v roce 2016. Jedná se o publikace druhu Article v databázi Web </w:t>
      </w:r>
      <w:proofErr w:type="spellStart"/>
      <w:r>
        <w:rPr>
          <w:rFonts w:ascii="Arial" w:eastAsia="Times New Roman" w:hAnsi="Arial" w:cs="Times New Roman"/>
          <w:i/>
          <w:sz w:val="18"/>
          <w:szCs w:val="24"/>
          <w:lang w:eastAsia="cs-CZ"/>
        </w:rPr>
        <w:t>of</w:t>
      </w:r>
      <w:proofErr w:type="spellEnd"/>
      <w:r>
        <w:rPr>
          <w:rFonts w:ascii="Arial" w:eastAsia="Times New Roman" w:hAnsi="Arial" w:cs="Times New Roman"/>
          <w:i/>
          <w:sz w:val="18"/>
          <w:szCs w:val="24"/>
          <w:lang w:eastAsia="cs-CZ"/>
        </w:rPr>
        <w:t xml:space="preserve"> Science, u kterých má alespoň jeden z autorů v adrese uvedeno „Czech“. Počty tedy nezohledňují spoluautorství. v případě, že Web </w:t>
      </w:r>
      <w:proofErr w:type="spellStart"/>
      <w:r>
        <w:rPr>
          <w:rFonts w:ascii="Arial" w:eastAsia="Times New Roman" w:hAnsi="Arial" w:cs="Times New Roman"/>
          <w:i/>
          <w:sz w:val="18"/>
          <w:szCs w:val="24"/>
          <w:lang w:eastAsia="cs-CZ"/>
        </w:rPr>
        <w:t>of</w:t>
      </w:r>
      <w:proofErr w:type="spellEnd"/>
      <w:r>
        <w:rPr>
          <w:rFonts w:ascii="Arial" w:eastAsia="Times New Roman" w:hAnsi="Arial" w:cs="Times New Roman"/>
          <w:i/>
          <w:sz w:val="18"/>
          <w:szCs w:val="24"/>
          <w:lang w:eastAsia="cs-CZ"/>
        </w:rPr>
        <w:t xml:space="preserve"> Science řadí časopis do více oborů, je takový výsledek započítán v každém z těchto oborů.</w:t>
      </w:r>
    </w:p>
    <w:p w:rsidR="008B51EA" w:rsidRDefault="008B51EA" w:rsidP="008B51EA">
      <w:pPr>
        <w:spacing w:after="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 xml:space="preserve">Pro mezinárodní srovnání byly použity údaje z jiných středně velkých zemí, kde mateřským jazykem není angličtina (kromě Nového Zélandu). Počty článků za tyto ostatní země byly normalizovány na velikost populace ČR (tj. tak, aby např. počet článků za Estonsko odpovídal produkci této země, pokud by měla stejně jako ČR 10,52 milionu obyvatel). Srovnání nezohledňuje různou úroveň podpory </w:t>
      </w:r>
      <w:proofErr w:type="spellStart"/>
      <w:r>
        <w:rPr>
          <w:rFonts w:ascii="Arial" w:eastAsia="Times New Roman" w:hAnsi="Arial" w:cs="Times New Roman"/>
          <w:i/>
          <w:sz w:val="18"/>
          <w:szCs w:val="24"/>
          <w:lang w:eastAsia="cs-CZ"/>
        </w:rPr>
        <w:t>VaV</w:t>
      </w:r>
      <w:proofErr w:type="spellEnd"/>
      <w:r>
        <w:rPr>
          <w:rFonts w:ascii="Arial" w:eastAsia="Times New Roman" w:hAnsi="Arial" w:cs="Times New Roman"/>
          <w:i/>
          <w:sz w:val="18"/>
          <w:szCs w:val="24"/>
          <w:lang w:eastAsia="cs-CZ"/>
        </w:rPr>
        <w:t xml:space="preserve"> v jednotlivých oblastech a nevyjadřuje tedy produktivitu </w:t>
      </w:r>
      <w:proofErr w:type="spellStart"/>
      <w:r>
        <w:rPr>
          <w:rFonts w:ascii="Arial" w:eastAsia="Times New Roman" w:hAnsi="Arial" w:cs="Times New Roman"/>
          <w:i/>
          <w:sz w:val="18"/>
          <w:szCs w:val="24"/>
          <w:lang w:eastAsia="cs-CZ"/>
        </w:rPr>
        <w:t>VaV</w:t>
      </w:r>
      <w:proofErr w:type="spellEnd"/>
      <w:r>
        <w:rPr>
          <w:rFonts w:ascii="Arial" w:eastAsia="Times New Roman" w:hAnsi="Arial" w:cs="Times New Roman"/>
          <w:i/>
          <w:sz w:val="18"/>
          <w:szCs w:val="24"/>
          <w:lang w:eastAsia="cs-CZ"/>
        </w:rPr>
        <w:t>; nezohledňuje také význam impaktovaných časopisů, které jsou vydávány v ČR.</w:t>
      </w:r>
    </w:p>
    <w:p w:rsidR="008B51EA" w:rsidRDefault="008B51EA" w:rsidP="008B51EA">
      <w:pPr>
        <w:spacing w:after="0" w:line="360" w:lineRule="auto"/>
        <w:ind w:firstLine="709"/>
        <w:jc w:val="both"/>
        <w:rPr>
          <w:rFonts w:ascii="Arial" w:hAnsi="Arial" w:cs="Arial"/>
        </w:rPr>
      </w:pPr>
      <w:r>
        <w:rPr>
          <w:rFonts w:ascii="Arial" w:hAnsi="Arial" w:cs="Arial"/>
        </w:rPr>
        <w:lastRenderedPageBreak/>
        <w:t xml:space="preserve">Je třeba rovněž brát v potaz, zda v konkrétním oboru vycházejí v ČR impaktované časopisy (indexované Web </w:t>
      </w:r>
      <w:proofErr w:type="spellStart"/>
      <w:r>
        <w:rPr>
          <w:rFonts w:ascii="Arial" w:hAnsi="Arial" w:cs="Arial"/>
        </w:rPr>
        <w:t>of</w:t>
      </w:r>
      <w:proofErr w:type="spellEnd"/>
      <w:r>
        <w:rPr>
          <w:rFonts w:ascii="Arial" w:hAnsi="Arial" w:cs="Arial"/>
        </w:rPr>
        <w:t xml:space="preserve"> Science) a zda pocházejí citace z jiných časopisů z ČR, nebo ze zahraničí. Např. v oboru </w:t>
      </w:r>
      <w:proofErr w:type="spellStart"/>
      <w:r>
        <w:rPr>
          <w:rFonts w:ascii="Arial" w:hAnsi="Arial" w:cs="Arial"/>
        </w:rPr>
        <w:t>Economics</w:t>
      </w:r>
      <w:proofErr w:type="spellEnd"/>
      <w:r>
        <w:rPr>
          <w:rFonts w:ascii="Arial" w:hAnsi="Arial" w:cs="Arial"/>
        </w:rPr>
        <w:t xml:space="preserve"> and business vycházejí v ČR čtyři impaktované časopisy (z toho 1 v anglickém jazyce), které jsou vysoce citovány navzájem. Výsledkem je nízký citační ohlas českých publikací v tomto oboru ve srovnání se světovým průměrem (obrázek </w:t>
      </w:r>
      <w:r w:rsidR="00712CCB">
        <w:rPr>
          <w:rFonts w:ascii="Arial" w:hAnsi="Arial" w:cs="Arial"/>
        </w:rPr>
        <w:t>7.</w:t>
      </w:r>
      <w:r>
        <w:rPr>
          <w:rFonts w:ascii="Arial" w:hAnsi="Arial" w:cs="Arial"/>
        </w:rPr>
        <w:t>6). Podobně v Chemii vychází v ČR impaktovaný časopis s nízkou citovaností, který je českými autory využíván k publikování výsledků chemického výzkumu nejvíce ze všech časopisů (676 článků z celkových 10 040, tj. 7,6</w:t>
      </w:r>
      <w:r>
        <w:t> </w:t>
      </w:r>
      <w:r>
        <w:rPr>
          <w:rFonts w:ascii="Arial" w:hAnsi="Arial" w:cs="Arial"/>
        </w:rPr>
        <w:t xml:space="preserve">%, bylo v tomto periodiku), což pravděpodobně způsobilo nižší úroveň citovanosti publikací vůči světovému průměru (obrázek </w:t>
      </w:r>
      <w:r w:rsidR="00712CCB">
        <w:rPr>
          <w:rFonts w:ascii="Arial" w:hAnsi="Arial" w:cs="Arial"/>
        </w:rPr>
        <w:t>7.</w:t>
      </w:r>
      <w:r>
        <w:rPr>
          <w:rFonts w:ascii="Arial" w:hAnsi="Arial" w:cs="Arial"/>
        </w:rPr>
        <w:t>6).</w:t>
      </w:r>
    </w:p>
    <w:p w:rsidR="008B51EA" w:rsidRDefault="008B51EA" w:rsidP="008B51EA">
      <w:pPr>
        <w:spacing w:after="0" w:line="360" w:lineRule="auto"/>
        <w:ind w:firstLine="709"/>
        <w:jc w:val="both"/>
        <w:rPr>
          <w:rFonts w:ascii="Arial" w:hAnsi="Arial" w:cs="Arial"/>
        </w:rPr>
      </w:pPr>
      <w:r>
        <w:rPr>
          <w:rFonts w:ascii="Arial" w:hAnsi="Arial" w:cs="Arial"/>
        </w:rPr>
        <w:t xml:space="preserve">Uvedené skutečnosti o velikosti a kvalitě oborových skupin dle publikačních výsledků (obrázky </w:t>
      </w:r>
      <w:r w:rsidR="00712CCB">
        <w:rPr>
          <w:rFonts w:ascii="Arial" w:hAnsi="Arial" w:cs="Arial"/>
        </w:rPr>
        <w:t>7.</w:t>
      </w:r>
      <w:r>
        <w:rPr>
          <w:rFonts w:ascii="Arial" w:hAnsi="Arial" w:cs="Arial"/>
        </w:rPr>
        <w:t xml:space="preserve">6 až </w:t>
      </w:r>
      <w:r w:rsidR="00712CCB">
        <w:rPr>
          <w:rFonts w:ascii="Arial" w:hAnsi="Arial" w:cs="Arial"/>
        </w:rPr>
        <w:t>7.</w:t>
      </w:r>
      <w:r>
        <w:rPr>
          <w:rFonts w:ascii="Arial" w:hAnsi="Arial" w:cs="Arial"/>
        </w:rPr>
        <w:t>9) částečně korespondují s finanční alokací účelové podpory do oborových skupin a jednotlivých oborů (obrázek 2.4 v kapitole 2 – Financování výzkumu a vývoje ze státního rozpočtu). Vysoká podpora projektů v Biologických vědách, Lékařských vědách, Fyzice a Chemii se projevila vysokým počtem publikačních výstupů a v případě Lékařských věd a Fyziky také jejich vysokou kvalitou. U Společenských a humanitních věd a také u Průmyslových věd se může jevit, že finanční alokace účelové podpory nekorespondují s množstvím ani kvalitou výsledků. Je možné, že je tímto způsobem vyvažována relativně nízká alokace bodů pro stanovení institucionální podpory v rámci hodnocení výzkumných organizací dle metodiky platné do roku 2016 (orientované pouze na výsledky). Z průmyslových oborů byly nejvíce podpořeny obory Elektronika a</w:t>
      </w:r>
      <w:r w:rsidR="00347901">
        <w:rPr>
          <w:rFonts w:ascii="Arial" w:hAnsi="Arial" w:cs="Arial"/>
        </w:rPr>
        <w:t> </w:t>
      </w:r>
      <w:r>
        <w:rPr>
          <w:rFonts w:ascii="Arial" w:hAnsi="Arial" w:cs="Arial"/>
        </w:rPr>
        <w:t xml:space="preserve">optoelektronika, elektrotechnika a Strojní zařízení a nástroje, kvalitnější publikace však vznikly v oborech </w:t>
      </w:r>
      <w:proofErr w:type="spellStart"/>
      <w:r>
        <w:rPr>
          <w:rFonts w:ascii="Arial" w:hAnsi="Arial" w:cs="Arial"/>
        </w:rPr>
        <w:t>Enviromental</w:t>
      </w:r>
      <w:proofErr w:type="spellEnd"/>
      <w:r>
        <w:rPr>
          <w:rFonts w:ascii="Arial" w:hAnsi="Arial" w:cs="Arial"/>
        </w:rPr>
        <w:t xml:space="preserve"> </w:t>
      </w:r>
      <w:proofErr w:type="spellStart"/>
      <w:r>
        <w:rPr>
          <w:rFonts w:ascii="Arial" w:hAnsi="Arial" w:cs="Arial"/>
        </w:rPr>
        <w:t>engineering</w:t>
      </w:r>
      <w:proofErr w:type="spellEnd"/>
      <w:r>
        <w:rPr>
          <w:rFonts w:ascii="Arial" w:hAnsi="Arial" w:cs="Arial"/>
        </w:rPr>
        <w:t xml:space="preserve"> a biotechnology. Informace může být zkreslena odlišným kódováním oborů v IS VaVaI a ve světových citačních databázích (podrobněji v kapitole 2 – Financování výzkumu a vývoje ze státního rozpočtu), případně mohou být publikace výsledkem aktivit financovaných institucionálně, přičemž pro oborovou determinaci finanční alokace institucionální podpory chybí relevantní data pro delší časové období.</w:t>
      </w:r>
    </w:p>
    <w:p w:rsidR="008B51EA" w:rsidRDefault="008B51EA" w:rsidP="008B51EA">
      <w:pPr>
        <w:spacing w:after="0" w:line="360" w:lineRule="auto"/>
        <w:ind w:firstLine="709"/>
        <w:jc w:val="both"/>
        <w:rPr>
          <w:rFonts w:ascii="Arial" w:hAnsi="Arial" w:cs="Arial"/>
        </w:rPr>
      </w:pPr>
      <w:r>
        <w:rPr>
          <w:rFonts w:ascii="Arial" w:hAnsi="Arial" w:cs="Arial"/>
        </w:rPr>
        <w:t xml:space="preserve">Dalším významným měřítkem kvality publikací je působení českých autorů v mezinárodních autorských kolektivech vědeckých publikací. Zároveň se jedná o jeden z indikátorů internacionalizace výzkumu. V posledních pěti letech došlo ke zvýšení podílu kvalitních publikací vytvořených v mezinárodním kolektivu autorů, oproti výhradně českým publikacím. Zatímco v roce 2012 bylo z celkových 11,1 tis. publikací evidovaných v databázi Web </w:t>
      </w:r>
      <w:proofErr w:type="spellStart"/>
      <w:r>
        <w:rPr>
          <w:rFonts w:ascii="Arial" w:hAnsi="Arial" w:cs="Arial"/>
        </w:rPr>
        <w:t>of</w:t>
      </w:r>
      <w:proofErr w:type="spellEnd"/>
      <w:r>
        <w:rPr>
          <w:rFonts w:ascii="Arial" w:hAnsi="Arial" w:cs="Arial"/>
        </w:rPr>
        <w:t xml:space="preserve"> Science pouze cca 48 % mezinárodních, v roce 2016 to již bylo téměř 55 % z celkových 13,8 tis. publikací, nicméně v roce 2017 to bylo 50 % z celkových 14,3 tis. Jak dokládá obrázek 7.10, příznivá je struktura zahraničních zemí, se kterými čeští vědci v rámci publikační činnosti spolupracují. Největší počet mezinárodních publikací vytvořili v roce 2017 čeští autoři ve spolupráci s autory z Německa, pak následovala spolupráce s kolegy z USA. Význam spolupráce s evropskými zeměmi publikujícími méně úspěšně, jako jsou např. Slovensko či Polsko, je nižší ve srovnání s významem spolupráce se zeměmi publikačně úspěšnějšími, jako jsou Anglie, Francie nebo Švýcarsko. Uvedené skutečnosti mohou v budoucnu přispět k rostoucí kvalitě publikací českých autorů.</w:t>
      </w:r>
    </w:p>
    <w:p w:rsidR="008B51EA" w:rsidRDefault="008B51EA" w:rsidP="008B51EA">
      <w:pPr>
        <w:keepNext/>
        <w:spacing w:before="120" w:after="240" w:line="240" w:lineRule="auto"/>
        <w:jc w:val="both"/>
        <w:rPr>
          <w:rFonts w:ascii="Arial" w:eastAsia="Times New Roman" w:hAnsi="Arial" w:cs="Times New Roman"/>
          <w:b/>
          <w:szCs w:val="24"/>
          <w:lang w:eastAsia="cs-CZ"/>
        </w:rPr>
      </w:pPr>
      <w:r>
        <w:rPr>
          <w:rFonts w:ascii="Arial" w:eastAsia="Times New Roman" w:hAnsi="Arial" w:cs="Times New Roman"/>
          <w:b/>
          <w:szCs w:val="24"/>
          <w:lang w:eastAsia="cs-CZ"/>
        </w:rPr>
        <w:lastRenderedPageBreak/>
        <w:t>Obrázek 7.10: Publikace domácích autorů vytvořené ve spolupráci se zahraničními partnery</w:t>
      </w:r>
      <w:r w:rsidR="00D7788A">
        <w:rPr>
          <w:rFonts w:ascii="Arial" w:eastAsia="Times New Roman" w:hAnsi="Arial" w:cs="Times New Roman"/>
          <w:b/>
          <w:szCs w:val="24"/>
          <w:lang w:eastAsia="cs-CZ"/>
        </w:rPr>
        <w:t> </w:t>
      </w:r>
      <w:r>
        <w:rPr>
          <w:rFonts w:ascii="Arial" w:eastAsia="Times New Roman" w:hAnsi="Arial" w:cs="Times New Roman"/>
          <w:b/>
          <w:szCs w:val="24"/>
          <w:lang w:eastAsia="cs-CZ"/>
        </w:rPr>
        <w:t>– srovnání ČR, Rakouska a Izraele (referenční rok 2017)</w:t>
      </w:r>
    </w:p>
    <w:p w:rsidR="008B51EA" w:rsidRDefault="008B51EA" w:rsidP="008B51EA">
      <w:pPr>
        <w:spacing w:after="0"/>
        <w:jc w:val="center"/>
      </w:pPr>
      <w:r>
        <w:rPr>
          <w:noProof/>
          <w:lang w:eastAsia="cs-CZ"/>
        </w:rPr>
        <w:drawing>
          <wp:inline distT="0" distB="0" distL="0" distR="0" wp14:anchorId="1EC0B37F" wp14:editId="61B2CEAD">
            <wp:extent cx="4419600" cy="461772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8"/>
                    <pic:cNvPicPr>
                      <a:picLocks noChangeAspect="1" noChangeArrowheads="1"/>
                    </pic:cNvPicPr>
                  </pic:nvPicPr>
                  <pic:blipFill>
                    <a:blip r:embed="rId67">
                      <a:extLst>
                        <a:ext uri="{28A0092B-C50C-407E-A947-70E740481C1C}">
                          <a14:useLocalDpi xmlns:a14="http://schemas.microsoft.com/office/drawing/2010/main" val="0"/>
                        </a:ext>
                      </a:extLst>
                    </a:blip>
                    <a:srcRect l="1192" t="1155" r="1300"/>
                    <a:stretch>
                      <a:fillRect/>
                    </a:stretch>
                  </pic:blipFill>
                  <pic:spPr bwMode="auto">
                    <a:xfrm>
                      <a:off x="0" y="0"/>
                      <a:ext cx="4419600" cy="4617720"/>
                    </a:xfrm>
                    <a:prstGeom prst="rect">
                      <a:avLst/>
                    </a:prstGeom>
                    <a:noFill/>
                    <a:ln>
                      <a:noFill/>
                    </a:ln>
                  </pic:spPr>
                </pic:pic>
              </a:graphicData>
            </a:graphic>
          </wp:inline>
        </w:drawing>
      </w:r>
    </w:p>
    <w:p w:rsidR="008B51EA" w:rsidRDefault="008B51EA" w:rsidP="008B51EA">
      <w:pPr>
        <w:spacing w:before="120" w:after="120" w:line="240" w:lineRule="auto"/>
        <w:rPr>
          <w:rFonts w:ascii="Arial" w:eastAsia="Times New Roman" w:hAnsi="Arial" w:cs="Times New Roman"/>
          <w:i/>
          <w:sz w:val="18"/>
          <w:szCs w:val="24"/>
          <w:lang w:eastAsia="cs-CZ"/>
        </w:rPr>
      </w:pPr>
      <w:r>
        <w:rPr>
          <w:rFonts w:ascii="Arial" w:eastAsia="Times New Roman" w:hAnsi="Arial" w:cs="Times New Roman"/>
          <w:i/>
          <w:sz w:val="18"/>
          <w:szCs w:val="24"/>
          <w:lang w:eastAsia="cs-CZ"/>
        </w:rPr>
        <w:t xml:space="preserve">Zdroj dat: Web </w:t>
      </w:r>
      <w:proofErr w:type="spellStart"/>
      <w:r>
        <w:rPr>
          <w:rFonts w:ascii="Arial" w:eastAsia="Times New Roman" w:hAnsi="Arial" w:cs="Times New Roman"/>
          <w:i/>
          <w:sz w:val="18"/>
          <w:szCs w:val="24"/>
          <w:lang w:eastAsia="cs-CZ"/>
        </w:rPr>
        <w:t>of</w:t>
      </w:r>
      <w:proofErr w:type="spellEnd"/>
      <w:r>
        <w:rPr>
          <w:rFonts w:ascii="Arial" w:eastAsia="Times New Roman" w:hAnsi="Arial" w:cs="Times New Roman"/>
          <w:i/>
          <w:sz w:val="18"/>
          <w:szCs w:val="24"/>
          <w:lang w:eastAsia="cs-CZ"/>
        </w:rPr>
        <w:t xml:space="preserve"> Science, exportováno prostřednictvím nástroje </w:t>
      </w:r>
      <w:proofErr w:type="spellStart"/>
      <w:r>
        <w:rPr>
          <w:rFonts w:ascii="Arial" w:eastAsia="Times New Roman" w:hAnsi="Arial" w:cs="Times New Roman"/>
          <w:i/>
          <w:sz w:val="18"/>
          <w:szCs w:val="24"/>
          <w:lang w:eastAsia="cs-CZ"/>
        </w:rPr>
        <w:t>InCites</w:t>
      </w:r>
      <w:proofErr w:type="spellEnd"/>
      <w:r>
        <w:rPr>
          <w:rFonts w:ascii="Arial" w:eastAsia="Times New Roman" w:hAnsi="Arial" w:cs="Times New Roman"/>
          <w:i/>
          <w:sz w:val="18"/>
          <w:szCs w:val="24"/>
          <w:lang w:eastAsia="cs-CZ"/>
        </w:rPr>
        <w:t xml:space="preserve">, publikace typu </w:t>
      </w:r>
      <w:proofErr w:type="spellStart"/>
      <w:r>
        <w:rPr>
          <w:rFonts w:ascii="Arial" w:eastAsia="Times New Roman" w:hAnsi="Arial" w:cs="Times New Roman"/>
          <w:i/>
          <w:sz w:val="18"/>
          <w:szCs w:val="24"/>
          <w:lang w:eastAsia="cs-CZ"/>
        </w:rPr>
        <w:t>article</w:t>
      </w:r>
      <w:proofErr w:type="spellEnd"/>
      <w:r>
        <w:rPr>
          <w:rFonts w:ascii="Arial" w:eastAsia="Times New Roman" w:hAnsi="Arial" w:cs="Times New Roman"/>
          <w:i/>
          <w:sz w:val="18"/>
          <w:szCs w:val="24"/>
          <w:lang w:eastAsia="cs-CZ"/>
        </w:rPr>
        <w:t xml:space="preserve">, </w:t>
      </w:r>
      <w:proofErr w:type="spellStart"/>
      <w:r>
        <w:rPr>
          <w:rFonts w:ascii="Arial" w:eastAsia="Times New Roman" w:hAnsi="Arial" w:cs="Times New Roman"/>
          <w:i/>
          <w:sz w:val="18"/>
          <w:szCs w:val="24"/>
          <w:lang w:eastAsia="cs-CZ"/>
        </w:rPr>
        <w:t>letter</w:t>
      </w:r>
      <w:proofErr w:type="spellEnd"/>
      <w:r>
        <w:rPr>
          <w:rFonts w:ascii="Arial" w:eastAsia="Times New Roman" w:hAnsi="Arial" w:cs="Times New Roman"/>
          <w:i/>
          <w:sz w:val="18"/>
          <w:szCs w:val="24"/>
          <w:lang w:eastAsia="cs-CZ"/>
        </w:rPr>
        <w:t xml:space="preserve">, </w:t>
      </w:r>
      <w:proofErr w:type="spellStart"/>
      <w:r>
        <w:rPr>
          <w:rFonts w:ascii="Arial" w:eastAsia="Times New Roman" w:hAnsi="Arial" w:cs="Times New Roman"/>
          <w:i/>
          <w:sz w:val="18"/>
          <w:szCs w:val="24"/>
          <w:lang w:eastAsia="cs-CZ"/>
        </w:rPr>
        <w:t>review</w:t>
      </w:r>
      <w:proofErr w:type="spellEnd"/>
    </w:p>
    <w:p w:rsidR="008B51EA" w:rsidRDefault="008B51EA" w:rsidP="008B51EA">
      <w:pPr>
        <w:spacing w:after="12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V bublinách jsou uvedeny počty publikací vytvořených v roce 2017, u kterých je v autorském kolektivu rakouský, resp. český tvůrce spolu s tvůrcem z dané země. Počty publikací za Rakousko a Izrael byly normalizovány na počet obyvatel ČR.</w:t>
      </w:r>
    </w:p>
    <w:p w:rsidR="008B51EA" w:rsidRDefault="008B51EA" w:rsidP="008B51EA">
      <w:pPr>
        <w:spacing w:after="0" w:line="360" w:lineRule="auto"/>
        <w:ind w:firstLine="709"/>
        <w:jc w:val="both"/>
      </w:pPr>
      <w:r>
        <w:rPr>
          <w:rFonts w:ascii="Arial" w:hAnsi="Arial" w:cs="Arial"/>
        </w:rPr>
        <w:t>Při detailním porovnání struktury publikačních spoluprací v ČR, v Rakousku a v Izraeli (obrázek 7.10) jsou patrné rozdíly. Rakousko vykazuje oproti ČR přibližně dvojnásobný počet publikací vytvořených ve spolupráci se zahraničními autory, naproti tomu Izrael vykazuje srovnatelný počet. Dominance publikačně úspěšných zemí, se kterými spolupráce probíhá, je v Rakousku i Izraeli výraznější než v ČR. Například s autory z USA nebo Velké Británie spolupracují rakouští výzkumníci dvakrát častěji než čeští výzkumníci, s německými autory dokonce třikrát častěji, což je ovlivněno společným jazykem obou zemí a tento fakt může usnadňovat spolupráci. Izraelští autoři dvakrát častěji spolupracují s autory z USA, nicméně četnost spolupráce s výzkumníky z GBR a DEU je srovnatelná jako v ČR. Publikačně málo úspěšné země, jako je např. Polsko nebo Slovensko, se na rozdíl od ČR nevyskytují mezi deseti zeměmi, se kterými rakouští či izraelští výzkumníci nejvíce spolupracují.</w:t>
      </w:r>
    </w:p>
    <w:p w:rsidR="008B51EA" w:rsidRDefault="008B51EA" w:rsidP="008B51EA">
      <w:pPr>
        <w:spacing w:after="0" w:line="360" w:lineRule="auto"/>
        <w:ind w:firstLine="709"/>
        <w:jc w:val="both"/>
        <w:rPr>
          <w:rFonts w:ascii="Arial" w:hAnsi="Arial" w:cs="Arial"/>
        </w:rPr>
      </w:pPr>
      <w:r>
        <w:rPr>
          <w:rFonts w:ascii="Arial" w:hAnsi="Arial" w:cs="Arial"/>
        </w:rPr>
        <w:t xml:space="preserve">V mezinárodním srovnání </w:t>
      </w:r>
      <w:proofErr w:type="spellStart"/>
      <w:r>
        <w:rPr>
          <w:rFonts w:ascii="Arial" w:hAnsi="Arial" w:cs="Arial"/>
        </w:rPr>
        <w:t>kolaborativních</w:t>
      </w:r>
      <w:proofErr w:type="spellEnd"/>
      <w:r>
        <w:rPr>
          <w:rFonts w:ascii="Arial" w:hAnsi="Arial" w:cs="Arial"/>
        </w:rPr>
        <w:t xml:space="preserve"> publikací (obrázek 7.11) ČR se svými 57 % mezinárodních publikací z celkového počtu článků v databázi Web </w:t>
      </w:r>
      <w:proofErr w:type="spellStart"/>
      <w:r>
        <w:rPr>
          <w:rFonts w:ascii="Arial" w:hAnsi="Arial" w:cs="Arial"/>
        </w:rPr>
        <w:t>of</w:t>
      </w:r>
      <w:proofErr w:type="spellEnd"/>
      <w:r>
        <w:rPr>
          <w:rFonts w:ascii="Arial" w:hAnsi="Arial" w:cs="Arial"/>
        </w:rPr>
        <w:t xml:space="preserve"> Science převyšuje evropským průměr. ČR je v tomto ukazateli na srovnatelné úrovni s Německem, Slovinskem, </w:t>
      </w:r>
      <w:r>
        <w:rPr>
          <w:rFonts w:ascii="Arial" w:hAnsi="Arial" w:cs="Arial"/>
        </w:rPr>
        <w:lastRenderedPageBreak/>
        <w:t xml:space="preserve">mírně předčí Španělsko, Itálii a Izrael, naopak mírně zaostává za Velkou Británií, Francií nebo Portugalskem. ČR výrazněji ztrácí na státy, jako je Dánsko, Belgie, Rakousko nebo Švýcarsko, kde se podíl </w:t>
      </w:r>
      <w:proofErr w:type="spellStart"/>
      <w:r>
        <w:rPr>
          <w:rFonts w:ascii="Arial" w:hAnsi="Arial" w:cs="Arial"/>
        </w:rPr>
        <w:t>kolaborativních</w:t>
      </w:r>
      <w:proofErr w:type="spellEnd"/>
      <w:r>
        <w:rPr>
          <w:rFonts w:ascii="Arial" w:hAnsi="Arial" w:cs="Arial"/>
        </w:rPr>
        <w:t xml:space="preserve"> publikací pohybuje mezi 65 a 75 %. Tempo růstu tohoto parametru v ČR za posledních pět let (cca 14 %) je ve srovnání s Dánskem, Belgií nebo Rakouskem vyšší, dosahuje přibližně intenzity růstu ve Francii, Finsku, Norsku nebo Nizozemsku. To dává určitý předpoklad pro zlepšení pozice ČR v budoucnu. Mezi evropské státy s nejnižším podílem mezinárodního spoluautorství patří Polsko (36 %), nízkou míru vykazují rovněž Jižní Korea, Japonsko nebo Spojené státy americké (mezi 30 % a 40 %).</w:t>
      </w:r>
    </w:p>
    <w:p w:rsidR="008B51EA" w:rsidRDefault="008B51EA" w:rsidP="008B51EA">
      <w:pPr>
        <w:keepNext/>
        <w:spacing w:before="120" w:after="240" w:line="240" w:lineRule="auto"/>
        <w:jc w:val="both"/>
        <w:rPr>
          <w:rFonts w:ascii="Arial" w:eastAsia="Times New Roman" w:hAnsi="Arial" w:cs="Times New Roman"/>
          <w:b/>
          <w:szCs w:val="24"/>
          <w:lang w:eastAsia="cs-CZ"/>
        </w:rPr>
      </w:pPr>
      <w:r>
        <w:rPr>
          <w:rFonts w:ascii="Arial" w:eastAsia="Times New Roman" w:hAnsi="Arial" w:cs="Times New Roman"/>
          <w:b/>
          <w:szCs w:val="24"/>
          <w:lang w:eastAsia="cs-CZ"/>
        </w:rPr>
        <w:t>Obrázek 7.11: Podíl vědeckých publikací vytvořených mezinárodními autorskými týmy v zemích EU a OECD</w:t>
      </w:r>
    </w:p>
    <w:p w:rsidR="008B51EA" w:rsidRDefault="008B51EA" w:rsidP="008B51EA">
      <w:pPr>
        <w:jc w:val="center"/>
      </w:pPr>
      <w:r>
        <w:rPr>
          <w:noProof/>
          <w:lang w:eastAsia="cs-CZ"/>
        </w:rPr>
        <w:drawing>
          <wp:inline distT="0" distB="0" distL="0" distR="0" wp14:anchorId="23AF9DE3" wp14:editId="2348DB8B">
            <wp:extent cx="5728910" cy="3611880"/>
            <wp:effectExtent l="0" t="0" r="5715" b="762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28910" cy="3611880"/>
                    </a:xfrm>
                    <a:prstGeom prst="rect">
                      <a:avLst/>
                    </a:prstGeom>
                    <a:noFill/>
                    <a:ln>
                      <a:noFill/>
                    </a:ln>
                  </pic:spPr>
                </pic:pic>
              </a:graphicData>
            </a:graphic>
          </wp:inline>
        </w:drawing>
      </w:r>
    </w:p>
    <w:p w:rsidR="008B51EA" w:rsidRDefault="008B51EA" w:rsidP="008B51EA">
      <w:pPr>
        <w:spacing w:before="120" w:after="120" w:line="240" w:lineRule="auto"/>
        <w:rPr>
          <w:rFonts w:ascii="Arial" w:eastAsia="Times New Roman" w:hAnsi="Arial" w:cs="Times New Roman"/>
          <w:i/>
          <w:sz w:val="18"/>
          <w:szCs w:val="24"/>
          <w:lang w:eastAsia="cs-CZ"/>
        </w:rPr>
      </w:pPr>
      <w:r>
        <w:rPr>
          <w:rFonts w:ascii="Arial" w:eastAsia="Times New Roman" w:hAnsi="Arial" w:cs="Times New Roman"/>
          <w:i/>
          <w:sz w:val="18"/>
          <w:szCs w:val="24"/>
          <w:lang w:eastAsia="cs-CZ"/>
        </w:rPr>
        <w:t xml:space="preserve">Zdroj dat: Web </w:t>
      </w:r>
      <w:proofErr w:type="spellStart"/>
      <w:r>
        <w:rPr>
          <w:rFonts w:ascii="Arial" w:eastAsia="Times New Roman" w:hAnsi="Arial" w:cs="Times New Roman"/>
          <w:i/>
          <w:sz w:val="18"/>
          <w:szCs w:val="24"/>
          <w:lang w:eastAsia="cs-CZ"/>
        </w:rPr>
        <w:t>of</w:t>
      </w:r>
      <w:proofErr w:type="spellEnd"/>
      <w:r>
        <w:rPr>
          <w:rFonts w:ascii="Arial" w:eastAsia="Times New Roman" w:hAnsi="Arial" w:cs="Times New Roman"/>
          <w:i/>
          <w:sz w:val="18"/>
          <w:szCs w:val="24"/>
          <w:lang w:eastAsia="cs-CZ"/>
        </w:rPr>
        <w:t xml:space="preserve"> Science, exportováno prostřednictvím nástroje </w:t>
      </w:r>
      <w:proofErr w:type="spellStart"/>
      <w:r>
        <w:rPr>
          <w:rFonts w:ascii="Arial" w:eastAsia="Times New Roman" w:hAnsi="Arial" w:cs="Times New Roman"/>
          <w:i/>
          <w:sz w:val="18"/>
          <w:szCs w:val="24"/>
          <w:lang w:eastAsia="cs-CZ"/>
        </w:rPr>
        <w:t>InCites</w:t>
      </w:r>
      <w:proofErr w:type="spellEnd"/>
      <w:r>
        <w:rPr>
          <w:rFonts w:ascii="Arial" w:eastAsia="Times New Roman" w:hAnsi="Arial" w:cs="Times New Roman"/>
          <w:i/>
          <w:sz w:val="18"/>
          <w:szCs w:val="24"/>
          <w:lang w:eastAsia="cs-CZ"/>
        </w:rPr>
        <w:t xml:space="preserve">, publikace typu </w:t>
      </w:r>
      <w:proofErr w:type="spellStart"/>
      <w:r>
        <w:rPr>
          <w:rFonts w:ascii="Arial" w:eastAsia="Times New Roman" w:hAnsi="Arial" w:cs="Times New Roman"/>
          <w:i/>
          <w:sz w:val="18"/>
          <w:szCs w:val="24"/>
          <w:lang w:eastAsia="cs-CZ"/>
        </w:rPr>
        <w:t>article</w:t>
      </w:r>
      <w:proofErr w:type="spellEnd"/>
      <w:r>
        <w:rPr>
          <w:rFonts w:ascii="Arial" w:eastAsia="Times New Roman" w:hAnsi="Arial" w:cs="Times New Roman"/>
          <w:i/>
          <w:sz w:val="18"/>
          <w:szCs w:val="24"/>
          <w:lang w:eastAsia="cs-CZ"/>
        </w:rPr>
        <w:t xml:space="preserve">, </w:t>
      </w:r>
      <w:proofErr w:type="spellStart"/>
      <w:r>
        <w:rPr>
          <w:rFonts w:ascii="Arial" w:eastAsia="Times New Roman" w:hAnsi="Arial" w:cs="Times New Roman"/>
          <w:i/>
          <w:sz w:val="18"/>
          <w:szCs w:val="24"/>
          <w:lang w:eastAsia="cs-CZ"/>
        </w:rPr>
        <w:t>letter</w:t>
      </w:r>
      <w:proofErr w:type="spellEnd"/>
      <w:r>
        <w:rPr>
          <w:rFonts w:ascii="Arial" w:eastAsia="Times New Roman" w:hAnsi="Arial" w:cs="Times New Roman"/>
          <w:i/>
          <w:sz w:val="18"/>
          <w:szCs w:val="24"/>
          <w:lang w:eastAsia="cs-CZ"/>
        </w:rPr>
        <w:t xml:space="preserve">, </w:t>
      </w:r>
      <w:proofErr w:type="spellStart"/>
      <w:r>
        <w:rPr>
          <w:rFonts w:ascii="Arial" w:eastAsia="Times New Roman" w:hAnsi="Arial" w:cs="Times New Roman"/>
          <w:i/>
          <w:sz w:val="18"/>
          <w:szCs w:val="24"/>
          <w:lang w:eastAsia="cs-CZ"/>
        </w:rPr>
        <w:t>review</w:t>
      </w:r>
      <w:proofErr w:type="spellEnd"/>
    </w:p>
    <w:p w:rsidR="008B51EA" w:rsidRDefault="008B51EA" w:rsidP="008B51EA">
      <w:pPr>
        <w:spacing w:after="60" w:line="240" w:lineRule="auto"/>
        <w:jc w:val="both"/>
        <w:rPr>
          <w:rFonts w:ascii="Arial" w:eastAsia="Times New Roman" w:hAnsi="Arial" w:cs="Times New Roman"/>
          <w:i/>
          <w:sz w:val="18"/>
          <w:szCs w:val="24"/>
          <w:lang w:eastAsia="cs-CZ"/>
        </w:rPr>
      </w:pPr>
      <w:r>
        <w:rPr>
          <w:rFonts w:ascii="Arial" w:eastAsia="Times New Roman" w:hAnsi="Arial" w:cs="Times New Roman"/>
          <w:i/>
          <w:sz w:val="18"/>
          <w:szCs w:val="24"/>
          <w:lang w:eastAsia="cs-CZ"/>
        </w:rPr>
        <w:t>Horizontální osa: Podíl publikací s alespoň jedním autorem ze zahraničí na celkovém počtu publikací dané země v roce 2017 (v %)</w:t>
      </w:r>
    </w:p>
    <w:p w:rsidR="008B51EA" w:rsidRPr="005F5A7B" w:rsidRDefault="008B51EA" w:rsidP="00712CCB">
      <w:pPr>
        <w:spacing w:after="60" w:line="240" w:lineRule="auto"/>
        <w:jc w:val="both"/>
        <w:rPr>
          <w:rFonts w:ascii="Arial" w:eastAsia="Times New Roman" w:hAnsi="Arial" w:cs="Arial"/>
          <w:lang w:eastAsia="cs-CZ"/>
        </w:rPr>
      </w:pPr>
      <w:r>
        <w:rPr>
          <w:rFonts w:ascii="Arial" w:eastAsia="Times New Roman" w:hAnsi="Arial" w:cs="Times New Roman"/>
          <w:i/>
          <w:sz w:val="18"/>
          <w:szCs w:val="24"/>
          <w:lang w:eastAsia="cs-CZ"/>
        </w:rPr>
        <w:t>Vertikální osa: Nárůst podílu mezinárodních publikací mezi roky 2013 a 2017 (v %); průsečík os značí teoretickou pozici EU 28</w:t>
      </w:r>
    </w:p>
    <w:p w:rsidR="000C39F7" w:rsidRDefault="000C39F7">
      <w:pPr>
        <w:rPr>
          <w:rFonts w:ascii="Arial" w:eastAsia="Times New Roman" w:hAnsi="Arial" w:cs="Arial"/>
          <w:lang w:eastAsia="cs-CZ"/>
        </w:rPr>
      </w:pPr>
      <w:r>
        <w:rPr>
          <w:rFonts w:ascii="Arial" w:eastAsia="Times New Roman" w:hAnsi="Arial" w:cs="Arial"/>
          <w:lang w:eastAsia="cs-CZ"/>
        </w:rPr>
        <w:br w:type="page"/>
      </w:r>
    </w:p>
    <w:p w:rsidR="00D33F0D" w:rsidRDefault="00D33F0D" w:rsidP="00CD1C40">
      <w:pPr>
        <w:pStyle w:val="NadpisurovenI"/>
        <w:numPr>
          <w:ilvl w:val="0"/>
          <w:numId w:val="33"/>
        </w:numPr>
        <w:jc w:val="both"/>
      </w:pPr>
      <w:bookmarkStart w:id="48" w:name="_Toc529974124"/>
      <w:r w:rsidRPr="000822A0">
        <w:lastRenderedPageBreak/>
        <w:t xml:space="preserve">Inovační výkonnost české ekonomiky a </w:t>
      </w:r>
      <w:r w:rsidR="005206B3">
        <w:t xml:space="preserve">její </w:t>
      </w:r>
      <w:r w:rsidRPr="000822A0">
        <w:t>mezinárodní srovnání</w:t>
      </w:r>
      <w:bookmarkEnd w:id="47"/>
      <w:bookmarkEnd w:id="48"/>
    </w:p>
    <w:p w:rsidR="0086009A" w:rsidRPr="003F2EAB" w:rsidRDefault="0086009A" w:rsidP="0086009A">
      <w:pPr>
        <w:spacing w:after="0" w:line="360" w:lineRule="auto"/>
        <w:ind w:firstLine="403"/>
        <w:jc w:val="both"/>
        <w:rPr>
          <w:rFonts w:ascii="Arial" w:hAnsi="Arial" w:cs="Arial"/>
        </w:rPr>
      </w:pPr>
      <w:r w:rsidRPr="003F2EAB">
        <w:rPr>
          <w:rFonts w:ascii="Arial" w:eastAsia="Times New Roman" w:hAnsi="Arial" w:cs="Arial"/>
          <w:lang w:eastAsia="cs-CZ"/>
        </w:rPr>
        <w:t>Inovace hrají důležitou roli v konkurenceschopnosti každé ekonomiky. Schopnost ekonomiky</w:t>
      </w:r>
      <w:r w:rsidRPr="003F2EAB">
        <w:rPr>
          <w:rFonts w:ascii="Arial" w:hAnsi="Arial" w:cs="Arial"/>
        </w:rPr>
        <w:t xml:space="preserve"> </w:t>
      </w:r>
      <w:r w:rsidRPr="003F2EAB">
        <w:rPr>
          <w:rFonts w:ascii="Arial" w:eastAsia="Times New Roman" w:hAnsi="Arial" w:cs="Arial"/>
          <w:lang w:eastAsia="cs-CZ"/>
        </w:rPr>
        <w:t>dosahovat efektivních inovací je jedním ze základních stavebních kamenů pro dlouhodobě udržitelný hospodářský růst a konkurenceschopnost. Také proto byly inovace v nedávném období globální krize v mnoha ekonomikách jedním ze způsobů jak dopad krize eliminovat. V rámci úspěšné realizace inovací je možné označit za hlavní hnací sílu vyvážený systém</w:t>
      </w:r>
      <w:r w:rsidRPr="003F2EAB">
        <w:rPr>
          <w:rFonts w:ascii="Arial" w:hAnsi="Arial" w:cs="Arial"/>
        </w:rPr>
        <w:t xml:space="preserve"> podpory inovací, který vyžaduje optimální poměr veřejných a soukromých investic, to vše za efektivního propojení podnikatelské a akademické sféry, přičemž celá výše uvedená synergie musí být podporována kvalitní výzkumnou základnou a maximálním využíváním poznatků základního výzkumu.</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Tato kapitola je zacílena na inovační výkonnost českého hospodářství a mezinárodní srovnání této výkonnosti s vybranými státy. Řídit (především efektivně řídit) lze jen to, u čeho může být změřena, analyzována a vyhodnocena výkonnost. Uvedené se týká také inovační výkonnosti. Pro efektivní zásahy do oblasti inovací je nutné nejprve analyzovat a vyhodnotit aktuální inovační výkonnost. Pro potřeby měření inovační výkonnosti jsou využívány jednoduché nebo složené indikátory. Mezi výhody jednoduchých indikátorů, které se opírají především o finanční data, patří jejich snadný výpočet a interpretace nebo například možnost srovnání míry inovační výkonnosti v mezinárodním prostředí. Z nevýhod jednoduchých indikátorů lze uvést především omezenou vypovídací schopnost v oblasti nalezení skutečné příčiny dosaženého inovačního výkonu. Jednoduchý indikátor není schopný sám o sobě přinést informaci o přispění jednotlivých faktorů a</w:t>
      </w:r>
      <w:r w:rsidR="00B308C1">
        <w:rPr>
          <w:rFonts w:ascii="Arial" w:hAnsi="Arial" w:cs="Arial"/>
        </w:rPr>
        <w:t> </w:t>
      </w:r>
      <w:r w:rsidRPr="003F2EAB">
        <w:rPr>
          <w:rFonts w:ascii="Arial" w:hAnsi="Arial" w:cs="Arial"/>
        </w:rPr>
        <w:t>složek k dosažené inovační výkonnosti. Z uvedeného vyplývá, že v rámci komplexní a objektivní analýzy inovační výkonnosti musí být jednoduché indikátory doplněny o indikátory složené, které dokáží dosažený inovační výkon rozložit na jednotlivé faktory a složky přispívající k dosažené míře výkonnosti. Složené indikátory se mohou skládat i z několika desítek dílčích ukazatelů, jsou tedy sofistikovanější z pohledu možnosti rozboru dosažené inovační výkonnosti na jednotlivé kompozitní části indikátoru.</w:t>
      </w:r>
    </w:p>
    <w:p w:rsidR="002B10DD" w:rsidRPr="002B10DD" w:rsidRDefault="0086009A" w:rsidP="0086009A">
      <w:pPr>
        <w:spacing w:after="0" w:line="360" w:lineRule="auto"/>
        <w:ind w:firstLine="403"/>
        <w:jc w:val="both"/>
        <w:rPr>
          <w:rFonts w:ascii="Arial" w:eastAsia="Times New Roman" w:hAnsi="Arial" w:cs="Arial"/>
          <w:lang w:eastAsia="cs-CZ"/>
        </w:rPr>
      </w:pPr>
      <w:r w:rsidRPr="003F2EAB">
        <w:rPr>
          <w:rFonts w:ascii="Arial" w:hAnsi="Arial" w:cs="Arial"/>
        </w:rPr>
        <w:t>V této kapitole jsou určení míry inovační výkonnosti českého hospodářství a také pro porovnání dosažené výkonnosti s ostatními vybranými státy použity jak indikátory jednoduché, tak i</w:t>
      </w:r>
      <w:r w:rsidR="00B308C1">
        <w:rPr>
          <w:rFonts w:ascii="Arial" w:hAnsi="Arial" w:cs="Arial"/>
        </w:rPr>
        <w:t> </w:t>
      </w:r>
      <w:r w:rsidRPr="003F2EAB">
        <w:rPr>
          <w:rFonts w:ascii="Arial" w:hAnsi="Arial" w:cs="Arial"/>
        </w:rPr>
        <w:t xml:space="preserve">složené. Konkrétně byly použity ukazatele jako znalostní intenzita, </w:t>
      </w:r>
      <w:proofErr w:type="spellStart"/>
      <w:r w:rsidRPr="003F2EAB">
        <w:rPr>
          <w:rFonts w:ascii="Arial" w:hAnsi="Arial" w:cs="Arial"/>
        </w:rPr>
        <w:t>Summary</w:t>
      </w:r>
      <w:proofErr w:type="spellEnd"/>
      <w:r w:rsidRPr="003F2EAB">
        <w:rPr>
          <w:rFonts w:ascii="Arial" w:hAnsi="Arial" w:cs="Arial"/>
        </w:rPr>
        <w:t xml:space="preserve"> </w:t>
      </w:r>
      <w:proofErr w:type="spellStart"/>
      <w:r w:rsidRPr="003F2EAB">
        <w:rPr>
          <w:rFonts w:ascii="Arial" w:hAnsi="Arial" w:cs="Arial"/>
        </w:rPr>
        <w:t>Innovation</w:t>
      </w:r>
      <w:proofErr w:type="spellEnd"/>
      <w:r w:rsidRPr="003F2EAB">
        <w:rPr>
          <w:rFonts w:ascii="Arial" w:hAnsi="Arial" w:cs="Arial"/>
        </w:rPr>
        <w:t xml:space="preserve"> Index, </w:t>
      </w:r>
      <w:proofErr w:type="spellStart"/>
      <w:r w:rsidRPr="003F2EAB">
        <w:rPr>
          <w:rFonts w:ascii="Arial" w:hAnsi="Arial" w:cs="Arial"/>
        </w:rPr>
        <w:t>Global</w:t>
      </w:r>
      <w:proofErr w:type="spellEnd"/>
      <w:r w:rsidRPr="003F2EAB">
        <w:rPr>
          <w:rFonts w:ascii="Arial" w:hAnsi="Arial" w:cs="Arial"/>
        </w:rPr>
        <w:t xml:space="preserve"> </w:t>
      </w:r>
      <w:proofErr w:type="spellStart"/>
      <w:r w:rsidRPr="003F2EAB">
        <w:rPr>
          <w:rFonts w:ascii="Arial" w:hAnsi="Arial" w:cs="Arial"/>
        </w:rPr>
        <w:t>Innovation</w:t>
      </w:r>
      <w:proofErr w:type="spellEnd"/>
      <w:r w:rsidRPr="003F2EAB">
        <w:rPr>
          <w:rFonts w:ascii="Arial" w:hAnsi="Arial" w:cs="Arial"/>
        </w:rPr>
        <w:t xml:space="preserve"> Index, </w:t>
      </w:r>
      <w:proofErr w:type="spellStart"/>
      <w:r w:rsidRPr="003F2EAB">
        <w:rPr>
          <w:rFonts w:ascii="Arial" w:hAnsi="Arial" w:cs="Arial"/>
        </w:rPr>
        <w:t>Innovation</w:t>
      </w:r>
      <w:proofErr w:type="spellEnd"/>
      <w:r w:rsidRPr="003F2EAB">
        <w:rPr>
          <w:rFonts w:ascii="Arial" w:hAnsi="Arial" w:cs="Arial"/>
        </w:rPr>
        <w:t xml:space="preserve"> Output </w:t>
      </w:r>
      <w:proofErr w:type="spellStart"/>
      <w:r w:rsidRPr="003F2EAB">
        <w:rPr>
          <w:rFonts w:ascii="Arial" w:hAnsi="Arial" w:cs="Arial"/>
        </w:rPr>
        <w:t>Indicator</w:t>
      </w:r>
      <w:proofErr w:type="spellEnd"/>
      <w:r w:rsidRPr="003F2EAB">
        <w:rPr>
          <w:rFonts w:ascii="Arial" w:hAnsi="Arial" w:cs="Arial"/>
        </w:rPr>
        <w:t xml:space="preserve"> a také šetření Českého statistického úřadu k inovačním aktivitám podniků v letech 2014–2016.</w:t>
      </w:r>
    </w:p>
    <w:p w:rsidR="00D33F0D" w:rsidRDefault="00D33F0D" w:rsidP="00CD1C40">
      <w:pPr>
        <w:pStyle w:val="NadpisurovemII"/>
        <w:numPr>
          <w:ilvl w:val="1"/>
          <w:numId w:val="33"/>
        </w:numPr>
        <w:ind w:hanging="792"/>
        <w:jc w:val="both"/>
        <w:rPr>
          <w:rFonts w:eastAsia="Times New Roman"/>
        </w:rPr>
      </w:pPr>
      <w:bookmarkStart w:id="49" w:name="_Toc427676905"/>
      <w:bookmarkStart w:id="50" w:name="_Toc529974125"/>
      <w:r w:rsidRPr="00CD1C40">
        <w:rPr>
          <w:rFonts w:eastAsia="Times New Roman"/>
        </w:rPr>
        <w:t>Inovační výkon ČR na základě jednoduchých indikátorů</w:t>
      </w:r>
      <w:bookmarkEnd w:id="49"/>
      <w:bookmarkEnd w:id="50"/>
    </w:p>
    <w:p w:rsidR="0086009A" w:rsidRPr="003F2EAB" w:rsidRDefault="0086009A" w:rsidP="0086009A">
      <w:pPr>
        <w:spacing w:line="360" w:lineRule="auto"/>
        <w:ind w:firstLine="403"/>
        <w:jc w:val="both"/>
        <w:rPr>
          <w:rFonts w:ascii="Arial" w:hAnsi="Arial" w:cs="Arial"/>
        </w:rPr>
      </w:pPr>
      <w:r w:rsidRPr="003F2EAB">
        <w:rPr>
          <w:rFonts w:ascii="Arial" w:hAnsi="Arial" w:cs="Arial"/>
        </w:rPr>
        <w:t>Jedním ze základních a nejčastěji používaných jednoduchých indikátorů k určení inovační výkonnosti je znalostní intenzita. Znalostní intenzita je procentuálním vyjádřením poměru celkových výdajů na výzkum a vývoj (GERD) a výše hrubého domácího produktu (HDP). V některých analýzách je ke </w:t>
      </w:r>
      <w:proofErr w:type="gramStart"/>
      <w:r w:rsidRPr="003F2EAB">
        <w:rPr>
          <w:rFonts w:ascii="Arial" w:hAnsi="Arial" w:cs="Arial"/>
        </w:rPr>
        <w:t>GERD</w:t>
      </w:r>
      <w:proofErr w:type="gramEnd"/>
      <w:r w:rsidRPr="003F2EAB">
        <w:rPr>
          <w:rFonts w:ascii="Arial" w:hAnsi="Arial" w:cs="Arial"/>
        </w:rPr>
        <w:t xml:space="preserve"> připočítána i výše výdajů na vzdělávání. Data potřebná pro výpočet znalostní intenzity jsou vykazována většinou evropských zemí a členských zemí OECD, proto umožňuje rozsáhlé mezinárodní srovnání. </w:t>
      </w:r>
    </w:p>
    <w:p w:rsidR="0086009A" w:rsidRPr="003F2EAB" w:rsidRDefault="0086009A" w:rsidP="0086009A">
      <w:pPr>
        <w:spacing w:line="360" w:lineRule="auto"/>
        <w:ind w:firstLine="403"/>
        <w:jc w:val="both"/>
        <w:rPr>
          <w:rFonts w:ascii="Arial" w:hAnsi="Arial" w:cs="Arial"/>
        </w:rPr>
      </w:pPr>
      <w:r w:rsidRPr="003F2EAB">
        <w:rPr>
          <w:rFonts w:ascii="Arial" w:hAnsi="Arial" w:cs="Arial"/>
        </w:rPr>
        <w:lastRenderedPageBreak/>
        <w:t>Na obrázku 8.1 je znázorněn vývoj GERD ČR a znalostní intenzita (tj. GERD v % HDP) v letech 2010 až 2016. Znalostní intenzita české ekonomiky za rok 2017 je na úrovni 1,79 %. Celkové výdaje na výzkum a vývoj dosahují tedy 1,79 % hrubého domácího produktu českého hospodářství. V roce 2010 byla znalostní intenzita 1,34 %. V následujících letech úroveň znalostní intenzity stoupala, od roku 2010 dosahovala nejvyšší hodnoty v roce 2014 (tj. 1,97 %). Po roce 2014 dochází k poklesu znalostní intenzity české ekonomiky. V roce 2015 byla na úrovni 1,93 % a</w:t>
      </w:r>
      <w:r w:rsidR="00B308C1">
        <w:rPr>
          <w:rFonts w:ascii="Arial" w:hAnsi="Arial" w:cs="Arial"/>
        </w:rPr>
        <w:t> </w:t>
      </w:r>
      <w:r w:rsidRPr="003F2EAB">
        <w:rPr>
          <w:rFonts w:ascii="Arial" w:hAnsi="Arial" w:cs="Arial"/>
        </w:rPr>
        <w:t>následující rok opět poklesla na výše uvedenou úroveň (tj. rok 2016 1,68 %). Za období 2010 až 2017 došlo k poklesu GERD v roce 2016. Zatímco v roce 2010 dosahoval GERD 53,0 mld. Kč (v</w:t>
      </w:r>
      <w:r w:rsidR="00B308C1">
        <w:rPr>
          <w:rFonts w:ascii="Arial" w:hAnsi="Arial" w:cs="Arial"/>
        </w:rPr>
        <w:t> </w:t>
      </w:r>
      <w:r w:rsidRPr="003F2EAB">
        <w:rPr>
          <w:rFonts w:ascii="Arial" w:hAnsi="Arial" w:cs="Arial"/>
        </w:rPr>
        <w:t>běžných cenách), svého maxima v tomto období dosáhl GERD v roce 2017 (90,4 mld. Kč), v roce 2016 byl zaznamenán meziroční pokles o 8,6 mld. Kč (na hodnotu 80,1 mld. Kč), tj. meziroční pokles o 9,7 %. Nicméně v roce 2017 opět dochází k meziročnímu nárůstu GERD, a to o</w:t>
      </w:r>
      <w:r w:rsidR="00B308C1">
        <w:rPr>
          <w:rFonts w:ascii="Arial" w:hAnsi="Arial" w:cs="Arial"/>
        </w:rPr>
        <w:t> </w:t>
      </w:r>
      <w:r w:rsidRPr="003F2EAB">
        <w:rPr>
          <w:rFonts w:ascii="Arial" w:hAnsi="Arial" w:cs="Arial"/>
        </w:rPr>
        <w:t>10,3 mld. Kč, tj. meziroční růst 12,9 %.</w:t>
      </w:r>
    </w:p>
    <w:p w:rsidR="0086009A" w:rsidRPr="003F2EAB" w:rsidRDefault="0086009A" w:rsidP="0086009A">
      <w:pPr>
        <w:pStyle w:val="Obrzek"/>
      </w:pPr>
      <w:r w:rsidRPr="003F2EAB">
        <w:t>Obrázek 8.1: GERD a znalostní intenzita ČR</w:t>
      </w:r>
    </w:p>
    <w:p w:rsidR="0086009A" w:rsidRPr="003F2EAB" w:rsidRDefault="0086009A" w:rsidP="0086009A">
      <w:pPr>
        <w:spacing w:after="0" w:line="360" w:lineRule="auto"/>
        <w:jc w:val="center"/>
        <w:rPr>
          <w:rFonts w:ascii="Arial" w:hAnsi="Arial" w:cs="Arial"/>
        </w:rPr>
      </w:pPr>
      <w:r w:rsidRPr="003F2EAB">
        <w:rPr>
          <w:noProof/>
          <w:lang w:eastAsia="cs-CZ"/>
        </w:rPr>
        <w:drawing>
          <wp:inline distT="0" distB="0" distL="0" distR="0" wp14:anchorId="3BCD914E" wp14:editId="584C239E">
            <wp:extent cx="5505450" cy="2654300"/>
            <wp:effectExtent l="0" t="0" r="0" b="0"/>
            <wp:docPr id="55" name="Graf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86009A" w:rsidRPr="003F2EAB" w:rsidRDefault="0086009A" w:rsidP="0086009A">
      <w:pPr>
        <w:pStyle w:val="Zdrojapoznmka"/>
        <w:spacing w:after="0"/>
      </w:pPr>
      <w:r w:rsidRPr="003F2EAB">
        <w:t>Zdroj: ČSÚ, Výzkum a vývoj</w:t>
      </w:r>
    </w:p>
    <w:p w:rsidR="0086009A" w:rsidRDefault="0086009A" w:rsidP="0086009A">
      <w:pPr>
        <w:spacing w:after="0" w:line="360" w:lineRule="auto"/>
        <w:ind w:firstLine="403"/>
        <w:jc w:val="both"/>
        <w:rPr>
          <w:rFonts w:ascii="Arial" w:hAnsi="Arial" w:cs="Arial"/>
        </w:rPr>
      </w:pP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 xml:space="preserve">Na obrázku 8.2 je znázorněna znalostní intenzita vybraných zemí za rok 2016. Pro lepší porovnání vývoje znalostní intenzity v čase je znázorněna také hodnota roku 2010. Vybraní země jsou seřazeny dle výše znalostní intenzity roku 2016. </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 xml:space="preserve">V roce 2014 byla ČR na příčce hned za průměrem EU 28. V roce 2015 se mezi průměr EU 28 a ČR dostalo Nizozemsko. V analyzovaném roce (2016) je ČR průměru EU 28 ještě více vzdálila. Kromě Nizozemska se mezi ČR a EU 28 dostalo také Norsko, Slovinsko, Velká Británie (z těchto zemí byla v minulých letech Velká Británie a Norsko za ČR, naopak Slovinsko byla před ČR i EU 28). Za ČR zůstávají ekonomiky například Itálie, Maďarska, Ruska, Polska i Slovenska. Z evropských zemí dosahuje nejvyšší znalostní intenzity Švýcarsko (2010 2,7 %; 2016 3,4 %), Švédsko, Rakousko a Německo. Při porovnání hodnot z roku 2010 a 2016 zaznamenalo nejvyšší nárůst Řecko (68,3 %), Bulharsko (39,3 %), Polsko (34,7 %), Slovensko (27,4 %) a ČR (25,4 %). </w:t>
      </w:r>
      <w:r w:rsidRPr="003F2EAB">
        <w:rPr>
          <w:rFonts w:ascii="Arial" w:hAnsi="Arial" w:cs="Arial"/>
        </w:rPr>
        <w:lastRenderedPageBreak/>
        <w:t>Naopak pokles mezi sledovanými roky je u Lotyšska (-27,9 %), Finska (-26,3 %), Irska (-25,8 %), Estonska, Lucemburska, Portugalska, Španělska, Slovinska a Dánska.</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V roce 2016 byly za EU 28 celkové výdaje GERD 302,9 mld. EUR. Na této výši se nejvíce podílelo Německo (92,4 mld. EUR; 30,5 %), Francie (50,1 mld. EUR; 16,5 %) a Velká Británie (40,5 mld. EUR; 13,4 %). Podíl ČR na GERD EU 28 je 3,0 mld. EUR, tj. 1,0 % a Rakouska 10,9</w:t>
      </w:r>
      <w:r w:rsidR="00B308C1">
        <w:rPr>
          <w:rFonts w:ascii="Arial" w:hAnsi="Arial" w:cs="Arial"/>
        </w:rPr>
        <w:t> </w:t>
      </w:r>
      <w:r w:rsidRPr="003F2EAB">
        <w:rPr>
          <w:rFonts w:ascii="Arial" w:hAnsi="Arial" w:cs="Arial"/>
        </w:rPr>
        <w:t>mld. EUR, tj. 3,6 %.</w:t>
      </w:r>
    </w:p>
    <w:p w:rsidR="0086009A" w:rsidRPr="003F2EAB" w:rsidRDefault="0086009A" w:rsidP="0086009A">
      <w:pPr>
        <w:pStyle w:val="Obrzek"/>
      </w:pPr>
      <w:r w:rsidRPr="003F2EAB">
        <w:t>Obrázek 8.2: Znalostní intenzita ekonomiky ČR a její mezinárodní srovnání</w:t>
      </w:r>
    </w:p>
    <w:p w:rsidR="0086009A" w:rsidRPr="003F2EAB" w:rsidRDefault="0086009A" w:rsidP="0086009A">
      <w:pPr>
        <w:spacing w:line="360" w:lineRule="auto"/>
        <w:jc w:val="both"/>
        <w:rPr>
          <w:rFonts w:ascii="Arial" w:hAnsi="Arial" w:cs="Arial"/>
          <w:i/>
          <w:sz w:val="18"/>
        </w:rPr>
      </w:pPr>
      <w:r w:rsidRPr="003F2EAB">
        <w:rPr>
          <w:noProof/>
          <w:lang w:eastAsia="cs-CZ"/>
        </w:rPr>
        <w:drawing>
          <wp:inline distT="0" distB="0" distL="0" distR="0" wp14:anchorId="7BFF4CC5" wp14:editId="0C3122BF">
            <wp:extent cx="5760720" cy="3010812"/>
            <wp:effectExtent l="0" t="0" r="0" b="0"/>
            <wp:docPr id="72" name="Graf 72"/>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86009A" w:rsidRPr="003F2EAB" w:rsidRDefault="0086009A" w:rsidP="0086009A">
      <w:pPr>
        <w:spacing w:after="0" w:line="360" w:lineRule="auto"/>
        <w:jc w:val="both"/>
        <w:rPr>
          <w:rFonts w:ascii="Arial" w:hAnsi="Arial" w:cs="Arial"/>
          <w:i/>
          <w:sz w:val="18"/>
        </w:rPr>
      </w:pPr>
      <w:r w:rsidRPr="003F2EAB">
        <w:rPr>
          <w:rFonts w:ascii="Arial" w:hAnsi="Arial" w:cs="Arial"/>
          <w:i/>
          <w:sz w:val="18"/>
        </w:rPr>
        <w:t xml:space="preserve">Zdroj dat: </w:t>
      </w:r>
      <w:proofErr w:type="spellStart"/>
      <w:r w:rsidRPr="003F2EAB">
        <w:rPr>
          <w:rFonts w:ascii="Arial" w:hAnsi="Arial" w:cs="Arial"/>
          <w:i/>
          <w:sz w:val="18"/>
        </w:rPr>
        <w:t>Eurostat</w:t>
      </w:r>
      <w:proofErr w:type="spellEnd"/>
      <w:r w:rsidRPr="003F2EAB">
        <w:rPr>
          <w:rFonts w:ascii="Arial" w:hAnsi="Arial" w:cs="Arial"/>
          <w:i/>
          <w:sz w:val="18"/>
        </w:rPr>
        <w:t>; OECD - MSTI database</w:t>
      </w:r>
    </w:p>
    <w:p w:rsidR="0086009A" w:rsidRPr="003F2EAB" w:rsidRDefault="0086009A" w:rsidP="0086009A">
      <w:pPr>
        <w:spacing w:after="0" w:line="360" w:lineRule="auto"/>
        <w:jc w:val="both"/>
        <w:rPr>
          <w:rFonts w:ascii="Arial" w:hAnsi="Arial" w:cs="Arial"/>
          <w:i/>
          <w:sz w:val="18"/>
        </w:rPr>
      </w:pPr>
      <w:r w:rsidRPr="003F2EAB">
        <w:rPr>
          <w:rFonts w:ascii="Arial" w:hAnsi="Arial" w:cs="Arial"/>
          <w:i/>
          <w:sz w:val="18"/>
        </w:rPr>
        <w:t xml:space="preserve">Pro CHE jsou uvedena data za rok 2008 a 2015; pro </w:t>
      </w:r>
      <w:proofErr w:type="gramStart"/>
      <w:r w:rsidRPr="003F2EAB">
        <w:rPr>
          <w:rFonts w:ascii="Arial" w:hAnsi="Arial" w:cs="Arial"/>
          <w:i/>
          <w:sz w:val="18"/>
        </w:rPr>
        <w:t>KOR</w:t>
      </w:r>
      <w:proofErr w:type="gramEnd"/>
      <w:r w:rsidRPr="003F2EAB">
        <w:rPr>
          <w:rFonts w:ascii="Arial" w:hAnsi="Arial" w:cs="Arial"/>
          <w:i/>
          <w:sz w:val="18"/>
        </w:rPr>
        <w:t>, JPN, USA a RUS za rok 2015</w:t>
      </w:r>
      <w:r>
        <w:rPr>
          <w:rFonts w:ascii="Arial" w:hAnsi="Arial" w:cs="Arial"/>
          <w:i/>
          <w:sz w:val="18"/>
        </w:rPr>
        <w:t>.</w:t>
      </w:r>
    </w:p>
    <w:p w:rsidR="0086009A" w:rsidRPr="003F2EAB" w:rsidRDefault="0086009A" w:rsidP="0086009A">
      <w:pPr>
        <w:spacing w:after="0" w:line="360" w:lineRule="auto"/>
        <w:jc w:val="both"/>
        <w:rPr>
          <w:rFonts w:ascii="Arial" w:hAnsi="Arial" w:cs="Arial"/>
        </w:rPr>
      </w:pP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 xml:space="preserve">Znalostní intenzita nevypovídá o rozdílech v dosažené úrovni produkce ani o struktuře výdajů na </w:t>
      </w:r>
      <w:proofErr w:type="spellStart"/>
      <w:r w:rsidRPr="003F2EAB">
        <w:rPr>
          <w:rFonts w:ascii="Arial" w:hAnsi="Arial" w:cs="Arial"/>
        </w:rPr>
        <w:t>VaV</w:t>
      </w:r>
      <w:proofErr w:type="spellEnd"/>
      <w:r w:rsidRPr="003F2EAB">
        <w:rPr>
          <w:rFonts w:ascii="Arial" w:hAnsi="Arial" w:cs="Arial"/>
        </w:rPr>
        <w:t xml:space="preserve"> podle oblasti financování. Řešením pro zvýšení vypovídací schopnosti znalostní intenzity může být například její porovnání s výší výdajů na </w:t>
      </w:r>
      <w:proofErr w:type="spellStart"/>
      <w:r w:rsidRPr="003F2EAB">
        <w:rPr>
          <w:rFonts w:ascii="Arial" w:hAnsi="Arial" w:cs="Arial"/>
        </w:rPr>
        <w:t>VaV</w:t>
      </w:r>
      <w:proofErr w:type="spellEnd"/>
      <w:r w:rsidRPr="003F2EAB">
        <w:rPr>
          <w:rFonts w:ascii="Arial" w:hAnsi="Arial" w:cs="Arial"/>
        </w:rPr>
        <w:t xml:space="preserve"> v přepočtu na obyvatele ve standardu kupní síly (PPS). Srovnání zemí dle GERD na HDP a dle výdajů na </w:t>
      </w:r>
      <w:proofErr w:type="spellStart"/>
      <w:r w:rsidRPr="003F2EAB">
        <w:rPr>
          <w:rFonts w:ascii="Arial" w:hAnsi="Arial" w:cs="Arial"/>
        </w:rPr>
        <w:t>VaV</w:t>
      </w:r>
      <w:proofErr w:type="spellEnd"/>
      <w:r w:rsidRPr="003F2EAB">
        <w:rPr>
          <w:rFonts w:ascii="Arial" w:hAnsi="Arial" w:cs="Arial"/>
        </w:rPr>
        <w:t xml:space="preserve"> na obyvatele za rok 2016 je zachyceno na obrázku </w:t>
      </w:r>
      <w:proofErr w:type="gramStart"/>
      <w:r w:rsidRPr="003F2EAB">
        <w:rPr>
          <w:rFonts w:ascii="Arial" w:hAnsi="Arial" w:cs="Arial"/>
        </w:rPr>
        <w:t>8.3</w:t>
      </w:r>
      <w:proofErr w:type="gramEnd"/>
      <w:r w:rsidRPr="003F2EAB">
        <w:rPr>
          <w:rFonts w:ascii="Arial" w:hAnsi="Arial" w:cs="Arial"/>
        </w:rPr>
        <w:t xml:space="preserve">. PPS je vyjádřeno na obyvatele v cenách roku 2005. </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 xml:space="preserve">Zatímco v roce 2015 byly výdaje na </w:t>
      </w:r>
      <w:proofErr w:type="spellStart"/>
      <w:r w:rsidRPr="003F2EAB">
        <w:rPr>
          <w:rFonts w:ascii="Arial" w:hAnsi="Arial" w:cs="Arial"/>
        </w:rPr>
        <w:t>VaV</w:t>
      </w:r>
      <w:proofErr w:type="spellEnd"/>
      <w:r w:rsidRPr="003F2EAB">
        <w:rPr>
          <w:rFonts w:ascii="Arial" w:hAnsi="Arial" w:cs="Arial"/>
        </w:rPr>
        <w:t xml:space="preserve"> na jednoho obyvatele v PPS v ČR 2,5 krát vyšší než v Polsku, v roce 2016 byly vyšší jen 2,2 krát. Ve srovnání s Rakouskem dosahuje ČR 2,6 krát nižší úrovně výdajů na </w:t>
      </w:r>
      <w:proofErr w:type="spellStart"/>
      <w:r w:rsidRPr="003F2EAB">
        <w:rPr>
          <w:rFonts w:ascii="Arial" w:hAnsi="Arial" w:cs="Arial"/>
        </w:rPr>
        <w:t>VaV</w:t>
      </w:r>
      <w:proofErr w:type="spellEnd"/>
      <w:r w:rsidRPr="003F2EAB">
        <w:rPr>
          <w:rFonts w:ascii="Arial" w:hAnsi="Arial" w:cs="Arial"/>
        </w:rPr>
        <w:t xml:space="preserve"> na jednoho obyvatele v PPS. ČR se také vzdaluje průměru EU 28. V absolutním vyjádření dosáhla ČR v roce 2015 na úroveň výdajů na jednoho obyvatele v PPS 427,7 a v roce 2016 jen 381,1. V rámci EU 28 dosahuje nejvyšší hodnoty Švédsko (2,8 krát vyšší než ČR; v předchozím roce 2,4 krát vyšší).</w:t>
      </w:r>
    </w:p>
    <w:p w:rsidR="0086009A" w:rsidRPr="003F2EAB" w:rsidRDefault="0086009A" w:rsidP="0086009A">
      <w:pPr>
        <w:spacing w:line="360" w:lineRule="auto"/>
        <w:ind w:firstLine="403"/>
        <w:jc w:val="both"/>
        <w:rPr>
          <w:rFonts w:ascii="Arial" w:hAnsi="Arial" w:cs="Arial"/>
        </w:rPr>
      </w:pPr>
      <w:r w:rsidRPr="003F2EAB">
        <w:rPr>
          <w:rFonts w:ascii="Arial" w:hAnsi="Arial" w:cs="Arial"/>
        </w:rPr>
        <w:t xml:space="preserve">Dle obrázku 8.3 je zřejmé, že ze sledovaných zemí dosahuje nejvyšší hodnoty znalostní intenzity a zároveň GERD na obyvatele v PPS Jižní Korea, dále Švýcarsko, Švédsko, Japonsko. ČR je v míře znalostní intenzity i po přepočtu na obyvatele PPS mírně pod průměrem EU 28. </w:t>
      </w:r>
      <w:r w:rsidRPr="003F2EAB">
        <w:rPr>
          <w:rFonts w:ascii="Arial" w:hAnsi="Arial" w:cs="Arial"/>
        </w:rPr>
        <w:lastRenderedPageBreak/>
        <w:t>Znalostní intenzita ČR a Velké Británie je na srovnatelné úrovni, Velká Británie však vykazuje vyšší GERD na obyvatele v PPS.</w:t>
      </w:r>
    </w:p>
    <w:p w:rsidR="0086009A" w:rsidRPr="003F2EAB" w:rsidRDefault="0086009A" w:rsidP="0086009A">
      <w:pPr>
        <w:pStyle w:val="Obrzek"/>
      </w:pPr>
      <w:r w:rsidRPr="003F2EAB">
        <w:t xml:space="preserve">Obrázek 8.3: Srovnání zemí dle GERD na HDP a dle výdajů na </w:t>
      </w:r>
      <w:proofErr w:type="spellStart"/>
      <w:r w:rsidRPr="003F2EAB">
        <w:t>VaV</w:t>
      </w:r>
      <w:proofErr w:type="spellEnd"/>
      <w:r w:rsidRPr="003F2EAB">
        <w:t xml:space="preserve"> na obyvatele (2016)</w:t>
      </w:r>
    </w:p>
    <w:p w:rsidR="0086009A" w:rsidRPr="003F2EAB" w:rsidRDefault="0086009A" w:rsidP="0086009A">
      <w:pPr>
        <w:spacing w:line="360" w:lineRule="auto"/>
        <w:jc w:val="both"/>
        <w:rPr>
          <w:rFonts w:ascii="Arial" w:hAnsi="Arial" w:cs="Arial"/>
        </w:rPr>
      </w:pPr>
      <w:r w:rsidRPr="003F2EAB">
        <w:rPr>
          <w:rFonts w:ascii="Arial" w:hAnsi="Arial" w:cs="Arial"/>
          <w:noProof/>
          <w:lang w:eastAsia="cs-CZ"/>
        </w:rPr>
        <w:drawing>
          <wp:inline distT="0" distB="0" distL="0" distR="0" wp14:anchorId="540EB28E" wp14:editId="52E4E221">
            <wp:extent cx="5760720" cy="3821698"/>
            <wp:effectExtent l="0" t="0" r="0" b="7620"/>
            <wp:docPr id="56" name="Graf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86009A" w:rsidRPr="003F2EAB" w:rsidRDefault="0086009A" w:rsidP="0086009A">
      <w:pPr>
        <w:spacing w:after="0" w:line="360" w:lineRule="auto"/>
        <w:jc w:val="both"/>
        <w:rPr>
          <w:rFonts w:ascii="Arial" w:hAnsi="Arial" w:cs="Arial"/>
          <w:i/>
          <w:sz w:val="18"/>
        </w:rPr>
      </w:pPr>
      <w:r w:rsidRPr="003F2EAB">
        <w:rPr>
          <w:rFonts w:ascii="Arial" w:hAnsi="Arial" w:cs="Arial"/>
          <w:i/>
          <w:sz w:val="18"/>
        </w:rPr>
        <w:t xml:space="preserve">Zdroj: vlastní zpracování dle </w:t>
      </w:r>
      <w:proofErr w:type="spellStart"/>
      <w:proofErr w:type="gramStart"/>
      <w:r w:rsidRPr="003F2EAB">
        <w:rPr>
          <w:rFonts w:ascii="Arial" w:hAnsi="Arial" w:cs="Arial"/>
          <w:i/>
          <w:sz w:val="18"/>
        </w:rPr>
        <w:t>Eurostat</w:t>
      </w:r>
      <w:proofErr w:type="spellEnd"/>
      <w:proofErr w:type="gramEnd"/>
      <w:r w:rsidRPr="003F2EAB">
        <w:rPr>
          <w:rFonts w:ascii="Arial" w:hAnsi="Arial" w:cs="Arial"/>
          <w:i/>
          <w:sz w:val="18"/>
        </w:rPr>
        <w:t xml:space="preserve"> a OECD - MSTI Database</w:t>
      </w:r>
    </w:p>
    <w:p w:rsidR="0086009A" w:rsidRDefault="0086009A" w:rsidP="0086009A">
      <w:pPr>
        <w:spacing w:after="0" w:line="360" w:lineRule="auto"/>
        <w:jc w:val="both"/>
        <w:rPr>
          <w:rFonts w:ascii="Arial" w:hAnsi="Arial" w:cs="Arial"/>
          <w:i/>
          <w:sz w:val="18"/>
        </w:rPr>
      </w:pPr>
      <w:r w:rsidRPr="003F2EAB">
        <w:rPr>
          <w:rFonts w:ascii="Arial" w:hAnsi="Arial" w:cs="Arial"/>
          <w:i/>
          <w:sz w:val="18"/>
        </w:rPr>
        <w:t xml:space="preserve">Osa Y </w:t>
      </w:r>
      <w:r>
        <w:rPr>
          <w:rFonts w:ascii="Arial" w:hAnsi="Arial" w:cs="Arial"/>
          <w:i/>
          <w:sz w:val="18"/>
        </w:rPr>
        <w:t>−</w:t>
      </w:r>
      <w:r w:rsidRPr="003F2EAB">
        <w:rPr>
          <w:rFonts w:ascii="Arial" w:hAnsi="Arial" w:cs="Arial"/>
          <w:i/>
          <w:sz w:val="18"/>
        </w:rPr>
        <w:t xml:space="preserve"> GERD na obyvatele v PPS (RUS data z roku 2014; USA, CHE, JPN, KOR data z roku 2015) </w:t>
      </w:r>
    </w:p>
    <w:p w:rsidR="0086009A" w:rsidRPr="003F2EAB" w:rsidRDefault="0086009A" w:rsidP="0086009A">
      <w:pPr>
        <w:spacing w:after="0" w:line="360" w:lineRule="auto"/>
        <w:jc w:val="both"/>
        <w:rPr>
          <w:rFonts w:ascii="Arial" w:hAnsi="Arial" w:cs="Arial"/>
          <w:i/>
          <w:sz w:val="18"/>
        </w:rPr>
      </w:pPr>
      <w:r w:rsidRPr="003F2EAB">
        <w:rPr>
          <w:rFonts w:ascii="Arial" w:hAnsi="Arial" w:cs="Arial"/>
          <w:i/>
          <w:sz w:val="18"/>
        </w:rPr>
        <w:t xml:space="preserve">Osa X </w:t>
      </w:r>
      <w:r>
        <w:rPr>
          <w:rFonts w:ascii="Arial" w:hAnsi="Arial" w:cs="Arial"/>
          <w:i/>
          <w:sz w:val="18"/>
        </w:rPr>
        <w:t>−</w:t>
      </w:r>
      <w:r w:rsidRPr="003F2EAB">
        <w:rPr>
          <w:rFonts w:ascii="Arial" w:hAnsi="Arial" w:cs="Arial"/>
          <w:i/>
          <w:sz w:val="18"/>
        </w:rPr>
        <w:t xml:space="preserve"> GERD na HDP v % (KOR, JPN, CHE, USA a RUS za rok 2015)</w:t>
      </w:r>
    </w:p>
    <w:p w:rsidR="00CD1C40" w:rsidRPr="0086009A" w:rsidRDefault="00CD1C40" w:rsidP="0086009A">
      <w:pPr>
        <w:spacing w:after="0" w:line="360" w:lineRule="auto"/>
        <w:ind w:firstLine="403"/>
        <w:jc w:val="both"/>
        <w:rPr>
          <w:rFonts w:ascii="Arial" w:hAnsi="Arial" w:cs="Arial"/>
        </w:rPr>
      </w:pPr>
    </w:p>
    <w:p w:rsidR="00D33F0D" w:rsidRDefault="00D33F0D" w:rsidP="00CD1C40">
      <w:pPr>
        <w:pStyle w:val="NadpisurovemII"/>
        <w:numPr>
          <w:ilvl w:val="1"/>
          <w:numId w:val="33"/>
        </w:numPr>
        <w:ind w:hanging="792"/>
        <w:jc w:val="both"/>
        <w:rPr>
          <w:rFonts w:eastAsia="Times New Roman"/>
        </w:rPr>
      </w:pPr>
      <w:bookmarkStart w:id="51" w:name="_Toc427676906"/>
      <w:bookmarkStart w:id="52" w:name="_Toc529974126"/>
      <w:r w:rsidRPr="009C12F5">
        <w:rPr>
          <w:rFonts w:eastAsia="Times New Roman"/>
        </w:rPr>
        <w:t>Inovační výkon na základě kompozitních indikátorů</w:t>
      </w:r>
      <w:bookmarkEnd w:id="51"/>
      <w:bookmarkEnd w:id="52"/>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Nejčastěji používanými složenými indikátory inovační výkonnosti jsou především:</w:t>
      </w:r>
    </w:p>
    <w:p w:rsidR="0086009A" w:rsidRPr="003F2EAB" w:rsidRDefault="0086009A" w:rsidP="0086009A">
      <w:pPr>
        <w:pStyle w:val="Odstavecseseznamem"/>
        <w:numPr>
          <w:ilvl w:val="0"/>
          <w:numId w:val="41"/>
        </w:numPr>
        <w:spacing w:after="0" w:line="360" w:lineRule="auto"/>
        <w:jc w:val="both"/>
        <w:rPr>
          <w:rFonts w:ascii="Arial" w:hAnsi="Arial" w:cs="Arial"/>
        </w:rPr>
      </w:pPr>
      <w:proofErr w:type="spellStart"/>
      <w:r w:rsidRPr="003F2EAB">
        <w:rPr>
          <w:rFonts w:ascii="Arial" w:hAnsi="Arial" w:cs="Arial"/>
        </w:rPr>
        <w:t>Summary</w:t>
      </w:r>
      <w:proofErr w:type="spellEnd"/>
      <w:r w:rsidRPr="003F2EAB">
        <w:rPr>
          <w:rFonts w:ascii="Arial" w:hAnsi="Arial" w:cs="Arial"/>
        </w:rPr>
        <w:t xml:space="preserve"> </w:t>
      </w:r>
      <w:proofErr w:type="spellStart"/>
      <w:r w:rsidRPr="003F2EAB">
        <w:rPr>
          <w:rFonts w:ascii="Arial" w:hAnsi="Arial" w:cs="Arial"/>
        </w:rPr>
        <w:t>Innovation</w:t>
      </w:r>
      <w:proofErr w:type="spellEnd"/>
      <w:r w:rsidRPr="003F2EAB">
        <w:rPr>
          <w:rFonts w:ascii="Arial" w:hAnsi="Arial" w:cs="Arial"/>
        </w:rPr>
        <w:t xml:space="preserve"> Index (SII)</w:t>
      </w:r>
    </w:p>
    <w:p w:rsidR="0086009A" w:rsidRPr="003F2EAB" w:rsidRDefault="0086009A" w:rsidP="0086009A">
      <w:pPr>
        <w:pStyle w:val="Odstavecseseznamem"/>
        <w:numPr>
          <w:ilvl w:val="0"/>
          <w:numId w:val="41"/>
        </w:numPr>
        <w:spacing w:after="0" w:line="360" w:lineRule="auto"/>
        <w:jc w:val="both"/>
        <w:rPr>
          <w:rFonts w:ascii="Arial" w:hAnsi="Arial" w:cs="Arial"/>
        </w:rPr>
      </w:pPr>
      <w:proofErr w:type="spellStart"/>
      <w:r w:rsidRPr="003F2EAB">
        <w:rPr>
          <w:rFonts w:ascii="Arial" w:hAnsi="Arial" w:cs="Arial"/>
        </w:rPr>
        <w:t>Global</w:t>
      </w:r>
      <w:proofErr w:type="spellEnd"/>
      <w:r w:rsidRPr="003F2EAB">
        <w:rPr>
          <w:rFonts w:ascii="Arial" w:hAnsi="Arial" w:cs="Arial"/>
        </w:rPr>
        <w:t xml:space="preserve"> </w:t>
      </w:r>
      <w:proofErr w:type="spellStart"/>
      <w:r w:rsidRPr="003F2EAB">
        <w:rPr>
          <w:rFonts w:ascii="Arial" w:hAnsi="Arial" w:cs="Arial"/>
        </w:rPr>
        <w:t>Innovation</w:t>
      </w:r>
      <w:proofErr w:type="spellEnd"/>
      <w:r w:rsidRPr="003F2EAB">
        <w:rPr>
          <w:rFonts w:ascii="Arial" w:hAnsi="Arial" w:cs="Arial"/>
        </w:rPr>
        <w:t xml:space="preserve"> Index (GII)</w:t>
      </w:r>
    </w:p>
    <w:p w:rsidR="0086009A" w:rsidRPr="003F2EAB" w:rsidRDefault="0086009A" w:rsidP="0086009A">
      <w:pPr>
        <w:pStyle w:val="Odstavecseseznamem"/>
        <w:numPr>
          <w:ilvl w:val="0"/>
          <w:numId w:val="41"/>
        </w:numPr>
        <w:spacing w:after="0" w:line="360" w:lineRule="auto"/>
        <w:jc w:val="both"/>
        <w:rPr>
          <w:rFonts w:ascii="Arial" w:hAnsi="Arial" w:cs="Arial"/>
        </w:rPr>
      </w:pPr>
      <w:proofErr w:type="spellStart"/>
      <w:r w:rsidRPr="003F2EAB">
        <w:rPr>
          <w:rFonts w:ascii="Arial" w:hAnsi="Arial" w:cs="Arial"/>
        </w:rPr>
        <w:t>Innovation</w:t>
      </w:r>
      <w:proofErr w:type="spellEnd"/>
      <w:r w:rsidRPr="003F2EAB">
        <w:rPr>
          <w:rFonts w:ascii="Arial" w:hAnsi="Arial" w:cs="Arial"/>
        </w:rPr>
        <w:t xml:space="preserve"> Output </w:t>
      </w:r>
      <w:proofErr w:type="spellStart"/>
      <w:r w:rsidRPr="003F2EAB">
        <w:rPr>
          <w:rFonts w:ascii="Arial" w:hAnsi="Arial" w:cs="Arial"/>
        </w:rPr>
        <w:t>Indicator</w:t>
      </w:r>
      <w:proofErr w:type="spellEnd"/>
      <w:r w:rsidRPr="003F2EAB">
        <w:rPr>
          <w:rFonts w:ascii="Arial" w:hAnsi="Arial" w:cs="Arial"/>
        </w:rPr>
        <w:t xml:space="preserve"> (IOI)</w:t>
      </w:r>
    </w:p>
    <w:p w:rsidR="0086009A" w:rsidRPr="003F2EAB" w:rsidRDefault="0086009A" w:rsidP="0086009A">
      <w:pPr>
        <w:spacing w:after="0" w:line="360" w:lineRule="auto"/>
        <w:jc w:val="both"/>
        <w:rPr>
          <w:rFonts w:ascii="Arial" w:hAnsi="Arial" w:cs="Arial"/>
        </w:rPr>
      </w:pPr>
    </w:p>
    <w:p w:rsidR="0086009A" w:rsidRPr="003F2EAB" w:rsidRDefault="0086009A" w:rsidP="0086009A">
      <w:pPr>
        <w:spacing w:after="0" w:line="360" w:lineRule="auto"/>
        <w:jc w:val="both"/>
        <w:rPr>
          <w:rFonts w:ascii="Arial" w:hAnsi="Arial" w:cs="Arial"/>
        </w:rPr>
      </w:pPr>
      <w:r w:rsidRPr="003F2EAB">
        <w:rPr>
          <w:rFonts w:ascii="Arial" w:hAnsi="Arial" w:cs="Arial"/>
        </w:rPr>
        <w:t>SUMMARY INNOVATION INDEX (SII)</w:t>
      </w:r>
    </w:p>
    <w:p w:rsidR="0086009A" w:rsidRPr="003F2EAB" w:rsidRDefault="0086009A" w:rsidP="0086009A">
      <w:pPr>
        <w:spacing w:after="0" w:line="360" w:lineRule="auto"/>
        <w:ind w:firstLine="403"/>
        <w:jc w:val="both"/>
        <w:rPr>
          <w:rFonts w:ascii="Arial" w:hAnsi="Arial" w:cs="Arial"/>
        </w:rPr>
      </w:pPr>
      <w:proofErr w:type="spellStart"/>
      <w:r w:rsidRPr="00E17276">
        <w:rPr>
          <w:rFonts w:ascii="Arial" w:hAnsi="Arial" w:cs="Arial"/>
          <w:i/>
        </w:rPr>
        <w:t>European</w:t>
      </w:r>
      <w:proofErr w:type="spellEnd"/>
      <w:r w:rsidRPr="00E17276">
        <w:rPr>
          <w:rFonts w:ascii="Arial" w:hAnsi="Arial" w:cs="Arial"/>
          <w:i/>
        </w:rPr>
        <w:t xml:space="preserve"> </w:t>
      </w:r>
      <w:proofErr w:type="spellStart"/>
      <w:r w:rsidRPr="00E17276">
        <w:rPr>
          <w:rFonts w:ascii="Arial" w:hAnsi="Arial" w:cs="Arial"/>
          <w:i/>
        </w:rPr>
        <w:t>Innovation</w:t>
      </w:r>
      <w:proofErr w:type="spellEnd"/>
      <w:r w:rsidRPr="00E17276">
        <w:rPr>
          <w:rFonts w:ascii="Arial" w:hAnsi="Arial" w:cs="Arial"/>
          <w:i/>
        </w:rPr>
        <w:t xml:space="preserve"> </w:t>
      </w:r>
      <w:proofErr w:type="spellStart"/>
      <w:r w:rsidRPr="00E17276">
        <w:rPr>
          <w:rFonts w:ascii="Arial" w:hAnsi="Arial" w:cs="Arial"/>
          <w:i/>
        </w:rPr>
        <w:t>Scoreboard</w:t>
      </w:r>
      <w:proofErr w:type="spellEnd"/>
      <w:r w:rsidRPr="003F2EAB">
        <w:rPr>
          <w:rFonts w:ascii="Arial" w:hAnsi="Arial" w:cs="Arial"/>
        </w:rPr>
        <w:t xml:space="preserve"> (EIS) je každoročně vydávaný report, který srovnává výsledky výzkumu a inovací členských zemí EU a vybraných třetích zemí, dále jejich silné a slabé stránky oblasti výzkumu a inovací. </w:t>
      </w:r>
      <w:proofErr w:type="spellStart"/>
      <w:r w:rsidRPr="003F2EAB">
        <w:rPr>
          <w:rFonts w:ascii="Arial" w:hAnsi="Arial" w:cs="Arial"/>
        </w:rPr>
        <w:t>European</w:t>
      </w:r>
      <w:proofErr w:type="spellEnd"/>
      <w:r w:rsidRPr="003F2EAB">
        <w:rPr>
          <w:rFonts w:ascii="Arial" w:hAnsi="Arial" w:cs="Arial"/>
        </w:rPr>
        <w:t xml:space="preserve"> </w:t>
      </w:r>
      <w:proofErr w:type="spellStart"/>
      <w:r w:rsidRPr="003F2EAB">
        <w:rPr>
          <w:rFonts w:ascii="Arial" w:hAnsi="Arial" w:cs="Arial"/>
        </w:rPr>
        <w:t>Innovation</w:t>
      </w:r>
      <w:proofErr w:type="spellEnd"/>
      <w:r w:rsidRPr="003F2EAB">
        <w:rPr>
          <w:rFonts w:ascii="Arial" w:hAnsi="Arial" w:cs="Arial"/>
        </w:rPr>
        <w:t xml:space="preserve"> </w:t>
      </w:r>
      <w:proofErr w:type="spellStart"/>
      <w:r w:rsidRPr="003F2EAB">
        <w:rPr>
          <w:rFonts w:ascii="Arial" w:hAnsi="Arial" w:cs="Arial"/>
        </w:rPr>
        <w:t>Scoreboard</w:t>
      </w:r>
      <w:proofErr w:type="spellEnd"/>
      <w:r w:rsidRPr="003F2EAB">
        <w:rPr>
          <w:rFonts w:ascii="Arial" w:hAnsi="Arial" w:cs="Arial"/>
        </w:rPr>
        <w:t xml:space="preserve"> 2018 je sestaven na základě dat z roku 2017 a je již sedmnáctým vydáním respektujícím metodologii předešlých let. V rámci EIS je inovační výkon měřen pomocí kompozitního indikátoru </w:t>
      </w:r>
      <w:proofErr w:type="spellStart"/>
      <w:r w:rsidRPr="003F2EAB">
        <w:rPr>
          <w:rFonts w:ascii="Arial" w:hAnsi="Arial" w:cs="Arial"/>
        </w:rPr>
        <w:t>Summary</w:t>
      </w:r>
      <w:proofErr w:type="spellEnd"/>
      <w:r w:rsidRPr="003F2EAB">
        <w:rPr>
          <w:rFonts w:ascii="Arial" w:hAnsi="Arial" w:cs="Arial"/>
        </w:rPr>
        <w:t xml:space="preserve"> </w:t>
      </w:r>
      <w:proofErr w:type="spellStart"/>
      <w:r w:rsidRPr="003F2EAB">
        <w:rPr>
          <w:rFonts w:ascii="Arial" w:hAnsi="Arial" w:cs="Arial"/>
        </w:rPr>
        <w:t>Innovation</w:t>
      </w:r>
      <w:proofErr w:type="spellEnd"/>
      <w:r w:rsidRPr="003F2EAB">
        <w:rPr>
          <w:rFonts w:ascii="Arial" w:hAnsi="Arial" w:cs="Arial"/>
        </w:rPr>
        <w:t xml:space="preserve"> Index (Souhrnný inovační index; SII). SII je složen ze čtyř oblastí indikátorů – Framework </w:t>
      </w:r>
      <w:proofErr w:type="spellStart"/>
      <w:r w:rsidRPr="003F2EAB">
        <w:rPr>
          <w:rFonts w:ascii="Arial" w:hAnsi="Arial" w:cs="Arial"/>
        </w:rPr>
        <w:t>Conditions</w:t>
      </w:r>
      <w:proofErr w:type="spellEnd"/>
      <w:r w:rsidRPr="003F2EAB">
        <w:rPr>
          <w:rFonts w:ascii="Arial" w:hAnsi="Arial" w:cs="Arial"/>
        </w:rPr>
        <w:t xml:space="preserve">, </w:t>
      </w:r>
      <w:proofErr w:type="spellStart"/>
      <w:r w:rsidRPr="003F2EAB">
        <w:rPr>
          <w:rFonts w:ascii="Arial" w:hAnsi="Arial" w:cs="Arial"/>
        </w:rPr>
        <w:t>Investments</w:t>
      </w:r>
      <w:proofErr w:type="spellEnd"/>
      <w:r w:rsidRPr="003F2EAB">
        <w:rPr>
          <w:rFonts w:ascii="Arial" w:hAnsi="Arial" w:cs="Arial"/>
        </w:rPr>
        <w:t xml:space="preserve">, </w:t>
      </w:r>
      <w:proofErr w:type="spellStart"/>
      <w:r w:rsidRPr="003F2EAB">
        <w:rPr>
          <w:rFonts w:ascii="Arial" w:hAnsi="Arial" w:cs="Arial"/>
        </w:rPr>
        <w:t>Innovation</w:t>
      </w:r>
      <w:proofErr w:type="spellEnd"/>
      <w:r w:rsidRPr="003F2EAB">
        <w:rPr>
          <w:rFonts w:ascii="Arial" w:hAnsi="Arial" w:cs="Arial"/>
        </w:rPr>
        <w:t xml:space="preserve"> </w:t>
      </w:r>
      <w:proofErr w:type="spellStart"/>
      <w:r w:rsidRPr="003F2EAB">
        <w:rPr>
          <w:rFonts w:ascii="Arial" w:hAnsi="Arial" w:cs="Arial"/>
        </w:rPr>
        <w:t>Activities</w:t>
      </w:r>
      <w:proofErr w:type="spellEnd"/>
      <w:r w:rsidRPr="003F2EAB">
        <w:rPr>
          <w:rFonts w:ascii="Arial" w:hAnsi="Arial" w:cs="Arial"/>
        </w:rPr>
        <w:t xml:space="preserve">, </w:t>
      </w:r>
      <w:proofErr w:type="spellStart"/>
      <w:r w:rsidRPr="003F2EAB">
        <w:rPr>
          <w:rFonts w:ascii="Arial" w:hAnsi="Arial" w:cs="Arial"/>
        </w:rPr>
        <w:t>Impacts</w:t>
      </w:r>
      <w:proofErr w:type="spellEnd"/>
      <w:r w:rsidRPr="003F2EAB">
        <w:rPr>
          <w:rFonts w:ascii="Arial" w:hAnsi="Arial" w:cs="Arial"/>
        </w:rPr>
        <w:t xml:space="preserve">. Tyto oblasti jsou rozděleny celkem na deset dílčích </w:t>
      </w:r>
      <w:r w:rsidRPr="003F2EAB">
        <w:rPr>
          <w:rFonts w:ascii="Arial" w:hAnsi="Arial" w:cs="Arial"/>
        </w:rPr>
        <w:lastRenderedPageBreak/>
        <w:t xml:space="preserve">inovačních skupin a skládají se z 27 ukazatelů, který je přidělena různá váha. Dle dosažené hodnoty SII jsou hodnocené země rozděleny do čtyř skupin – </w:t>
      </w:r>
      <w:proofErr w:type="spellStart"/>
      <w:r w:rsidRPr="003F2EAB">
        <w:rPr>
          <w:rFonts w:ascii="Arial" w:hAnsi="Arial" w:cs="Arial"/>
        </w:rPr>
        <w:t>Innovation</w:t>
      </w:r>
      <w:proofErr w:type="spellEnd"/>
      <w:r w:rsidRPr="003F2EAB">
        <w:rPr>
          <w:rFonts w:ascii="Arial" w:hAnsi="Arial" w:cs="Arial"/>
        </w:rPr>
        <w:t xml:space="preserve"> </w:t>
      </w:r>
      <w:proofErr w:type="spellStart"/>
      <w:r w:rsidRPr="003F2EAB">
        <w:rPr>
          <w:rFonts w:ascii="Arial" w:hAnsi="Arial" w:cs="Arial"/>
        </w:rPr>
        <w:t>Leaders</w:t>
      </w:r>
      <w:proofErr w:type="spellEnd"/>
      <w:r w:rsidRPr="003F2EAB">
        <w:rPr>
          <w:rFonts w:ascii="Arial" w:hAnsi="Arial" w:cs="Arial"/>
        </w:rPr>
        <w:t xml:space="preserve">, </w:t>
      </w:r>
      <w:proofErr w:type="spellStart"/>
      <w:r w:rsidRPr="003F2EAB">
        <w:rPr>
          <w:rFonts w:ascii="Arial" w:hAnsi="Arial" w:cs="Arial"/>
        </w:rPr>
        <w:t>Strong</w:t>
      </w:r>
      <w:proofErr w:type="spellEnd"/>
      <w:r w:rsidRPr="003F2EAB">
        <w:rPr>
          <w:rFonts w:ascii="Arial" w:hAnsi="Arial" w:cs="Arial"/>
        </w:rPr>
        <w:t xml:space="preserve"> </w:t>
      </w:r>
      <w:proofErr w:type="spellStart"/>
      <w:r w:rsidRPr="003F2EAB">
        <w:rPr>
          <w:rFonts w:ascii="Arial" w:hAnsi="Arial" w:cs="Arial"/>
        </w:rPr>
        <w:t>Innovators</w:t>
      </w:r>
      <w:proofErr w:type="spellEnd"/>
      <w:r w:rsidRPr="003F2EAB">
        <w:rPr>
          <w:rFonts w:ascii="Arial" w:hAnsi="Arial" w:cs="Arial"/>
        </w:rPr>
        <w:t xml:space="preserve">, </w:t>
      </w:r>
      <w:proofErr w:type="spellStart"/>
      <w:r w:rsidRPr="003F2EAB">
        <w:rPr>
          <w:rFonts w:ascii="Arial" w:hAnsi="Arial" w:cs="Arial"/>
        </w:rPr>
        <w:t>Moderate</w:t>
      </w:r>
      <w:proofErr w:type="spellEnd"/>
      <w:r w:rsidRPr="003F2EAB">
        <w:rPr>
          <w:rFonts w:ascii="Arial" w:hAnsi="Arial" w:cs="Arial"/>
        </w:rPr>
        <w:t xml:space="preserve"> </w:t>
      </w:r>
      <w:proofErr w:type="spellStart"/>
      <w:r w:rsidRPr="003F2EAB">
        <w:rPr>
          <w:rFonts w:ascii="Arial" w:hAnsi="Arial" w:cs="Arial"/>
        </w:rPr>
        <w:t>Innovators</w:t>
      </w:r>
      <w:proofErr w:type="spellEnd"/>
      <w:r w:rsidRPr="003F2EAB">
        <w:rPr>
          <w:rFonts w:ascii="Arial" w:hAnsi="Arial" w:cs="Arial"/>
        </w:rPr>
        <w:t xml:space="preserve">, </w:t>
      </w:r>
      <w:proofErr w:type="spellStart"/>
      <w:r w:rsidRPr="003F2EAB">
        <w:rPr>
          <w:rFonts w:ascii="Arial" w:hAnsi="Arial" w:cs="Arial"/>
        </w:rPr>
        <w:t>Modest</w:t>
      </w:r>
      <w:proofErr w:type="spellEnd"/>
      <w:r w:rsidRPr="003F2EAB">
        <w:rPr>
          <w:rFonts w:ascii="Arial" w:hAnsi="Arial" w:cs="Arial"/>
        </w:rPr>
        <w:t xml:space="preserve"> </w:t>
      </w:r>
      <w:proofErr w:type="spellStart"/>
      <w:r w:rsidRPr="003F2EAB">
        <w:rPr>
          <w:rFonts w:ascii="Arial" w:hAnsi="Arial" w:cs="Arial"/>
        </w:rPr>
        <w:t>Innovators</w:t>
      </w:r>
      <w:proofErr w:type="spellEnd"/>
      <w:r w:rsidRPr="003F2EAB">
        <w:rPr>
          <w:rFonts w:ascii="Arial" w:hAnsi="Arial" w:cs="Arial"/>
        </w:rPr>
        <w:t xml:space="preserve">. </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 xml:space="preserve">Obrázek 8.4 zachycuje hodnotu SII členských států EU za rok 2017 a relativní změnu mezi roky 2010 a 2017. Z obrázku je také patrné rozdělení zemí do čtyř výše uvedených skupin. Do skupiny </w:t>
      </w:r>
      <w:proofErr w:type="spellStart"/>
      <w:r w:rsidRPr="003F2EAB">
        <w:rPr>
          <w:rFonts w:ascii="Arial" w:hAnsi="Arial" w:cs="Arial"/>
        </w:rPr>
        <w:t>Modest</w:t>
      </w:r>
      <w:proofErr w:type="spellEnd"/>
      <w:r w:rsidRPr="003F2EAB">
        <w:rPr>
          <w:rFonts w:ascii="Arial" w:hAnsi="Arial" w:cs="Arial"/>
        </w:rPr>
        <w:t xml:space="preserve"> </w:t>
      </w:r>
      <w:proofErr w:type="spellStart"/>
      <w:r w:rsidRPr="003F2EAB">
        <w:rPr>
          <w:rFonts w:ascii="Arial" w:hAnsi="Arial" w:cs="Arial"/>
        </w:rPr>
        <w:t>Innovators</w:t>
      </w:r>
      <w:proofErr w:type="spellEnd"/>
      <w:r w:rsidRPr="003F2EAB">
        <w:rPr>
          <w:rFonts w:ascii="Arial" w:hAnsi="Arial" w:cs="Arial"/>
        </w:rPr>
        <w:t xml:space="preserve"> patří Rumunsko, které dosahuje nejnižší úrovně jak hodnoty SII za rok 2017, tak relativní změny mezi lety 2010 a 2017 a druhým státem v této skupině je Bulharsko. ČR se řadí do nejpočetnější skupiny – </w:t>
      </w:r>
      <w:proofErr w:type="spellStart"/>
      <w:r w:rsidRPr="003F2EAB">
        <w:rPr>
          <w:rFonts w:ascii="Arial" w:hAnsi="Arial" w:cs="Arial"/>
        </w:rPr>
        <w:t>Moderate</w:t>
      </w:r>
      <w:proofErr w:type="spellEnd"/>
      <w:r w:rsidRPr="003F2EAB">
        <w:rPr>
          <w:rFonts w:ascii="Arial" w:hAnsi="Arial" w:cs="Arial"/>
        </w:rPr>
        <w:t xml:space="preserve"> </w:t>
      </w:r>
      <w:proofErr w:type="spellStart"/>
      <w:r w:rsidRPr="003F2EAB">
        <w:rPr>
          <w:rFonts w:ascii="Arial" w:hAnsi="Arial" w:cs="Arial"/>
        </w:rPr>
        <w:t>Innovators</w:t>
      </w:r>
      <w:proofErr w:type="spellEnd"/>
      <w:r w:rsidRPr="003F2EAB">
        <w:rPr>
          <w:rFonts w:ascii="Arial" w:hAnsi="Arial" w:cs="Arial"/>
        </w:rPr>
        <w:t xml:space="preserve">. V rámci této skupiny dosahuje ČR nejvyšší úrovně SII (stejně tomu bylo i v minulých letech). Do kategorie </w:t>
      </w:r>
      <w:proofErr w:type="spellStart"/>
      <w:r w:rsidRPr="003F2EAB">
        <w:rPr>
          <w:rFonts w:ascii="Arial" w:hAnsi="Arial" w:cs="Arial"/>
        </w:rPr>
        <w:t>Strong</w:t>
      </w:r>
      <w:proofErr w:type="spellEnd"/>
      <w:r w:rsidRPr="003F2EAB">
        <w:rPr>
          <w:rFonts w:ascii="Arial" w:hAnsi="Arial" w:cs="Arial"/>
        </w:rPr>
        <w:t xml:space="preserve"> </w:t>
      </w:r>
      <w:proofErr w:type="spellStart"/>
      <w:r w:rsidRPr="003F2EAB">
        <w:rPr>
          <w:rFonts w:ascii="Arial" w:hAnsi="Arial" w:cs="Arial"/>
        </w:rPr>
        <w:t>Innovators</w:t>
      </w:r>
      <w:proofErr w:type="spellEnd"/>
      <w:r w:rsidRPr="003F2EAB">
        <w:rPr>
          <w:rFonts w:ascii="Arial" w:hAnsi="Arial" w:cs="Arial"/>
        </w:rPr>
        <w:t xml:space="preserve"> se řadí 6</w:t>
      </w:r>
      <w:r w:rsidR="00B308C1">
        <w:rPr>
          <w:rFonts w:ascii="Arial" w:hAnsi="Arial" w:cs="Arial"/>
        </w:rPr>
        <w:t> </w:t>
      </w:r>
      <w:r w:rsidRPr="003F2EAB">
        <w:rPr>
          <w:rFonts w:ascii="Arial" w:hAnsi="Arial" w:cs="Arial"/>
        </w:rPr>
        <w:t>členských zemí EU – Slovinsko, Francie, Rakousko, Belgie, Irsko a Německo. Mezi lídry v oblasti inovacích (</w:t>
      </w:r>
      <w:proofErr w:type="spellStart"/>
      <w:r w:rsidRPr="003F2EAB">
        <w:rPr>
          <w:rFonts w:ascii="Arial" w:hAnsi="Arial" w:cs="Arial"/>
        </w:rPr>
        <w:t>Innovation</w:t>
      </w:r>
      <w:proofErr w:type="spellEnd"/>
      <w:r w:rsidRPr="003F2EAB">
        <w:rPr>
          <w:rFonts w:ascii="Arial" w:hAnsi="Arial" w:cs="Arial"/>
        </w:rPr>
        <w:t xml:space="preserve"> </w:t>
      </w:r>
      <w:proofErr w:type="spellStart"/>
      <w:r w:rsidRPr="003F2EAB">
        <w:rPr>
          <w:rFonts w:ascii="Arial" w:hAnsi="Arial" w:cs="Arial"/>
        </w:rPr>
        <w:t>Leaders</w:t>
      </w:r>
      <w:proofErr w:type="spellEnd"/>
      <w:r w:rsidRPr="003F2EAB">
        <w:rPr>
          <w:rFonts w:ascii="Arial" w:hAnsi="Arial" w:cs="Arial"/>
        </w:rPr>
        <w:t>) se řadí Velká Británie, Lucembursko, Finsko, Nizozemsko, Dánsko a Švédsko, které dosahuje nejvyšší hodnoty SII. Naopak nejvyšší relativní změny mezi lety 2010 a</w:t>
      </w:r>
      <w:r w:rsidR="00B308C1">
        <w:rPr>
          <w:rFonts w:ascii="Arial" w:hAnsi="Arial" w:cs="Arial"/>
        </w:rPr>
        <w:t> </w:t>
      </w:r>
      <w:r w:rsidRPr="003F2EAB">
        <w:rPr>
          <w:rFonts w:ascii="Arial" w:hAnsi="Arial" w:cs="Arial"/>
        </w:rPr>
        <w:t xml:space="preserve">2017 v SII dosáhla Litva (z hodnoty 0,2 na 0,4, tj. + 145 %). </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Jak vyplývá ze závěrů EIS 2018, inovační výkonnost EU nadále roste a pokrok posledních let je stále rychlejší. I nadále lze očekávat tento trend. V rámci státu EU je ovšem pokrok rozložen značně nerovnoměrně. Z globálního pohledu se EU přibližuje k výkonu USA, Japonska a Kanady, naopak za Jižní Koreou zaostává. Ve srovnání s rokem 2010 vzrostla v roce 2017 inovační výkonnost u 18 zemí EU, u 10 zemí EU výkonnost klesla.</w:t>
      </w:r>
    </w:p>
    <w:p w:rsidR="0086009A" w:rsidRPr="003F2EAB" w:rsidRDefault="0086009A" w:rsidP="0086009A">
      <w:pPr>
        <w:pStyle w:val="Obrzek"/>
      </w:pPr>
      <w:r w:rsidRPr="003F2EAB">
        <w:lastRenderedPageBreak/>
        <w:t>Obrázek 8.4: SII členských států EU za rok 2017 a jeho změna mezi roky 2010 a 2017</w:t>
      </w:r>
    </w:p>
    <w:p w:rsidR="0086009A" w:rsidRPr="003F2EAB" w:rsidRDefault="0086009A" w:rsidP="0086009A">
      <w:pPr>
        <w:spacing w:line="360" w:lineRule="auto"/>
        <w:jc w:val="both"/>
        <w:rPr>
          <w:rFonts w:ascii="Arial" w:hAnsi="Arial" w:cs="Arial"/>
        </w:rPr>
      </w:pPr>
      <w:r w:rsidRPr="003F2EAB">
        <w:rPr>
          <w:rFonts w:ascii="Arial" w:hAnsi="Arial" w:cs="Arial"/>
          <w:noProof/>
          <w:lang w:eastAsia="cs-CZ"/>
        </w:rPr>
        <w:drawing>
          <wp:inline distT="0" distB="0" distL="0" distR="0" wp14:anchorId="6DE6A5AE" wp14:editId="446EF308">
            <wp:extent cx="5760720" cy="4688317"/>
            <wp:effectExtent l="0" t="0" r="0" b="0"/>
            <wp:docPr id="80" name="Graf 80"/>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86009A" w:rsidRPr="003F2EAB" w:rsidRDefault="0086009A" w:rsidP="0086009A">
      <w:pPr>
        <w:spacing w:line="360" w:lineRule="auto"/>
        <w:jc w:val="both"/>
        <w:rPr>
          <w:rFonts w:ascii="Arial" w:hAnsi="Arial" w:cs="Arial"/>
          <w:i/>
          <w:sz w:val="18"/>
        </w:rPr>
      </w:pPr>
      <w:r w:rsidRPr="003F2EAB">
        <w:rPr>
          <w:rFonts w:ascii="Arial" w:hAnsi="Arial" w:cs="Arial"/>
          <w:i/>
          <w:sz w:val="18"/>
        </w:rPr>
        <w:t>Zdroj: vlastní zpracování dle EIS 2018</w:t>
      </w:r>
    </w:p>
    <w:p w:rsidR="0086009A" w:rsidRPr="003F2EAB" w:rsidRDefault="0086009A" w:rsidP="0086009A">
      <w:pPr>
        <w:spacing w:line="360" w:lineRule="auto"/>
        <w:jc w:val="both"/>
        <w:rPr>
          <w:rFonts w:ascii="Arial" w:hAnsi="Arial" w:cs="Arial"/>
          <w:i/>
          <w:sz w:val="18"/>
        </w:rPr>
      </w:pPr>
      <w:r w:rsidRPr="003F2EAB">
        <w:rPr>
          <w:rFonts w:ascii="Arial" w:hAnsi="Arial" w:cs="Arial"/>
          <w:i/>
          <w:sz w:val="18"/>
        </w:rPr>
        <w:t>Barevné rozlišení zemí odpovídá členění dle SII</w:t>
      </w:r>
      <w:r>
        <w:rPr>
          <w:rFonts w:ascii="Arial" w:hAnsi="Arial" w:cs="Arial"/>
          <w:i/>
          <w:sz w:val="18"/>
        </w:rPr>
        <w:t>.</w:t>
      </w:r>
    </w:p>
    <w:p w:rsidR="0086009A" w:rsidRPr="003F2EAB" w:rsidRDefault="0086009A" w:rsidP="0086009A">
      <w:pPr>
        <w:spacing w:line="360" w:lineRule="auto"/>
        <w:jc w:val="both"/>
        <w:rPr>
          <w:rFonts w:ascii="Arial" w:hAnsi="Arial" w:cs="Arial"/>
        </w:rPr>
      </w:pPr>
    </w:p>
    <w:p w:rsidR="0086009A" w:rsidRPr="003F2EAB" w:rsidRDefault="0086009A" w:rsidP="0086009A">
      <w:pPr>
        <w:spacing w:line="360" w:lineRule="auto"/>
        <w:ind w:firstLine="403"/>
        <w:jc w:val="both"/>
        <w:rPr>
          <w:rFonts w:ascii="Arial" w:hAnsi="Arial" w:cs="Arial"/>
        </w:rPr>
      </w:pPr>
      <w:r w:rsidRPr="003F2EAB">
        <w:rPr>
          <w:rFonts w:ascii="Arial" w:hAnsi="Arial" w:cs="Arial"/>
        </w:rPr>
        <w:t>Na následujícím obrázku 8.5 je zaznamenán vývoj hodnoty SII od roku 2010 do roku 2017 u</w:t>
      </w:r>
      <w:r w:rsidR="00B308C1">
        <w:rPr>
          <w:rFonts w:ascii="Arial" w:hAnsi="Arial" w:cs="Arial"/>
        </w:rPr>
        <w:t> </w:t>
      </w:r>
      <w:r w:rsidRPr="003F2EAB">
        <w:rPr>
          <w:rFonts w:ascii="Arial" w:hAnsi="Arial" w:cs="Arial"/>
        </w:rPr>
        <w:t xml:space="preserve">ČR, Rakouska a EU. Zatímco v Rakousku byl zaznamenán výrazný nárůst hodnoty SII v roce 2016, tak v ČR byl nárůst zachycen v roce 2017. Trend ČR se přibližuje spíše vývoji EU než Rakousku. Pokles hodnoty SII 2017 u Rakouska je znatelný také v rámci srovnání s ostatními členskými zeměmi EU. V roce 2016 dosahovalo Rakousko nejvyšší hodnoty SII ve své kategorii </w:t>
      </w:r>
      <w:proofErr w:type="spellStart"/>
      <w:r w:rsidRPr="003F2EAB">
        <w:rPr>
          <w:rFonts w:ascii="Arial" w:hAnsi="Arial" w:cs="Arial"/>
        </w:rPr>
        <w:t>Strong</w:t>
      </w:r>
      <w:proofErr w:type="spellEnd"/>
      <w:r w:rsidRPr="003F2EAB">
        <w:rPr>
          <w:rFonts w:ascii="Arial" w:hAnsi="Arial" w:cs="Arial"/>
        </w:rPr>
        <w:t xml:space="preserve"> </w:t>
      </w:r>
      <w:proofErr w:type="spellStart"/>
      <w:r w:rsidRPr="003F2EAB">
        <w:rPr>
          <w:rFonts w:ascii="Arial" w:hAnsi="Arial" w:cs="Arial"/>
        </w:rPr>
        <w:t>Innovators</w:t>
      </w:r>
      <w:proofErr w:type="spellEnd"/>
      <w:r w:rsidRPr="003F2EAB">
        <w:rPr>
          <w:rFonts w:ascii="Arial" w:hAnsi="Arial" w:cs="Arial"/>
        </w:rPr>
        <w:t xml:space="preserve">, za rok 2017 dosahuje v této skupině průměrných hodnot. </w:t>
      </w:r>
    </w:p>
    <w:p w:rsidR="0086009A" w:rsidRDefault="0086009A" w:rsidP="0086009A">
      <w:pPr>
        <w:spacing w:line="360" w:lineRule="auto"/>
        <w:jc w:val="both"/>
        <w:rPr>
          <w:rFonts w:ascii="Arial" w:hAnsi="Arial" w:cs="Arial"/>
        </w:rPr>
      </w:pPr>
    </w:p>
    <w:p w:rsidR="0086009A" w:rsidRDefault="0086009A" w:rsidP="0086009A">
      <w:pPr>
        <w:spacing w:line="360" w:lineRule="auto"/>
        <w:jc w:val="both"/>
        <w:rPr>
          <w:rFonts w:ascii="Arial" w:hAnsi="Arial" w:cs="Arial"/>
        </w:rPr>
      </w:pPr>
    </w:p>
    <w:p w:rsidR="0086009A" w:rsidRPr="003F2EAB" w:rsidRDefault="0086009A" w:rsidP="0086009A">
      <w:pPr>
        <w:spacing w:line="360" w:lineRule="auto"/>
        <w:jc w:val="both"/>
        <w:rPr>
          <w:rFonts w:ascii="Arial" w:hAnsi="Arial" w:cs="Arial"/>
        </w:rPr>
      </w:pPr>
    </w:p>
    <w:p w:rsidR="0086009A" w:rsidRPr="003F2EAB" w:rsidRDefault="0086009A" w:rsidP="0086009A">
      <w:pPr>
        <w:pStyle w:val="Obrzek"/>
      </w:pPr>
      <w:r w:rsidRPr="003F2EAB">
        <w:lastRenderedPageBreak/>
        <w:t>Obrázek 8.5: Vývoj SII mezi roky 2010 a 2017 v ČR, Rakousku a EU</w:t>
      </w:r>
    </w:p>
    <w:p w:rsidR="0086009A" w:rsidRPr="003F2EAB" w:rsidRDefault="0086009A" w:rsidP="0086009A">
      <w:pPr>
        <w:spacing w:line="360" w:lineRule="auto"/>
        <w:jc w:val="center"/>
        <w:rPr>
          <w:rFonts w:ascii="Arial" w:hAnsi="Arial" w:cs="Arial"/>
        </w:rPr>
      </w:pPr>
    </w:p>
    <w:p w:rsidR="0086009A" w:rsidRPr="003F2EAB" w:rsidRDefault="0086009A" w:rsidP="0086009A">
      <w:pPr>
        <w:spacing w:line="360" w:lineRule="auto"/>
        <w:jc w:val="center"/>
        <w:rPr>
          <w:rFonts w:ascii="Arial" w:hAnsi="Arial" w:cs="Arial"/>
          <w:i/>
          <w:sz w:val="18"/>
        </w:rPr>
      </w:pPr>
      <w:r w:rsidRPr="003F2EAB">
        <w:rPr>
          <w:noProof/>
          <w:lang w:eastAsia="cs-CZ"/>
        </w:rPr>
        <w:drawing>
          <wp:inline distT="0" distB="0" distL="0" distR="0" wp14:anchorId="0535FE16" wp14:editId="03614852">
            <wp:extent cx="4572000" cy="2743200"/>
            <wp:effectExtent l="0" t="0" r="0" b="0"/>
            <wp:docPr id="81" name="Graf 81"/>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86009A" w:rsidRPr="003F2EAB" w:rsidRDefault="0086009A" w:rsidP="0086009A">
      <w:pPr>
        <w:spacing w:line="360" w:lineRule="auto"/>
        <w:jc w:val="both"/>
        <w:rPr>
          <w:rFonts w:ascii="Arial" w:hAnsi="Arial" w:cs="Arial"/>
          <w:i/>
          <w:sz w:val="18"/>
        </w:rPr>
      </w:pPr>
      <w:r w:rsidRPr="003F2EAB">
        <w:rPr>
          <w:rFonts w:ascii="Arial" w:hAnsi="Arial" w:cs="Arial"/>
          <w:i/>
          <w:sz w:val="18"/>
        </w:rPr>
        <w:t>Zdroj: vlastní zpracování dle EIS 2018</w:t>
      </w:r>
    </w:p>
    <w:p w:rsidR="0086009A" w:rsidRPr="003F2EAB" w:rsidRDefault="0086009A" w:rsidP="0086009A">
      <w:pPr>
        <w:spacing w:line="360" w:lineRule="auto"/>
        <w:jc w:val="both"/>
        <w:rPr>
          <w:rFonts w:ascii="Arial" w:hAnsi="Arial" w:cs="Arial"/>
        </w:rPr>
      </w:pPr>
    </w:p>
    <w:p w:rsidR="0086009A" w:rsidRPr="003F2EAB" w:rsidRDefault="0086009A" w:rsidP="0086009A">
      <w:pPr>
        <w:spacing w:line="360" w:lineRule="auto"/>
        <w:ind w:firstLine="403"/>
        <w:jc w:val="both"/>
        <w:rPr>
          <w:rFonts w:ascii="Arial" w:hAnsi="Arial" w:cs="Arial"/>
        </w:rPr>
      </w:pPr>
      <w:r w:rsidRPr="003F2EAB">
        <w:rPr>
          <w:rFonts w:ascii="Arial" w:hAnsi="Arial" w:cs="Arial"/>
        </w:rPr>
        <w:t xml:space="preserve">Na obrázku 8.6 jsou zachyceny hodnoty SII 2017 a jeho dílčích oblastí u ČR, Rakouska a EU. Z obrázku je patrné, že Rakousko dosahuje ve většině dílčích oblastí lepších hodnot než ČR. ČR vykazuje vyšší ohodnocení dílčích oblastí u posledních dvou oblastí, tj. </w:t>
      </w:r>
      <w:proofErr w:type="spellStart"/>
      <w:r w:rsidRPr="003F2EAB">
        <w:rPr>
          <w:rFonts w:ascii="Arial" w:hAnsi="Arial" w:cs="Arial"/>
        </w:rPr>
        <w:t>Employment</w:t>
      </w:r>
      <w:proofErr w:type="spellEnd"/>
      <w:r w:rsidRPr="003F2EAB">
        <w:rPr>
          <w:rFonts w:ascii="Arial" w:hAnsi="Arial" w:cs="Arial"/>
        </w:rPr>
        <w:t xml:space="preserve"> </w:t>
      </w:r>
      <w:proofErr w:type="spellStart"/>
      <w:r w:rsidRPr="003F2EAB">
        <w:rPr>
          <w:rFonts w:ascii="Arial" w:hAnsi="Arial" w:cs="Arial"/>
        </w:rPr>
        <w:t>Impacts</w:t>
      </w:r>
      <w:proofErr w:type="spellEnd"/>
      <w:r w:rsidRPr="003F2EAB">
        <w:rPr>
          <w:rFonts w:ascii="Arial" w:hAnsi="Arial" w:cs="Arial"/>
        </w:rPr>
        <w:t xml:space="preserve"> a</w:t>
      </w:r>
      <w:r w:rsidR="00B308C1">
        <w:rPr>
          <w:rFonts w:ascii="Arial" w:hAnsi="Arial" w:cs="Arial"/>
        </w:rPr>
        <w:t> </w:t>
      </w:r>
      <w:r w:rsidRPr="003F2EAB">
        <w:rPr>
          <w:rFonts w:ascii="Arial" w:hAnsi="Arial" w:cs="Arial"/>
        </w:rPr>
        <w:t xml:space="preserve">Sales </w:t>
      </w:r>
      <w:proofErr w:type="spellStart"/>
      <w:r w:rsidRPr="003F2EAB">
        <w:rPr>
          <w:rFonts w:ascii="Arial" w:hAnsi="Arial" w:cs="Arial"/>
        </w:rPr>
        <w:t>Impacts</w:t>
      </w:r>
      <w:proofErr w:type="spellEnd"/>
      <w:r w:rsidRPr="003F2EAB">
        <w:rPr>
          <w:rFonts w:ascii="Arial" w:hAnsi="Arial" w:cs="Arial"/>
        </w:rPr>
        <w:t xml:space="preserve">. Velký rozdíl mezi ČR a Rakouskem je vidět především u </w:t>
      </w:r>
      <w:proofErr w:type="spellStart"/>
      <w:r w:rsidRPr="003F2EAB">
        <w:rPr>
          <w:rFonts w:ascii="Arial" w:hAnsi="Arial" w:cs="Arial"/>
        </w:rPr>
        <w:t>Intellectual</w:t>
      </w:r>
      <w:proofErr w:type="spellEnd"/>
      <w:r w:rsidRPr="003F2EAB">
        <w:rPr>
          <w:rFonts w:ascii="Arial" w:hAnsi="Arial" w:cs="Arial"/>
        </w:rPr>
        <w:t xml:space="preserve"> </w:t>
      </w:r>
      <w:proofErr w:type="spellStart"/>
      <w:r w:rsidRPr="003F2EAB">
        <w:rPr>
          <w:rFonts w:ascii="Arial" w:hAnsi="Arial" w:cs="Arial"/>
        </w:rPr>
        <w:t>Assets</w:t>
      </w:r>
      <w:proofErr w:type="spellEnd"/>
      <w:r w:rsidRPr="003F2EAB">
        <w:rPr>
          <w:rFonts w:ascii="Arial" w:hAnsi="Arial" w:cs="Arial"/>
        </w:rPr>
        <w:t xml:space="preserve">, </w:t>
      </w:r>
      <w:proofErr w:type="spellStart"/>
      <w:r w:rsidRPr="003F2EAB">
        <w:rPr>
          <w:rFonts w:ascii="Arial" w:hAnsi="Arial" w:cs="Arial"/>
        </w:rPr>
        <w:t>Innovators</w:t>
      </w:r>
      <w:proofErr w:type="spellEnd"/>
      <w:r w:rsidRPr="003F2EAB">
        <w:rPr>
          <w:rFonts w:ascii="Arial" w:hAnsi="Arial" w:cs="Arial"/>
        </w:rPr>
        <w:t xml:space="preserve">, </w:t>
      </w:r>
      <w:proofErr w:type="spellStart"/>
      <w:r w:rsidRPr="003F2EAB">
        <w:rPr>
          <w:rFonts w:ascii="Arial" w:hAnsi="Arial" w:cs="Arial"/>
        </w:rPr>
        <w:t>Linkages</w:t>
      </w:r>
      <w:proofErr w:type="spellEnd"/>
      <w:r w:rsidRPr="003F2EAB">
        <w:rPr>
          <w:rFonts w:ascii="Arial" w:hAnsi="Arial" w:cs="Arial"/>
        </w:rPr>
        <w:t>.</w:t>
      </w:r>
    </w:p>
    <w:p w:rsidR="0086009A" w:rsidRPr="003F2EAB" w:rsidRDefault="0086009A" w:rsidP="0086009A">
      <w:pPr>
        <w:spacing w:line="360" w:lineRule="auto"/>
        <w:jc w:val="both"/>
        <w:rPr>
          <w:rFonts w:ascii="Arial" w:hAnsi="Arial" w:cs="Arial"/>
        </w:rPr>
      </w:pPr>
    </w:p>
    <w:p w:rsidR="0086009A" w:rsidRPr="003F2EAB" w:rsidRDefault="0086009A" w:rsidP="0086009A">
      <w:pPr>
        <w:pStyle w:val="Obrzek"/>
      </w:pPr>
      <w:r w:rsidRPr="003F2EAB">
        <w:t>Obrázek 8.6: SII roku 2017 a jeho dílčí oblasti v porovnání ČR, Rakousko a EU</w:t>
      </w:r>
    </w:p>
    <w:p w:rsidR="0086009A" w:rsidRPr="003F2EAB" w:rsidRDefault="0086009A" w:rsidP="0086009A">
      <w:pPr>
        <w:spacing w:line="360" w:lineRule="auto"/>
        <w:jc w:val="center"/>
        <w:rPr>
          <w:rFonts w:ascii="Arial" w:hAnsi="Arial" w:cs="Arial"/>
          <w:i/>
          <w:sz w:val="18"/>
        </w:rPr>
      </w:pPr>
      <w:r w:rsidRPr="003F2EAB">
        <w:rPr>
          <w:noProof/>
          <w:lang w:eastAsia="cs-CZ"/>
        </w:rPr>
        <w:drawing>
          <wp:inline distT="0" distB="0" distL="0" distR="0" wp14:anchorId="3DAE9354" wp14:editId="6D56D135">
            <wp:extent cx="5764696" cy="2544418"/>
            <wp:effectExtent l="0" t="0" r="7620" b="8890"/>
            <wp:docPr id="82" name="Graf 82"/>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86009A" w:rsidRPr="003F2EAB" w:rsidRDefault="0086009A" w:rsidP="0086009A">
      <w:pPr>
        <w:spacing w:line="360" w:lineRule="auto"/>
        <w:jc w:val="both"/>
        <w:rPr>
          <w:rFonts w:ascii="Arial" w:hAnsi="Arial" w:cs="Arial"/>
          <w:i/>
          <w:sz w:val="18"/>
        </w:rPr>
      </w:pPr>
      <w:r w:rsidRPr="003F2EAB">
        <w:rPr>
          <w:rFonts w:ascii="Arial" w:hAnsi="Arial" w:cs="Arial"/>
          <w:i/>
          <w:sz w:val="18"/>
        </w:rPr>
        <w:t>Zdroj: vlastní zpracování dle EIS 2018</w:t>
      </w:r>
    </w:p>
    <w:p w:rsidR="0086009A" w:rsidRPr="003F2EAB" w:rsidRDefault="0086009A" w:rsidP="0086009A">
      <w:pPr>
        <w:spacing w:line="360" w:lineRule="auto"/>
        <w:jc w:val="both"/>
        <w:rPr>
          <w:rFonts w:ascii="Arial" w:hAnsi="Arial" w:cs="Arial"/>
        </w:rPr>
      </w:pPr>
    </w:p>
    <w:p w:rsidR="0086009A" w:rsidRPr="003F2EAB" w:rsidRDefault="0086009A" w:rsidP="0086009A">
      <w:pPr>
        <w:spacing w:line="360" w:lineRule="auto"/>
        <w:ind w:firstLine="403"/>
        <w:jc w:val="both"/>
        <w:rPr>
          <w:rFonts w:ascii="Arial" w:hAnsi="Arial" w:cs="Arial"/>
        </w:rPr>
      </w:pPr>
      <w:r w:rsidRPr="003F2EAB">
        <w:rPr>
          <w:rFonts w:ascii="Arial" w:hAnsi="Arial" w:cs="Arial"/>
        </w:rPr>
        <w:t xml:space="preserve">Na následujícím obrázku 8.7 je rozložen SII roku 2017 na jednotlivé ukazatele. U ukazatele International </w:t>
      </w:r>
      <w:proofErr w:type="spellStart"/>
      <w:r w:rsidRPr="003F2EAB">
        <w:rPr>
          <w:rFonts w:ascii="Arial" w:hAnsi="Arial" w:cs="Arial"/>
        </w:rPr>
        <w:t>Scientific</w:t>
      </w:r>
      <w:proofErr w:type="spellEnd"/>
      <w:r w:rsidRPr="003F2EAB">
        <w:rPr>
          <w:rFonts w:ascii="Arial" w:hAnsi="Arial" w:cs="Arial"/>
        </w:rPr>
        <w:t xml:space="preserve"> Co-</w:t>
      </w:r>
      <w:proofErr w:type="spellStart"/>
      <w:r w:rsidRPr="003F2EAB">
        <w:rPr>
          <w:rFonts w:ascii="Arial" w:hAnsi="Arial" w:cs="Arial"/>
        </w:rPr>
        <w:t>Publications</w:t>
      </w:r>
      <w:proofErr w:type="spellEnd"/>
      <w:r w:rsidRPr="003F2EAB">
        <w:rPr>
          <w:rFonts w:ascii="Arial" w:hAnsi="Arial" w:cs="Arial"/>
        </w:rPr>
        <w:t xml:space="preserve"> se hodnota vymyká intervalům ostatních ukazatelů, proto není na ose znázorněna skutečná hodnota (viz poznámka). Ze všech 27 ukazatelů dosahuje ČR lepší hodnoty než Rakousko pouze u 5 ukazatelů (Non-R&amp;D </w:t>
      </w:r>
      <w:proofErr w:type="spellStart"/>
      <w:r w:rsidRPr="003F2EAB">
        <w:rPr>
          <w:rFonts w:ascii="Arial" w:hAnsi="Arial" w:cs="Arial"/>
        </w:rPr>
        <w:t>Innovation</w:t>
      </w:r>
      <w:proofErr w:type="spellEnd"/>
      <w:r w:rsidRPr="003F2EAB">
        <w:rPr>
          <w:rFonts w:ascii="Arial" w:hAnsi="Arial" w:cs="Arial"/>
        </w:rPr>
        <w:t xml:space="preserve"> </w:t>
      </w:r>
      <w:proofErr w:type="spellStart"/>
      <w:r w:rsidRPr="003F2EAB">
        <w:rPr>
          <w:rFonts w:ascii="Arial" w:hAnsi="Arial" w:cs="Arial"/>
        </w:rPr>
        <w:t>Expenditure</w:t>
      </w:r>
      <w:proofErr w:type="spellEnd"/>
      <w:r w:rsidRPr="003F2EAB">
        <w:rPr>
          <w:rFonts w:ascii="Arial" w:hAnsi="Arial" w:cs="Arial"/>
        </w:rPr>
        <w:t xml:space="preserve">, </w:t>
      </w:r>
      <w:proofErr w:type="spellStart"/>
      <w:r w:rsidRPr="003F2EAB">
        <w:rPr>
          <w:rFonts w:ascii="Arial" w:hAnsi="Arial" w:cs="Arial"/>
        </w:rPr>
        <w:t>Employment</w:t>
      </w:r>
      <w:proofErr w:type="spellEnd"/>
      <w:r w:rsidRPr="003F2EAB">
        <w:rPr>
          <w:rFonts w:ascii="Arial" w:hAnsi="Arial" w:cs="Arial"/>
        </w:rPr>
        <w:t xml:space="preserve"> Fast-</w:t>
      </w:r>
      <w:proofErr w:type="spellStart"/>
      <w:r w:rsidRPr="003F2EAB">
        <w:rPr>
          <w:rFonts w:ascii="Arial" w:hAnsi="Arial" w:cs="Arial"/>
        </w:rPr>
        <w:t>Growing</w:t>
      </w:r>
      <w:proofErr w:type="spellEnd"/>
      <w:r w:rsidRPr="003F2EAB">
        <w:rPr>
          <w:rFonts w:ascii="Arial" w:hAnsi="Arial" w:cs="Arial"/>
        </w:rPr>
        <w:t xml:space="preserve"> </w:t>
      </w:r>
      <w:proofErr w:type="spellStart"/>
      <w:r w:rsidRPr="003F2EAB">
        <w:rPr>
          <w:rFonts w:ascii="Arial" w:hAnsi="Arial" w:cs="Arial"/>
        </w:rPr>
        <w:t>Firms</w:t>
      </w:r>
      <w:proofErr w:type="spellEnd"/>
      <w:r w:rsidRPr="003F2EAB">
        <w:rPr>
          <w:rFonts w:ascii="Arial" w:hAnsi="Arial" w:cs="Arial"/>
        </w:rPr>
        <w:t xml:space="preserve"> </w:t>
      </w:r>
      <w:proofErr w:type="spellStart"/>
      <w:r w:rsidRPr="003F2EAB">
        <w:rPr>
          <w:rFonts w:ascii="Arial" w:hAnsi="Arial" w:cs="Arial"/>
        </w:rPr>
        <w:t>Innovative</w:t>
      </w:r>
      <w:proofErr w:type="spellEnd"/>
      <w:r w:rsidRPr="003F2EAB">
        <w:rPr>
          <w:rFonts w:ascii="Arial" w:hAnsi="Arial" w:cs="Arial"/>
        </w:rPr>
        <w:t xml:space="preserve"> </w:t>
      </w:r>
      <w:proofErr w:type="spellStart"/>
      <w:r w:rsidRPr="003F2EAB">
        <w:rPr>
          <w:rFonts w:ascii="Arial" w:hAnsi="Arial" w:cs="Arial"/>
        </w:rPr>
        <w:t>Sectors</w:t>
      </w:r>
      <w:proofErr w:type="spellEnd"/>
      <w:r w:rsidRPr="003F2EAB">
        <w:rPr>
          <w:rFonts w:ascii="Arial" w:hAnsi="Arial" w:cs="Arial"/>
        </w:rPr>
        <w:t xml:space="preserve">, Medium &amp; </w:t>
      </w:r>
      <w:proofErr w:type="spellStart"/>
      <w:r w:rsidRPr="003F2EAB">
        <w:rPr>
          <w:rFonts w:ascii="Arial" w:hAnsi="Arial" w:cs="Arial"/>
        </w:rPr>
        <w:t>High</w:t>
      </w:r>
      <w:proofErr w:type="spellEnd"/>
      <w:r w:rsidRPr="003F2EAB">
        <w:rPr>
          <w:rFonts w:ascii="Arial" w:hAnsi="Arial" w:cs="Arial"/>
        </w:rPr>
        <w:t xml:space="preserve"> </w:t>
      </w:r>
      <w:proofErr w:type="spellStart"/>
      <w:r w:rsidRPr="003F2EAB">
        <w:rPr>
          <w:rFonts w:ascii="Arial" w:hAnsi="Arial" w:cs="Arial"/>
        </w:rPr>
        <w:t>Tech</w:t>
      </w:r>
      <w:proofErr w:type="spellEnd"/>
      <w:r w:rsidRPr="003F2EAB">
        <w:rPr>
          <w:rFonts w:ascii="Arial" w:hAnsi="Arial" w:cs="Arial"/>
        </w:rPr>
        <w:t xml:space="preserve"> </w:t>
      </w:r>
      <w:proofErr w:type="spellStart"/>
      <w:r w:rsidRPr="003F2EAB">
        <w:rPr>
          <w:rFonts w:ascii="Arial" w:hAnsi="Arial" w:cs="Arial"/>
        </w:rPr>
        <w:t>Product</w:t>
      </w:r>
      <w:proofErr w:type="spellEnd"/>
      <w:r w:rsidRPr="003F2EAB">
        <w:rPr>
          <w:rFonts w:ascii="Arial" w:hAnsi="Arial" w:cs="Arial"/>
        </w:rPr>
        <w:t xml:space="preserve"> </w:t>
      </w:r>
      <w:proofErr w:type="spellStart"/>
      <w:r w:rsidRPr="003F2EAB">
        <w:rPr>
          <w:rFonts w:ascii="Arial" w:hAnsi="Arial" w:cs="Arial"/>
        </w:rPr>
        <w:t>Exports</w:t>
      </w:r>
      <w:proofErr w:type="spellEnd"/>
      <w:r w:rsidRPr="003F2EAB">
        <w:rPr>
          <w:rFonts w:ascii="Arial" w:hAnsi="Arial" w:cs="Arial"/>
        </w:rPr>
        <w:t xml:space="preserve">, </w:t>
      </w:r>
      <w:proofErr w:type="spellStart"/>
      <w:r w:rsidRPr="003F2EAB">
        <w:rPr>
          <w:rFonts w:ascii="Arial" w:hAnsi="Arial" w:cs="Arial"/>
        </w:rPr>
        <w:t>Knowledge-Intensive</w:t>
      </w:r>
      <w:proofErr w:type="spellEnd"/>
      <w:r w:rsidRPr="003F2EAB">
        <w:rPr>
          <w:rFonts w:ascii="Arial" w:hAnsi="Arial" w:cs="Arial"/>
        </w:rPr>
        <w:t xml:space="preserve"> </w:t>
      </w:r>
      <w:proofErr w:type="spellStart"/>
      <w:r w:rsidRPr="003F2EAB">
        <w:rPr>
          <w:rFonts w:ascii="Arial" w:hAnsi="Arial" w:cs="Arial"/>
        </w:rPr>
        <w:t>Services</w:t>
      </w:r>
      <w:proofErr w:type="spellEnd"/>
      <w:r w:rsidRPr="003F2EAB">
        <w:rPr>
          <w:rFonts w:ascii="Arial" w:hAnsi="Arial" w:cs="Arial"/>
        </w:rPr>
        <w:t xml:space="preserve"> </w:t>
      </w:r>
      <w:proofErr w:type="spellStart"/>
      <w:r w:rsidRPr="003F2EAB">
        <w:rPr>
          <w:rFonts w:ascii="Arial" w:hAnsi="Arial" w:cs="Arial"/>
        </w:rPr>
        <w:t>Exports</w:t>
      </w:r>
      <w:proofErr w:type="spellEnd"/>
      <w:r w:rsidRPr="003F2EAB">
        <w:rPr>
          <w:rFonts w:ascii="Arial" w:hAnsi="Arial" w:cs="Arial"/>
        </w:rPr>
        <w:t xml:space="preserve">, Sales </w:t>
      </w:r>
      <w:proofErr w:type="spellStart"/>
      <w:r w:rsidRPr="003F2EAB">
        <w:rPr>
          <w:rFonts w:ascii="Arial" w:hAnsi="Arial" w:cs="Arial"/>
        </w:rPr>
        <w:t>of</w:t>
      </w:r>
      <w:proofErr w:type="spellEnd"/>
      <w:r w:rsidRPr="003F2EAB">
        <w:rPr>
          <w:rFonts w:ascii="Arial" w:hAnsi="Arial" w:cs="Arial"/>
        </w:rPr>
        <w:t xml:space="preserve"> New-To-Market and New-To-</w:t>
      </w:r>
      <w:proofErr w:type="spellStart"/>
      <w:r w:rsidRPr="003F2EAB">
        <w:rPr>
          <w:rFonts w:ascii="Arial" w:hAnsi="Arial" w:cs="Arial"/>
        </w:rPr>
        <w:t>Firm</w:t>
      </w:r>
      <w:proofErr w:type="spellEnd"/>
      <w:r w:rsidRPr="003F2EAB">
        <w:rPr>
          <w:rFonts w:ascii="Arial" w:hAnsi="Arial" w:cs="Arial"/>
        </w:rPr>
        <w:t xml:space="preserve"> </w:t>
      </w:r>
      <w:proofErr w:type="spellStart"/>
      <w:r w:rsidRPr="003F2EAB">
        <w:rPr>
          <w:rFonts w:ascii="Arial" w:hAnsi="Arial" w:cs="Arial"/>
        </w:rPr>
        <w:t>Innovations</w:t>
      </w:r>
      <w:proofErr w:type="spellEnd"/>
      <w:r w:rsidRPr="003F2EAB">
        <w:rPr>
          <w:rFonts w:ascii="Arial" w:hAnsi="Arial" w:cs="Arial"/>
        </w:rPr>
        <w:t xml:space="preserve">. Celkově lze ČR hodnotit jako úspěšnější v oblasti </w:t>
      </w:r>
      <w:proofErr w:type="spellStart"/>
      <w:r w:rsidRPr="003F2EAB">
        <w:rPr>
          <w:rFonts w:ascii="Arial" w:hAnsi="Arial" w:cs="Arial"/>
        </w:rPr>
        <w:t>Impacts</w:t>
      </w:r>
      <w:proofErr w:type="spellEnd"/>
      <w:r w:rsidRPr="003F2EAB">
        <w:rPr>
          <w:rFonts w:ascii="Arial" w:hAnsi="Arial" w:cs="Arial"/>
        </w:rPr>
        <w:t xml:space="preserve">. </w:t>
      </w:r>
    </w:p>
    <w:p w:rsidR="0086009A" w:rsidRPr="003F2EAB" w:rsidRDefault="0086009A" w:rsidP="0086009A">
      <w:pPr>
        <w:pStyle w:val="Obrzek"/>
      </w:pPr>
      <w:r w:rsidRPr="003F2EAB">
        <w:t>Obrázek 8.7: Rozklad SII roku 2017 a porovnání hodnot ČR a Rakouska</w:t>
      </w:r>
    </w:p>
    <w:p w:rsidR="0086009A" w:rsidRPr="003F2EAB" w:rsidRDefault="0086009A" w:rsidP="00347901">
      <w:pPr>
        <w:spacing w:line="360" w:lineRule="auto"/>
        <w:jc w:val="center"/>
        <w:rPr>
          <w:rFonts w:ascii="Arial" w:hAnsi="Arial" w:cs="Arial"/>
        </w:rPr>
      </w:pPr>
      <w:r w:rsidRPr="003F2EAB">
        <w:rPr>
          <w:rFonts w:ascii="Arial" w:hAnsi="Arial" w:cs="Arial"/>
          <w:noProof/>
          <w:lang w:eastAsia="cs-CZ"/>
        </w:rPr>
        <w:drawing>
          <wp:inline distT="0" distB="0" distL="0" distR="0" wp14:anchorId="61E97377" wp14:editId="53FF892D">
            <wp:extent cx="5181600" cy="5875020"/>
            <wp:effectExtent l="0" t="0" r="0" b="0"/>
            <wp:docPr id="83" name="Graf 83"/>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86009A" w:rsidRPr="003F2EAB" w:rsidRDefault="0086009A" w:rsidP="0086009A">
      <w:pPr>
        <w:spacing w:line="360" w:lineRule="auto"/>
        <w:jc w:val="both"/>
        <w:rPr>
          <w:rFonts w:ascii="Arial" w:hAnsi="Arial" w:cs="Arial"/>
          <w:i/>
          <w:sz w:val="18"/>
        </w:rPr>
      </w:pPr>
      <w:r w:rsidRPr="003F2EAB">
        <w:rPr>
          <w:rFonts w:ascii="Arial" w:hAnsi="Arial" w:cs="Arial"/>
          <w:i/>
          <w:sz w:val="18"/>
        </w:rPr>
        <w:t>Zdroj: vlastní zpracování dle EIS 2018</w:t>
      </w:r>
    </w:p>
    <w:p w:rsidR="0086009A" w:rsidRPr="003F2EAB" w:rsidRDefault="0086009A" w:rsidP="0086009A">
      <w:pPr>
        <w:spacing w:line="360" w:lineRule="auto"/>
        <w:jc w:val="both"/>
        <w:rPr>
          <w:rFonts w:ascii="Arial" w:hAnsi="Arial" w:cs="Arial"/>
          <w:i/>
          <w:sz w:val="18"/>
        </w:rPr>
      </w:pPr>
      <w:r>
        <w:rPr>
          <w:rFonts w:ascii="Arial" w:hAnsi="Arial" w:cs="Arial"/>
          <w:i/>
          <w:sz w:val="18"/>
        </w:rPr>
        <w:lastRenderedPageBreak/>
        <w:t>U</w:t>
      </w:r>
      <w:r w:rsidRPr="003F2EAB">
        <w:rPr>
          <w:rFonts w:ascii="Arial" w:hAnsi="Arial" w:cs="Arial"/>
          <w:i/>
          <w:sz w:val="18"/>
        </w:rPr>
        <w:t xml:space="preserve"> ukazatele International </w:t>
      </w:r>
      <w:proofErr w:type="spellStart"/>
      <w:r w:rsidRPr="003F2EAB">
        <w:rPr>
          <w:rFonts w:ascii="Arial" w:hAnsi="Arial" w:cs="Arial"/>
          <w:i/>
          <w:sz w:val="18"/>
        </w:rPr>
        <w:t>scientific</w:t>
      </w:r>
      <w:proofErr w:type="spellEnd"/>
      <w:r w:rsidRPr="003F2EAB">
        <w:rPr>
          <w:rFonts w:ascii="Arial" w:hAnsi="Arial" w:cs="Arial"/>
          <w:i/>
          <w:sz w:val="18"/>
        </w:rPr>
        <w:t xml:space="preserve"> co-</w:t>
      </w:r>
      <w:proofErr w:type="spellStart"/>
      <w:r w:rsidRPr="003F2EAB">
        <w:rPr>
          <w:rFonts w:ascii="Arial" w:hAnsi="Arial" w:cs="Arial"/>
          <w:i/>
          <w:sz w:val="18"/>
        </w:rPr>
        <w:t>publications</w:t>
      </w:r>
      <w:proofErr w:type="spellEnd"/>
      <w:r w:rsidRPr="003F2EAB">
        <w:rPr>
          <w:rFonts w:ascii="Arial" w:hAnsi="Arial" w:cs="Arial"/>
          <w:i/>
          <w:sz w:val="18"/>
        </w:rPr>
        <w:t xml:space="preserve"> se hodnoty CZE i AUT výrazně liší od hodnot ostatních ukazatelů, proto osa nerespektuje tuto výši (CZE 755; AUT 1376).</w:t>
      </w:r>
    </w:p>
    <w:p w:rsidR="0086009A" w:rsidRPr="003F2EAB" w:rsidRDefault="0086009A" w:rsidP="0086009A">
      <w:pPr>
        <w:spacing w:line="360" w:lineRule="auto"/>
        <w:jc w:val="both"/>
        <w:rPr>
          <w:rFonts w:ascii="Arial" w:hAnsi="Arial" w:cs="Arial"/>
        </w:rPr>
      </w:pPr>
      <w:r w:rsidRPr="003F2EAB">
        <w:rPr>
          <w:rFonts w:ascii="Arial" w:hAnsi="Arial" w:cs="Arial"/>
        </w:rPr>
        <w:t>GLOBAL INNOVATION INDEX (GII)</w:t>
      </w:r>
    </w:p>
    <w:p w:rsidR="0086009A" w:rsidRPr="003F2EAB" w:rsidRDefault="0086009A" w:rsidP="0086009A">
      <w:pPr>
        <w:spacing w:after="0" w:line="360" w:lineRule="auto"/>
        <w:ind w:firstLine="403"/>
        <w:jc w:val="both"/>
        <w:rPr>
          <w:rFonts w:ascii="Arial" w:hAnsi="Arial" w:cs="Arial"/>
        </w:rPr>
      </w:pPr>
      <w:proofErr w:type="spellStart"/>
      <w:r w:rsidRPr="003F2EAB">
        <w:rPr>
          <w:rFonts w:ascii="Arial" w:hAnsi="Arial" w:cs="Arial"/>
        </w:rPr>
        <w:t>Global</w:t>
      </w:r>
      <w:proofErr w:type="spellEnd"/>
      <w:r w:rsidRPr="003F2EAB">
        <w:rPr>
          <w:rFonts w:ascii="Arial" w:hAnsi="Arial" w:cs="Arial"/>
        </w:rPr>
        <w:t xml:space="preserve"> </w:t>
      </w:r>
      <w:proofErr w:type="spellStart"/>
      <w:r w:rsidRPr="003F2EAB">
        <w:rPr>
          <w:rFonts w:ascii="Arial" w:hAnsi="Arial" w:cs="Arial"/>
        </w:rPr>
        <w:t>Innovation</w:t>
      </w:r>
      <w:proofErr w:type="spellEnd"/>
      <w:r w:rsidRPr="003F2EAB">
        <w:rPr>
          <w:rFonts w:ascii="Arial" w:hAnsi="Arial" w:cs="Arial"/>
        </w:rPr>
        <w:t xml:space="preserve"> Index (Globální inovační index; GII) je dalším z nejpoužívanějších složených indikátorů inovační výkonnosti. Tento ukazatel je zaměřen na vliv inovačně orientovaných politik na ekonomický růst a vývoj. GII se skládá z inovačních vstupů a inovačních výstupů. V rámci inovačních vstupů jsou hodnoceny oblasti – instituce, lidský kapitál a výzkum, infrastruktura, tržní sofistikovanost a podnikatelská sofistikovanost. Oblast inovační výstupů se skládá ze znalostních a</w:t>
      </w:r>
      <w:r w:rsidR="00B308C1">
        <w:rPr>
          <w:rFonts w:ascii="Arial" w:hAnsi="Arial" w:cs="Arial"/>
        </w:rPr>
        <w:t> </w:t>
      </w:r>
      <w:r w:rsidRPr="003F2EAB">
        <w:rPr>
          <w:rFonts w:ascii="Arial" w:hAnsi="Arial" w:cs="Arial"/>
        </w:rPr>
        <w:t>technologických výstupů a z kreativních výstupů. Hodnota GII je dána průměrem inovačních vstupů a inovačních výstupů. V případě poměru mezi inovačními vstupy a inovačními výstupy lze určit Ukazatel efektivity inovací, který vypovídá o tom, kolik inovačního výstupu vyprodukovala jedna jednotka inovačního vstupu.</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 xml:space="preserve">V rámci GII 2018, který by vypočítáván na základě dat z roku 2017, bylo hodnoceno 126 zemí. Nejvyšší hodnoty GII dosáhlo stejně jako v předchozím roce Švýcarsko, dále Nizozemsko, Švédsko, Velká Británie, Singapur, USA a Finsko. ČR byla v hodnocení GII 2017 na 24. místě, v rámci GII 2018 ČR klesla na 27. pozici. Absolutní hodnota skóre ČR byla v předchozím hodnocení 51,0, při hodnocení GII 2018 je skóre 48,8 (první Švýcarsko 68,4; poslední Jemen 15,0). </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 xml:space="preserve">V rámci ukazatele </w:t>
      </w:r>
      <w:proofErr w:type="spellStart"/>
      <w:r w:rsidRPr="003F2EAB">
        <w:rPr>
          <w:rFonts w:ascii="Arial" w:hAnsi="Arial" w:cs="Arial"/>
        </w:rPr>
        <w:t>Innovation</w:t>
      </w:r>
      <w:proofErr w:type="spellEnd"/>
      <w:r w:rsidRPr="003F2EAB">
        <w:rPr>
          <w:rFonts w:ascii="Arial" w:hAnsi="Arial" w:cs="Arial"/>
        </w:rPr>
        <w:t xml:space="preserve"> Input Sub-Index se umístil na prvním místě Singapore, dále Švýcarsko, Švédsko, Velká Británie, Finsko, USA. ČR obsadila 30. místo. V ukazateli </w:t>
      </w:r>
      <w:proofErr w:type="spellStart"/>
      <w:r w:rsidRPr="003F2EAB">
        <w:rPr>
          <w:rFonts w:ascii="Arial" w:hAnsi="Arial" w:cs="Arial"/>
        </w:rPr>
        <w:t>Innovation</w:t>
      </w:r>
      <w:proofErr w:type="spellEnd"/>
      <w:r w:rsidRPr="003F2EAB">
        <w:rPr>
          <w:rFonts w:ascii="Arial" w:hAnsi="Arial" w:cs="Arial"/>
        </w:rPr>
        <w:t xml:space="preserve"> Output Sub-Index je na první příčce opět Švýcarsko, dále Nizozemsko, Švédsko, Velká Británie, Německo, USA). ČR je na 20. místě.</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 xml:space="preserve">V tabulce 8.1 jsou patrné hodnoty GII 2018 dosažené ČR a Rakouskem v jednotlivých pilířích a vybraných sub-pilířích. </w:t>
      </w:r>
    </w:p>
    <w:p w:rsidR="0086009A" w:rsidRPr="003F2EAB" w:rsidRDefault="0086009A" w:rsidP="0086009A">
      <w:pPr>
        <w:spacing w:line="360" w:lineRule="auto"/>
        <w:jc w:val="both"/>
        <w:rPr>
          <w:rFonts w:ascii="Arial" w:hAnsi="Arial" w:cs="Arial"/>
        </w:rPr>
      </w:pPr>
      <w:r w:rsidRPr="003F2EAB">
        <w:rPr>
          <w:rFonts w:ascii="Arial" w:hAnsi="Arial" w:cs="Arial"/>
          <w:b/>
        </w:rPr>
        <w:t>Tabulka 8.1:</w:t>
      </w:r>
      <w:r w:rsidRPr="003F2EAB">
        <w:rPr>
          <w:rFonts w:ascii="Arial" w:hAnsi="Arial" w:cs="Arial"/>
        </w:rPr>
        <w:t xml:space="preserve"> Hodnoty ČR a Rakouska v rámci pilířů a vybraných sub-pilířů GII 2018 </w:t>
      </w:r>
    </w:p>
    <w:tbl>
      <w:tblPr>
        <w:tblW w:w="9107" w:type="dxa"/>
        <w:tblInd w:w="55" w:type="dxa"/>
        <w:tblCellMar>
          <w:left w:w="70" w:type="dxa"/>
          <w:right w:w="70" w:type="dxa"/>
        </w:tblCellMar>
        <w:tblLook w:val="04A0" w:firstRow="1" w:lastRow="0" w:firstColumn="1" w:lastColumn="0" w:noHBand="0" w:noVBand="1"/>
      </w:tblPr>
      <w:tblGrid>
        <w:gridCol w:w="4268"/>
        <w:gridCol w:w="992"/>
        <w:gridCol w:w="974"/>
        <w:gridCol w:w="1011"/>
        <w:gridCol w:w="1013"/>
        <w:gridCol w:w="849"/>
      </w:tblGrid>
      <w:tr w:rsidR="0086009A" w:rsidRPr="003F2EAB" w:rsidTr="00347901">
        <w:trPr>
          <w:trHeight w:val="428"/>
        </w:trPr>
        <w:tc>
          <w:tcPr>
            <w:tcW w:w="4268" w:type="dxa"/>
            <w:vMerge w:val="restart"/>
            <w:tcBorders>
              <w:top w:val="nil"/>
              <w:left w:val="nil"/>
            </w:tcBorders>
            <w:shd w:val="clear" w:color="auto" w:fill="auto"/>
            <w:noWrap/>
            <w:vAlign w:val="center"/>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 xml:space="preserve">Pilíře / Sub-pilíře / </w:t>
            </w:r>
            <w:r w:rsidRPr="003F2EAB">
              <w:rPr>
                <w:rFonts w:ascii="Arial" w:eastAsia="Times New Roman" w:hAnsi="Arial" w:cs="Arial"/>
                <w:i/>
                <w:iCs/>
                <w:color w:val="000000"/>
                <w:sz w:val="18"/>
                <w:szCs w:val="18"/>
                <w:lang w:eastAsia="cs-CZ"/>
              </w:rPr>
              <w:t>Indikátory</w:t>
            </w:r>
          </w:p>
        </w:tc>
        <w:tc>
          <w:tcPr>
            <w:tcW w:w="2977" w:type="dxa"/>
            <w:gridSpan w:val="3"/>
            <w:tcBorders>
              <w:top w:val="nil"/>
              <w:bottom w:val="nil"/>
            </w:tcBorders>
            <w:shd w:val="clear" w:color="auto" w:fill="auto"/>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ČR</w:t>
            </w:r>
          </w:p>
        </w:tc>
        <w:tc>
          <w:tcPr>
            <w:tcW w:w="1862" w:type="dxa"/>
            <w:gridSpan w:val="2"/>
            <w:tcBorders>
              <w:top w:val="nil"/>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Rakousko</w:t>
            </w:r>
          </w:p>
        </w:tc>
      </w:tr>
      <w:tr w:rsidR="0086009A" w:rsidRPr="003F2EAB" w:rsidTr="00347901">
        <w:trPr>
          <w:trHeight w:val="575"/>
        </w:trPr>
        <w:tc>
          <w:tcPr>
            <w:tcW w:w="4268" w:type="dxa"/>
            <w:vMerge/>
            <w:tcBorders>
              <w:left w:val="nil"/>
              <w:bottom w:val="single" w:sz="4" w:space="0" w:color="auto"/>
            </w:tcBorders>
            <w:shd w:val="clear" w:color="auto" w:fill="auto"/>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p>
        </w:tc>
        <w:tc>
          <w:tcPr>
            <w:tcW w:w="992" w:type="dxa"/>
            <w:tcBorders>
              <w:top w:val="nil"/>
              <w:bottom w:val="single" w:sz="4" w:space="0" w:color="auto"/>
            </w:tcBorders>
            <w:shd w:val="clear" w:color="auto" w:fill="auto"/>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skóre</w:t>
            </w:r>
          </w:p>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(0-100)</w:t>
            </w:r>
          </w:p>
        </w:tc>
        <w:tc>
          <w:tcPr>
            <w:tcW w:w="974" w:type="dxa"/>
            <w:tcBorders>
              <w:top w:val="nil"/>
              <w:bottom w:val="single" w:sz="4" w:space="0" w:color="auto"/>
            </w:tcBorders>
            <w:shd w:val="clear" w:color="auto" w:fill="auto"/>
            <w:vAlign w:val="center"/>
            <w:hideMark/>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pozice (ze 126)</w:t>
            </w:r>
          </w:p>
        </w:tc>
        <w:tc>
          <w:tcPr>
            <w:tcW w:w="1011" w:type="dxa"/>
            <w:tcBorders>
              <w:top w:val="nil"/>
              <w:bottom w:val="single" w:sz="4" w:space="0" w:color="auto"/>
            </w:tcBorders>
            <w:shd w:val="clear" w:color="auto" w:fill="auto"/>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silná/ slabá str.</w:t>
            </w:r>
          </w:p>
        </w:tc>
        <w:tc>
          <w:tcPr>
            <w:tcW w:w="1013" w:type="dxa"/>
            <w:tcBorders>
              <w:top w:val="nil"/>
              <w:bottom w:val="single" w:sz="4" w:space="0" w:color="auto"/>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skóre</w:t>
            </w:r>
          </w:p>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(0-100)</w:t>
            </w:r>
          </w:p>
        </w:tc>
        <w:tc>
          <w:tcPr>
            <w:tcW w:w="849" w:type="dxa"/>
            <w:tcBorders>
              <w:top w:val="nil"/>
              <w:bottom w:val="single" w:sz="4" w:space="0" w:color="auto"/>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pozice (ze 126)</w:t>
            </w:r>
          </w:p>
        </w:tc>
      </w:tr>
      <w:tr w:rsidR="0086009A" w:rsidRPr="003F2EAB" w:rsidTr="00347901">
        <w:trPr>
          <w:trHeight w:val="300"/>
        </w:trPr>
        <w:tc>
          <w:tcPr>
            <w:tcW w:w="4268" w:type="dxa"/>
            <w:tcBorders>
              <w:top w:val="single" w:sz="4" w:space="0" w:color="auto"/>
              <w:left w:val="nil"/>
              <w:bottom w:val="nil"/>
              <w:right w:val="single" w:sz="4" w:space="0" w:color="auto"/>
            </w:tcBorders>
            <w:shd w:val="clear" w:color="000000" w:fill="B8CCE4"/>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1. Instituce</w:t>
            </w:r>
          </w:p>
        </w:tc>
        <w:tc>
          <w:tcPr>
            <w:tcW w:w="992" w:type="dxa"/>
            <w:tcBorders>
              <w:top w:val="single" w:sz="4" w:space="0" w:color="auto"/>
              <w:left w:val="single" w:sz="4" w:space="0" w:color="auto"/>
              <w:bottom w:val="nil"/>
              <w:right w:val="nil"/>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78,5</w:t>
            </w:r>
          </w:p>
        </w:tc>
        <w:tc>
          <w:tcPr>
            <w:tcW w:w="974" w:type="dxa"/>
            <w:tcBorders>
              <w:top w:val="single" w:sz="4" w:space="0" w:color="auto"/>
              <w:left w:val="nil"/>
              <w:bottom w:val="nil"/>
              <w:right w:val="nil"/>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27</w:t>
            </w:r>
          </w:p>
        </w:tc>
        <w:tc>
          <w:tcPr>
            <w:tcW w:w="1011" w:type="dxa"/>
            <w:tcBorders>
              <w:top w:val="single" w:sz="4" w:space="0" w:color="auto"/>
              <w:left w:val="nil"/>
              <w:bottom w:val="nil"/>
              <w:right w:val="single" w:sz="4" w:space="0" w:color="auto"/>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p>
        </w:tc>
        <w:tc>
          <w:tcPr>
            <w:tcW w:w="1013" w:type="dxa"/>
            <w:tcBorders>
              <w:top w:val="single" w:sz="4" w:space="0" w:color="auto"/>
              <w:left w:val="single" w:sz="4" w:space="0" w:color="auto"/>
              <w:bottom w:val="nil"/>
              <w:right w:val="nil"/>
            </w:tcBorders>
            <w:shd w:val="clear" w:color="000000" w:fill="B8CCE4"/>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85,6</w:t>
            </w:r>
          </w:p>
        </w:tc>
        <w:tc>
          <w:tcPr>
            <w:tcW w:w="849" w:type="dxa"/>
            <w:tcBorders>
              <w:top w:val="single" w:sz="4" w:space="0" w:color="auto"/>
              <w:left w:val="nil"/>
              <w:bottom w:val="nil"/>
              <w:right w:val="nil"/>
            </w:tcBorders>
            <w:shd w:val="clear" w:color="000000" w:fill="B8CCE4"/>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18</w:t>
            </w:r>
          </w:p>
        </w:tc>
      </w:tr>
      <w:tr w:rsidR="0086009A" w:rsidRPr="003F2EAB" w:rsidTr="00347901">
        <w:trPr>
          <w:trHeight w:val="300"/>
        </w:trPr>
        <w:tc>
          <w:tcPr>
            <w:tcW w:w="4268"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1.1 Politické prostředí</w:t>
            </w:r>
          </w:p>
        </w:tc>
        <w:tc>
          <w:tcPr>
            <w:tcW w:w="992" w:type="dxa"/>
            <w:tcBorders>
              <w:top w:val="nil"/>
              <w:left w:val="single" w:sz="4" w:space="0" w:color="auto"/>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76,8</w:t>
            </w:r>
          </w:p>
        </w:tc>
        <w:tc>
          <w:tcPr>
            <w:tcW w:w="974" w:type="dxa"/>
            <w:tcBorders>
              <w:top w:val="nil"/>
              <w:left w:val="nil"/>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25</w:t>
            </w:r>
          </w:p>
        </w:tc>
        <w:tc>
          <w:tcPr>
            <w:tcW w:w="1011"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p>
        </w:tc>
        <w:tc>
          <w:tcPr>
            <w:tcW w:w="1013" w:type="dxa"/>
            <w:tcBorders>
              <w:top w:val="nil"/>
              <w:left w:val="single" w:sz="4" w:space="0" w:color="auto"/>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83,0</w:t>
            </w:r>
          </w:p>
        </w:tc>
        <w:tc>
          <w:tcPr>
            <w:tcW w:w="849" w:type="dxa"/>
            <w:tcBorders>
              <w:top w:val="nil"/>
              <w:left w:val="nil"/>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16</w:t>
            </w:r>
          </w:p>
        </w:tc>
      </w:tr>
      <w:tr w:rsidR="0086009A" w:rsidRPr="003F2EAB" w:rsidTr="00347901">
        <w:trPr>
          <w:trHeight w:val="300"/>
        </w:trPr>
        <w:tc>
          <w:tcPr>
            <w:tcW w:w="4268"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politická stabilita</w:t>
            </w:r>
          </w:p>
        </w:tc>
        <w:tc>
          <w:tcPr>
            <w:tcW w:w="992" w:type="dxa"/>
            <w:tcBorders>
              <w:top w:val="nil"/>
              <w:left w:val="single" w:sz="4" w:space="0" w:color="auto"/>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87,6</w:t>
            </w:r>
          </w:p>
        </w:tc>
        <w:tc>
          <w:tcPr>
            <w:tcW w:w="974" w:type="dxa"/>
            <w:tcBorders>
              <w:top w:val="nil"/>
              <w:left w:val="nil"/>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16</w:t>
            </w:r>
          </w:p>
        </w:tc>
        <w:tc>
          <w:tcPr>
            <w:tcW w:w="1011"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silná</w:t>
            </w:r>
          </w:p>
        </w:tc>
        <w:tc>
          <w:tcPr>
            <w:tcW w:w="1013" w:type="dxa"/>
            <w:tcBorders>
              <w:top w:val="nil"/>
              <w:left w:val="single" w:sz="4" w:space="0" w:color="auto"/>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83,6</w:t>
            </w:r>
          </w:p>
        </w:tc>
        <w:tc>
          <w:tcPr>
            <w:tcW w:w="849" w:type="dxa"/>
            <w:tcBorders>
              <w:top w:val="nil"/>
              <w:left w:val="nil"/>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26</w:t>
            </w:r>
          </w:p>
        </w:tc>
      </w:tr>
      <w:tr w:rsidR="0086009A" w:rsidRPr="003F2EAB" w:rsidTr="00347901">
        <w:trPr>
          <w:trHeight w:val="300"/>
        </w:trPr>
        <w:tc>
          <w:tcPr>
            <w:tcW w:w="4268"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1.2 Regulatorní prostředí</w:t>
            </w:r>
          </w:p>
        </w:tc>
        <w:tc>
          <w:tcPr>
            <w:tcW w:w="992" w:type="dxa"/>
            <w:tcBorders>
              <w:top w:val="nil"/>
              <w:left w:val="single" w:sz="4" w:space="0" w:color="auto"/>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76,5</w:t>
            </w:r>
          </w:p>
        </w:tc>
        <w:tc>
          <w:tcPr>
            <w:tcW w:w="974" w:type="dxa"/>
            <w:tcBorders>
              <w:top w:val="nil"/>
              <w:left w:val="nil"/>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34</w:t>
            </w:r>
          </w:p>
        </w:tc>
        <w:tc>
          <w:tcPr>
            <w:tcW w:w="1011"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p>
        </w:tc>
        <w:tc>
          <w:tcPr>
            <w:tcW w:w="1013" w:type="dxa"/>
            <w:tcBorders>
              <w:top w:val="nil"/>
              <w:left w:val="single" w:sz="4" w:space="0" w:color="auto"/>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93,4</w:t>
            </w:r>
          </w:p>
        </w:tc>
        <w:tc>
          <w:tcPr>
            <w:tcW w:w="849" w:type="dxa"/>
            <w:tcBorders>
              <w:top w:val="nil"/>
              <w:left w:val="nil"/>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10</w:t>
            </w:r>
          </w:p>
        </w:tc>
      </w:tr>
      <w:tr w:rsidR="0086009A" w:rsidRPr="003F2EAB" w:rsidTr="00347901">
        <w:trPr>
          <w:trHeight w:val="300"/>
        </w:trPr>
        <w:tc>
          <w:tcPr>
            <w:tcW w:w="4268"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cena propouštění pro nadbytečnost</w:t>
            </w:r>
          </w:p>
        </w:tc>
        <w:tc>
          <w:tcPr>
            <w:tcW w:w="992" w:type="dxa"/>
            <w:tcBorders>
              <w:top w:val="nil"/>
              <w:left w:val="single" w:sz="4" w:space="0" w:color="auto"/>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81,4</w:t>
            </w:r>
          </w:p>
        </w:tc>
        <w:tc>
          <w:tcPr>
            <w:tcW w:w="974" w:type="dxa"/>
            <w:tcBorders>
              <w:top w:val="nil"/>
              <w:left w:val="nil"/>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77</w:t>
            </w:r>
          </w:p>
        </w:tc>
        <w:tc>
          <w:tcPr>
            <w:tcW w:w="1011"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slabá</w:t>
            </w:r>
          </w:p>
        </w:tc>
        <w:tc>
          <w:tcPr>
            <w:tcW w:w="1013" w:type="dxa"/>
            <w:tcBorders>
              <w:top w:val="nil"/>
              <w:left w:val="single" w:sz="4" w:space="0" w:color="auto"/>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100,0</w:t>
            </w:r>
          </w:p>
        </w:tc>
        <w:tc>
          <w:tcPr>
            <w:tcW w:w="849" w:type="dxa"/>
            <w:tcBorders>
              <w:top w:val="nil"/>
              <w:left w:val="nil"/>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1</w:t>
            </w:r>
          </w:p>
        </w:tc>
      </w:tr>
      <w:tr w:rsidR="0086009A" w:rsidRPr="003F2EAB" w:rsidTr="00347901">
        <w:trPr>
          <w:trHeight w:val="300"/>
        </w:trPr>
        <w:tc>
          <w:tcPr>
            <w:tcW w:w="4268" w:type="dxa"/>
            <w:tcBorders>
              <w:top w:val="nil"/>
              <w:left w:val="nil"/>
              <w:bottom w:val="nil"/>
              <w:right w:val="single" w:sz="4" w:space="0" w:color="auto"/>
            </w:tcBorders>
            <w:shd w:val="clear" w:color="000000" w:fill="B8CCE4"/>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2. Lidský kapitál &amp; výzkum</w:t>
            </w:r>
          </w:p>
        </w:tc>
        <w:tc>
          <w:tcPr>
            <w:tcW w:w="992" w:type="dxa"/>
            <w:tcBorders>
              <w:top w:val="nil"/>
              <w:left w:val="single" w:sz="4" w:space="0" w:color="auto"/>
              <w:bottom w:val="nil"/>
              <w:right w:val="nil"/>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41,7</w:t>
            </w:r>
          </w:p>
        </w:tc>
        <w:tc>
          <w:tcPr>
            <w:tcW w:w="974" w:type="dxa"/>
            <w:tcBorders>
              <w:top w:val="nil"/>
              <w:left w:val="nil"/>
              <w:bottom w:val="nil"/>
              <w:right w:val="nil"/>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35</w:t>
            </w:r>
          </w:p>
        </w:tc>
        <w:tc>
          <w:tcPr>
            <w:tcW w:w="1011" w:type="dxa"/>
            <w:tcBorders>
              <w:top w:val="nil"/>
              <w:left w:val="nil"/>
              <w:bottom w:val="nil"/>
              <w:right w:val="single" w:sz="4" w:space="0" w:color="auto"/>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sz w:val="18"/>
                <w:szCs w:val="18"/>
                <w:lang w:eastAsia="cs-CZ"/>
              </w:rPr>
            </w:pPr>
          </w:p>
        </w:tc>
        <w:tc>
          <w:tcPr>
            <w:tcW w:w="1013" w:type="dxa"/>
            <w:tcBorders>
              <w:top w:val="nil"/>
              <w:left w:val="single" w:sz="4" w:space="0" w:color="auto"/>
              <w:bottom w:val="nil"/>
              <w:right w:val="nil"/>
            </w:tcBorders>
            <w:shd w:val="clear" w:color="000000" w:fill="B8CCE4"/>
            <w:vAlign w:val="center"/>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61,1</w:t>
            </w:r>
          </w:p>
        </w:tc>
        <w:tc>
          <w:tcPr>
            <w:tcW w:w="849" w:type="dxa"/>
            <w:tcBorders>
              <w:top w:val="nil"/>
              <w:left w:val="nil"/>
              <w:bottom w:val="nil"/>
              <w:right w:val="nil"/>
            </w:tcBorders>
            <w:shd w:val="clear" w:color="000000" w:fill="B8CCE4"/>
            <w:vAlign w:val="center"/>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9</w:t>
            </w:r>
          </w:p>
        </w:tc>
      </w:tr>
      <w:tr w:rsidR="0086009A" w:rsidRPr="003F2EAB" w:rsidTr="00347901">
        <w:trPr>
          <w:trHeight w:val="300"/>
        </w:trPr>
        <w:tc>
          <w:tcPr>
            <w:tcW w:w="4268"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2.1 Vzdělání</w:t>
            </w:r>
          </w:p>
        </w:tc>
        <w:tc>
          <w:tcPr>
            <w:tcW w:w="992" w:type="dxa"/>
            <w:tcBorders>
              <w:top w:val="nil"/>
              <w:left w:val="single" w:sz="4" w:space="0" w:color="auto"/>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52,2</w:t>
            </w:r>
          </w:p>
        </w:tc>
        <w:tc>
          <w:tcPr>
            <w:tcW w:w="974" w:type="dxa"/>
            <w:tcBorders>
              <w:top w:val="nil"/>
              <w:left w:val="nil"/>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48</w:t>
            </w:r>
          </w:p>
        </w:tc>
        <w:tc>
          <w:tcPr>
            <w:tcW w:w="1011"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sz w:val="18"/>
                <w:szCs w:val="18"/>
                <w:lang w:eastAsia="cs-CZ"/>
              </w:rPr>
            </w:pPr>
          </w:p>
        </w:tc>
        <w:tc>
          <w:tcPr>
            <w:tcW w:w="1013" w:type="dxa"/>
            <w:tcBorders>
              <w:top w:val="nil"/>
              <w:left w:val="single" w:sz="4" w:space="0" w:color="auto"/>
              <w:bottom w:val="nil"/>
              <w:right w:val="nil"/>
            </w:tcBorders>
            <w:vAlign w:val="center"/>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57,7</w:t>
            </w:r>
          </w:p>
        </w:tc>
        <w:tc>
          <w:tcPr>
            <w:tcW w:w="849" w:type="dxa"/>
            <w:tcBorders>
              <w:top w:val="nil"/>
              <w:left w:val="nil"/>
              <w:bottom w:val="nil"/>
              <w:right w:val="nil"/>
            </w:tcBorders>
            <w:vAlign w:val="center"/>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26</w:t>
            </w:r>
          </w:p>
        </w:tc>
      </w:tr>
      <w:tr w:rsidR="0086009A" w:rsidRPr="003F2EAB" w:rsidTr="00347901">
        <w:trPr>
          <w:trHeight w:val="300"/>
        </w:trPr>
        <w:tc>
          <w:tcPr>
            <w:tcW w:w="4268"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výdaje na vzdělávání</w:t>
            </w:r>
          </w:p>
        </w:tc>
        <w:tc>
          <w:tcPr>
            <w:tcW w:w="992" w:type="dxa"/>
            <w:tcBorders>
              <w:top w:val="nil"/>
              <w:left w:val="single" w:sz="4" w:space="0" w:color="auto"/>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33,9</w:t>
            </w:r>
          </w:p>
        </w:tc>
        <w:tc>
          <w:tcPr>
            <w:tcW w:w="974" w:type="dxa"/>
            <w:tcBorders>
              <w:top w:val="nil"/>
              <w:left w:val="nil"/>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79</w:t>
            </w:r>
          </w:p>
        </w:tc>
        <w:tc>
          <w:tcPr>
            <w:tcW w:w="1011"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slabá</w:t>
            </w:r>
          </w:p>
        </w:tc>
        <w:tc>
          <w:tcPr>
            <w:tcW w:w="1013" w:type="dxa"/>
            <w:tcBorders>
              <w:top w:val="nil"/>
              <w:left w:val="single" w:sz="4" w:space="0" w:color="auto"/>
              <w:bottom w:val="nil"/>
              <w:right w:val="nil"/>
            </w:tcBorders>
            <w:vAlign w:val="center"/>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51,0</w:t>
            </w:r>
          </w:p>
        </w:tc>
        <w:tc>
          <w:tcPr>
            <w:tcW w:w="849" w:type="dxa"/>
            <w:tcBorders>
              <w:top w:val="nil"/>
              <w:left w:val="nil"/>
              <w:bottom w:val="nil"/>
              <w:right w:val="nil"/>
            </w:tcBorders>
            <w:vAlign w:val="center"/>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34</w:t>
            </w:r>
          </w:p>
        </w:tc>
      </w:tr>
      <w:tr w:rsidR="0086009A" w:rsidRPr="003F2EAB" w:rsidTr="00347901">
        <w:trPr>
          <w:trHeight w:val="300"/>
        </w:trPr>
        <w:tc>
          <w:tcPr>
            <w:tcW w:w="4268" w:type="dxa"/>
            <w:tcBorders>
              <w:top w:val="nil"/>
              <w:left w:val="nil"/>
              <w:bottom w:val="nil"/>
              <w:right w:val="single" w:sz="4" w:space="0" w:color="auto"/>
            </w:tcBorders>
            <w:shd w:val="clear" w:color="000000" w:fill="B8CCE4"/>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3. Infrastruktura</w:t>
            </w:r>
          </w:p>
        </w:tc>
        <w:tc>
          <w:tcPr>
            <w:tcW w:w="992" w:type="dxa"/>
            <w:tcBorders>
              <w:top w:val="nil"/>
              <w:left w:val="single" w:sz="4" w:space="0" w:color="auto"/>
              <w:bottom w:val="nil"/>
              <w:right w:val="nil"/>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55,2</w:t>
            </w:r>
          </w:p>
        </w:tc>
        <w:tc>
          <w:tcPr>
            <w:tcW w:w="974" w:type="dxa"/>
            <w:tcBorders>
              <w:top w:val="nil"/>
              <w:left w:val="nil"/>
              <w:bottom w:val="nil"/>
              <w:right w:val="nil"/>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31</w:t>
            </w:r>
          </w:p>
        </w:tc>
        <w:tc>
          <w:tcPr>
            <w:tcW w:w="1011" w:type="dxa"/>
            <w:tcBorders>
              <w:top w:val="nil"/>
              <w:left w:val="nil"/>
              <w:bottom w:val="nil"/>
              <w:right w:val="single" w:sz="4" w:space="0" w:color="auto"/>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sz w:val="18"/>
                <w:szCs w:val="18"/>
                <w:lang w:eastAsia="cs-CZ"/>
              </w:rPr>
            </w:pPr>
          </w:p>
        </w:tc>
        <w:tc>
          <w:tcPr>
            <w:tcW w:w="1013" w:type="dxa"/>
            <w:tcBorders>
              <w:top w:val="nil"/>
              <w:left w:val="single" w:sz="4" w:space="0" w:color="auto"/>
              <w:bottom w:val="nil"/>
              <w:right w:val="nil"/>
            </w:tcBorders>
            <w:shd w:val="clear" w:color="000000" w:fill="B8CCE4"/>
            <w:vAlign w:val="center"/>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62,8</w:t>
            </w:r>
          </w:p>
        </w:tc>
        <w:tc>
          <w:tcPr>
            <w:tcW w:w="849" w:type="dxa"/>
            <w:tcBorders>
              <w:top w:val="nil"/>
              <w:left w:val="nil"/>
              <w:bottom w:val="nil"/>
              <w:right w:val="nil"/>
            </w:tcBorders>
            <w:shd w:val="clear" w:color="000000" w:fill="B8CCE4"/>
            <w:vAlign w:val="center"/>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12</w:t>
            </w:r>
          </w:p>
        </w:tc>
      </w:tr>
      <w:tr w:rsidR="0086009A" w:rsidRPr="003F2EAB" w:rsidTr="00347901">
        <w:trPr>
          <w:trHeight w:val="300"/>
        </w:trPr>
        <w:tc>
          <w:tcPr>
            <w:tcW w:w="4268"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3.1 Informační a komunikační technologie (ICT)</w:t>
            </w:r>
          </w:p>
        </w:tc>
        <w:tc>
          <w:tcPr>
            <w:tcW w:w="992" w:type="dxa"/>
            <w:tcBorders>
              <w:top w:val="nil"/>
              <w:left w:val="single" w:sz="4" w:space="0" w:color="auto"/>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60,3</w:t>
            </w:r>
          </w:p>
        </w:tc>
        <w:tc>
          <w:tcPr>
            <w:tcW w:w="974" w:type="dxa"/>
            <w:tcBorders>
              <w:top w:val="nil"/>
              <w:left w:val="nil"/>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63</w:t>
            </w:r>
          </w:p>
        </w:tc>
        <w:tc>
          <w:tcPr>
            <w:tcW w:w="1011"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sz w:val="18"/>
                <w:szCs w:val="18"/>
                <w:lang w:eastAsia="cs-CZ"/>
              </w:rPr>
            </w:pPr>
          </w:p>
        </w:tc>
        <w:tc>
          <w:tcPr>
            <w:tcW w:w="1013" w:type="dxa"/>
            <w:tcBorders>
              <w:top w:val="nil"/>
              <w:left w:val="single" w:sz="4" w:space="0" w:color="auto"/>
              <w:bottom w:val="nil"/>
              <w:right w:val="nil"/>
            </w:tcBorders>
            <w:vAlign w:val="center"/>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84,3</w:t>
            </w:r>
          </w:p>
        </w:tc>
        <w:tc>
          <w:tcPr>
            <w:tcW w:w="849" w:type="dxa"/>
            <w:tcBorders>
              <w:top w:val="nil"/>
              <w:left w:val="nil"/>
              <w:bottom w:val="nil"/>
              <w:right w:val="nil"/>
            </w:tcBorders>
            <w:vAlign w:val="center"/>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13</w:t>
            </w:r>
          </w:p>
        </w:tc>
      </w:tr>
      <w:tr w:rsidR="0086009A" w:rsidRPr="003F2EAB" w:rsidTr="00347901">
        <w:trPr>
          <w:trHeight w:val="300"/>
        </w:trPr>
        <w:tc>
          <w:tcPr>
            <w:tcW w:w="4268"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dostupnost služeb vládních institucí přes internet</w:t>
            </w:r>
          </w:p>
        </w:tc>
        <w:tc>
          <w:tcPr>
            <w:tcW w:w="992" w:type="dxa"/>
            <w:tcBorders>
              <w:top w:val="nil"/>
              <w:left w:val="single" w:sz="4" w:space="0" w:color="auto"/>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47,8</w:t>
            </w:r>
          </w:p>
        </w:tc>
        <w:tc>
          <w:tcPr>
            <w:tcW w:w="974" w:type="dxa"/>
            <w:tcBorders>
              <w:top w:val="nil"/>
              <w:left w:val="nil"/>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88</w:t>
            </w:r>
          </w:p>
        </w:tc>
        <w:tc>
          <w:tcPr>
            <w:tcW w:w="1011"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slabá</w:t>
            </w:r>
          </w:p>
        </w:tc>
        <w:tc>
          <w:tcPr>
            <w:tcW w:w="1013" w:type="dxa"/>
            <w:tcBorders>
              <w:top w:val="nil"/>
              <w:left w:val="single" w:sz="4" w:space="0" w:color="auto"/>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91,3</w:t>
            </w:r>
          </w:p>
        </w:tc>
        <w:tc>
          <w:tcPr>
            <w:tcW w:w="849" w:type="dxa"/>
            <w:tcBorders>
              <w:top w:val="nil"/>
              <w:left w:val="nil"/>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11</w:t>
            </w:r>
          </w:p>
        </w:tc>
      </w:tr>
      <w:tr w:rsidR="0086009A" w:rsidRPr="003F2EAB" w:rsidTr="00347901">
        <w:trPr>
          <w:trHeight w:val="300"/>
        </w:trPr>
        <w:tc>
          <w:tcPr>
            <w:tcW w:w="4268"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využívání internetu pro komunikaci s občany</w:t>
            </w:r>
          </w:p>
        </w:tc>
        <w:tc>
          <w:tcPr>
            <w:tcW w:w="992" w:type="dxa"/>
            <w:tcBorders>
              <w:top w:val="nil"/>
              <w:left w:val="single" w:sz="4" w:space="0" w:color="auto"/>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55,9</w:t>
            </w:r>
          </w:p>
        </w:tc>
        <w:tc>
          <w:tcPr>
            <w:tcW w:w="974" w:type="dxa"/>
            <w:tcBorders>
              <w:top w:val="nil"/>
              <w:left w:val="nil"/>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74</w:t>
            </w:r>
          </w:p>
        </w:tc>
        <w:tc>
          <w:tcPr>
            <w:tcW w:w="1011"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slabá</w:t>
            </w:r>
          </w:p>
        </w:tc>
        <w:tc>
          <w:tcPr>
            <w:tcW w:w="1013" w:type="dxa"/>
            <w:tcBorders>
              <w:top w:val="nil"/>
              <w:left w:val="single" w:sz="4" w:space="0" w:color="auto"/>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88,1</w:t>
            </w:r>
          </w:p>
        </w:tc>
        <w:tc>
          <w:tcPr>
            <w:tcW w:w="849" w:type="dxa"/>
            <w:tcBorders>
              <w:top w:val="nil"/>
              <w:left w:val="nil"/>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14</w:t>
            </w:r>
          </w:p>
        </w:tc>
      </w:tr>
      <w:tr w:rsidR="0086009A" w:rsidRPr="003F2EAB" w:rsidTr="00347901">
        <w:trPr>
          <w:trHeight w:val="300"/>
        </w:trPr>
        <w:tc>
          <w:tcPr>
            <w:tcW w:w="4268"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3.3 Ekologická udržitelnost</w:t>
            </w:r>
          </w:p>
        </w:tc>
        <w:tc>
          <w:tcPr>
            <w:tcW w:w="992" w:type="dxa"/>
            <w:tcBorders>
              <w:top w:val="nil"/>
              <w:left w:val="single" w:sz="4" w:space="0" w:color="auto"/>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53,1</w:t>
            </w:r>
          </w:p>
        </w:tc>
        <w:tc>
          <w:tcPr>
            <w:tcW w:w="974" w:type="dxa"/>
            <w:tcBorders>
              <w:top w:val="nil"/>
              <w:left w:val="nil"/>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15</w:t>
            </w:r>
          </w:p>
        </w:tc>
        <w:tc>
          <w:tcPr>
            <w:tcW w:w="1011"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silná</w:t>
            </w:r>
          </w:p>
        </w:tc>
        <w:tc>
          <w:tcPr>
            <w:tcW w:w="1013" w:type="dxa"/>
            <w:tcBorders>
              <w:top w:val="nil"/>
              <w:left w:val="single" w:sz="4" w:space="0" w:color="auto"/>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50,0</w:t>
            </w:r>
          </w:p>
        </w:tc>
        <w:tc>
          <w:tcPr>
            <w:tcW w:w="849" w:type="dxa"/>
            <w:tcBorders>
              <w:top w:val="nil"/>
              <w:left w:val="nil"/>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sz w:val="18"/>
                <w:szCs w:val="18"/>
                <w:lang w:eastAsia="cs-CZ"/>
              </w:rPr>
            </w:pPr>
            <w:r w:rsidRPr="003F2EAB">
              <w:rPr>
                <w:rFonts w:ascii="Arial" w:eastAsia="Times New Roman" w:hAnsi="Arial" w:cs="Arial"/>
                <w:sz w:val="18"/>
                <w:szCs w:val="18"/>
                <w:lang w:eastAsia="cs-CZ"/>
              </w:rPr>
              <w:t>26</w:t>
            </w:r>
          </w:p>
        </w:tc>
      </w:tr>
      <w:tr w:rsidR="0086009A" w:rsidRPr="003F2EAB" w:rsidTr="00347901">
        <w:trPr>
          <w:trHeight w:val="300"/>
        </w:trPr>
        <w:tc>
          <w:tcPr>
            <w:tcW w:w="4268"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HDP/jednotka užití energie</w:t>
            </w:r>
          </w:p>
        </w:tc>
        <w:tc>
          <w:tcPr>
            <w:tcW w:w="992" w:type="dxa"/>
            <w:tcBorders>
              <w:top w:val="nil"/>
              <w:left w:val="single" w:sz="4" w:space="0" w:color="auto"/>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22,1</w:t>
            </w:r>
          </w:p>
        </w:tc>
        <w:tc>
          <w:tcPr>
            <w:tcW w:w="974" w:type="dxa"/>
            <w:tcBorders>
              <w:top w:val="nil"/>
              <w:left w:val="nil"/>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77</w:t>
            </w:r>
          </w:p>
        </w:tc>
        <w:tc>
          <w:tcPr>
            <w:tcW w:w="1011"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slabá</w:t>
            </w:r>
          </w:p>
        </w:tc>
        <w:tc>
          <w:tcPr>
            <w:tcW w:w="1013" w:type="dxa"/>
            <w:tcBorders>
              <w:top w:val="nil"/>
              <w:left w:val="single" w:sz="4" w:space="0" w:color="auto"/>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35,7</w:t>
            </w:r>
          </w:p>
        </w:tc>
        <w:tc>
          <w:tcPr>
            <w:tcW w:w="849" w:type="dxa"/>
            <w:tcBorders>
              <w:top w:val="nil"/>
              <w:left w:val="nil"/>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36</w:t>
            </w:r>
          </w:p>
        </w:tc>
      </w:tr>
      <w:tr w:rsidR="0086009A" w:rsidRPr="003F2EAB" w:rsidTr="00347901">
        <w:trPr>
          <w:trHeight w:val="300"/>
        </w:trPr>
        <w:tc>
          <w:tcPr>
            <w:tcW w:w="4268"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ISO 14001 ekologické certifikáty</w:t>
            </w:r>
          </w:p>
        </w:tc>
        <w:tc>
          <w:tcPr>
            <w:tcW w:w="992" w:type="dxa"/>
            <w:tcBorders>
              <w:top w:val="nil"/>
              <w:left w:val="single" w:sz="4" w:space="0" w:color="auto"/>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85,9</w:t>
            </w:r>
          </w:p>
        </w:tc>
        <w:tc>
          <w:tcPr>
            <w:tcW w:w="974" w:type="dxa"/>
            <w:tcBorders>
              <w:top w:val="nil"/>
              <w:left w:val="nil"/>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7</w:t>
            </w:r>
          </w:p>
        </w:tc>
        <w:tc>
          <w:tcPr>
            <w:tcW w:w="1011"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silná</w:t>
            </w:r>
          </w:p>
        </w:tc>
        <w:tc>
          <w:tcPr>
            <w:tcW w:w="1013" w:type="dxa"/>
            <w:tcBorders>
              <w:top w:val="nil"/>
              <w:left w:val="single" w:sz="4" w:space="0" w:color="auto"/>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20,6</w:t>
            </w:r>
          </w:p>
        </w:tc>
        <w:tc>
          <w:tcPr>
            <w:tcW w:w="849" w:type="dxa"/>
            <w:tcBorders>
              <w:top w:val="nil"/>
              <w:left w:val="nil"/>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sz w:val="18"/>
                <w:szCs w:val="18"/>
                <w:lang w:eastAsia="cs-CZ"/>
              </w:rPr>
            </w:pPr>
            <w:r w:rsidRPr="003F2EAB">
              <w:rPr>
                <w:rFonts w:ascii="Arial" w:eastAsia="Times New Roman" w:hAnsi="Arial" w:cs="Arial"/>
                <w:i/>
                <w:iCs/>
                <w:sz w:val="18"/>
                <w:szCs w:val="18"/>
                <w:lang w:eastAsia="cs-CZ"/>
              </w:rPr>
              <w:t>37</w:t>
            </w:r>
          </w:p>
        </w:tc>
      </w:tr>
      <w:tr w:rsidR="0086009A" w:rsidRPr="003F2EAB" w:rsidTr="00347901">
        <w:trPr>
          <w:trHeight w:val="300"/>
        </w:trPr>
        <w:tc>
          <w:tcPr>
            <w:tcW w:w="4268" w:type="dxa"/>
            <w:tcBorders>
              <w:top w:val="nil"/>
              <w:left w:val="nil"/>
              <w:bottom w:val="nil"/>
              <w:right w:val="single" w:sz="4" w:space="0" w:color="auto"/>
            </w:tcBorders>
            <w:shd w:val="clear" w:color="000000" w:fill="B8CCE4"/>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 Sofistikovanost trhu</w:t>
            </w:r>
          </w:p>
        </w:tc>
        <w:tc>
          <w:tcPr>
            <w:tcW w:w="992" w:type="dxa"/>
            <w:tcBorders>
              <w:top w:val="nil"/>
              <w:left w:val="single" w:sz="4" w:space="0" w:color="auto"/>
              <w:bottom w:val="nil"/>
              <w:right w:val="nil"/>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50,3</w:t>
            </w:r>
          </w:p>
        </w:tc>
        <w:tc>
          <w:tcPr>
            <w:tcW w:w="974" w:type="dxa"/>
            <w:tcBorders>
              <w:top w:val="nil"/>
              <w:left w:val="nil"/>
              <w:bottom w:val="nil"/>
              <w:right w:val="nil"/>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48</w:t>
            </w:r>
          </w:p>
        </w:tc>
        <w:tc>
          <w:tcPr>
            <w:tcW w:w="1011" w:type="dxa"/>
            <w:tcBorders>
              <w:top w:val="nil"/>
              <w:left w:val="nil"/>
              <w:bottom w:val="nil"/>
              <w:right w:val="single" w:sz="4" w:space="0" w:color="auto"/>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p>
        </w:tc>
        <w:tc>
          <w:tcPr>
            <w:tcW w:w="1013" w:type="dxa"/>
            <w:tcBorders>
              <w:top w:val="nil"/>
              <w:left w:val="single" w:sz="4" w:space="0" w:color="auto"/>
              <w:bottom w:val="nil"/>
              <w:right w:val="nil"/>
            </w:tcBorders>
            <w:shd w:val="clear" w:color="000000" w:fill="B8CCE4"/>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52,6</w:t>
            </w:r>
          </w:p>
        </w:tc>
        <w:tc>
          <w:tcPr>
            <w:tcW w:w="849" w:type="dxa"/>
            <w:tcBorders>
              <w:top w:val="nil"/>
              <w:left w:val="nil"/>
              <w:bottom w:val="nil"/>
              <w:right w:val="nil"/>
            </w:tcBorders>
            <w:shd w:val="clear" w:color="000000" w:fill="B8CCE4"/>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37</w:t>
            </w:r>
          </w:p>
        </w:tc>
      </w:tr>
      <w:tr w:rsidR="0086009A" w:rsidRPr="003F2EAB" w:rsidTr="00347901">
        <w:trPr>
          <w:trHeight w:val="300"/>
        </w:trPr>
        <w:tc>
          <w:tcPr>
            <w:tcW w:w="4268"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4.2 Investice</w:t>
            </w:r>
          </w:p>
        </w:tc>
        <w:tc>
          <w:tcPr>
            <w:tcW w:w="992" w:type="dxa"/>
            <w:tcBorders>
              <w:top w:val="nil"/>
              <w:left w:val="single" w:sz="4" w:space="0" w:color="auto"/>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33,9</w:t>
            </w:r>
          </w:p>
        </w:tc>
        <w:tc>
          <w:tcPr>
            <w:tcW w:w="974" w:type="dxa"/>
            <w:tcBorders>
              <w:top w:val="nil"/>
              <w:left w:val="nil"/>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98</w:t>
            </w:r>
          </w:p>
        </w:tc>
        <w:tc>
          <w:tcPr>
            <w:tcW w:w="1011"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slabá</w:t>
            </w:r>
          </w:p>
        </w:tc>
        <w:tc>
          <w:tcPr>
            <w:tcW w:w="1013" w:type="dxa"/>
            <w:tcBorders>
              <w:top w:val="nil"/>
              <w:left w:val="single" w:sz="4" w:space="0" w:color="auto"/>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40,6</w:t>
            </w:r>
          </w:p>
        </w:tc>
        <w:tc>
          <w:tcPr>
            <w:tcW w:w="849" w:type="dxa"/>
            <w:tcBorders>
              <w:top w:val="nil"/>
              <w:left w:val="nil"/>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64</w:t>
            </w:r>
          </w:p>
        </w:tc>
      </w:tr>
      <w:tr w:rsidR="0086009A" w:rsidRPr="003F2EAB" w:rsidTr="00347901">
        <w:trPr>
          <w:trHeight w:val="300"/>
        </w:trPr>
        <w:tc>
          <w:tcPr>
            <w:tcW w:w="4268"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snadnost ochrany menšinových věřitelů</w:t>
            </w:r>
          </w:p>
        </w:tc>
        <w:tc>
          <w:tcPr>
            <w:tcW w:w="992" w:type="dxa"/>
            <w:tcBorders>
              <w:top w:val="nil"/>
              <w:left w:val="single" w:sz="4" w:space="0" w:color="auto"/>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58,3</w:t>
            </w:r>
          </w:p>
        </w:tc>
        <w:tc>
          <w:tcPr>
            <w:tcW w:w="974" w:type="dxa"/>
            <w:tcBorders>
              <w:top w:val="nil"/>
              <w:left w:val="nil"/>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61</w:t>
            </w:r>
          </w:p>
        </w:tc>
        <w:tc>
          <w:tcPr>
            <w:tcW w:w="1011"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slabá</w:t>
            </w:r>
          </w:p>
        </w:tc>
        <w:tc>
          <w:tcPr>
            <w:tcW w:w="1013" w:type="dxa"/>
            <w:tcBorders>
              <w:top w:val="nil"/>
              <w:left w:val="single" w:sz="4" w:space="0" w:color="auto"/>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68,3</w:t>
            </w:r>
          </w:p>
        </w:tc>
        <w:tc>
          <w:tcPr>
            <w:tcW w:w="849" w:type="dxa"/>
            <w:tcBorders>
              <w:top w:val="nil"/>
              <w:left w:val="nil"/>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28</w:t>
            </w:r>
          </w:p>
        </w:tc>
      </w:tr>
      <w:tr w:rsidR="0086009A" w:rsidRPr="003F2EAB" w:rsidTr="00347901">
        <w:trPr>
          <w:trHeight w:val="300"/>
        </w:trPr>
        <w:tc>
          <w:tcPr>
            <w:tcW w:w="4268"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tržní kapitalizace</w:t>
            </w:r>
          </w:p>
        </w:tc>
        <w:tc>
          <w:tcPr>
            <w:tcW w:w="992" w:type="dxa"/>
            <w:tcBorders>
              <w:top w:val="nil"/>
              <w:left w:val="single" w:sz="4" w:space="0" w:color="auto"/>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11,9</w:t>
            </w:r>
          </w:p>
        </w:tc>
        <w:tc>
          <w:tcPr>
            <w:tcW w:w="974" w:type="dxa"/>
            <w:tcBorders>
              <w:top w:val="nil"/>
              <w:left w:val="nil"/>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52</w:t>
            </w:r>
          </w:p>
        </w:tc>
        <w:tc>
          <w:tcPr>
            <w:tcW w:w="1011"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slabá</w:t>
            </w:r>
          </w:p>
        </w:tc>
        <w:tc>
          <w:tcPr>
            <w:tcW w:w="1013" w:type="dxa"/>
            <w:tcBorders>
              <w:top w:val="nil"/>
              <w:left w:val="single" w:sz="4" w:space="0" w:color="auto"/>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11,5</w:t>
            </w:r>
          </w:p>
        </w:tc>
        <w:tc>
          <w:tcPr>
            <w:tcW w:w="849" w:type="dxa"/>
            <w:tcBorders>
              <w:top w:val="nil"/>
              <w:left w:val="nil"/>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55</w:t>
            </w:r>
          </w:p>
        </w:tc>
      </w:tr>
      <w:tr w:rsidR="0086009A" w:rsidRPr="003F2EAB" w:rsidTr="00347901">
        <w:trPr>
          <w:trHeight w:val="300"/>
        </w:trPr>
        <w:tc>
          <w:tcPr>
            <w:tcW w:w="4268"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4.3 Obchod &amp; konkurence</w:t>
            </w:r>
          </w:p>
        </w:tc>
        <w:tc>
          <w:tcPr>
            <w:tcW w:w="992" w:type="dxa"/>
            <w:tcBorders>
              <w:top w:val="nil"/>
              <w:left w:val="single" w:sz="4" w:space="0" w:color="auto"/>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71,6</w:t>
            </w:r>
          </w:p>
        </w:tc>
        <w:tc>
          <w:tcPr>
            <w:tcW w:w="974" w:type="dxa"/>
            <w:tcBorders>
              <w:top w:val="nil"/>
              <w:left w:val="nil"/>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27</w:t>
            </w:r>
          </w:p>
        </w:tc>
        <w:tc>
          <w:tcPr>
            <w:tcW w:w="1011"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p>
        </w:tc>
        <w:tc>
          <w:tcPr>
            <w:tcW w:w="1013" w:type="dxa"/>
            <w:tcBorders>
              <w:top w:val="nil"/>
              <w:left w:val="single" w:sz="4" w:space="0" w:color="auto"/>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71,8</w:t>
            </w:r>
          </w:p>
        </w:tc>
        <w:tc>
          <w:tcPr>
            <w:tcW w:w="849" w:type="dxa"/>
            <w:tcBorders>
              <w:top w:val="nil"/>
              <w:left w:val="nil"/>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26</w:t>
            </w:r>
          </w:p>
        </w:tc>
      </w:tr>
      <w:tr w:rsidR="0086009A" w:rsidRPr="003F2EAB" w:rsidTr="00347901">
        <w:trPr>
          <w:trHeight w:val="300"/>
        </w:trPr>
        <w:tc>
          <w:tcPr>
            <w:tcW w:w="4268"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intenzita místní konkurence</w:t>
            </w:r>
          </w:p>
        </w:tc>
        <w:tc>
          <w:tcPr>
            <w:tcW w:w="992" w:type="dxa"/>
            <w:tcBorders>
              <w:top w:val="nil"/>
              <w:left w:val="single" w:sz="4" w:space="0" w:color="auto"/>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79,7</w:t>
            </w:r>
          </w:p>
        </w:tc>
        <w:tc>
          <w:tcPr>
            <w:tcW w:w="974" w:type="dxa"/>
            <w:tcBorders>
              <w:top w:val="nil"/>
              <w:left w:val="nil"/>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13</w:t>
            </w:r>
          </w:p>
        </w:tc>
        <w:tc>
          <w:tcPr>
            <w:tcW w:w="1011"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silná</w:t>
            </w:r>
          </w:p>
        </w:tc>
        <w:tc>
          <w:tcPr>
            <w:tcW w:w="1013" w:type="dxa"/>
            <w:tcBorders>
              <w:top w:val="nil"/>
              <w:left w:val="single" w:sz="4" w:space="0" w:color="auto"/>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77,2</w:t>
            </w:r>
          </w:p>
        </w:tc>
        <w:tc>
          <w:tcPr>
            <w:tcW w:w="849" w:type="dxa"/>
            <w:tcBorders>
              <w:top w:val="nil"/>
              <w:left w:val="nil"/>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17</w:t>
            </w:r>
          </w:p>
        </w:tc>
      </w:tr>
      <w:tr w:rsidR="0086009A" w:rsidRPr="003F2EAB" w:rsidTr="00347901">
        <w:trPr>
          <w:trHeight w:val="300"/>
        </w:trPr>
        <w:tc>
          <w:tcPr>
            <w:tcW w:w="4268" w:type="dxa"/>
            <w:tcBorders>
              <w:top w:val="nil"/>
              <w:left w:val="nil"/>
              <w:bottom w:val="nil"/>
              <w:right w:val="single" w:sz="4" w:space="0" w:color="auto"/>
            </w:tcBorders>
            <w:shd w:val="clear" w:color="000000" w:fill="B8CCE4"/>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 xml:space="preserve">5. Sofistikovanost </w:t>
            </w:r>
            <w:proofErr w:type="gramStart"/>
            <w:r w:rsidRPr="003F2EAB">
              <w:rPr>
                <w:rFonts w:ascii="Arial" w:eastAsia="Times New Roman" w:hAnsi="Arial" w:cs="Arial"/>
                <w:color w:val="000000"/>
                <w:sz w:val="18"/>
                <w:szCs w:val="18"/>
                <w:lang w:eastAsia="cs-CZ"/>
              </w:rPr>
              <w:t>obchod./podnikatel</w:t>
            </w:r>
            <w:proofErr w:type="gramEnd"/>
            <w:r w:rsidRPr="003F2EAB">
              <w:rPr>
                <w:rFonts w:ascii="Arial" w:eastAsia="Times New Roman" w:hAnsi="Arial" w:cs="Arial"/>
                <w:color w:val="000000"/>
                <w:sz w:val="18"/>
                <w:szCs w:val="18"/>
                <w:lang w:eastAsia="cs-CZ"/>
              </w:rPr>
              <w:t>. prostředí</w:t>
            </w:r>
          </w:p>
        </w:tc>
        <w:tc>
          <w:tcPr>
            <w:tcW w:w="992" w:type="dxa"/>
            <w:tcBorders>
              <w:top w:val="nil"/>
              <w:left w:val="single" w:sz="4" w:space="0" w:color="auto"/>
              <w:bottom w:val="nil"/>
              <w:right w:val="nil"/>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45,7</w:t>
            </w:r>
          </w:p>
        </w:tc>
        <w:tc>
          <w:tcPr>
            <w:tcW w:w="974" w:type="dxa"/>
            <w:tcBorders>
              <w:top w:val="nil"/>
              <w:left w:val="nil"/>
              <w:bottom w:val="nil"/>
              <w:right w:val="nil"/>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25</w:t>
            </w:r>
          </w:p>
        </w:tc>
        <w:tc>
          <w:tcPr>
            <w:tcW w:w="1011" w:type="dxa"/>
            <w:tcBorders>
              <w:top w:val="nil"/>
              <w:left w:val="nil"/>
              <w:bottom w:val="nil"/>
              <w:right w:val="single" w:sz="4" w:space="0" w:color="auto"/>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p>
        </w:tc>
        <w:tc>
          <w:tcPr>
            <w:tcW w:w="1013" w:type="dxa"/>
            <w:tcBorders>
              <w:top w:val="nil"/>
              <w:left w:val="single" w:sz="4" w:space="0" w:color="auto"/>
              <w:bottom w:val="nil"/>
              <w:right w:val="nil"/>
            </w:tcBorders>
            <w:shd w:val="clear" w:color="000000" w:fill="B8CCE4"/>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51,0</w:t>
            </w:r>
          </w:p>
        </w:tc>
        <w:tc>
          <w:tcPr>
            <w:tcW w:w="849" w:type="dxa"/>
            <w:tcBorders>
              <w:top w:val="nil"/>
              <w:left w:val="nil"/>
              <w:bottom w:val="nil"/>
              <w:right w:val="nil"/>
            </w:tcBorders>
            <w:shd w:val="clear" w:color="000000" w:fill="B8CCE4"/>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18</w:t>
            </w:r>
          </w:p>
        </w:tc>
      </w:tr>
      <w:tr w:rsidR="0086009A" w:rsidRPr="003F2EAB" w:rsidTr="00347901">
        <w:trPr>
          <w:trHeight w:val="300"/>
        </w:trPr>
        <w:tc>
          <w:tcPr>
            <w:tcW w:w="4268"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5.2 Inovační vazby</w:t>
            </w:r>
          </w:p>
        </w:tc>
        <w:tc>
          <w:tcPr>
            <w:tcW w:w="992" w:type="dxa"/>
            <w:tcBorders>
              <w:top w:val="nil"/>
              <w:left w:val="single" w:sz="4" w:space="0" w:color="auto"/>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40,5</w:t>
            </w:r>
          </w:p>
        </w:tc>
        <w:tc>
          <w:tcPr>
            <w:tcW w:w="974" w:type="dxa"/>
            <w:tcBorders>
              <w:top w:val="nil"/>
              <w:left w:val="nil"/>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34</w:t>
            </w:r>
          </w:p>
        </w:tc>
        <w:tc>
          <w:tcPr>
            <w:tcW w:w="1011"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p>
        </w:tc>
        <w:tc>
          <w:tcPr>
            <w:tcW w:w="1013" w:type="dxa"/>
            <w:tcBorders>
              <w:top w:val="nil"/>
              <w:left w:val="single" w:sz="4" w:space="0" w:color="auto"/>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46,7</w:t>
            </w:r>
          </w:p>
        </w:tc>
        <w:tc>
          <w:tcPr>
            <w:tcW w:w="849" w:type="dxa"/>
            <w:tcBorders>
              <w:top w:val="nil"/>
              <w:left w:val="nil"/>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19</w:t>
            </w:r>
          </w:p>
        </w:tc>
      </w:tr>
      <w:tr w:rsidR="0086009A" w:rsidRPr="003F2EAB" w:rsidTr="00347901">
        <w:trPr>
          <w:trHeight w:val="300"/>
        </w:trPr>
        <w:tc>
          <w:tcPr>
            <w:tcW w:w="4268"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JV - dohody strategických partnerství</w:t>
            </w:r>
          </w:p>
        </w:tc>
        <w:tc>
          <w:tcPr>
            <w:tcW w:w="992" w:type="dxa"/>
            <w:tcBorders>
              <w:top w:val="nil"/>
              <w:left w:val="single" w:sz="4" w:space="0" w:color="auto"/>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5,7</w:t>
            </w:r>
          </w:p>
        </w:tc>
        <w:tc>
          <w:tcPr>
            <w:tcW w:w="974" w:type="dxa"/>
            <w:tcBorders>
              <w:top w:val="nil"/>
              <w:left w:val="nil"/>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81</w:t>
            </w:r>
          </w:p>
        </w:tc>
        <w:tc>
          <w:tcPr>
            <w:tcW w:w="1011"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slabá</w:t>
            </w:r>
          </w:p>
        </w:tc>
        <w:tc>
          <w:tcPr>
            <w:tcW w:w="1013" w:type="dxa"/>
            <w:tcBorders>
              <w:top w:val="nil"/>
              <w:left w:val="single" w:sz="4" w:space="0" w:color="auto"/>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9,1</w:t>
            </w:r>
          </w:p>
        </w:tc>
        <w:tc>
          <w:tcPr>
            <w:tcW w:w="849" w:type="dxa"/>
            <w:tcBorders>
              <w:top w:val="nil"/>
              <w:left w:val="nil"/>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64</w:t>
            </w:r>
          </w:p>
        </w:tc>
      </w:tr>
      <w:tr w:rsidR="0086009A" w:rsidRPr="003F2EAB" w:rsidTr="00347901">
        <w:trPr>
          <w:trHeight w:val="300"/>
        </w:trPr>
        <w:tc>
          <w:tcPr>
            <w:tcW w:w="4268"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5.3 Vstřebávání znalostí</w:t>
            </w:r>
          </w:p>
        </w:tc>
        <w:tc>
          <w:tcPr>
            <w:tcW w:w="992" w:type="dxa"/>
            <w:tcBorders>
              <w:top w:val="nil"/>
              <w:left w:val="single" w:sz="4" w:space="0" w:color="auto"/>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43,5</w:t>
            </w:r>
          </w:p>
        </w:tc>
        <w:tc>
          <w:tcPr>
            <w:tcW w:w="974" w:type="dxa"/>
            <w:tcBorders>
              <w:top w:val="nil"/>
              <w:left w:val="nil"/>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20</w:t>
            </w:r>
          </w:p>
        </w:tc>
        <w:tc>
          <w:tcPr>
            <w:tcW w:w="1011"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p>
        </w:tc>
        <w:tc>
          <w:tcPr>
            <w:tcW w:w="1013" w:type="dxa"/>
            <w:tcBorders>
              <w:top w:val="nil"/>
              <w:left w:val="single" w:sz="4" w:space="0" w:color="auto"/>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42,8</w:t>
            </w:r>
          </w:p>
        </w:tc>
        <w:tc>
          <w:tcPr>
            <w:tcW w:w="849" w:type="dxa"/>
            <w:tcBorders>
              <w:top w:val="nil"/>
              <w:left w:val="nil"/>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21</w:t>
            </w:r>
          </w:p>
        </w:tc>
      </w:tr>
      <w:tr w:rsidR="0086009A" w:rsidRPr="003F2EAB" w:rsidTr="00347901">
        <w:trPr>
          <w:trHeight w:val="300"/>
        </w:trPr>
        <w:tc>
          <w:tcPr>
            <w:tcW w:w="4268"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dovozy špičkových techn. bez re-importu</w:t>
            </w:r>
          </w:p>
        </w:tc>
        <w:tc>
          <w:tcPr>
            <w:tcW w:w="992" w:type="dxa"/>
            <w:tcBorders>
              <w:top w:val="nil"/>
              <w:left w:val="single" w:sz="4" w:space="0" w:color="auto"/>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61,4</w:t>
            </w:r>
          </w:p>
        </w:tc>
        <w:tc>
          <w:tcPr>
            <w:tcW w:w="974" w:type="dxa"/>
            <w:tcBorders>
              <w:top w:val="nil"/>
              <w:left w:val="nil"/>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8</w:t>
            </w:r>
          </w:p>
        </w:tc>
        <w:tc>
          <w:tcPr>
            <w:tcW w:w="1011"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silná</w:t>
            </w:r>
          </w:p>
        </w:tc>
        <w:tc>
          <w:tcPr>
            <w:tcW w:w="1013" w:type="dxa"/>
            <w:tcBorders>
              <w:top w:val="nil"/>
              <w:left w:val="single" w:sz="4" w:space="0" w:color="auto"/>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43,4</w:t>
            </w:r>
          </w:p>
        </w:tc>
        <w:tc>
          <w:tcPr>
            <w:tcW w:w="849" w:type="dxa"/>
            <w:tcBorders>
              <w:top w:val="nil"/>
              <w:left w:val="nil"/>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17</w:t>
            </w:r>
          </w:p>
        </w:tc>
      </w:tr>
      <w:tr w:rsidR="0086009A" w:rsidRPr="003F2EAB" w:rsidTr="00347901">
        <w:trPr>
          <w:trHeight w:val="300"/>
        </w:trPr>
        <w:tc>
          <w:tcPr>
            <w:tcW w:w="4268" w:type="dxa"/>
            <w:tcBorders>
              <w:top w:val="nil"/>
              <w:left w:val="nil"/>
              <w:bottom w:val="nil"/>
              <w:right w:val="single" w:sz="4" w:space="0" w:color="auto"/>
            </w:tcBorders>
            <w:shd w:val="clear" w:color="000000" w:fill="B8CCE4"/>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6. Znalostní a technologické výstupy</w:t>
            </w:r>
          </w:p>
        </w:tc>
        <w:tc>
          <w:tcPr>
            <w:tcW w:w="992" w:type="dxa"/>
            <w:tcBorders>
              <w:top w:val="nil"/>
              <w:left w:val="single" w:sz="4" w:space="0" w:color="auto"/>
              <w:bottom w:val="nil"/>
              <w:right w:val="nil"/>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42,3</w:t>
            </w:r>
          </w:p>
        </w:tc>
        <w:tc>
          <w:tcPr>
            <w:tcW w:w="974" w:type="dxa"/>
            <w:tcBorders>
              <w:top w:val="nil"/>
              <w:left w:val="nil"/>
              <w:bottom w:val="nil"/>
              <w:right w:val="nil"/>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17</w:t>
            </w:r>
          </w:p>
        </w:tc>
        <w:tc>
          <w:tcPr>
            <w:tcW w:w="1011" w:type="dxa"/>
            <w:tcBorders>
              <w:top w:val="nil"/>
              <w:left w:val="nil"/>
              <w:bottom w:val="nil"/>
              <w:right w:val="single" w:sz="4" w:space="0" w:color="auto"/>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p>
        </w:tc>
        <w:tc>
          <w:tcPr>
            <w:tcW w:w="1013" w:type="dxa"/>
            <w:tcBorders>
              <w:top w:val="nil"/>
              <w:left w:val="single" w:sz="4" w:space="0" w:color="auto"/>
              <w:bottom w:val="nil"/>
              <w:right w:val="nil"/>
            </w:tcBorders>
            <w:shd w:val="clear" w:color="000000" w:fill="B8CCE4"/>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34,3</w:t>
            </w:r>
          </w:p>
        </w:tc>
        <w:tc>
          <w:tcPr>
            <w:tcW w:w="849" w:type="dxa"/>
            <w:tcBorders>
              <w:top w:val="nil"/>
              <w:left w:val="nil"/>
              <w:bottom w:val="nil"/>
              <w:right w:val="nil"/>
            </w:tcBorders>
            <w:shd w:val="clear" w:color="000000" w:fill="B8CCE4"/>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32</w:t>
            </w:r>
          </w:p>
        </w:tc>
      </w:tr>
      <w:tr w:rsidR="0086009A" w:rsidRPr="003F2EAB" w:rsidTr="00347901">
        <w:trPr>
          <w:trHeight w:val="300"/>
        </w:trPr>
        <w:tc>
          <w:tcPr>
            <w:tcW w:w="4268"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6.1 Znalostní tvorba</w:t>
            </w:r>
          </w:p>
        </w:tc>
        <w:tc>
          <w:tcPr>
            <w:tcW w:w="992" w:type="dxa"/>
            <w:tcBorders>
              <w:top w:val="nil"/>
              <w:left w:val="single" w:sz="4" w:space="0" w:color="auto"/>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39,7</w:t>
            </w:r>
          </w:p>
        </w:tc>
        <w:tc>
          <w:tcPr>
            <w:tcW w:w="974" w:type="dxa"/>
            <w:tcBorders>
              <w:top w:val="nil"/>
              <w:left w:val="nil"/>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21</w:t>
            </w:r>
          </w:p>
        </w:tc>
        <w:tc>
          <w:tcPr>
            <w:tcW w:w="1011"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p>
        </w:tc>
        <w:tc>
          <w:tcPr>
            <w:tcW w:w="1013" w:type="dxa"/>
            <w:tcBorders>
              <w:top w:val="nil"/>
              <w:left w:val="single" w:sz="4" w:space="0" w:color="auto"/>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41,7</w:t>
            </w:r>
          </w:p>
        </w:tc>
        <w:tc>
          <w:tcPr>
            <w:tcW w:w="849" w:type="dxa"/>
            <w:tcBorders>
              <w:top w:val="nil"/>
              <w:left w:val="nil"/>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19</w:t>
            </w:r>
          </w:p>
        </w:tc>
      </w:tr>
      <w:tr w:rsidR="0086009A" w:rsidRPr="003F2EAB" w:rsidTr="00347901">
        <w:trPr>
          <w:trHeight w:val="300"/>
        </w:trPr>
        <w:tc>
          <w:tcPr>
            <w:tcW w:w="4268"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přihlášky užitných vzorů dle původu</w:t>
            </w:r>
          </w:p>
        </w:tc>
        <w:tc>
          <w:tcPr>
            <w:tcW w:w="992" w:type="dxa"/>
            <w:tcBorders>
              <w:top w:val="nil"/>
              <w:left w:val="single" w:sz="4" w:space="0" w:color="auto"/>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61,3</w:t>
            </w:r>
          </w:p>
        </w:tc>
        <w:tc>
          <w:tcPr>
            <w:tcW w:w="974" w:type="dxa"/>
            <w:tcBorders>
              <w:top w:val="nil"/>
              <w:left w:val="nil"/>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7</w:t>
            </w:r>
          </w:p>
        </w:tc>
        <w:tc>
          <w:tcPr>
            <w:tcW w:w="1011"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silná</w:t>
            </w:r>
          </w:p>
        </w:tc>
        <w:tc>
          <w:tcPr>
            <w:tcW w:w="1013" w:type="dxa"/>
            <w:tcBorders>
              <w:top w:val="nil"/>
              <w:left w:val="single" w:sz="4" w:space="0" w:color="auto"/>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21,4</w:t>
            </w:r>
          </w:p>
        </w:tc>
        <w:tc>
          <w:tcPr>
            <w:tcW w:w="849" w:type="dxa"/>
            <w:tcBorders>
              <w:top w:val="nil"/>
              <w:left w:val="nil"/>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22</w:t>
            </w:r>
          </w:p>
        </w:tc>
      </w:tr>
      <w:tr w:rsidR="0086009A" w:rsidRPr="003F2EAB" w:rsidTr="00347901">
        <w:trPr>
          <w:trHeight w:val="300"/>
        </w:trPr>
        <w:tc>
          <w:tcPr>
            <w:tcW w:w="4268"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6.2 Znalostní dopady</w:t>
            </w:r>
          </w:p>
        </w:tc>
        <w:tc>
          <w:tcPr>
            <w:tcW w:w="992" w:type="dxa"/>
            <w:tcBorders>
              <w:top w:val="nil"/>
              <w:left w:val="single" w:sz="4" w:space="0" w:color="auto"/>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54,3</w:t>
            </w:r>
          </w:p>
        </w:tc>
        <w:tc>
          <w:tcPr>
            <w:tcW w:w="974" w:type="dxa"/>
            <w:tcBorders>
              <w:top w:val="nil"/>
              <w:left w:val="nil"/>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11</w:t>
            </w:r>
          </w:p>
        </w:tc>
        <w:tc>
          <w:tcPr>
            <w:tcW w:w="1011"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silná</w:t>
            </w:r>
          </w:p>
        </w:tc>
        <w:tc>
          <w:tcPr>
            <w:tcW w:w="1013" w:type="dxa"/>
            <w:tcBorders>
              <w:top w:val="nil"/>
              <w:left w:val="single" w:sz="4" w:space="0" w:color="auto"/>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43,7</w:t>
            </w:r>
          </w:p>
        </w:tc>
        <w:tc>
          <w:tcPr>
            <w:tcW w:w="849" w:type="dxa"/>
            <w:tcBorders>
              <w:top w:val="nil"/>
              <w:left w:val="nil"/>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33</w:t>
            </w:r>
          </w:p>
        </w:tc>
      </w:tr>
      <w:tr w:rsidR="0086009A" w:rsidRPr="003F2EAB" w:rsidTr="00347901">
        <w:trPr>
          <w:trHeight w:val="300"/>
        </w:trPr>
        <w:tc>
          <w:tcPr>
            <w:tcW w:w="4268"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ISO 9001 certifikáty kvality</w:t>
            </w:r>
          </w:p>
        </w:tc>
        <w:tc>
          <w:tcPr>
            <w:tcW w:w="992" w:type="dxa"/>
            <w:tcBorders>
              <w:top w:val="nil"/>
              <w:left w:val="single" w:sz="4" w:space="0" w:color="auto"/>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72,5</w:t>
            </w:r>
          </w:p>
        </w:tc>
        <w:tc>
          <w:tcPr>
            <w:tcW w:w="974" w:type="dxa"/>
            <w:tcBorders>
              <w:top w:val="nil"/>
              <w:left w:val="nil"/>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6</w:t>
            </w:r>
          </w:p>
        </w:tc>
        <w:tc>
          <w:tcPr>
            <w:tcW w:w="1011"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silná</w:t>
            </w:r>
          </w:p>
        </w:tc>
        <w:tc>
          <w:tcPr>
            <w:tcW w:w="1013" w:type="dxa"/>
            <w:tcBorders>
              <w:top w:val="nil"/>
              <w:left w:val="single" w:sz="4" w:space="0" w:color="auto"/>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22,6</w:t>
            </w:r>
          </w:p>
        </w:tc>
        <w:tc>
          <w:tcPr>
            <w:tcW w:w="849" w:type="dxa"/>
            <w:tcBorders>
              <w:top w:val="nil"/>
              <w:left w:val="nil"/>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34</w:t>
            </w:r>
          </w:p>
        </w:tc>
      </w:tr>
      <w:tr w:rsidR="0086009A" w:rsidRPr="003F2EAB" w:rsidTr="00347901">
        <w:trPr>
          <w:trHeight w:val="300"/>
        </w:trPr>
        <w:tc>
          <w:tcPr>
            <w:tcW w:w="4268"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výstup </w:t>
            </w:r>
            <w:proofErr w:type="spellStart"/>
            <w:r w:rsidRPr="003F2EAB">
              <w:rPr>
                <w:rFonts w:ascii="Arial" w:eastAsia="Times New Roman" w:hAnsi="Arial" w:cs="Arial"/>
                <w:i/>
                <w:iCs/>
                <w:color w:val="000000"/>
                <w:sz w:val="18"/>
                <w:szCs w:val="18"/>
                <w:lang w:eastAsia="cs-CZ"/>
              </w:rPr>
              <w:t>high-tech</w:t>
            </w:r>
            <w:proofErr w:type="spellEnd"/>
            <w:r w:rsidRPr="003F2EAB">
              <w:rPr>
                <w:rFonts w:ascii="Arial" w:eastAsia="Times New Roman" w:hAnsi="Arial" w:cs="Arial"/>
                <w:i/>
                <w:iCs/>
                <w:color w:val="000000"/>
                <w:sz w:val="18"/>
                <w:szCs w:val="18"/>
                <w:lang w:eastAsia="cs-CZ"/>
              </w:rPr>
              <w:t xml:space="preserve"> a medium </w:t>
            </w:r>
            <w:proofErr w:type="spellStart"/>
            <w:r w:rsidRPr="003F2EAB">
              <w:rPr>
                <w:rFonts w:ascii="Arial" w:eastAsia="Times New Roman" w:hAnsi="Arial" w:cs="Arial"/>
                <w:i/>
                <w:iCs/>
                <w:color w:val="000000"/>
                <w:sz w:val="18"/>
                <w:szCs w:val="18"/>
                <w:lang w:eastAsia="cs-CZ"/>
              </w:rPr>
              <w:t>high-tech</w:t>
            </w:r>
            <w:proofErr w:type="spellEnd"/>
          </w:p>
        </w:tc>
        <w:tc>
          <w:tcPr>
            <w:tcW w:w="992" w:type="dxa"/>
            <w:tcBorders>
              <w:top w:val="nil"/>
              <w:left w:val="single" w:sz="4" w:space="0" w:color="auto"/>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74,6</w:t>
            </w:r>
          </w:p>
        </w:tc>
        <w:tc>
          <w:tcPr>
            <w:tcW w:w="974" w:type="dxa"/>
            <w:tcBorders>
              <w:top w:val="nil"/>
              <w:left w:val="nil"/>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7</w:t>
            </w:r>
          </w:p>
        </w:tc>
        <w:tc>
          <w:tcPr>
            <w:tcW w:w="1011"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silná</w:t>
            </w:r>
          </w:p>
        </w:tc>
        <w:tc>
          <w:tcPr>
            <w:tcW w:w="1013" w:type="dxa"/>
            <w:tcBorders>
              <w:top w:val="nil"/>
              <w:left w:val="single" w:sz="4" w:space="0" w:color="auto"/>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55,5</w:t>
            </w:r>
          </w:p>
        </w:tc>
        <w:tc>
          <w:tcPr>
            <w:tcW w:w="849" w:type="dxa"/>
            <w:tcBorders>
              <w:top w:val="nil"/>
              <w:left w:val="nil"/>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16</w:t>
            </w:r>
          </w:p>
        </w:tc>
      </w:tr>
      <w:tr w:rsidR="0086009A" w:rsidRPr="003F2EAB" w:rsidTr="00347901">
        <w:trPr>
          <w:trHeight w:val="300"/>
        </w:trPr>
        <w:tc>
          <w:tcPr>
            <w:tcW w:w="4268"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6.3 Rozšiřování znalostí</w:t>
            </w:r>
          </w:p>
        </w:tc>
        <w:tc>
          <w:tcPr>
            <w:tcW w:w="992" w:type="dxa"/>
            <w:tcBorders>
              <w:top w:val="nil"/>
              <w:left w:val="single" w:sz="4" w:space="0" w:color="auto"/>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33,0</w:t>
            </w:r>
          </w:p>
        </w:tc>
        <w:tc>
          <w:tcPr>
            <w:tcW w:w="974" w:type="dxa"/>
            <w:tcBorders>
              <w:top w:val="nil"/>
              <w:left w:val="nil"/>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26</w:t>
            </w:r>
          </w:p>
        </w:tc>
        <w:tc>
          <w:tcPr>
            <w:tcW w:w="1011"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p>
        </w:tc>
        <w:tc>
          <w:tcPr>
            <w:tcW w:w="1013" w:type="dxa"/>
            <w:tcBorders>
              <w:top w:val="nil"/>
              <w:left w:val="single" w:sz="4" w:space="0" w:color="auto"/>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17,4</w:t>
            </w:r>
          </w:p>
        </w:tc>
        <w:tc>
          <w:tcPr>
            <w:tcW w:w="849" w:type="dxa"/>
            <w:tcBorders>
              <w:top w:val="nil"/>
              <w:left w:val="nil"/>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76</w:t>
            </w:r>
          </w:p>
        </w:tc>
      </w:tr>
      <w:tr w:rsidR="0086009A" w:rsidRPr="003F2EAB" w:rsidTr="00347901">
        <w:trPr>
          <w:trHeight w:val="300"/>
        </w:trPr>
        <w:tc>
          <w:tcPr>
            <w:tcW w:w="4268"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vývozy </w:t>
            </w:r>
            <w:proofErr w:type="spellStart"/>
            <w:r w:rsidRPr="003F2EAB">
              <w:rPr>
                <w:rFonts w:ascii="Arial" w:eastAsia="Times New Roman" w:hAnsi="Arial" w:cs="Arial"/>
                <w:i/>
                <w:iCs/>
                <w:color w:val="000000"/>
                <w:sz w:val="18"/>
                <w:szCs w:val="18"/>
                <w:lang w:eastAsia="cs-CZ"/>
              </w:rPr>
              <w:t>high-tech</w:t>
            </w:r>
            <w:proofErr w:type="spellEnd"/>
            <w:r w:rsidRPr="003F2EAB">
              <w:rPr>
                <w:rFonts w:ascii="Arial" w:eastAsia="Times New Roman" w:hAnsi="Arial" w:cs="Arial"/>
                <w:i/>
                <w:iCs/>
                <w:color w:val="000000"/>
                <w:sz w:val="18"/>
                <w:szCs w:val="18"/>
                <w:lang w:eastAsia="cs-CZ"/>
              </w:rPr>
              <w:t>, bez re-exportu</w:t>
            </w:r>
          </w:p>
        </w:tc>
        <w:tc>
          <w:tcPr>
            <w:tcW w:w="992" w:type="dxa"/>
            <w:tcBorders>
              <w:top w:val="nil"/>
              <w:left w:val="single" w:sz="4" w:space="0" w:color="auto"/>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67,9</w:t>
            </w:r>
          </w:p>
        </w:tc>
        <w:tc>
          <w:tcPr>
            <w:tcW w:w="974" w:type="dxa"/>
            <w:tcBorders>
              <w:top w:val="nil"/>
              <w:left w:val="nil"/>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6</w:t>
            </w:r>
          </w:p>
        </w:tc>
        <w:tc>
          <w:tcPr>
            <w:tcW w:w="1011"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silná</w:t>
            </w:r>
          </w:p>
        </w:tc>
        <w:tc>
          <w:tcPr>
            <w:tcW w:w="1013" w:type="dxa"/>
            <w:tcBorders>
              <w:top w:val="nil"/>
              <w:left w:val="single" w:sz="4" w:space="0" w:color="auto"/>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46,7</w:t>
            </w:r>
          </w:p>
        </w:tc>
        <w:tc>
          <w:tcPr>
            <w:tcW w:w="849" w:type="dxa"/>
            <w:tcBorders>
              <w:top w:val="nil"/>
              <w:left w:val="nil"/>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18</w:t>
            </w:r>
          </w:p>
        </w:tc>
      </w:tr>
      <w:tr w:rsidR="0086009A" w:rsidRPr="003F2EAB" w:rsidTr="00347901">
        <w:trPr>
          <w:trHeight w:val="300"/>
        </w:trPr>
        <w:tc>
          <w:tcPr>
            <w:tcW w:w="4268" w:type="dxa"/>
            <w:tcBorders>
              <w:top w:val="nil"/>
              <w:left w:val="nil"/>
              <w:bottom w:val="nil"/>
              <w:right w:val="single" w:sz="4" w:space="0" w:color="auto"/>
            </w:tcBorders>
            <w:shd w:val="clear" w:color="000000" w:fill="B8CCE4"/>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7. Tvůrčí výstupy</w:t>
            </w:r>
          </w:p>
        </w:tc>
        <w:tc>
          <w:tcPr>
            <w:tcW w:w="992" w:type="dxa"/>
            <w:tcBorders>
              <w:top w:val="nil"/>
              <w:left w:val="single" w:sz="4" w:space="0" w:color="auto"/>
              <w:bottom w:val="nil"/>
              <w:right w:val="nil"/>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44,1</w:t>
            </w:r>
          </w:p>
        </w:tc>
        <w:tc>
          <w:tcPr>
            <w:tcW w:w="974" w:type="dxa"/>
            <w:tcBorders>
              <w:top w:val="nil"/>
              <w:left w:val="nil"/>
              <w:bottom w:val="nil"/>
              <w:right w:val="nil"/>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25</w:t>
            </w:r>
          </w:p>
        </w:tc>
        <w:tc>
          <w:tcPr>
            <w:tcW w:w="1011" w:type="dxa"/>
            <w:tcBorders>
              <w:top w:val="nil"/>
              <w:left w:val="nil"/>
              <w:bottom w:val="nil"/>
              <w:right w:val="single" w:sz="4" w:space="0" w:color="auto"/>
            </w:tcBorders>
            <w:shd w:val="clear" w:color="000000" w:fill="B8CCE4"/>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p>
        </w:tc>
        <w:tc>
          <w:tcPr>
            <w:tcW w:w="1013" w:type="dxa"/>
            <w:tcBorders>
              <w:top w:val="nil"/>
              <w:left w:val="single" w:sz="4" w:space="0" w:color="auto"/>
              <w:bottom w:val="nil"/>
              <w:right w:val="nil"/>
            </w:tcBorders>
            <w:shd w:val="clear" w:color="000000" w:fill="B8CCE4"/>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45,8</w:t>
            </w:r>
          </w:p>
        </w:tc>
        <w:tc>
          <w:tcPr>
            <w:tcW w:w="849" w:type="dxa"/>
            <w:tcBorders>
              <w:top w:val="nil"/>
              <w:left w:val="nil"/>
              <w:bottom w:val="nil"/>
              <w:right w:val="nil"/>
            </w:tcBorders>
            <w:shd w:val="clear" w:color="000000" w:fill="B8CCE4"/>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20</w:t>
            </w:r>
          </w:p>
        </w:tc>
      </w:tr>
      <w:tr w:rsidR="0086009A" w:rsidRPr="003F2EAB" w:rsidTr="00347901">
        <w:trPr>
          <w:trHeight w:val="300"/>
        </w:trPr>
        <w:tc>
          <w:tcPr>
            <w:tcW w:w="4268"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7.1 Nehmotná aktiva</w:t>
            </w:r>
          </w:p>
        </w:tc>
        <w:tc>
          <w:tcPr>
            <w:tcW w:w="992" w:type="dxa"/>
            <w:tcBorders>
              <w:top w:val="nil"/>
              <w:left w:val="single" w:sz="4" w:space="0" w:color="auto"/>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49,6</w:t>
            </w:r>
          </w:p>
        </w:tc>
        <w:tc>
          <w:tcPr>
            <w:tcW w:w="974" w:type="dxa"/>
            <w:tcBorders>
              <w:top w:val="nil"/>
              <w:left w:val="nil"/>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39</w:t>
            </w:r>
          </w:p>
        </w:tc>
        <w:tc>
          <w:tcPr>
            <w:tcW w:w="1011"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p>
        </w:tc>
        <w:tc>
          <w:tcPr>
            <w:tcW w:w="1013" w:type="dxa"/>
            <w:tcBorders>
              <w:top w:val="nil"/>
              <w:left w:val="single" w:sz="4" w:space="0" w:color="auto"/>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52,1</w:t>
            </w:r>
          </w:p>
        </w:tc>
        <w:tc>
          <w:tcPr>
            <w:tcW w:w="849" w:type="dxa"/>
            <w:tcBorders>
              <w:top w:val="nil"/>
              <w:left w:val="nil"/>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30</w:t>
            </w:r>
          </w:p>
        </w:tc>
      </w:tr>
      <w:tr w:rsidR="0086009A" w:rsidRPr="003F2EAB" w:rsidTr="00347901">
        <w:trPr>
          <w:trHeight w:val="300"/>
        </w:trPr>
        <w:tc>
          <w:tcPr>
            <w:tcW w:w="4268"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7.2 Kreativní zboží a služby</w:t>
            </w:r>
          </w:p>
        </w:tc>
        <w:tc>
          <w:tcPr>
            <w:tcW w:w="992" w:type="dxa"/>
            <w:tcBorders>
              <w:top w:val="nil"/>
              <w:left w:val="single" w:sz="4" w:space="0" w:color="auto"/>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42,7</w:t>
            </w:r>
          </w:p>
        </w:tc>
        <w:tc>
          <w:tcPr>
            <w:tcW w:w="974" w:type="dxa"/>
            <w:tcBorders>
              <w:top w:val="nil"/>
              <w:left w:val="nil"/>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11</w:t>
            </w:r>
          </w:p>
        </w:tc>
        <w:tc>
          <w:tcPr>
            <w:tcW w:w="1011"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silná</w:t>
            </w:r>
          </w:p>
        </w:tc>
        <w:tc>
          <w:tcPr>
            <w:tcW w:w="1013" w:type="dxa"/>
            <w:tcBorders>
              <w:top w:val="nil"/>
              <w:left w:val="single" w:sz="4" w:space="0" w:color="auto"/>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38,3</w:t>
            </w:r>
          </w:p>
        </w:tc>
        <w:tc>
          <w:tcPr>
            <w:tcW w:w="849" w:type="dxa"/>
            <w:tcBorders>
              <w:top w:val="nil"/>
              <w:left w:val="nil"/>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21</w:t>
            </w:r>
          </w:p>
        </w:tc>
      </w:tr>
      <w:tr w:rsidR="0086009A" w:rsidRPr="003F2EAB" w:rsidTr="00347901">
        <w:trPr>
          <w:trHeight w:val="300"/>
        </w:trPr>
        <w:tc>
          <w:tcPr>
            <w:tcW w:w="4268"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tiskové a publikační výstupy</w:t>
            </w:r>
          </w:p>
        </w:tc>
        <w:tc>
          <w:tcPr>
            <w:tcW w:w="992" w:type="dxa"/>
            <w:tcBorders>
              <w:top w:val="nil"/>
              <w:left w:val="single" w:sz="4" w:space="0" w:color="auto"/>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24,3</w:t>
            </w:r>
          </w:p>
        </w:tc>
        <w:tc>
          <w:tcPr>
            <w:tcW w:w="974" w:type="dxa"/>
            <w:tcBorders>
              <w:top w:val="nil"/>
              <w:left w:val="nil"/>
              <w:bottom w:val="nil"/>
              <w:right w:val="nil"/>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58</w:t>
            </w:r>
          </w:p>
        </w:tc>
        <w:tc>
          <w:tcPr>
            <w:tcW w:w="1011" w:type="dxa"/>
            <w:tcBorders>
              <w:top w:val="nil"/>
              <w:left w:val="nil"/>
              <w:bottom w:val="nil"/>
              <w:right w:val="single" w:sz="4" w:space="0" w:color="auto"/>
            </w:tcBorders>
            <w:shd w:val="clear" w:color="auto" w:fill="D9D9D9" w:themeFill="background1" w:themeFillShade="D9"/>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slabá</w:t>
            </w:r>
          </w:p>
        </w:tc>
        <w:tc>
          <w:tcPr>
            <w:tcW w:w="1013" w:type="dxa"/>
            <w:tcBorders>
              <w:top w:val="nil"/>
              <w:left w:val="single" w:sz="4" w:space="0" w:color="auto"/>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30,4</w:t>
            </w:r>
          </w:p>
        </w:tc>
        <w:tc>
          <w:tcPr>
            <w:tcW w:w="849" w:type="dxa"/>
            <w:tcBorders>
              <w:top w:val="nil"/>
              <w:left w:val="nil"/>
              <w:bottom w:val="nil"/>
              <w:right w:val="nil"/>
            </w:tcBorders>
            <w:shd w:val="clear" w:color="auto" w:fill="D9D9D9" w:themeFill="background1" w:themeFillShade="D9"/>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42</w:t>
            </w:r>
          </w:p>
        </w:tc>
      </w:tr>
      <w:tr w:rsidR="0086009A" w:rsidRPr="003F2EAB" w:rsidTr="00347901">
        <w:trPr>
          <w:trHeight w:val="300"/>
        </w:trPr>
        <w:tc>
          <w:tcPr>
            <w:tcW w:w="4268"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vývozy kreativního zboží</w:t>
            </w:r>
          </w:p>
        </w:tc>
        <w:tc>
          <w:tcPr>
            <w:tcW w:w="992" w:type="dxa"/>
            <w:tcBorders>
              <w:top w:val="nil"/>
              <w:left w:val="single" w:sz="4" w:space="0" w:color="auto"/>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91,6</w:t>
            </w:r>
          </w:p>
        </w:tc>
        <w:tc>
          <w:tcPr>
            <w:tcW w:w="974" w:type="dxa"/>
            <w:tcBorders>
              <w:top w:val="nil"/>
              <w:left w:val="nil"/>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4</w:t>
            </w:r>
          </w:p>
        </w:tc>
        <w:tc>
          <w:tcPr>
            <w:tcW w:w="1011"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silná</w:t>
            </w:r>
          </w:p>
        </w:tc>
        <w:tc>
          <w:tcPr>
            <w:tcW w:w="1013" w:type="dxa"/>
            <w:tcBorders>
              <w:top w:val="nil"/>
              <w:left w:val="single" w:sz="4" w:space="0" w:color="auto"/>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36,0</w:t>
            </w:r>
          </w:p>
        </w:tc>
        <w:tc>
          <w:tcPr>
            <w:tcW w:w="849" w:type="dxa"/>
            <w:tcBorders>
              <w:top w:val="nil"/>
              <w:left w:val="nil"/>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37</w:t>
            </w:r>
          </w:p>
        </w:tc>
      </w:tr>
      <w:tr w:rsidR="0086009A" w:rsidRPr="003F2EAB" w:rsidTr="00347901">
        <w:trPr>
          <w:trHeight w:val="300"/>
        </w:trPr>
        <w:tc>
          <w:tcPr>
            <w:tcW w:w="4268"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7.3 Online kreativita</w:t>
            </w:r>
          </w:p>
        </w:tc>
        <w:tc>
          <w:tcPr>
            <w:tcW w:w="992" w:type="dxa"/>
            <w:tcBorders>
              <w:top w:val="nil"/>
              <w:left w:val="single" w:sz="4" w:space="0" w:color="auto"/>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34,5</w:t>
            </w:r>
          </w:p>
        </w:tc>
        <w:tc>
          <w:tcPr>
            <w:tcW w:w="974" w:type="dxa"/>
            <w:tcBorders>
              <w:top w:val="nil"/>
              <w:left w:val="nil"/>
              <w:bottom w:val="nil"/>
              <w:right w:val="nil"/>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26</w:t>
            </w:r>
          </w:p>
        </w:tc>
        <w:tc>
          <w:tcPr>
            <w:tcW w:w="1011" w:type="dxa"/>
            <w:tcBorders>
              <w:top w:val="nil"/>
              <w:left w:val="nil"/>
              <w:bottom w:val="nil"/>
              <w:right w:val="single" w:sz="4" w:space="0" w:color="auto"/>
            </w:tcBorders>
            <w:shd w:val="clear" w:color="auto" w:fill="auto"/>
            <w:noWrap/>
            <w:vAlign w:val="center"/>
            <w:hideMark/>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p>
        </w:tc>
        <w:tc>
          <w:tcPr>
            <w:tcW w:w="1013" w:type="dxa"/>
            <w:tcBorders>
              <w:top w:val="nil"/>
              <w:left w:val="single" w:sz="4" w:space="0" w:color="auto"/>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40,5</w:t>
            </w:r>
          </w:p>
        </w:tc>
        <w:tc>
          <w:tcPr>
            <w:tcW w:w="849" w:type="dxa"/>
            <w:tcBorders>
              <w:top w:val="nil"/>
              <w:left w:val="nil"/>
              <w:bottom w:val="nil"/>
              <w:right w:val="nil"/>
            </w:tcBorders>
            <w:vAlign w:val="center"/>
          </w:tcPr>
          <w:p w:rsidR="0086009A" w:rsidRPr="003F2EAB" w:rsidRDefault="0086009A" w:rsidP="00347901">
            <w:pPr>
              <w:spacing w:after="0" w:line="240" w:lineRule="auto"/>
              <w:jc w:val="center"/>
              <w:rPr>
                <w:rFonts w:ascii="Arial" w:eastAsia="Times New Roman" w:hAnsi="Arial" w:cs="Arial"/>
                <w:color w:val="000000"/>
                <w:sz w:val="18"/>
                <w:szCs w:val="18"/>
                <w:lang w:eastAsia="cs-CZ"/>
              </w:rPr>
            </w:pPr>
            <w:r w:rsidRPr="003F2EAB">
              <w:rPr>
                <w:rFonts w:ascii="Arial" w:eastAsia="Times New Roman" w:hAnsi="Arial" w:cs="Arial"/>
                <w:color w:val="000000"/>
                <w:sz w:val="18"/>
                <w:szCs w:val="18"/>
                <w:lang w:eastAsia="cs-CZ"/>
              </w:rPr>
              <w:t>18</w:t>
            </w:r>
          </w:p>
        </w:tc>
      </w:tr>
      <w:tr w:rsidR="0086009A" w:rsidRPr="003F2EAB" w:rsidTr="00347901">
        <w:trPr>
          <w:trHeight w:val="300"/>
        </w:trPr>
        <w:tc>
          <w:tcPr>
            <w:tcW w:w="4268"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 xml:space="preserve"> - kód země - špičkové domény</w:t>
            </w:r>
          </w:p>
        </w:tc>
        <w:tc>
          <w:tcPr>
            <w:tcW w:w="992" w:type="dxa"/>
            <w:tcBorders>
              <w:top w:val="nil"/>
              <w:left w:val="single" w:sz="4" w:space="0" w:color="auto"/>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49,06</w:t>
            </w:r>
          </w:p>
        </w:tc>
        <w:tc>
          <w:tcPr>
            <w:tcW w:w="974" w:type="dxa"/>
            <w:tcBorders>
              <w:top w:val="nil"/>
              <w:left w:val="nil"/>
              <w:bottom w:val="nil"/>
              <w:right w:val="nil"/>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15</w:t>
            </w:r>
          </w:p>
        </w:tc>
        <w:tc>
          <w:tcPr>
            <w:tcW w:w="1011" w:type="dxa"/>
            <w:tcBorders>
              <w:top w:val="nil"/>
              <w:left w:val="nil"/>
              <w:bottom w:val="nil"/>
              <w:right w:val="single" w:sz="4" w:space="0" w:color="auto"/>
            </w:tcBorders>
            <w:shd w:val="clear" w:color="auto" w:fill="F2F2F2" w:themeFill="background1" w:themeFillShade="F2"/>
            <w:noWrap/>
            <w:vAlign w:val="center"/>
            <w:hideMark/>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silná</w:t>
            </w:r>
          </w:p>
        </w:tc>
        <w:tc>
          <w:tcPr>
            <w:tcW w:w="1013" w:type="dxa"/>
            <w:tcBorders>
              <w:top w:val="nil"/>
              <w:left w:val="single" w:sz="4" w:space="0" w:color="auto"/>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59,6</w:t>
            </w:r>
          </w:p>
        </w:tc>
        <w:tc>
          <w:tcPr>
            <w:tcW w:w="849" w:type="dxa"/>
            <w:tcBorders>
              <w:top w:val="nil"/>
              <w:left w:val="nil"/>
              <w:bottom w:val="nil"/>
              <w:right w:val="nil"/>
            </w:tcBorders>
            <w:shd w:val="clear" w:color="auto" w:fill="F2F2F2" w:themeFill="background1" w:themeFillShade="F2"/>
            <w:vAlign w:val="center"/>
          </w:tcPr>
          <w:p w:rsidR="0086009A" w:rsidRPr="003F2EAB" w:rsidRDefault="0086009A" w:rsidP="00347901">
            <w:pPr>
              <w:spacing w:after="0" w:line="240" w:lineRule="auto"/>
              <w:jc w:val="center"/>
              <w:rPr>
                <w:rFonts w:ascii="Arial" w:eastAsia="Times New Roman" w:hAnsi="Arial" w:cs="Arial"/>
                <w:i/>
                <w:iCs/>
                <w:color w:val="000000"/>
                <w:sz w:val="18"/>
                <w:szCs w:val="18"/>
                <w:lang w:eastAsia="cs-CZ"/>
              </w:rPr>
            </w:pPr>
            <w:r w:rsidRPr="003F2EAB">
              <w:rPr>
                <w:rFonts w:ascii="Arial" w:eastAsia="Times New Roman" w:hAnsi="Arial" w:cs="Arial"/>
                <w:i/>
                <w:iCs/>
                <w:color w:val="000000"/>
                <w:sz w:val="18"/>
                <w:szCs w:val="18"/>
                <w:lang w:eastAsia="cs-CZ"/>
              </w:rPr>
              <w:t>11</w:t>
            </w:r>
          </w:p>
        </w:tc>
      </w:tr>
    </w:tbl>
    <w:p w:rsidR="0086009A" w:rsidRPr="003F2EAB" w:rsidRDefault="0086009A" w:rsidP="00347901">
      <w:pPr>
        <w:spacing w:before="240" w:line="360" w:lineRule="auto"/>
        <w:jc w:val="both"/>
        <w:rPr>
          <w:rFonts w:ascii="Arial" w:hAnsi="Arial" w:cs="Arial"/>
          <w:i/>
          <w:sz w:val="18"/>
        </w:rPr>
      </w:pPr>
      <w:r w:rsidRPr="003F2EAB">
        <w:rPr>
          <w:rFonts w:ascii="Arial" w:hAnsi="Arial" w:cs="Arial"/>
          <w:i/>
          <w:sz w:val="18"/>
        </w:rPr>
        <w:t>Zdroj: vlastní zpracování dle GII report 2018</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 xml:space="preserve">V rámci sledovaných indikátorů bylo u ČR 10 z těchto indikátorů hodnoceno jako silná stránka a 9 jako slabá stránka. Nejlepšího umístění ČR dosáhla v oblasti vývozu kreativního zboží, kde se umístila na 4. místě, v rámci ISO 9001 certifikáty kvality a vývozu </w:t>
      </w:r>
      <w:proofErr w:type="spellStart"/>
      <w:r w:rsidRPr="003F2EAB">
        <w:rPr>
          <w:rFonts w:ascii="Arial" w:hAnsi="Arial" w:cs="Arial"/>
        </w:rPr>
        <w:t>hi-tech</w:t>
      </w:r>
      <w:proofErr w:type="spellEnd"/>
      <w:r w:rsidRPr="003F2EAB">
        <w:rPr>
          <w:rFonts w:ascii="Arial" w:hAnsi="Arial" w:cs="Arial"/>
        </w:rPr>
        <w:t xml:space="preserve"> bez reexportu dosáhla 6. místa a v přihláškách užitných vzorů dle původu 7. místa. Naopak nejhorší pozice dosáhla ČR v sub-pilíři investic (98.), dostupnosti služeb vládních institucí přes internet (88.) a Joint Venture </w:t>
      </w:r>
      <w:r>
        <w:rPr>
          <w:rFonts w:ascii="Arial" w:hAnsi="Arial" w:cs="Arial"/>
        </w:rPr>
        <w:t>−</w:t>
      </w:r>
      <w:r w:rsidRPr="003F2EAB">
        <w:rPr>
          <w:rFonts w:ascii="Arial" w:hAnsi="Arial" w:cs="Arial"/>
        </w:rPr>
        <w:t xml:space="preserve"> dohody strategických partnerství (81.). </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Největší rozdíly v rámci pozice ČR a Rakouska jsou z oblastí uvedených v tabulce 1 u</w:t>
      </w:r>
      <w:r w:rsidR="00B308C1">
        <w:rPr>
          <w:rFonts w:ascii="Arial" w:hAnsi="Arial" w:cs="Arial"/>
        </w:rPr>
        <w:t> </w:t>
      </w:r>
      <w:r w:rsidRPr="003F2EAB">
        <w:rPr>
          <w:rFonts w:ascii="Arial" w:hAnsi="Arial" w:cs="Arial"/>
        </w:rPr>
        <w:t xml:space="preserve">dostupnosti služeb vládních institucí přes internet (ČR 88. pozice, Rakousko 11. pozice, rozdíl 77 příček). Dále u ceny propouštění pro nadbytečnost, kde ČR obsadila 77. pozici a Rakousko 1. pozici (rozdíl 76 pozic) nebo například horší umístění ČR o 60. příček v rámci využívání internetu pro komunikaci s občany. </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Naopak lepšího umístění než Rakousko dosáhla ČR v sub-pilíři rozšiřování znalostí (ČR 26. pozice, Rakousko 76. pozice). O 33 pozic vyššího umístění ČR dosáhla u vývozu kreativního zboží a o 30 příček u ISO 14001 ekologické certifikáty.</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Na obrázku 8.8 je rozklad GII 2018 na jednotlivé pilíře a jsou zde zaznamenány hodnoty ČR a</w:t>
      </w:r>
      <w:r w:rsidR="00347901">
        <w:rPr>
          <w:rFonts w:ascii="Arial" w:hAnsi="Arial" w:cs="Arial"/>
        </w:rPr>
        <w:t> </w:t>
      </w:r>
      <w:r w:rsidRPr="003F2EAB">
        <w:rPr>
          <w:rFonts w:ascii="Arial" w:hAnsi="Arial" w:cs="Arial"/>
        </w:rPr>
        <w:t>Rakouska. V rámci ukazatele GII dosáhla ČR hodnoty 48,7 (27. pozice) a Rakousko 51,3 (21.</w:t>
      </w:r>
      <w:r w:rsidR="00347901">
        <w:rPr>
          <w:rFonts w:ascii="Arial" w:hAnsi="Arial" w:cs="Arial"/>
        </w:rPr>
        <w:t> </w:t>
      </w:r>
      <w:r w:rsidRPr="003F2EAB">
        <w:rPr>
          <w:rFonts w:ascii="Arial" w:hAnsi="Arial" w:cs="Arial"/>
        </w:rPr>
        <w:t xml:space="preserve">pozice). U sub-indexu </w:t>
      </w:r>
      <w:proofErr w:type="spellStart"/>
      <w:r w:rsidRPr="003F2EAB">
        <w:rPr>
          <w:rFonts w:ascii="Arial" w:hAnsi="Arial" w:cs="Arial"/>
        </w:rPr>
        <w:t>Innovation</w:t>
      </w:r>
      <w:proofErr w:type="spellEnd"/>
      <w:r w:rsidRPr="003F2EAB">
        <w:rPr>
          <w:rFonts w:ascii="Arial" w:hAnsi="Arial" w:cs="Arial"/>
        </w:rPr>
        <w:t xml:space="preserve"> Input Sub-Index získala ČR skóre 54,3 (tj. 30. pozice) a</w:t>
      </w:r>
      <w:r w:rsidR="00347901">
        <w:rPr>
          <w:rFonts w:ascii="Arial" w:hAnsi="Arial" w:cs="Arial"/>
        </w:rPr>
        <w:t> </w:t>
      </w:r>
      <w:r w:rsidRPr="003F2EAB">
        <w:rPr>
          <w:rFonts w:ascii="Arial" w:hAnsi="Arial" w:cs="Arial"/>
        </w:rPr>
        <w:t xml:space="preserve"> Rakousko 62,6 (20. pozice). V oblasti tohoto sub-indexu má Rakousko ve všech oblastech lepší skóre než ČR. Situace je opačná u </w:t>
      </w:r>
      <w:proofErr w:type="spellStart"/>
      <w:r w:rsidRPr="003F2EAB">
        <w:rPr>
          <w:rFonts w:ascii="Arial" w:hAnsi="Arial" w:cs="Arial"/>
        </w:rPr>
        <w:t>Innovation</w:t>
      </w:r>
      <w:proofErr w:type="spellEnd"/>
      <w:r w:rsidRPr="003F2EAB">
        <w:rPr>
          <w:rFonts w:ascii="Arial" w:hAnsi="Arial" w:cs="Arial"/>
        </w:rPr>
        <w:t xml:space="preserve"> Output Sub-Index (ČR skóre 43,2, tj. 20. pozice; Rakousko skóre 40,0, tj. 28. pozice). V sub-pilíři </w:t>
      </w:r>
      <w:proofErr w:type="spellStart"/>
      <w:r w:rsidRPr="003F2EAB">
        <w:rPr>
          <w:rFonts w:ascii="Arial" w:hAnsi="Arial" w:cs="Arial"/>
        </w:rPr>
        <w:t>Knowledge</w:t>
      </w:r>
      <w:proofErr w:type="spellEnd"/>
      <w:r w:rsidRPr="003F2EAB">
        <w:rPr>
          <w:rFonts w:ascii="Arial" w:hAnsi="Arial" w:cs="Arial"/>
        </w:rPr>
        <w:t xml:space="preserve"> and Technology </w:t>
      </w:r>
      <w:proofErr w:type="spellStart"/>
      <w:r w:rsidRPr="003F2EAB">
        <w:rPr>
          <w:rFonts w:ascii="Arial" w:hAnsi="Arial" w:cs="Arial"/>
        </w:rPr>
        <w:t>Outputs</w:t>
      </w:r>
      <w:proofErr w:type="spellEnd"/>
      <w:r w:rsidRPr="003F2EAB">
        <w:rPr>
          <w:rFonts w:ascii="Arial" w:hAnsi="Arial" w:cs="Arial"/>
        </w:rPr>
        <w:t xml:space="preserve"> vykazuje ČR vyšší hodnoty než Rakousko. V této oblasti ČR dosahuje 11. příčky v rámci </w:t>
      </w:r>
      <w:proofErr w:type="spellStart"/>
      <w:r w:rsidRPr="003F2EAB">
        <w:rPr>
          <w:rFonts w:ascii="Arial" w:hAnsi="Arial" w:cs="Arial"/>
        </w:rPr>
        <w:t>Knowledge</w:t>
      </w:r>
      <w:proofErr w:type="spellEnd"/>
      <w:r w:rsidRPr="003F2EAB">
        <w:rPr>
          <w:rFonts w:ascii="Arial" w:hAnsi="Arial" w:cs="Arial"/>
        </w:rPr>
        <w:t xml:space="preserve"> </w:t>
      </w:r>
      <w:proofErr w:type="spellStart"/>
      <w:r w:rsidRPr="003F2EAB">
        <w:rPr>
          <w:rFonts w:ascii="Arial" w:hAnsi="Arial" w:cs="Arial"/>
        </w:rPr>
        <w:t>Impact</w:t>
      </w:r>
      <w:proofErr w:type="spellEnd"/>
      <w:r w:rsidRPr="003F2EAB">
        <w:rPr>
          <w:rFonts w:ascii="Arial" w:hAnsi="Arial" w:cs="Arial"/>
        </w:rPr>
        <w:t xml:space="preserve">, Rakousko 33. pozici. Ještě větší rozdíl mezi zeměmi je v oblasti </w:t>
      </w:r>
      <w:proofErr w:type="spellStart"/>
      <w:r w:rsidRPr="003F2EAB">
        <w:rPr>
          <w:rFonts w:ascii="Arial" w:hAnsi="Arial" w:cs="Arial"/>
        </w:rPr>
        <w:t>Knowledge</w:t>
      </w:r>
      <w:proofErr w:type="spellEnd"/>
      <w:r w:rsidRPr="003F2EAB">
        <w:rPr>
          <w:rFonts w:ascii="Arial" w:hAnsi="Arial" w:cs="Arial"/>
        </w:rPr>
        <w:t xml:space="preserve"> </w:t>
      </w:r>
      <w:proofErr w:type="spellStart"/>
      <w:r w:rsidRPr="003F2EAB">
        <w:rPr>
          <w:rFonts w:ascii="Arial" w:hAnsi="Arial" w:cs="Arial"/>
        </w:rPr>
        <w:t>Diffusion</w:t>
      </w:r>
      <w:proofErr w:type="spellEnd"/>
      <w:r w:rsidRPr="003F2EAB">
        <w:rPr>
          <w:rFonts w:ascii="Arial" w:hAnsi="Arial" w:cs="Arial"/>
        </w:rPr>
        <w:t xml:space="preserve"> (ČR 26. pozice, Rakousko 76. pozice). U sub-pilíře </w:t>
      </w:r>
      <w:proofErr w:type="spellStart"/>
      <w:r w:rsidRPr="003F2EAB">
        <w:rPr>
          <w:rFonts w:ascii="Arial" w:hAnsi="Arial" w:cs="Arial"/>
        </w:rPr>
        <w:t>Creative</w:t>
      </w:r>
      <w:proofErr w:type="spellEnd"/>
      <w:r w:rsidRPr="003F2EAB">
        <w:rPr>
          <w:rFonts w:ascii="Arial" w:hAnsi="Arial" w:cs="Arial"/>
        </w:rPr>
        <w:t xml:space="preserve"> </w:t>
      </w:r>
      <w:proofErr w:type="spellStart"/>
      <w:r w:rsidRPr="003F2EAB">
        <w:rPr>
          <w:rFonts w:ascii="Arial" w:hAnsi="Arial" w:cs="Arial"/>
        </w:rPr>
        <w:t>Outputs</w:t>
      </w:r>
      <w:proofErr w:type="spellEnd"/>
      <w:r w:rsidRPr="003F2EAB">
        <w:rPr>
          <w:rFonts w:ascii="Arial" w:hAnsi="Arial" w:cs="Arial"/>
        </w:rPr>
        <w:t xml:space="preserve"> dosahuje vyšší hodnoty Rakousko. </w:t>
      </w:r>
    </w:p>
    <w:p w:rsidR="0086009A" w:rsidRPr="003F2EAB" w:rsidRDefault="0086009A" w:rsidP="0086009A">
      <w:pPr>
        <w:spacing w:line="360" w:lineRule="auto"/>
        <w:jc w:val="both"/>
        <w:rPr>
          <w:rFonts w:ascii="Arial" w:hAnsi="Arial" w:cs="Arial"/>
        </w:rPr>
      </w:pPr>
    </w:p>
    <w:p w:rsidR="0086009A" w:rsidRPr="003F2EAB" w:rsidRDefault="0086009A" w:rsidP="0086009A">
      <w:pPr>
        <w:pStyle w:val="Obrzek"/>
      </w:pPr>
      <w:r w:rsidRPr="003F2EAB">
        <w:lastRenderedPageBreak/>
        <w:t>Obrázek 8.8: GII 2018 a dílčí indikátory pro ČR a Rakousko</w:t>
      </w:r>
    </w:p>
    <w:p w:rsidR="0086009A" w:rsidRPr="003F2EAB" w:rsidRDefault="0086009A" w:rsidP="0086009A">
      <w:pPr>
        <w:spacing w:line="360" w:lineRule="auto"/>
        <w:jc w:val="both"/>
        <w:rPr>
          <w:rFonts w:ascii="Arial" w:hAnsi="Arial" w:cs="Arial"/>
        </w:rPr>
      </w:pPr>
      <w:r w:rsidRPr="003F2EAB">
        <w:rPr>
          <w:rFonts w:ascii="Arial" w:hAnsi="Arial" w:cs="Arial"/>
          <w:noProof/>
          <w:lang w:eastAsia="cs-CZ"/>
        </w:rPr>
        <mc:AlternateContent>
          <mc:Choice Requires="wpg">
            <w:drawing>
              <wp:anchor distT="0" distB="0" distL="114300" distR="114300" simplePos="0" relativeHeight="251664384" behindDoc="0" locked="0" layoutInCell="1" allowOverlap="1" wp14:anchorId="0085FCAE" wp14:editId="2F3B5B61">
                <wp:simplePos x="0" y="0"/>
                <wp:positionH relativeFrom="column">
                  <wp:posOffset>828747</wp:posOffset>
                </wp:positionH>
                <wp:positionV relativeFrom="paragraph">
                  <wp:posOffset>1713076</wp:posOffset>
                </wp:positionV>
                <wp:extent cx="4954531" cy="1994910"/>
                <wp:effectExtent l="0" t="0" r="17780" b="24765"/>
                <wp:wrapNone/>
                <wp:docPr id="73" name="Skupina 73"/>
                <wp:cNvGraphicFramePr/>
                <a:graphic xmlns:a="http://schemas.openxmlformats.org/drawingml/2006/main">
                  <a:graphicData uri="http://schemas.microsoft.com/office/word/2010/wordprocessingGroup">
                    <wpg:wgp>
                      <wpg:cNvGrpSpPr/>
                      <wpg:grpSpPr>
                        <a:xfrm>
                          <a:off x="0" y="0"/>
                          <a:ext cx="4954531" cy="1994910"/>
                          <a:chOff x="0" y="0"/>
                          <a:chExt cx="4954531" cy="1994910"/>
                        </a:xfrm>
                      </wpg:grpSpPr>
                      <wps:wsp>
                        <wps:cNvPr id="74" name="Levá složená závorka 74"/>
                        <wps:cNvSpPr/>
                        <wps:spPr>
                          <a:xfrm rot="5400000">
                            <a:off x="2298793" y="-835754"/>
                            <a:ext cx="229721" cy="1901230"/>
                          </a:xfrm>
                          <a:prstGeom prst="leftBrace">
                            <a:avLst/>
                          </a:prstGeom>
                          <a:ln w="1905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 name="Levá složená závorka 75"/>
                        <wps:cNvSpPr/>
                        <wps:spPr>
                          <a:xfrm rot="5400000">
                            <a:off x="835754" y="929435"/>
                            <a:ext cx="229721" cy="1901230"/>
                          </a:xfrm>
                          <a:prstGeom prst="leftBrace">
                            <a:avLst/>
                          </a:prstGeom>
                          <a:ln w="1905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 name="Levá složená závorka 76"/>
                        <wps:cNvSpPr/>
                        <wps:spPr>
                          <a:xfrm rot="5400000">
                            <a:off x="3889055" y="929435"/>
                            <a:ext cx="229721" cy="1901230"/>
                          </a:xfrm>
                          <a:prstGeom prst="leftBrace">
                            <a:avLst/>
                          </a:prstGeom>
                          <a:ln w="1905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Skupina 73" o:spid="_x0000_s1026" style="position:absolute;margin-left:65.25pt;margin-top:134.9pt;width:390.1pt;height:157.1pt;z-index:251664384" coordsize="49545,19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vá složená závorka 74" o:spid="_x0000_s1027" type="#_x0000_t87" style="position:absolute;left:22987;top:-8357;width:2297;height:1901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G5vsIA&#10;AADbAAAADwAAAGRycy9kb3ducmV2LnhtbESPQWsCMRSE7wX/Q3iCt5pVxC5bo1RBlN5cvfT22Dw3&#10;SzcvSxJ19dc3gtDjMDPfMItVb1txJR8axwom4wwEceV0w7WC03H7noMIEVlj65gU3CnAajl4W2Ch&#10;3Y0PdC1jLRKEQ4EKTIxdIWWoDFkMY9cRJ+/svMWYpK+l9nhLcNvKaZbNpcWG04LBjjaGqt/yYhVk&#10;68tunTP+SPLfm0c+LduzKZUaDfuvTxCR+vgffrX3WsHHDJ5f0g+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gbm+wgAAANsAAAAPAAAAAAAAAAAAAAAAAJgCAABkcnMvZG93&#10;bnJldi54bWxQSwUGAAAAAAQABAD1AAAAhwMAAAAA&#10;" adj="217" strokecolor="black [3040]" strokeweight="1.5pt"/>
                <v:shape id="Levá složená závorka 75" o:spid="_x0000_s1028" type="#_x0000_t87" style="position:absolute;left:8357;top:9294;width:2298;height:1901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0cJcIA&#10;AADbAAAADwAAAGRycy9kb3ducmV2LnhtbESPQWsCMRSE7wX/Q3iCt5pV0C5bo1RBlN5cvfT22Dw3&#10;SzcvSxJ19dc3gtDjMDPfMItVb1txJR8axwom4wwEceV0w7WC03H7noMIEVlj65gU3CnAajl4W2Ch&#10;3Y0PdC1jLRKEQ4EKTIxdIWWoDFkMY9cRJ+/svMWYpK+l9nhLcNvKaZbNpcWG04LBjjaGqt/yYhVk&#10;68tunTP+SPLfm0c+LduzKZUaDfuvTxCR+vgffrX3WsHHDJ5f0g+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zRwlwgAAANsAAAAPAAAAAAAAAAAAAAAAAJgCAABkcnMvZG93&#10;bnJldi54bWxQSwUGAAAAAAQABAD1AAAAhwMAAAAA&#10;" adj="217" strokecolor="black [3040]" strokeweight="1.5pt"/>
                <v:shape id="Levá složená závorka 76" o:spid="_x0000_s1029" type="#_x0000_t87" style="position:absolute;left:38890;top:9294;width:2298;height:1901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CUsMA&#10;AADbAAAADwAAAGRycy9kb3ducmV2LnhtbESPwWrDMBBE74X8g9hAb41cH1zjRAlNICT0VreX3hZr&#10;Y5lYKyMpttOvrwqFHoeZecNsdrPtxUg+dI4VPK8yEMSN0x23Cj4/jk8liBCRNfaOScGdAuy2i4cN&#10;VtpN/E5jHVuRIBwqVGBiHCopQ2PIYli5gTh5F+ctxiR9K7XHKcFtL/MsK6TFjtOCwYEOhpprfbMK&#10;sv3ttC8ZvyT5t8N3mdf9xdRKPS7n1zWISHP8D/+1z1rBSwG/X9IPk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CUsMAAADbAAAADwAAAAAAAAAAAAAAAACYAgAAZHJzL2Rv&#10;d25yZXYueG1sUEsFBgAAAAAEAAQA9QAAAIgDAAAAAA==&#10;" adj="217" strokecolor="black [3040]" strokeweight="1.5pt"/>
              </v:group>
            </w:pict>
          </mc:Fallback>
        </mc:AlternateContent>
      </w:r>
      <w:r w:rsidRPr="003F2EAB">
        <w:rPr>
          <w:rFonts w:ascii="Arial" w:hAnsi="Arial" w:cs="Arial"/>
          <w:noProof/>
          <w:lang w:eastAsia="cs-CZ"/>
        </w:rPr>
        <w:drawing>
          <wp:inline distT="0" distB="0" distL="0" distR="0" wp14:anchorId="132D6C9D" wp14:editId="50AC6FE1">
            <wp:extent cx="5817918" cy="8317064"/>
            <wp:effectExtent l="0" t="0" r="0" b="8255"/>
            <wp:docPr id="52"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820591" cy="8320885"/>
                    </a:xfrm>
                    <a:prstGeom prst="rect">
                      <a:avLst/>
                    </a:prstGeom>
                    <a:noFill/>
                  </pic:spPr>
                </pic:pic>
              </a:graphicData>
            </a:graphic>
          </wp:inline>
        </w:drawing>
      </w:r>
    </w:p>
    <w:p w:rsidR="0086009A" w:rsidRPr="003F2EAB" w:rsidRDefault="0086009A" w:rsidP="0086009A">
      <w:pPr>
        <w:spacing w:line="360" w:lineRule="auto"/>
        <w:jc w:val="both"/>
        <w:rPr>
          <w:rFonts w:ascii="Arial" w:hAnsi="Arial" w:cs="Arial"/>
          <w:i/>
          <w:sz w:val="18"/>
        </w:rPr>
      </w:pPr>
      <w:r w:rsidRPr="003F2EAB">
        <w:rPr>
          <w:rFonts w:ascii="Arial" w:hAnsi="Arial" w:cs="Arial"/>
          <w:noProof/>
          <w:lang w:eastAsia="cs-CZ"/>
        </w:rPr>
        <mc:AlternateContent>
          <mc:Choice Requires="wps">
            <w:drawing>
              <wp:anchor distT="0" distB="0" distL="114300" distR="114300" simplePos="0" relativeHeight="251663360" behindDoc="0" locked="0" layoutInCell="1" allowOverlap="1" wp14:anchorId="5C21B571" wp14:editId="143A9A28">
                <wp:simplePos x="0" y="0"/>
                <wp:positionH relativeFrom="column">
                  <wp:posOffset>4653546</wp:posOffset>
                </wp:positionH>
                <wp:positionV relativeFrom="paragraph">
                  <wp:posOffset>2753988</wp:posOffset>
                </wp:positionV>
                <wp:extent cx="294007" cy="1640818"/>
                <wp:effectExtent l="0" t="6350" r="23495" b="23495"/>
                <wp:wrapNone/>
                <wp:docPr id="77" name="Levá složená závorka 77"/>
                <wp:cNvGraphicFramePr/>
                <a:graphic xmlns:a="http://schemas.openxmlformats.org/drawingml/2006/main">
                  <a:graphicData uri="http://schemas.microsoft.com/office/word/2010/wordprocessingShape">
                    <wps:wsp>
                      <wps:cNvSpPr/>
                      <wps:spPr>
                        <a:xfrm rot="5400000">
                          <a:off x="0" y="0"/>
                          <a:ext cx="294007" cy="1640818"/>
                        </a:xfrm>
                        <a:prstGeom prst="leftBrace">
                          <a:avLst/>
                        </a:prstGeom>
                        <a:ln w="1905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evá složená závorka 77" o:spid="_x0000_s1026" type="#_x0000_t87" style="position:absolute;margin-left:366.4pt;margin-top:216.85pt;width:23.15pt;height:129.2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" adj="323" strokecolor="black [3040]" strokeweight="1.5pt"/>
            </w:pict>
          </mc:Fallback>
        </mc:AlternateContent>
      </w:r>
      <w:r w:rsidRPr="003F2EAB">
        <w:rPr>
          <w:rFonts w:ascii="Arial" w:hAnsi="Arial" w:cs="Arial"/>
          <w:noProof/>
          <w:lang w:eastAsia="cs-CZ"/>
        </w:rPr>
        <mc:AlternateContent>
          <mc:Choice Requires="wps">
            <w:drawing>
              <wp:anchor distT="0" distB="0" distL="114300" distR="114300" simplePos="0" relativeHeight="251662336" behindDoc="0" locked="0" layoutInCell="1" allowOverlap="1" wp14:anchorId="27389C71" wp14:editId="41D65F76">
                <wp:simplePos x="0" y="0"/>
                <wp:positionH relativeFrom="column">
                  <wp:posOffset>1462693</wp:posOffset>
                </wp:positionH>
                <wp:positionV relativeFrom="paragraph">
                  <wp:posOffset>2332925</wp:posOffset>
                </wp:positionV>
                <wp:extent cx="294541" cy="2402994"/>
                <wp:effectExtent l="0" t="6667" r="23177" b="23178"/>
                <wp:wrapNone/>
                <wp:docPr id="78" name="Levá složená závorka 78"/>
                <wp:cNvGraphicFramePr/>
                <a:graphic xmlns:a="http://schemas.openxmlformats.org/drawingml/2006/main">
                  <a:graphicData uri="http://schemas.microsoft.com/office/word/2010/wordprocessingShape">
                    <wps:wsp>
                      <wps:cNvSpPr/>
                      <wps:spPr>
                        <a:xfrm rot="5400000">
                          <a:off x="0" y="0"/>
                          <a:ext cx="294541" cy="2402994"/>
                        </a:xfrm>
                        <a:prstGeom prst="leftBrace">
                          <a:avLst/>
                        </a:prstGeom>
                        <a:ln w="1905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evá složená závorka 78" o:spid="_x0000_s1026" type="#_x0000_t87" style="position:absolute;margin-left:115.15pt;margin-top:183.7pt;width:23.2pt;height:189.2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" adj="221" strokecolor="black [3040]" strokeweight="1.5pt"/>
            </w:pict>
          </mc:Fallback>
        </mc:AlternateContent>
      </w:r>
      <w:r w:rsidRPr="003F2EAB">
        <w:rPr>
          <w:rFonts w:ascii="Arial" w:hAnsi="Arial" w:cs="Arial"/>
          <w:i/>
          <w:sz w:val="18"/>
        </w:rPr>
        <w:t>Zdroj: vlastní zpracování dle GII report 2018</w:t>
      </w:r>
    </w:p>
    <w:p w:rsidR="0086009A" w:rsidRPr="003F2EAB" w:rsidRDefault="0086009A" w:rsidP="0086009A">
      <w:pPr>
        <w:spacing w:line="360" w:lineRule="auto"/>
        <w:jc w:val="both"/>
        <w:rPr>
          <w:rFonts w:ascii="Arial" w:hAnsi="Arial" w:cs="Arial"/>
        </w:rPr>
      </w:pPr>
      <w:r w:rsidRPr="003F2EAB">
        <w:rPr>
          <w:rFonts w:ascii="Arial" w:hAnsi="Arial" w:cs="Arial"/>
        </w:rPr>
        <w:lastRenderedPageBreak/>
        <w:t>INNOVATION OUTPUT INDICATOR (IOI)</w:t>
      </w:r>
    </w:p>
    <w:p w:rsidR="0086009A" w:rsidRPr="003F2EAB" w:rsidRDefault="0086009A" w:rsidP="0086009A">
      <w:pPr>
        <w:spacing w:after="0" w:line="360" w:lineRule="auto"/>
        <w:ind w:firstLine="403"/>
        <w:jc w:val="both"/>
        <w:rPr>
          <w:rFonts w:ascii="Arial" w:hAnsi="Arial" w:cs="Arial"/>
        </w:rPr>
      </w:pPr>
      <w:proofErr w:type="spellStart"/>
      <w:r w:rsidRPr="003F2EAB">
        <w:rPr>
          <w:rFonts w:ascii="Arial" w:hAnsi="Arial" w:cs="Arial"/>
        </w:rPr>
        <w:t>Innovation</w:t>
      </w:r>
      <w:proofErr w:type="spellEnd"/>
      <w:r w:rsidRPr="003F2EAB">
        <w:rPr>
          <w:rFonts w:ascii="Arial" w:hAnsi="Arial" w:cs="Arial"/>
        </w:rPr>
        <w:t xml:space="preserve"> Output </w:t>
      </w:r>
      <w:proofErr w:type="spellStart"/>
      <w:r w:rsidRPr="003F2EAB">
        <w:rPr>
          <w:rFonts w:ascii="Arial" w:hAnsi="Arial" w:cs="Arial"/>
        </w:rPr>
        <w:t>Indicator</w:t>
      </w:r>
      <w:proofErr w:type="spellEnd"/>
      <w:r w:rsidRPr="003F2EAB">
        <w:rPr>
          <w:rFonts w:ascii="Arial" w:hAnsi="Arial" w:cs="Arial"/>
        </w:rPr>
        <w:t xml:space="preserve"> (IOI), tzv. ukazatel inovačních výsledků, vypovídá o míře schopnosti myšlenek z inovativních odvětví dosáhnout využití na trhu a tím přispívat ke kvalifikovanějším pracovním místům a zvýšení konkurenceschopnosti analyzovaného hospodářství. IOI zavedla Evropská komise </w:t>
      </w:r>
      <w:r>
        <w:rPr>
          <w:rFonts w:ascii="Arial" w:hAnsi="Arial" w:cs="Arial"/>
        </w:rPr>
        <w:t>v roce</w:t>
      </w:r>
      <w:r w:rsidRPr="003F2EAB">
        <w:rPr>
          <w:rFonts w:ascii="Arial" w:hAnsi="Arial" w:cs="Arial"/>
        </w:rPr>
        <w:t xml:space="preserve"> 2013. Jedná se o kompozitní indikátor, který se skládá se čtyř základních částí. Prvním dílčím ukazatelem IOI (PCT) je míra technické inovace, která se měří za pomoci patentů. Druhá oblast (KIABI) je tvořena zaměstnaností ve znalostně intenzivních oborech (procentní podíl z celkové zaměstnanosti). Třetí částí IOI (COMP) je konkurenceschopnost zboží (GOOD) a služeb (SERV), které vyžadují vysokou míru znalostí a</w:t>
      </w:r>
      <w:r w:rsidR="00B308C1">
        <w:rPr>
          <w:rFonts w:ascii="Arial" w:hAnsi="Arial" w:cs="Arial"/>
        </w:rPr>
        <w:t> </w:t>
      </w:r>
      <w:r w:rsidRPr="003F2EAB">
        <w:rPr>
          <w:rFonts w:ascii="Arial" w:hAnsi="Arial" w:cs="Arial"/>
        </w:rPr>
        <w:t xml:space="preserve">poslední oblastí (DYN) je míra zaměstnanosti v rychle rostoucích podnicích v rámci inovačního odvětví. </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Na obrázku 8.9 je znázorněno porovnání výsledků ukazatele IOI 2017 (data jsou převážně za rok 2016, v některých případech 2015 a 2014) pro Českou republiku, Rakousko a EU 28. Z těchto tří hospodářství dosáhl nejlepšího výsledku průměr EU 28, naopak nejnižší hodnoty dosáhlo Rakousko. V rámci počtu patentů na miliardu HDP v PPS ČR výrazně zaostává. Zatímco ČR dosahuje pouze jednoho patentu na miliardu HDP v PPS, u Rakouska je tato hodnota blízká 5,0, u</w:t>
      </w:r>
      <w:r w:rsidR="00B308C1">
        <w:rPr>
          <w:rFonts w:ascii="Arial" w:hAnsi="Arial" w:cs="Arial"/>
        </w:rPr>
        <w:t> </w:t>
      </w:r>
      <w:r w:rsidRPr="003F2EAB">
        <w:rPr>
          <w:rFonts w:ascii="Arial" w:hAnsi="Arial" w:cs="Arial"/>
        </w:rPr>
        <w:t>EU 28 je 3,7. Také u druhého dílčího ukazatele IOI vykazuje ČR ze sledovaných hospodářství nejnižší hodnoty – podíl zaměstnanosti ve znalostně intenzivních odvětvích. Opačná situace je u</w:t>
      </w:r>
      <w:r w:rsidR="00B308C1">
        <w:rPr>
          <w:rFonts w:ascii="Arial" w:hAnsi="Arial" w:cs="Arial"/>
        </w:rPr>
        <w:t> </w:t>
      </w:r>
      <w:r w:rsidRPr="003F2EAB">
        <w:rPr>
          <w:rFonts w:ascii="Arial" w:hAnsi="Arial" w:cs="Arial"/>
        </w:rPr>
        <w:t>podílu zaměstnanosti v rychle rostoucích podnicích v inovujících sektorech. Zde dosahuje ČR ze sledovaných hospodářství nejlepšího výsledku (tj. 4,9, Rakousko 2,9). V rámci podílu medium-</w:t>
      </w:r>
      <w:proofErr w:type="spellStart"/>
      <w:r w:rsidRPr="003F2EAB">
        <w:rPr>
          <w:rFonts w:ascii="Arial" w:hAnsi="Arial" w:cs="Arial"/>
        </w:rPr>
        <w:t>tech</w:t>
      </w:r>
      <w:proofErr w:type="spellEnd"/>
      <w:r w:rsidRPr="003F2EAB">
        <w:rPr>
          <w:rFonts w:ascii="Arial" w:hAnsi="Arial" w:cs="Arial"/>
        </w:rPr>
        <w:t xml:space="preserve"> a </w:t>
      </w:r>
      <w:proofErr w:type="spellStart"/>
      <w:r w:rsidRPr="003F2EAB">
        <w:rPr>
          <w:rFonts w:ascii="Arial" w:hAnsi="Arial" w:cs="Arial"/>
        </w:rPr>
        <w:t>hi-tech</w:t>
      </w:r>
      <w:proofErr w:type="spellEnd"/>
      <w:r w:rsidRPr="003F2EAB">
        <w:rPr>
          <w:rFonts w:ascii="Arial" w:hAnsi="Arial" w:cs="Arial"/>
        </w:rPr>
        <w:t xml:space="preserve"> produktů na celkovém exportu vykazuje nejvyšší hodnoty ČR, následuje Rakousko a EU 28. Opačné pořadí je u podílu exportu znalostně intenzivních služeb na celkovém exportu služeb. V celkovém hodnocení oblasti podílu technicky vyspělých produktů a služeb vykazuje ČR lepší výsledek než Rakousko, za</w:t>
      </w:r>
      <w:r>
        <w:rPr>
          <w:rFonts w:ascii="Arial" w:hAnsi="Arial" w:cs="Arial"/>
        </w:rPr>
        <w:t xml:space="preserve"> průměrem EU 28 ovšem zaostává.</w:t>
      </w:r>
    </w:p>
    <w:p w:rsidR="0086009A" w:rsidRPr="003F2EAB" w:rsidRDefault="0086009A" w:rsidP="0086009A">
      <w:pPr>
        <w:spacing w:line="360" w:lineRule="auto"/>
        <w:rPr>
          <w:rFonts w:ascii="Arial" w:hAnsi="Arial" w:cs="Arial"/>
        </w:rPr>
      </w:pPr>
      <w:r w:rsidRPr="003F2EAB">
        <w:rPr>
          <w:rFonts w:ascii="Arial" w:hAnsi="Arial" w:cs="Arial"/>
        </w:rPr>
        <w:br w:type="page"/>
      </w:r>
    </w:p>
    <w:p w:rsidR="0086009A" w:rsidRPr="003F2EAB" w:rsidRDefault="0086009A" w:rsidP="0086009A">
      <w:pPr>
        <w:pStyle w:val="Obrzek"/>
      </w:pPr>
      <w:r w:rsidRPr="003F2EAB">
        <w:lastRenderedPageBreak/>
        <w:t>Obrázek 8.9 IOI 2017 ČR, Rakousko a EU</w:t>
      </w:r>
    </w:p>
    <w:p w:rsidR="0086009A" w:rsidRPr="003F2EAB" w:rsidRDefault="0086009A" w:rsidP="0086009A">
      <w:pPr>
        <w:spacing w:line="360" w:lineRule="auto"/>
        <w:jc w:val="both"/>
        <w:rPr>
          <w:rFonts w:ascii="Arial" w:hAnsi="Arial" w:cs="Arial"/>
        </w:rPr>
      </w:pPr>
      <w:r w:rsidRPr="003F2EAB">
        <w:rPr>
          <w:rFonts w:ascii="Arial" w:hAnsi="Arial" w:cs="Arial"/>
          <w:noProof/>
          <w:lang w:eastAsia="cs-CZ"/>
        </w:rPr>
        <mc:AlternateContent>
          <mc:Choice Requires="wps">
            <w:drawing>
              <wp:anchor distT="0" distB="0" distL="114300" distR="114300" simplePos="0" relativeHeight="251665408" behindDoc="0" locked="0" layoutInCell="1" allowOverlap="1" wp14:anchorId="5005EDA3" wp14:editId="0E7A580A">
                <wp:simplePos x="0" y="0"/>
                <wp:positionH relativeFrom="column">
                  <wp:posOffset>2495259</wp:posOffset>
                </wp:positionH>
                <wp:positionV relativeFrom="paragraph">
                  <wp:posOffset>513564</wp:posOffset>
                </wp:positionV>
                <wp:extent cx="235392" cy="2022530"/>
                <wp:effectExtent l="1587" t="0" r="14288" b="14287"/>
                <wp:wrapNone/>
                <wp:docPr id="60" name="Levá složená závorka 60"/>
                <wp:cNvGraphicFramePr/>
                <a:graphic xmlns:a="http://schemas.openxmlformats.org/drawingml/2006/main">
                  <a:graphicData uri="http://schemas.microsoft.com/office/word/2010/wordprocessingShape">
                    <wps:wsp>
                      <wps:cNvSpPr/>
                      <wps:spPr>
                        <a:xfrm rot="5400000">
                          <a:off x="0" y="0"/>
                          <a:ext cx="235392" cy="2022530"/>
                        </a:xfrm>
                        <a:prstGeom prst="leftBrace">
                          <a:avLst>
                            <a:gd name="adj1" fmla="val 8333"/>
                            <a:gd name="adj2" fmla="val 50350"/>
                          </a:avLst>
                        </a:prstGeom>
                        <a:ln w="1905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evá složená závorka 60" o:spid="_x0000_s1026" type="#_x0000_t87" style="position:absolute;margin-left:196.5pt;margin-top:40.45pt;width:18.55pt;height:159.25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" adj="209,10876" strokecolor="black [3040]" strokeweight="1.5pt"/>
            </w:pict>
          </mc:Fallback>
        </mc:AlternateContent>
      </w:r>
      <w:r w:rsidRPr="003F2EAB">
        <w:rPr>
          <w:rFonts w:ascii="Arial" w:hAnsi="Arial" w:cs="Arial"/>
          <w:noProof/>
          <w:lang w:eastAsia="cs-CZ"/>
        </w:rPr>
        <mc:AlternateContent>
          <mc:Choice Requires="wps">
            <w:drawing>
              <wp:anchor distT="0" distB="0" distL="114300" distR="114300" simplePos="0" relativeHeight="251661312" behindDoc="0" locked="0" layoutInCell="1" allowOverlap="1" wp14:anchorId="06903899" wp14:editId="65D80B90">
                <wp:simplePos x="0" y="0"/>
                <wp:positionH relativeFrom="column">
                  <wp:posOffset>4047194</wp:posOffset>
                </wp:positionH>
                <wp:positionV relativeFrom="paragraph">
                  <wp:posOffset>3703163</wp:posOffset>
                </wp:positionV>
                <wp:extent cx="202963" cy="1806575"/>
                <wp:effectExtent l="0" t="1905" r="24130" b="24130"/>
                <wp:wrapNone/>
                <wp:docPr id="79" name="Levá složená závorka 79"/>
                <wp:cNvGraphicFramePr/>
                <a:graphic xmlns:a="http://schemas.openxmlformats.org/drawingml/2006/main">
                  <a:graphicData uri="http://schemas.microsoft.com/office/word/2010/wordprocessingShape">
                    <wps:wsp>
                      <wps:cNvSpPr/>
                      <wps:spPr>
                        <a:xfrm rot="5400000">
                          <a:off x="0" y="0"/>
                          <a:ext cx="202963" cy="1806575"/>
                        </a:xfrm>
                        <a:prstGeom prst="leftBrace">
                          <a:avLst>
                            <a:gd name="adj1" fmla="val 8333"/>
                            <a:gd name="adj2" fmla="val 50350"/>
                          </a:avLst>
                        </a:prstGeom>
                        <a:ln w="1905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evá složená závorka 79" o:spid="_x0000_s1026" type="#_x0000_t87" style="position:absolute;margin-left:318.7pt;margin-top:291.6pt;width:16pt;height:142.25pt;rotation:9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" adj="202,10876" strokecolor="black [3040]" strokeweight="1.5pt"/>
            </w:pict>
          </mc:Fallback>
        </mc:AlternateContent>
      </w:r>
      <w:r w:rsidRPr="003F2EAB">
        <w:rPr>
          <w:rFonts w:ascii="Arial" w:hAnsi="Arial" w:cs="Arial"/>
          <w:noProof/>
          <w:lang w:eastAsia="cs-CZ"/>
        </w:rPr>
        <w:drawing>
          <wp:inline distT="0" distB="0" distL="0" distR="0" wp14:anchorId="2C40862E" wp14:editId="426857A5">
            <wp:extent cx="5852378" cy="5665250"/>
            <wp:effectExtent l="0" t="0" r="0" b="0"/>
            <wp:docPr id="59" name="Obráze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854424" cy="5667230"/>
                    </a:xfrm>
                    <a:prstGeom prst="rect">
                      <a:avLst/>
                    </a:prstGeom>
                    <a:noFill/>
                  </pic:spPr>
                </pic:pic>
              </a:graphicData>
            </a:graphic>
          </wp:inline>
        </w:drawing>
      </w:r>
    </w:p>
    <w:p w:rsidR="0086009A" w:rsidRPr="003F2EAB" w:rsidRDefault="0086009A" w:rsidP="0086009A">
      <w:pPr>
        <w:spacing w:line="360" w:lineRule="auto"/>
        <w:rPr>
          <w:rFonts w:ascii="Arial" w:hAnsi="Arial" w:cs="Arial"/>
        </w:rPr>
      </w:pPr>
    </w:p>
    <w:p w:rsidR="0086009A" w:rsidRPr="003F2EAB" w:rsidRDefault="0086009A" w:rsidP="0086009A">
      <w:pPr>
        <w:spacing w:line="360" w:lineRule="auto"/>
        <w:jc w:val="both"/>
        <w:rPr>
          <w:rFonts w:ascii="Arial" w:eastAsia="Times New Roman" w:hAnsi="Arial" w:cs="Arial"/>
          <w:i/>
          <w:color w:val="000000"/>
          <w:sz w:val="18"/>
          <w:szCs w:val="18"/>
          <w:lang w:eastAsia="cs-CZ"/>
        </w:rPr>
      </w:pPr>
      <w:r w:rsidRPr="003F2EAB">
        <w:rPr>
          <w:rFonts w:ascii="Arial" w:hAnsi="Arial" w:cs="Arial"/>
          <w:i/>
          <w:sz w:val="18"/>
          <w:szCs w:val="18"/>
        </w:rPr>
        <w:t xml:space="preserve">Zdroj: vlastní zpracování dle </w:t>
      </w:r>
      <w:proofErr w:type="spellStart"/>
      <w:r w:rsidRPr="003F2EAB">
        <w:rPr>
          <w:rFonts w:ascii="Arial" w:hAnsi="Arial" w:cs="Arial"/>
          <w:i/>
          <w:sz w:val="18"/>
          <w:szCs w:val="18"/>
        </w:rPr>
        <w:t>The</w:t>
      </w:r>
      <w:proofErr w:type="spellEnd"/>
      <w:r w:rsidRPr="003F2EAB">
        <w:rPr>
          <w:rFonts w:ascii="Arial" w:hAnsi="Arial" w:cs="Arial"/>
          <w:i/>
          <w:sz w:val="18"/>
          <w:szCs w:val="18"/>
        </w:rPr>
        <w:t xml:space="preserve"> </w:t>
      </w:r>
      <w:proofErr w:type="spellStart"/>
      <w:r w:rsidRPr="003F2EAB">
        <w:rPr>
          <w:rFonts w:ascii="Arial" w:hAnsi="Arial" w:cs="Arial"/>
          <w:i/>
          <w:sz w:val="18"/>
          <w:szCs w:val="18"/>
        </w:rPr>
        <w:t>Innovation</w:t>
      </w:r>
      <w:proofErr w:type="spellEnd"/>
      <w:r w:rsidRPr="003F2EAB">
        <w:rPr>
          <w:rFonts w:ascii="Arial" w:hAnsi="Arial" w:cs="Arial"/>
          <w:i/>
          <w:sz w:val="18"/>
          <w:szCs w:val="18"/>
        </w:rPr>
        <w:t xml:space="preserve"> Output </w:t>
      </w:r>
      <w:proofErr w:type="spellStart"/>
      <w:r w:rsidRPr="003F2EAB">
        <w:rPr>
          <w:rFonts w:ascii="Arial" w:hAnsi="Arial" w:cs="Arial"/>
          <w:i/>
          <w:sz w:val="18"/>
          <w:szCs w:val="18"/>
        </w:rPr>
        <w:t>Indicator</w:t>
      </w:r>
      <w:proofErr w:type="spellEnd"/>
      <w:r w:rsidRPr="003F2EAB">
        <w:rPr>
          <w:rFonts w:ascii="Arial" w:hAnsi="Arial" w:cs="Arial"/>
          <w:i/>
          <w:sz w:val="18"/>
          <w:szCs w:val="18"/>
        </w:rPr>
        <w:t xml:space="preserve"> 2017, </w:t>
      </w:r>
      <w:proofErr w:type="spellStart"/>
      <w:r w:rsidRPr="003F2EAB">
        <w:rPr>
          <w:rFonts w:ascii="Arial" w:hAnsi="Arial" w:cs="Arial"/>
          <w:i/>
          <w:sz w:val="18"/>
          <w:szCs w:val="18"/>
        </w:rPr>
        <w:t>Dániel</w:t>
      </w:r>
      <w:proofErr w:type="spellEnd"/>
      <w:r w:rsidRPr="003F2EAB">
        <w:rPr>
          <w:rFonts w:ascii="Arial" w:hAnsi="Arial" w:cs="Arial"/>
          <w:i/>
          <w:sz w:val="18"/>
          <w:szCs w:val="18"/>
        </w:rPr>
        <w:t xml:space="preserve"> </w:t>
      </w:r>
      <w:proofErr w:type="spellStart"/>
      <w:r w:rsidRPr="003F2EAB">
        <w:rPr>
          <w:rFonts w:ascii="Arial" w:hAnsi="Arial" w:cs="Arial"/>
          <w:i/>
          <w:sz w:val="18"/>
          <w:szCs w:val="18"/>
        </w:rPr>
        <w:t>Vértesy</w:t>
      </w:r>
      <w:proofErr w:type="spellEnd"/>
      <w:r w:rsidRPr="003F2EAB">
        <w:rPr>
          <w:rFonts w:ascii="Arial" w:hAnsi="Arial" w:cs="Arial"/>
          <w:i/>
          <w:sz w:val="18"/>
          <w:szCs w:val="18"/>
        </w:rPr>
        <w:t xml:space="preserve">, JRC </w:t>
      </w:r>
      <w:proofErr w:type="spellStart"/>
      <w:r w:rsidRPr="003F2EAB">
        <w:rPr>
          <w:rFonts w:ascii="Arial" w:hAnsi="Arial" w:cs="Arial"/>
          <w:i/>
          <w:sz w:val="18"/>
          <w:szCs w:val="18"/>
        </w:rPr>
        <w:t>Technical</w:t>
      </w:r>
      <w:proofErr w:type="spellEnd"/>
      <w:r w:rsidRPr="003F2EAB">
        <w:rPr>
          <w:rFonts w:ascii="Arial" w:hAnsi="Arial" w:cs="Arial"/>
          <w:i/>
          <w:sz w:val="18"/>
          <w:szCs w:val="18"/>
        </w:rPr>
        <w:t xml:space="preserve"> </w:t>
      </w:r>
      <w:proofErr w:type="spellStart"/>
      <w:r w:rsidRPr="003F2EAB">
        <w:rPr>
          <w:rFonts w:ascii="Arial" w:hAnsi="Arial" w:cs="Arial"/>
          <w:i/>
          <w:sz w:val="18"/>
          <w:szCs w:val="18"/>
        </w:rPr>
        <w:t>Reports</w:t>
      </w:r>
      <w:proofErr w:type="spellEnd"/>
      <w:r w:rsidRPr="003F2EAB">
        <w:rPr>
          <w:rFonts w:ascii="Arial" w:hAnsi="Arial" w:cs="Arial"/>
          <w:i/>
          <w:sz w:val="18"/>
          <w:szCs w:val="18"/>
        </w:rPr>
        <w:t xml:space="preserve"> (</w:t>
      </w:r>
      <w:hyperlink r:id="rId78" w:history="1">
        <w:r w:rsidRPr="003F2EAB">
          <w:rPr>
            <w:rStyle w:val="Hypertextovodkaz"/>
            <w:rFonts w:eastAsia="Times New Roman" w:cs="Arial"/>
            <w:i/>
            <w:sz w:val="18"/>
            <w:szCs w:val="18"/>
            <w:lang w:eastAsia="cs-CZ"/>
          </w:rPr>
          <w:t>http://publications.jrc.ec.europa.eu/repository/bitstream/JRC108942/jrc108942_ioi_2017_report_final.pdf</w:t>
        </w:r>
      </w:hyperlink>
      <w:r w:rsidRPr="003F2EAB">
        <w:rPr>
          <w:rFonts w:ascii="Arial" w:eastAsia="Times New Roman" w:hAnsi="Arial" w:cs="Arial"/>
          <w:i/>
          <w:color w:val="000000"/>
          <w:sz w:val="18"/>
          <w:szCs w:val="18"/>
          <w:lang w:eastAsia="cs-CZ"/>
        </w:rPr>
        <w:t>)</w:t>
      </w:r>
    </w:p>
    <w:p w:rsidR="0086009A" w:rsidRPr="003F2EAB" w:rsidRDefault="0086009A" w:rsidP="0086009A">
      <w:pPr>
        <w:spacing w:after="0" w:line="360" w:lineRule="auto"/>
        <w:jc w:val="both"/>
        <w:rPr>
          <w:rFonts w:ascii="Arial" w:hAnsi="Arial" w:cs="Arial"/>
          <w:i/>
          <w:sz w:val="18"/>
          <w:szCs w:val="18"/>
        </w:rPr>
      </w:pPr>
      <w:r w:rsidRPr="003F2EAB">
        <w:rPr>
          <w:rFonts w:ascii="Arial" w:hAnsi="Arial" w:cs="Arial"/>
          <w:i/>
          <w:sz w:val="18"/>
          <w:szCs w:val="18"/>
        </w:rPr>
        <w:t>PCT = Počet patentů na miliardu HDP (PPS); data za rok 2014</w:t>
      </w:r>
    </w:p>
    <w:p w:rsidR="0086009A" w:rsidRPr="003F2EAB" w:rsidRDefault="0086009A" w:rsidP="0086009A">
      <w:pPr>
        <w:spacing w:after="0" w:line="360" w:lineRule="auto"/>
        <w:jc w:val="both"/>
        <w:rPr>
          <w:rFonts w:ascii="Arial" w:hAnsi="Arial" w:cs="Arial"/>
          <w:i/>
          <w:sz w:val="18"/>
          <w:szCs w:val="18"/>
        </w:rPr>
      </w:pPr>
      <w:r w:rsidRPr="003F2EAB">
        <w:rPr>
          <w:rFonts w:ascii="Arial" w:hAnsi="Arial" w:cs="Arial"/>
          <w:i/>
          <w:sz w:val="18"/>
          <w:szCs w:val="18"/>
        </w:rPr>
        <w:t>KIABI = Podíl zaměstnanosti ve znalostně intenzivních odvětvích; data za rok 2016</w:t>
      </w:r>
    </w:p>
    <w:p w:rsidR="0086009A" w:rsidRPr="003F2EAB" w:rsidRDefault="0086009A" w:rsidP="0086009A">
      <w:pPr>
        <w:spacing w:after="0" w:line="360" w:lineRule="auto"/>
        <w:jc w:val="both"/>
        <w:rPr>
          <w:rFonts w:ascii="Arial" w:hAnsi="Arial" w:cs="Arial"/>
          <w:i/>
          <w:sz w:val="18"/>
          <w:szCs w:val="18"/>
        </w:rPr>
      </w:pPr>
      <w:r w:rsidRPr="003F2EAB">
        <w:rPr>
          <w:rFonts w:ascii="Arial" w:hAnsi="Arial" w:cs="Arial"/>
          <w:i/>
          <w:sz w:val="18"/>
          <w:szCs w:val="18"/>
        </w:rPr>
        <w:t>DYN = Podíl zaměstnanosti v rychle rostoucích podnicích v inovujících sektorech; data za rok 2014</w:t>
      </w:r>
    </w:p>
    <w:p w:rsidR="0086009A" w:rsidRPr="003F2EAB" w:rsidRDefault="0086009A" w:rsidP="0086009A">
      <w:pPr>
        <w:spacing w:after="0" w:line="360" w:lineRule="auto"/>
        <w:jc w:val="both"/>
        <w:rPr>
          <w:rFonts w:ascii="Arial" w:hAnsi="Arial" w:cs="Arial"/>
          <w:i/>
          <w:sz w:val="18"/>
          <w:szCs w:val="18"/>
        </w:rPr>
      </w:pPr>
      <w:r w:rsidRPr="003F2EAB">
        <w:rPr>
          <w:rFonts w:ascii="Arial" w:hAnsi="Arial" w:cs="Arial"/>
          <w:i/>
          <w:sz w:val="18"/>
          <w:szCs w:val="18"/>
        </w:rPr>
        <w:t>COMP = Komponent</w:t>
      </w:r>
    </w:p>
    <w:p w:rsidR="0086009A" w:rsidRPr="003F2EAB" w:rsidRDefault="0086009A" w:rsidP="0086009A">
      <w:pPr>
        <w:spacing w:after="0" w:line="360" w:lineRule="auto"/>
        <w:jc w:val="both"/>
        <w:rPr>
          <w:rFonts w:ascii="Arial" w:hAnsi="Arial" w:cs="Arial"/>
          <w:i/>
          <w:sz w:val="18"/>
          <w:szCs w:val="18"/>
        </w:rPr>
      </w:pPr>
      <w:r w:rsidRPr="003F2EAB">
        <w:rPr>
          <w:rFonts w:ascii="Arial" w:hAnsi="Arial" w:cs="Arial"/>
          <w:i/>
          <w:sz w:val="18"/>
          <w:szCs w:val="18"/>
        </w:rPr>
        <w:t>GOOD = Podíl medium-</w:t>
      </w:r>
      <w:proofErr w:type="spellStart"/>
      <w:r w:rsidRPr="003F2EAB">
        <w:rPr>
          <w:rFonts w:ascii="Arial" w:hAnsi="Arial" w:cs="Arial"/>
          <w:i/>
          <w:sz w:val="18"/>
          <w:szCs w:val="18"/>
        </w:rPr>
        <w:t>tech</w:t>
      </w:r>
      <w:proofErr w:type="spellEnd"/>
      <w:r w:rsidRPr="003F2EAB">
        <w:rPr>
          <w:rFonts w:ascii="Arial" w:hAnsi="Arial" w:cs="Arial"/>
          <w:i/>
          <w:sz w:val="18"/>
          <w:szCs w:val="18"/>
        </w:rPr>
        <w:t xml:space="preserve"> a </w:t>
      </w:r>
      <w:proofErr w:type="spellStart"/>
      <w:r w:rsidRPr="003F2EAB">
        <w:rPr>
          <w:rFonts w:ascii="Arial" w:hAnsi="Arial" w:cs="Arial"/>
          <w:i/>
          <w:sz w:val="18"/>
          <w:szCs w:val="18"/>
        </w:rPr>
        <w:t>hi-tech</w:t>
      </w:r>
      <w:proofErr w:type="spellEnd"/>
      <w:r w:rsidRPr="003F2EAB">
        <w:rPr>
          <w:rFonts w:ascii="Arial" w:hAnsi="Arial" w:cs="Arial"/>
          <w:i/>
          <w:sz w:val="18"/>
          <w:szCs w:val="18"/>
        </w:rPr>
        <w:t xml:space="preserve"> produktů na celkovém exportu; data za rok 2016</w:t>
      </w:r>
    </w:p>
    <w:p w:rsidR="0086009A" w:rsidRPr="003F2EAB" w:rsidRDefault="0086009A" w:rsidP="0086009A">
      <w:pPr>
        <w:spacing w:after="0" w:line="360" w:lineRule="auto"/>
        <w:jc w:val="both"/>
        <w:rPr>
          <w:rFonts w:ascii="Arial" w:hAnsi="Arial" w:cs="Arial"/>
          <w:i/>
          <w:sz w:val="18"/>
          <w:szCs w:val="18"/>
        </w:rPr>
      </w:pPr>
      <w:r w:rsidRPr="003F2EAB">
        <w:rPr>
          <w:rFonts w:ascii="Arial" w:hAnsi="Arial" w:cs="Arial"/>
          <w:i/>
          <w:sz w:val="18"/>
          <w:szCs w:val="18"/>
        </w:rPr>
        <w:t>SERV = Podíl exportu znalostně intenzivních služeb na celkovém exportu služeb; data za rok 2015</w:t>
      </w:r>
    </w:p>
    <w:p w:rsidR="0086009A" w:rsidRDefault="0086009A" w:rsidP="0086009A">
      <w:pPr>
        <w:spacing w:line="360" w:lineRule="auto"/>
        <w:jc w:val="both"/>
        <w:rPr>
          <w:rFonts w:ascii="Arial" w:hAnsi="Arial" w:cs="Arial"/>
        </w:rPr>
      </w:pPr>
    </w:p>
    <w:p w:rsidR="0086009A" w:rsidRDefault="0086009A" w:rsidP="0086009A">
      <w:pPr>
        <w:spacing w:line="360" w:lineRule="auto"/>
        <w:jc w:val="both"/>
        <w:rPr>
          <w:rFonts w:ascii="Arial" w:hAnsi="Arial" w:cs="Arial"/>
        </w:rPr>
      </w:pPr>
    </w:p>
    <w:p w:rsidR="0086009A" w:rsidRPr="003F2EAB" w:rsidRDefault="0086009A" w:rsidP="0086009A">
      <w:pPr>
        <w:spacing w:line="360" w:lineRule="auto"/>
        <w:jc w:val="both"/>
        <w:rPr>
          <w:rFonts w:ascii="Arial" w:hAnsi="Arial" w:cs="Arial"/>
        </w:rPr>
      </w:pPr>
    </w:p>
    <w:p w:rsidR="0086009A" w:rsidRPr="003F2EAB" w:rsidRDefault="0086009A" w:rsidP="0086009A">
      <w:pPr>
        <w:spacing w:line="360" w:lineRule="auto"/>
        <w:jc w:val="both"/>
        <w:rPr>
          <w:rFonts w:ascii="Arial" w:hAnsi="Arial" w:cs="Arial"/>
        </w:rPr>
      </w:pPr>
      <w:r w:rsidRPr="003F2EAB">
        <w:rPr>
          <w:rFonts w:ascii="Arial" w:hAnsi="Arial" w:cs="Arial"/>
        </w:rPr>
        <w:lastRenderedPageBreak/>
        <w:t>POROVNÁNÍ POZIC V RÁMCI SII, GII, IOI</w:t>
      </w:r>
    </w:p>
    <w:p w:rsidR="0086009A" w:rsidRPr="003F2EAB" w:rsidRDefault="0086009A" w:rsidP="0086009A">
      <w:pPr>
        <w:spacing w:line="360" w:lineRule="auto"/>
        <w:ind w:firstLine="403"/>
        <w:jc w:val="both"/>
        <w:rPr>
          <w:rFonts w:ascii="Arial" w:hAnsi="Arial" w:cs="Arial"/>
        </w:rPr>
      </w:pPr>
      <w:r w:rsidRPr="003F2EAB">
        <w:rPr>
          <w:rFonts w:ascii="Arial" w:hAnsi="Arial" w:cs="Arial"/>
        </w:rPr>
        <w:t xml:space="preserve">Na následujícím obrázku 8.10 je znázorněno pořadí zemí EU 28 v rámci použitých složených indikátorů – SII, GII, IOI. Barevné rozlišení jednotlivých zemí odpovídá hodnocení dle SII – </w:t>
      </w:r>
      <w:proofErr w:type="spellStart"/>
      <w:r w:rsidRPr="003F2EAB">
        <w:rPr>
          <w:rFonts w:ascii="Arial" w:hAnsi="Arial" w:cs="Arial"/>
        </w:rPr>
        <w:t>Modest</w:t>
      </w:r>
      <w:proofErr w:type="spellEnd"/>
      <w:r w:rsidRPr="003F2EAB">
        <w:rPr>
          <w:rFonts w:ascii="Arial" w:hAnsi="Arial" w:cs="Arial"/>
        </w:rPr>
        <w:t xml:space="preserve"> </w:t>
      </w:r>
      <w:proofErr w:type="spellStart"/>
      <w:r w:rsidRPr="003F2EAB">
        <w:rPr>
          <w:rFonts w:ascii="Arial" w:hAnsi="Arial" w:cs="Arial"/>
        </w:rPr>
        <w:t>Innovators</w:t>
      </w:r>
      <w:proofErr w:type="spellEnd"/>
      <w:r w:rsidRPr="003F2EAB">
        <w:rPr>
          <w:rFonts w:ascii="Arial" w:hAnsi="Arial" w:cs="Arial"/>
        </w:rPr>
        <w:t xml:space="preserve">, </w:t>
      </w:r>
      <w:proofErr w:type="spellStart"/>
      <w:r w:rsidRPr="003F2EAB">
        <w:rPr>
          <w:rFonts w:ascii="Arial" w:hAnsi="Arial" w:cs="Arial"/>
        </w:rPr>
        <w:t>Moderate</w:t>
      </w:r>
      <w:proofErr w:type="spellEnd"/>
      <w:r w:rsidRPr="003F2EAB">
        <w:rPr>
          <w:rFonts w:ascii="Arial" w:hAnsi="Arial" w:cs="Arial"/>
        </w:rPr>
        <w:t xml:space="preserve"> </w:t>
      </w:r>
      <w:proofErr w:type="spellStart"/>
      <w:r w:rsidRPr="003F2EAB">
        <w:rPr>
          <w:rFonts w:ascii="Arial" w:hAnsi="Arial" w:cs="Arial"/>
        </w:rPr>
        <w:t>Innovators</w:t>
      </w:r>
      <w:proofErr w:type="spellEnd"/>
      <w:r w:rsidRPr="003F2EAB">
        <w:rPr>
          <w:rFonts w:ascii="Arial" w:hAnsi="Arial" w:cs="Arial"/>
        </w:rPr>
        <w:t xml:space="preserve">, </w:t>
      </w:r>
      <w:proofErr w:type="spellStart"/>
      <w:r w:rsidRPr="003F2EAB">
        <w:rPr>
          <w:rFonts w:ascii="Arial" w:hAnsi="Arial" w:cs="Arial"/>
        </w:rPr>
        <w:t>Strong</w:t>
      </w:r>
      <w:proofErr w:type="spellEnd"/>
      <w:r w:rsidRPr="003F2EAB">
        <w:rPr>
          <w:rFonts w:ascii="Arial" w:hAnsi="Arial" w:cs="Arial"/>
        </w:rPr>
        <w:t xml:space="preserve"> </w:t>
      </w:r>
      <w:proofErr w:type="spellStart"/>
      <w:r w:rsidRPr="003F2EAB">
        <w:rPr>
          <w:rFonts w:ascii="Arial" w:hAnsi="Arial" w:cs="Arial"/>
        </w:rPr>
        <w:t>Innovators</w:t>
      </w:r>
      <w:proofErr w:type="spellEnd"/>
      <w:r w:rsidRPr="003F2EAB">
        <w:rPr>
          <w:rFonts w:ascii="Arial" w:hAnsi="Arial" w:cs="Arial"/>
        </w:rPr>
        <w:t xml:space="preserve"> a </w:t>
      </w:r>
      <w:proofErr w:type="spellStart"/>
      <w:r w:rsidRPr="003F2EAB">
        <w:rPr>
          <w:rFonts w:ascii="Arial" w:hAnsi="Arial" w:cs="Arial"/>
        </w:rPr>
        <w:t>Innovation</w:t>
      </w:r>
      <w:proofErr w:type="spellEnd"/>
      <w:r w:rsidRPr="003F2EAB">
        <w:rPr>
          <w:rFonts w:ascii="Arial" w:hAnsi="Arial" w:cs="Arial"/>
        </w:rPr>
        <w:t xml:space="preserve"> </w:t>
      </w:r>
      <w:proofErr w:type="spellStart"/>
      <w:r w:rsidRPr="003F2EAB">
        <w:rPr>
          <w:rFonts w:ascii="Arial" w:hAnsi="Arial" w:cs="Arial"/>
        </w:rPr>
        <w:t>Leaders</w:t>
      </w:r>
      <w:proofErr w:type="spellEnd"/>
      <w:r w:rsidRPr="003F2EAB">
        <w:rPr>
          <w:rFonts w:ascii="Arial" w:hAnsi="Arial" w:cs="Arial"/>
        </w:rPr>
        <w:t>. V rámci SII 2017 dosahuje ČR 13. příčky a Rakousko 10. příčky. Z barevného rozlišení je v případě GII 2018 patrné jiné pořadí zemí než tomu bylo u SII 2017. Slovinsko, které bylo v SII 2017 na 12. pozici, dosahuje u GII 2018 17. pozice. ČR se pohybuje v podobných pozicích (14. příčka) a Rakousko také. Naopak Bulharsko obsadilo v SII 2017 27. pozici, lepších výsledků dosáhlo v GII 2018 (23. pozice). Ještě více jsou oproti SII 2017 pozice odlišné u IOI 2017. Již zmíněné Bulharsko zde dosahuje pozice 15. Slovinsko získalo ještě nižší pozici než u GII 2018. Naopak Malta, která u SII 2017 byla na 15. příčce, u GII 2018 na 13. příčce, je v případě IOI 2017 na 5. pozici (nadprůměrných výsledků dosahuje v oblasti KIABI a hlavně GOOD a DYN).</w:t>
      </w:r>
    </w:p>
    <w:p w:rsidR="0086009A" w:rsidRPr="003F2EAB" w:rsidRDefault="0086009A" w:rsidP="0086009A">
      <w:pPr>
        <w:pStyle w:val="Obrzek"/>
      </w:pPr>
      <w:r w:rsidRPr="003F2EAB">
        <w:t>Obrázek 8.10 Porovnání pozic v rámci SII 2017, GII 2018 a IOI 2017</w:t>
      </w:r>
    </w:p>
    <w:p w:rsidR="0086009A" w:rsidRPr="003F2EAB" w:rsidRDefault="0086009A" w:rsidP="0086009A">
      <w:pPr>
        <w:spacing w:line="360" w:lineRule="auto"/>
        <w:jc w:val="center"/>
        <w:rPr>
          <w:rFonts w:ascii="Arial" w:hAnsi="Arial" w:cs="Arial"/>
        </w:rPr>
      </w:pPr>
      <w:r w:rsidRPr="003F2EAB">
        <w:rPr>
          <w:noProof/>
          <w:lang w:eastAsia="cs-CZ"/>
        </w:rPr>
        <w:drawing>
          <wp:anchor distT="0" distB="0" distL="114300" distR="114300" simplePos="0" relativeHeight="251666432" behindDoc="0" locked="0" layoutInCell="1" allowOverlap="1" wp14:anchorId="69FED15E" wp14:editId="6FB2E1C8">
            <wp:simplePos x="0" y="0"/>
            <wp:positionH relativeFrom="column">
              <wp:posOffset>3767538</wp:posOffset>
            </wp:positionH>
            <wp:positionV relativeFrom="paragraph">
              <wp:posOffset>104554</wp:posOffset>
            </wp:positionV>
            <wp:extent cx="962025" cy="524510"/>
            <wp:effectExtent l="0" t="0" r="0" b="8890"/>
            <wp:wrapNone/>
            <wp:docPr id="84" name="Obrázek 4"/>
            <wp:cNvGraphicFramePr/>
            <a:graphic xmlns:a="http://schemas.openxmlformats.org/drawingml/2006/main">
              <a:graphicData uri="http://schemas.openxmlformats.org/drawingml/2006/picture">
                <pic:pic xmlns:pic="http://schemas.openxmlformats.org/drawingml/2006/picture">
                  <pic:nvPicPr>
                    <pic:cNvPr id="5" name="Obrázek 4"/>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962025" cy="524510"/>
                    </a:xfrm>
                    <a:prstGeom prst="rect">
                      <a:avLst/>
                    </a:prstGeom>
                    <a:noFill/>
                  </pic:spPr>
                </pic:pic>
              </a:graphicData>
            </a:graphic>
            <wp14:sizeRelH relativeFrom="page">
              <wp14:pctWidth>0</wp14:pctWidth>
            </wp14:sizeRelH>
            <wp14:sizeRelV relativeFrom="page">
              <wp14:pctHeight>0</wp14:pctHeight>
            </wp14:sizeRelV>
          </wp:anchor>
        </w:drawing>
      </w:r>
      <w:r w:rsidRPr="003F2EAB">
        <w:rPr>
          <w:rFonts w:ascii="Arial" w:hAnsi="Arial" w:cs="Arial"/>
          <w:noProof/>
          <w:lang w:eastAsia="cs-CZ"/>
        </w:rPr>
        <w:drawing>
          <wp:inline distT="0" distB="0" distL="0" distR="0" wp14:anchorId="3C8C9F4E" wp14:editId="79C85185">
            <wp:extent cx="3884809" cy="5144493"/>
            <wp:effectExtent l="0" t="0" r="1905" b="0"/>
            <wp:docPr id="64" name="Obráze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3884809" cy="5144493"/>
                    </a:xfrm>
                    <a:prstGeom prst="rect">
                      <a:avLst/>
                    </a:prstGeom>
                    <a:noFill/>
                  </pic:spPr>
                </pic:pic>
              </a:graphicData>
            </a:graphic>
          </wp:inline>
        </w:drawing>
      </w:r>
    </w:p>
    <w:p w:rsidR="0086009A" w:rsidRPr="003F2EAB" w:rsidRDefault="0086009A" w:rsidP="0086009A">
      <w:pPr>
        <w:spacing w:line="360" w:lineRule="auto"/>
        <w:jc w:val="both"/>
        <w:rPr>
          <w:rFonts w:ascii="Arial" w:hAnsi="Arial" w:cs="Arial"/>
          <w:i/>
          <w:sz w:val="18"/>
        </w:rPr>
      </w:pPr>
      <w:r w:rsidRPr="003F2EAB">
        <w:rPr>
          <w:rFonts w:ascii="Arial" w:hAnsi="Arial" w:cs="Arial"/>
          <w:i/>
          <w:sz w:val="18"/>
        </w:rPr>
        <w:t xml:space="preserve">Zdroj: vlastní zpracování EIS 2018; GII report 2018; </w:t>
      </w:r>
      <w:proofErr w:type="spellStart"/>
      <w:r w:rsidRPr="003F2EAB">
        <w:rPr>
          <w:rFonts w:ascii="Arial" w:hAnsi="Arial" w:cs="Arial"/>
          <w:i/>
          <w:sz w:val="18"/>
        </w:rPr>
        <w:t>The</w:t>
      </w:r>
      <w:proofErr w:type="spellEnd"/>
      <w:r w:rsidRPr="003F2EAB">
        <w:rPr>
          <w:rFonts w:ascii="Arial" w:hAnsi="Arial" w:cs="Arial"/>
          <w:i/>
          <w:sz w:val="18"/>
        </w:rPr>
        <w:t xml:space="preserve"> </w:t>
      </w:r>
      <w:proofErr w:type="spellStart"/>
      <w:r w:rsidRPr="003F2EAB">
        <w:rPr>
          <w:rFonts w:ascii="Arial" w:hAnsi="Arial" w:cs="Arial"/>
          <w:i/>
          <w:sz w:val="18"/>
        </w:rPr>
        <w:t>Innovation</w:t>
      </w:r>
      <w:proofErr w:type="spellEnd"/>
      <w:r w:rsidRPr="003F2EAB">
        <w:rPr>
          <w:rFonts w:ascii="Arial" w:hAnsi="Arial" w:cs="Arial"/>
          <w:i/>
          <w:sz w:val="18"/>
        </w:rPr>
        <w:t xml:space="preserve"> Output </w:t>
      </w:r>
      <w:proofErr w:type="spellStart"/>
      <w:r w:rsidRPr="003F2EAB">
        <w:rPr>
          <w:rFonts w:ascii="Arial" w:hAnsi="Arial" w:cs="Arial"/>
          <w:i/>
          <w:sz w:val="18"/>
        </w:rPr>
        <w:t>Indicator</w:t>
      </w:r>
      <w:proofErr w:type="spellEnd"/>
      <w:r w:rsidRPr="003F2EAB">
        <w:rPr>
          <w:rFonts w:ascii="Arial" w:hAnsi="Arial" w:cs="Arial"/>
          <w:i/>
          <w:sz w:val="18"/>
        </w:rPr>
        <w:t xml:space="preserve"> 2017, </w:t>
      </w:r>
      <w:proofErr w:type="spellStart"/>
      <w:r w:rsidRPr="003F2EAB">
        <w:rPr>
          <w:rFonts w:ascii="Arial" w:hAnsi="Arial" w:cs="Arial"/>
          <w:i/>
          <w:sz w:val="18"/>
        </w:rPr>
        <w:t>Dániel</w:t>
      </w:r>
      <w:proofErr w:type="spellEnd"/>
      <w:r w:rsidRPr="003F2EAB">
        <w:rPr>
          <w:rFonts w:ascii="Arial" w:hAnsi="Arial" w:cs="Arial"/>
          <w:i/>
          <w:sz w:val="18"/>
        </w:rPr>
        <w:t xml:space="preserve"> </w:t>
      </w:r>
      <w:proofErr w:type="spellStart"/>
      <w:r w:rsidRPr="003F2EAB">
        <w:rPr>
          <w:rFonts w:ascii="Arial" w:hAnsi="Arial" w:cs="Arial"/>
          <w:i/>
          <w:sz w:val="18"/>
        </w:rPr>
        <w:t>Vértesy</w:t>
      </w:r>
      <w:proofErr w:type="spellEnd"/>
      <w:r w:rsidRPr="003F2EAB">
        <w:rPr>
          <w:rFonts w:ascii="Arial" w:hAnsi="Arial" w:cs="Arial"/>
          <w:i/>
          <w:sz w:val="18"/>
        </w:rPr>
        <w:t xml:space="preserve">, JRC </w:t>
      </w:r>
      <w:proofErr w:type="spellStart"/>
      <w:r w:rsidRPr="003F2EAB">
        <w:rPr>
          <w:rFonts w:ascii="Arial" w:hAnsi="Arial" w:cs="Arial"/>
          <w:i/>
          <w:sz w:val="18"/>
        </w:rPr>
        <w:t>Technical</w:t>
      </w:r>
      <w:proofErr w:type="spellEnd"/>
      <w:r w:rsidRPr="003F2EAB">
        <w:rPr>
          <w:rFonts w:ascii="Arial" w:hAnsi="Arial" w:cs="Arial"/>
          <w:i/>
          <w:sz w:val="18"/>
        </w:rPr>
        <w:t xml:space="preserve"> </w:t>
      </w:r>
      <w:proofErr w:type="spellStart"/>
      <w:r w:rsidRPr="003F2EAB">
        <w:rPr>
          <w:rFonts w:ascii="Arial" w:hAnsi="Arial" w:cs="Arial"/>
          <w:i/>
          <w:sz w:val="18"/>
        </w:rPr>
        <w:t>Reports</w:t>
      </w:r>
      <w:proofErr w:type="spellEnd"/>
    </w:p>
    <w:p w:rsidR="000C39F7" w:rsidRPr="0086009A" w:rsidRDefault="000C39F7" w:rsidP="0086009A">
      <w:pPr>
        <w:spacing w:after="0" w:line="360" w:lineRule="auto"/>
        <w:ind w:firstLine="403"/>
        <w:jc w:val="both"/>
        <w:rPr>
          <w:rFonts w:ascii="Arial" w:hAnsi="Arial" w:cs="Arial"/>
        </w:rPr>
      </w:pPr>
    </w:p>
    <w:p w:rsidR="000C39F7" w:rsidRPr="000C39F7" w:rsidRDefault="0086009A" w:rsidP="000C39F7">
      <w:pPr>
        <w:pStyle w:val="NadpisurovemII"/>
        <w:numPr>
          <w:ilvl w:val="1"/>
          <w:numId w:val="33"/>
        </w:numPr>
        <w:ind w:hanging="792"/>
        <w:jc w:val="both"/>
        <w:rPr>
          <w:rFonts w:eastAsia="Times New Roman"/>
        </w:rPr>
      </w:pPr>
      <w:bookmarkStart w:id="53" w:name="_Toc529974127"/>
      <w:r>
        <w:rPr>
          <w:rFonts w:eastAsia="Times New Roman"/>
        </w:rPr>
        <w:t>Inovace v ČR</w:t>
      </w:r>
      <w:bookmarkEnd w:id="53"/>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 xml:space="preserve">Český statistický úřad provádí od roku 2002 v pravidelných dvouletých intervalech statistická šetření o inovačních aktivitách podniků. Poslední platné šetření je TI 2016, které je zacíleno na inovační aktivity za roky 2014–2016. Pro sjednocení metodiky měření inovací využívá ČSÚ klasifikace inovací dle </w:t>
      </w:r>
      <w:proofErr w:type="spellStart"/>
      <w:proofErr w:type="gramStart"/>
      <w:r w:rsidRPr="003F2EAB">
        <w:rPr>
          <w:rFonts w:ascii="Arial" w:hAnsi="Arial" w:cs="Arial"/>
        </w:rPr>
        <w:t>Eurostat</w:t>
      </w:r>
      <w:proofErr w:type="spellEnd"/>
      <w:proofErr w:type="gramEnd"/>
      <w:r w:rsidRPr="003F2EAB">
        <w:rPr>
          <w:rFonts w:ascii="Arial" w:hAnsi="Arial" w:cs="Arial"/>
        </w:rPr>
        <w:t>. Podniky s inovační aktivitou se tedy dělí na podniky s technickými nebo netechnickými inovacemi. U podniků s technickými inovacemi se může jednat o inovaci produktovou, procesní nebo pokračující či zastavené inovační aktivity. Podniky s netechnickými inovacemi vykazují aktivity v oblasti marketingových nebo organizačních inovací. Základní soubor ve statistickém šetření TI 2016 skýtá 25 103 podniků, z toho bylo obesláno 6 638 (tzn. pokrytí základního souboru 26,4 %) a čistá návratnost dosahovala 84,7 % (ta je ze všech dosud provedených šetření nejvyšší).</w:t>
      </w:r>
    </w:p>
    <w:p w:rsidR="0086009A" w:rsidRPr="003F2EAB" w:rsidRDefault="0086009A" w:rsidP="0086009A">
      <w:pPr>
        <w:spacing w:after="0" w:line="360" w:lineRule="auto"/>
        <w:ind w:firstLine="403"/>
        <w:jc w:val="both"/>
        <w:rPr>
          <w:rFonts w:ascii="Arial" w:hAnsi="Arial" w:cs="Arial"/>
          <w:i/>
          <w:sz w:val="18"/>
        </w:rPr>
      </w:pPr>
      <w:r w:rsidRPr="003F2EAB">
        <w:rPr>
          <w:rFonts w:ascii="Arial" w:hAnsi="Arial" w:cs="Arial"/>
        </w:rPr>
        <w:t>Výše uvedené šetření ukazuje na obrat v klesajícím trendu v rámci inovačních aktivit a lze na něho pohlížet jako na nastartování inovačních aktivit v období po ekonomické krizi.</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Základní informace z provedeného šetření jsou uvedené v obrázku 8.11. Jak je patrné z horní části obrázku, podíl inovujících podniků od období 2006–2008 klesal až do posledního sledovaného období (2014–2016), ve kterém je oproti předchozímu období zaznamenán růst o 4 procentní body, podíl inovujících podniků byl v období 2014–2016 46,3 %. Trend celkového podílu inovujících podniků kopírují domácí podniky (inovující domácí podniky 44,0 %). Podniky pod zahraniční kontrolou vykazují stejný trend s mírně odlišnou velikostí změn (inovující podniky pod zahraniční kontrolou 55,2 %).</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V další části obrázku jsou znázorněny podíly inovujících podniků ve vztahu k velikosti podniku. Nejmenší podíl inovujících podniků je tradičně v kategorii malých podniků (40,7 %). Tato skupina kopíruje trend inovujících podniků celkem. Odlišný trend vývoje podílu inovujících podniků je u</w:t>
      </w:r>
      <w:r w:rsidR="00B308C1">
        <w:rPr>
          <w:rFonts w:ascii="Arial" w:hAnsi="Arial" w:cs="Arial"/>
        </w:rPr>
        <w:t> </w:t>
      </w:r>
      <w:r w:rsidRPr="003F2EAB">
        <w:rPr>
          <w:rFonts w:ascii="Arial" w:hAnsi="Arial" w:cs="Arial"/>
        </w:rPr>
        <w:t xml:space="preserve">středních podniků (58,2 %). V kategorii velkých podniků se podíl inovujících podniků mění jen minimálně. Zatímco v období 2006–2008 byl tento podíl 80,7 %, v následujících dvou obdobích 78,6 % (resp. 78,7 %) a v dalších dvou obdobích 77,2 % a 77,4 %. </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Poslední část obrázku zachycuje podíl inovujících podniků podle oblasti jejich činnosti v členění na 2 skupiny: průmysl a služby. Obě skupiny vykazují podobný trend podílu inovujících podniků. V prvním sledovaném období (2006–2008) vykazovala skupina podniků v oblasti průmyslu i služeb podobné hodnoty, od uvedeného období dochází ke stále se většímu vzdalování hodnot podílu inovujících podniků. Zatímco podíl inovujících podniků v oblasti průmyslu je 50,5 %, v oblasti služeb je tato hodnota 41,1 %.</w:t>
      </w:r>
    </w:p>
    <w:p w:rsidR="0086009A" w:rsidRPr="003F2EAB" w:rsidRDefault="0086009A" w:rsidP="0086009A">
      <w:pPr>
        <w:spacing w:line="360" w:lineRule="auto"/>
        <w:jc w:val="both"/>
        <w:rPr>
          <w:rFonts w:ascii="Arial" w:hAnsi="Arial" w:cs="Arial"/>
        </w:rPr>
      </w:pPr>
    </w:p>
    <w:p w:rsidR="0086009A" w:rsidRPr="003F2EAB" w:rsidRDefault="0086009A" w:rsidP="0086009A">
      <w:pPr>
        <w:pStyle w:val="Obrzek"/>
      </w:pPr>
      <w:r w:rsidRPr="003F2EAB">
        <w:lastRenderedPageBreak/>
        <w:t>Obrázek 8.11: Základní informace o inovacích v ČR dle kategorií podniků</w:t>
      </w:r>
    </w:p>
    <w:p w:rsidR="0086009A" w:rsidRPr="003F2EAB" w:rsidRDefault="00812E4C" w:rsidP="0086009A">
      <w:pPr>
        <w:spacing w:line="360" w:lineRule="auto"/>
        <w:jc w:val="both"/>
        <w:rPr>
          <w:rFonts w:ascii="Arial" w:hAnsi="Arial" w:cs="Arial"/>
        </w:rPr>
      </w:pPr>
      <w:r>
        <w:rPr>
          <w:rFonts w:ascii="Arial" w:hAnsi="Arial" w:cs="Arial"/>
          <w:noProof/>
          <w:lang w:eastAsia="cs-CZ"/>
        </w:rPr>
        <w:drawing>
          <wp:inline distT="0" distB="0" distL="0" distR="0" wp14:anchorId="503C2ED8">
            <wp:extent cx="5906282" cy="5996940"/>
            <wp:effectExtent l="0" t="0" r="0" b="0"/>
            <wp:docPr id="88" name="Obráze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07855" cy="5998537"/>
                    </a:xfrm>
                    <a:prstGeom prst="rect">
                      <a:avLst/>
                    </a:prstGeom>
                    <a:noFill/>
                  </pic:spPr>
                </pic:pic>
              </a:graphicData>
            </a:graphic>
          </wp:inline>
        </w:drawing>
      </w:r>
    </w:p>
    <w:p w:rsidR="0086009A" w:rsidRPr="003F2EAB" w:rsidRDefault="0086009A" w:rsidP="0086009A">
      <w:pPr>
        <w:spacing w:line="360" w:lineRule="auto"/>
        <w:jc w:val="both"/>
        <w:rPr>
          <w:rFonts w:ascii="Arial" w:hAnsi="Arial" w:cs="Arial"/>
          <w:i/>
          <w:sz w:val="18"/>
        </w:rPr>
      </w:pPr>
      <w:r w:rsidRPr="003F2EAB">
        <w:rPr>
          <w:rFonts w:ascii="Arial" w:hAnsi="Arial" w:cs="Arial"/>
          <w:i/>
          <w:sz w:val="18"/>
        </w:rPr>
        <w:t>Zdroj: vlastní zpracování dle ČSÚ, Inovační aktivity podniků v letech 2014–2016</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Na následujícím obrázku 8.12 je znázorněn podíl inovujících podniků v členění dle druhu inovace, tj. technické a netechnické. V ČR převládají inovace technické (37,3 %) nad netechnickými (32,7 %). Lze říci, že uvedené platí i v případě členěné podle velikosti podniků a</w:t>
      </w:r>
      <w:r w:rsidR="00B308C1">
        <w:rPr>
          <w:rFonts w:ascii="Arial" w:hAnsi="Arial" w:cs="Arial"/>
        </w:rPr>
        <w:t> </w:t>
      </w:r>
      <w:r w:rsidRPr="003F2EAB">
        <w:rPr>
          <w:rFonts w:ascii="Arial" w:hAnsi="Arial" w:cs="Arial"/>
        </w:rPr>
        <w:t xml:space="preserve">podle vlastnictví podniků. Rozdíl v rámci procentních bodů mezi technickými a netechnickými inovacemi je nejnižší u malých podniků, kde netechnické inovace jsou menší o 3 procentní body. V druhé kategorii jsou si bližší poměry technických a netechnických inovací u domácích podniků (rozdíl 4 procentních bodů, rozdíl v rámci zahraničních afiliací je 7 procentních bodů). </w:t>
      </w:r>
    </w:p>
    <w:p w:rsidR="0086009A" w:rsidRPr="003F2EAB" w:rsidRDefault="0086009A" w:rsidP="0086009A">
      <w:pPr>
        <w:spacing w:after="0" w:line="360" w:lineRule="auto"/>
        <w:ind w:firstLine="403"/>
        <w:jc w:val="both"/>
        <w:rPr>
          <w:rFonts w:ascii="Arial" w:hAnsi="Arial" w:cs="Arial"/>
        </w:rPr>
      </w:pPr>
      <w:r w:rsidRPr="003F2EAB">
        <w:rPr>
          <w:rFonts w:ascii="Arial" w:hAnsi="Arial" w:cs="Arial"/>
        </w:rPr>
        <w:t xml:space="preserve">V rámci technických inovací převládají ve všech kategoriích inovace procesní. Rozdíly mezi poměry produktových a procesních inovací nejsou příliš výrazné. V ČR vykazuje aktivity v technických inovacích 37,3 % podniků, 27,7 % jsou inovace procesní a 25,7 % inovace </w:t>
      </w:r>
      <w:r w:rsidRPr="003F2EAB">
        <w:rPr>
          <w:rFonts w:ascii="Arial" w:hAnsi="Arial" w:cs="Arial"/>
        </w:rPr>
        <w:lastRenderedPageBreak/>
        <w:t xml:space="preserve">produktové. Přibližný rozdíl 1–2 procentních bodů je mezi produktovými a procesními inovacemi ve všech sledovaných kategorií (vždy ve prospěch procesních inovací). </w:t>
      </w:r>
    </w:p>
    <w:p w:rsidR="0086009A" w:rsidRPr="003F2EAB" w:rsidRDefault="0086009A" w:rsidP="0086009A">
      <w:pPr>
        <w:pStyle w:val="Obrzek"/>
      </w:pPr>
      <w:r w:rsidRPr="003F2EAB">
        <w:t>Obrázek 8.12: Podíl inovujících podniků dle druhu inovací (2014–2016)</w:t>
      </w:r>
    </w:p>
    <w:p w:rsidR="0086009A" w:rsidRPr="003F2EAB" w:rsidRDefault="0086009A" w:rsidP="0086009A">
      <w:pPr>
        <w:spacing w:line="360" w:lineRule="auto"/>
        <w:jc w:val="center"/>
        <w:rPr>
          <w:rFonts w:ascii="Arial" w:hAnsi="Arial" w:cs="Arial"/>
        </w:rPr>
      </w:pPr>
      <w:r w:rsidRPr="003F2EAB">
        <w:rPr>
          <w:noProof/>
          <w:lang w:eastAsia="cs-CZ"/>
        </w:rPr>
        <w:drawing>
          <wp:inline distT="0" distB="0" distL="0" distR="0" wp14:anchorId="0CE6885D" wp14:editId="030A221E">
            <wp:extent cx="4572000" cy="2600325"/>
            <wp:effectExtent l="0" t="0" r="0" b="0"/>
            <wp:docPr id="69" name="Graf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rsidR="0086009A" w:rsidRPr="003F2EAB" w:rsidRDefault="0086009A" w:rsidP="0086009A">
      <w:pPr>
        <w:spacing w:line="360" w:lineRule="auto"/>
        <w:jc w:val="both"/>
        <w:rPr>
          <w:rFonts w:ascii="Arial" w:hAnsi="Arial" w:cs="Arial"/>
          <w:i/>
          <w:sz w:val="18"/>
        </w:rPr>
      </w:pPr>
      <w:r w:rsidRPr="003F2EAB">
        <w:rPr>
          <w:rFonts w:ascii="Arial" w:hAnsi="Arial" w:cs="Arial"/>
          <w:i/>
          <w:sz w:val="18"/>
        </w:rPr>
        <w:t>Zdroj: vlastní zpracování dle ČSÚ, Inovační aktivity podniků v letech 2014–2016</w:t>
      </w:r>
    </w:p>
    <w:p w:rsidR="0086009A" w:rsidRPr="003F2EAB" w:rsidRDefault="0086009A" w:rsidP="0086009A">
      <w:pPr>
        <w:spacing w:line="360" w:lineRule="auto"/>
        <w:ind w:firstLine="403"/>
        <w:jc w:val="both"/>
        <w:rPr>
          <w:rFonts w:ascii="Arial" w:hAnsi="Arial" w:cs="Arial"/>
        </w:rPr>
      </w:pPr>
      <w:r w:rsidRPr="003F2EAB">
        <w:rPr>
          <w:rFonts w:ascii="Arial" w:hAnsi="Arial" w:cs="Arial"/>
        </w:rPr>
        <w:t xml:space="preserve">Obrázek 8.13 zachycuje podíl inovujících podniků v zemích EU 28 v posledním aktuálně dostupném období, tj. 2012–2014. Největší podíl inovujících podniků má Německo (67 %), Lucembursko (65,1 %) a Belgie (64,2 %). Na druhé straně žebříčku oproti prvnímu Německu je Rumunsko (12,8 %) a Polsko (21,0 %). Průměr EU 28 je na úrovni 49,1 % a podíl inovujících podniků v ČR je pod průměrem na úrovni 42,0 %. Momentálně nejsou dostupná data pro mezinárodní porovnání za období 2014–2016. Z hodnoty ČR za období 2014–2016 (tj. 46,3 %) </w:t>
      </w:r>
      <w:proofErr w:type="gramStart"/>
      <w:r w:rsidRPr="003F2EAB">
        <w:rPr>
          <w:rFonts w:ascii="Arial" w:hAnsi="Arial" w:cs="Arial"/>
        </w:rPr>
        <w:t>je</w:t>
      </w:r>
      <w:proofErr w:type="gramEnd"/>
      <w:r w:rsidRPr="003F2EAB">
        <w:rPr>
          <w:rFonts w:ascii="Arial" w:hAnsi="Arial" w:cs="Arial"/>
        </w:rPr>
        <w:t xml:space="preserve"> možné očekávat přiblížení se průměru EU 28. ČR </w:t>
      </w:r>
      <w:proofErr w:type="gramStart"/>
      <w:r w:rsidRPr="003F2EAB">
        <w:rPr>
          <w:rFonts w:ascii="Arial" w:hAnsi="Arial" w:cs="Arial"/>
        </w:rPr>
        <w:t>byla</w:t>
      </w:r>
      <w:proofErr w:type="gramEnd"/>
      <w:r w:rsidRPr="003F2EAB">
        <w:rPr>
          <w:rFonts w:ascii="Arial" w:hAnsi="Arial" w:cs="Arial"/>
        </w:rPr>
        <w:t xml:space="preserve"> v předchozím textu z pohledu inovační výkonnosti porovnávána s Rakouskem. V podílu inovujících podniků ČR za Rakouskem výrazně zaostává (o 18 procentních bodů).</w:t>
      </w:r>
    </w:p>
    <w:p w:rsidR="0086009A" w:rsidRPr="003F2EAB" w:rsidRDefault="0086009A" w:rsidP="0086009A">
      <w:pPr>
        <w:pStyle w:val="Obrzek"/>
      </w:pPr>
      <w:r w:rsidRPr="003F2EAB">
        <w:t>Obrázek 8.13 Podíl inovujících podniků v zemích EU (2012–2014)</w:t>
      </w:r>
    </w:p>
    <w:p w:rsidR="0086009A" w:rsidRPr="003F2EAB" w:rsidRDefault="0086009A" w:rsidP="0086009A">
      <w:pPr>
        <w:spacing w:line="360" w:lineRule="auto"/>
        <w:jc w:val="center"/>
        <w:rPr>
          <w:rFonts w:ascii="Arial" w:hAnsi="Arial" w:cs="Arial"/>
        </w:rPr>
      </w:pPr>
      <w:r w:rsidRPr="003F2EAB">
        <w:rPr>
          <w:noProof/>
          <w:lang w:eastAsia="cs-CZ"/>
        </w:rPr>
        <w:drawing>
          <wp:inline distT="0" distB="0" distL="0" distR="0" wp14:anchorId="36CB9391" wp14:editId="3AE90422">
            <wp:extent cx="5753100" cy="1950720"/>
            <wp:effectExtent l="0" t="0" r="0" b="0"/>
            <wp:docPr id="70" name="Graf 70"/>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86009A" w:rsidRPr="003F2EAB" w:rsidRDefault="0086009A" w:rsidP="0086009A">
      <w:pPr>
        <w:spacing w:line="360" w:lineRule="auto"/>
        <w:jc w:val="both"/>
        <w:rPr>
          <w:rFonts w:ascii="Arial" w:hAnsi="Arial" w:cs="Arial"/>
          <w:i/>
          <w:sz w:val="18"/>
        </w:rPr>
      </w:pPr>
      <w:r w:rsidRPr="003F2EAB">
        <w:rPr>
          <w:rFonts w:ascii="Arial" w:hAnsi="Arial" w:cs="Arial"/>
          <w:i/>
          <w:sz w:val="18"/>
        </w:rPr>
        <w:t>Zdroj: vlastní zpracování dle ČSÚ, Inovační aktivity podniků v letech 2014–2016</w:t>
      </w:r>
    </w:p>
    <w:p w:rsidR="000C39F7" w:rsidRPr="0086009A" w:rsidRDefault="0086009A" w:rsidP="0086009A">
      <w:pPr>
        <w:spacing w:line="360" w:lineRule="auto"/>
        <w:ind w:firstLine="403"/>
        <w:jc w:val="both"/>
        <w:rPr>
          <w:rFonts w:ascii="Arial" w:hAnsi="Arial" w:cs="Arial"/>
        </w:rPr>
      </w:pPr>
      <w:r w:rsidRPr="003F2EAB">
        <w:rPr>
          <w:rFonts w:ascii="Arial" w:hAnsi="Arial" w:cs="Arial"/>
        </w:rPr>
        <w:lastRenderedPageBreak/>
        <w:t>V rámci podílu technicky inovujících podniků je ČR mírně za průměrem EU 28. ČR dosáhla v této oblasti úrovně 35,7 %, EU 28 36,8 %. Mezi hodnotu EU 28 a ČR se dostala pouze Litva. Nejnižší podíl je možné sledovat opět u Rumunska (6,5 %), naopak nejvyšší podíl inovujících podniků v oblasti technických inovací je v Belgii (52,9 %), Německu (52,6 %) a Irsku (48,8 %).</w:t>
      </w:r>
    </w:p>
    <w:p w:rsidR="000C39F7" w:rsidRDefault="000C39F7">
      <w:pPr>
        <w:rPr>
          <w:rFonts w:ascii="Arial" w:eastAsia="Times New Roman" w:hAnsi="Arial" w:cs="Arial"/>
          <w:lang w:eastAsia="cs-CZ"/>
        </w:rPr>
      </w:pPr>
      <w:r>
        <w:rPr>
          <w:rFonts w:ascii="Arial" w:eastAsia="Times New Roman" w:hAnsi="Arial" w:cs="Arial"/>
          <w:lang w:eastAsia="cs-CZ"/>
        </w:rPr>
        <w:br w:type="page"/>
      </w:r>
    </w:p>
    <w:p w:rsidR="001B2305" w:rsidRDefault="001B2305" w:rsidP="001B2305">
      <w:pPr>
        <w:pStyle w:val="Nadpis1"/>
      </w:pPr>
      <w:bookmarkStart w:id="54" w:name="_Toc427676909"/>
      <w:bookmarkStart w:id="55" w:name="_Toc529974128"/>
      <w:r w:rsidRPr="00CB4BFE">
        <w:lastRenderedPageBreak/>
        <w:t>STRATEGICKÁ DOPORUČENÍ</w:t>
      </w:r>
      <w:bookmarkEnd w:id="54"/>
      <w:bookmarkEnd w:id="55"/>
    </w:p>
    <w:p w:rsidR="000C39F7" w:rsidRPr="000C39F7" w:rsidRDefault="000C39F7" w:rsidP="000C39F7">
      <w:pPr>
        <w:spacing w:after="0" w:line="360" w:lineRule="auto"/>
        <w:ind w:firstLine="708"/>
        <w:jc w:val="both"/>
        <w:rPr>
          <w:rFonts w:ascii="Arial" w:eastAsia="Times New Roman" w:hAnsi="Arial" w:cs="Arial"/>
          <w:lang w:eastAsia="cs-CZ"/>
        </w:rPr>
      </w:pPr>
    </w:p>
    <w:p w:rsidR="00053E38" w:rsidRDefault="00053E38" w:rsidP="005F5A7B">
      <w:pPr>
        <w:pStyle w:val="Nadpis1"/>
      </w:pPr>
      <w:r>
        <w:br w:type="page"/>
      </w:r>
      <w:bookmarkStart w:id="56" w:name="_Toc529974129"/>
      <w:r w:rsidR="005500B3" w:rsidRPr="00DC24F0">
        <w:lastRenderedPageBreak/>
        <w:t>Seznam zkratek</w:t>
      </w:r>
      <w:bookmarkEnd w:id="56"/>
    </w:p>
    <w:p w:rsidR="00931E4F" w:rsidRPr="00DC24F0" w:rsidRDefault="00931E4F" w:rsidP="00DC24F0">
      <w:pPr>
        <w:tabs>
          <w:tab w:val="left" w:pos="1560"/>
        </w:tabs>
        <w:spacing w:before="60" w:after="60" w:line="240" w:lineRule="auto"/>
        <w:ind w:left="1276" w:hanging="1276"/>
        <w:rPr>
          <w:rFonts w:ascii="Arial" w:hAnsi="Arial" w:cs="Arial"/>
        </w:rPr>
      </w:pPr>
      <w:r w:rsidRPr="00DC24F0">
        <w:rPr>
          <w:rFonts w:ascii="Arial" w:hAnsi="Arial" w:cs="Arial"/>
        </w:rPr>
        <w:t>7. RP</w:t>
      </w:r>
      <w:r w:rsidRPr="00DC24F0">
        <w:rPr>
          <w:rFonts w:ascii="Arial" w:hAnsi="Arial" w:cs="Arial"/>
        </w:rPr>
        <w:tab/>
        <w:t>7. rámcový program Evropské unie pro výzkum a technologický rozvoj</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 xml:space="preserve">AIS </w:t>
      </w:r>
      <w:r w:rsidRPr="00DC24F0">
        <w:rPr>
          <w:rFonts w:ascii="Arial" w:hAnsi="Arial" w:cs="Arial"/>
        </w:rPr>
        <w:tab/>
        <w:t xml:space="preserve">Article </w:t>
      </w:r>
      <w:r w:rsidR="00A539B3">
        <w:rPr>
          <w:rFonts w:ascii="Arial" w:hAnsi="Arial" w:cs="Arial"/>
        </w:rPr>
        <w:t>I</w:t>
      </w:r>
      <w:r w:rsidRPr="00DC24F0">
        <w:rPr>
          <w:rFonts w:ascii="Arial" w:hAnsi="Arial" w:cs="Arial"/>
        </w:rPr>
        <w:t xml:space="preserve">nfluence </w:t>
      </w:r>
      <w:r w:rsidR="00A539B3">
        <w:rPr>
          <w:rFonts w:ascii="Arial" w:hAnsi="Arial" w:cs="Arial"/>
        </w:rPr>
        <w:t>S</w:t>
      </w:r>
      <w:r w:rsidRPr="00DC24F0">
        <w:rPr>
          <w:rFonts w:ascii="Arial" w:hAnsi="Arial" w:cs="Arial"/>
        </w:rPr>
        <w:t>core</w:t>
      </w:r>
    </w:p>
    <w:p w:rsidR="00931E4F" w:rsidRPr="00DC24F0" w:rsidRDefault="00931E4F" w:rsidP="00DC24F0">
      <w:pPr>
        <w:tabs>
          <w:tab w:val="left" w:pos="1276"/>
        </w:tabs>
        <w:spacing w:before="60" w:after="60" w:line="240" w:lineRule="auto"/>
        <w:ind w:left="1276" w:hanging="1276"/>
        <w:rPr>
          <w:rFonts w:ascii="Arial" w:hAnsi="Arial" w:cs="Arial"/>
        </w:rPr>
      </w:pPr>
      <w:r w:rsidRPr="00DC24F0">
        <w:rPr>
          <w:rFonts w:ascii="Arial" w:hAnsi="Arial" w:cs="Arial"/>
        </w:rPr>
        <w:t xml:space="preserve">AV </w:t>
      </w:r>
      <w:r w:rsidRPr="00DC24F0">
        <w:rPr>
          <w:rFonts w:ascii="Arial" w:hAnsi="Arial" w:cs="Arial"/>
        </w:rPr>
        <w:tab/>
      </w:r>
      <w:r w:rsidR="00A539B3">
        <w:rPr>
          <w:rFonts w:ascii="Arial" w:hAnsi="Arial" w:cs="Arial"/>
        </w:rPr>
        <w:t>v</w:t>
      </w:r>
      <w:r w:rsidRPr="00DC24F0">
        <w:rPr>
          <w:rFonts w:ascii="Arial" w:hAnsi="Arial" w:cs="Arial"/>
        </w:rPr>
        <w:t>eřejné výzkumné instituce, jejichž zřizovatelem je dle zákona č. 341/2005 Sb. A</w:t>
      </w:r>
      <w:r w:rsidR="00DC24F0">
        <w:rPr>
          <w:rFonts w:ascii="Arial" w:hAnsi="Arial" w:cs="Arial"/>
        </w:rPr>
        <w:t>kademie věd </w:t>
      </w:r>
      <w:r w:rsidRPr="00DC24F0">
        <w:rPr>
          <w:rFonts w:ascii="Arial" w:hAnsi="Arial" w:cs="Arial"/>
        </w:rPr>
        <w:t xml:space="preserve">ČR </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AV ČR</w:t>
      </w:r>
      <w:r w:rsidRPr="00DC24F0">
        <w:rPr>
          <w:rFonts w:ascii="Arial" w:hAnsi="Arial" w:cs="Arial"/>
        </w:rPr>
        <w:tab/>
        <w:t>Akademie věd České republiky</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BERD</w:t>
      </w:r>
      <w:r w:rsidRPr="00DC24F0">
        <w:rPr>
          <w:rFonts w:ascii="Arial" w:hAnsi="Arial" w:cs="Arial"/>
        </w:rPr>
        <w:tab/>
        <w:t xml:space="preserve">Business </w:t>
      </w:r>
      <w:proofErr w:type="spellStart"/>
      <w:r w:rsidRPr="00DC24F0">
        <w:rPr>
          <w:rFonts w:ascii="Arial" w:hAnsi="Arial" w:cs="Arial"/>
        </w:rPr>
        <w:t>Enterprise</w:t>
      </w:r>
      <w:proofErr w:type="spellEnd"/>
      <w:r w:rsidRPr="00DC24F0">
        <w:rPr>
          <w:rFonts w:ascii="Arial" w:hAnsi="Arial" w:cs="Arial"/>
        </w:rPr>
        <w:t xml:space="preserve"> </w:t>
      </w:r>
      <w:proofErr w:type="spellStart"/>
      <w:r w:rsidRPr="00DC24F0">
        <w:rPr>
          <w:rFonts w:ascii="Arial" w:hAnsi="Arial" w:cs="Arial"/>
        </w:rPr>
        <w:t>Expenditure</w:t>
      </w:r>
      <w:proofErr w:type="spellEnd"/>
      <w:r w:rsidRPr="00DC24F0">
        <w:rPr>
          <w:rFonts w:ascii="Arial" w:hAnsi="Arial" w:cs="Arial"/>
        </w:rPr>
        <w:t xml:space="preserve"> on R&amp;D – výdaje na </w:t>
      </w:r>
      <w:proofErr w:type="spellStart"/>
      <w:r w:rsidRPr="00DC24F0">
        <w:rPr>
          <w:rFonts w:ascii="Arial" w:hAnsi="Arial" w:cs="Arial"/>
        </w:rPr>
        <w:t>VaV</w:t>
      </w:r>
      <w:proofErr w:type="spellEnd"/>
      <w:r w:rsidR="00EB0FF6">
        <w:rPr>
          <w:rFonts w:ascii="Arial" w:hAnsi="Arial" w:cs="Arial"/>
        </w:rPr>
        <w:t xml:space="preserve"> v </w:t>
      </w:r>
      <w:r w:rsidRPr="00DC24F0">
        <w:rPr>
          <w:rFonts w:ascii="Arial" w:hAnsi="Arial" w:cs="Arial"/>
        </w:rPr>
        <w:t xml:space="preserve">podnikatelském sektoru </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CEA</w:t>
      </w:r>
      <w:r w:rsidRPr="00DC24F0">
        <w:rPr>
          <w:rFonts w:ascii="Arial" w:hAnsi="Arial" w:cs="Arial"/>
        </w:rPr>
        <w:tab/>
        <w:t>Centrální evidence aktivit výzkumu</w:t>
      </w:r>
    </w:p>
    <w:p w:rsidR="00931E4F" w:rsidRPr="00DC24F0" w:rsidRDefault="00931E4F" w:rsidP="007F7124">
      <w:pPr>
        <w:tabs>
          <w:tab w:val="left" w:pos="1276"/>
        </w:tabs>
        <w:spacing w:before="60" w:after="60" w:line="240" w:lineRule="auto"/>
        <w:rPr>
          <w:rFonts w:ascii="Arial" w:hAnsi="Arial" w:cs="Arial"/>
        </w:rPr>
      </w:pPr>
      <w:r w:rsidRPr="00DC24F0">
        <w:rPr>
          <w:rFonts w:ascii="Arial" w:hAnsi="Arial" w:cs="Arial"/>
        </w:rPr>
        <w:t>CEP</w:t>
      </w:r>
      <w:r w:rsidRPr="00DC24F0">
        <w:rPr>
          <w:rFonts w:ascii="Arial" w:hAnsi="Arial" w:cs="Arial"/>
        </w:rPr>
        <w:tab/>
        <w:t>Centrální evidence projektů výzkumu, experimentálního vývoje a inovací</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CIS</w:t>
      </w:r>
      <w:r w:rsidRPr="00DC24F0">
        <w:rPr>
          <w:rFonts w:ascii="Arial" w:hAnsi="Arial" w:cs="Arial"/>
        </w:rPr>
        <w:tab/>
      </w:r>
      <w:proofErr w:type="spellStart"/>
      <w:r w:rsidRPr="00DC24F0">
        <w:rPr>
          <w:rFonts w:ascii="Arial" w:hAnsi="Arial" w:cs="Arial"/>
        </w:rPr>
        <w:t>Community</w:t>
      </w:r>
      <w:proofErr w:type="spellEnd"/>
      <w:r w:rsidRPr="00DC24F0">
        <w:rPr>
          <w:rFonts w:ascii="Arial" w:hAnsi="Arial" w:cs="Arial"/>
        </w:rPr>
        <w:t xml:space="preserve"> </w:t>
      </w:r>
      <w:proofErr w:type="spellStart"/>
      <w:r w:rsidRPr="00DC24F0">
        <w:rPr>
          <w:rFonts w:ascii="Arial" w:hAnsi="Arial" w:cs="Arial"/>
        </w:rPr>
        <w:t>Innovation</w:t>
      </w:r>
      <w:proofErr w:type="spellEnd"/>
      <w:r w:rsidRPr="00DC24F0">
        <w:rPr>
          <w:rFonts w:ascii="Arial" w:hAnsi="Arial" w:cs="Arial"/>
        </w:rPr>
        <w:t xml:space="preserve"> </w:t>
      </w:r>
      <w:proofErr w:type="spellStart"/>
      <w:r w:rsidRPr="00DC24F0">
        <w:rPr>
          <w:rFonts w:ascii="Arial" w:hAnsi="Arial" w:cs="Arial"/>
        </w:rPr>
        <w:t>Survey</w:t>
      </w:r>
      <w:proofErr w:type="spellEnd"/>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CZ-CPA</w:t>
      </w:r>
      <w:r w:rsidRPr="00DC24F0">
        <w:rPr>
          <w:rFonts w:ascii="Arial" w:hAnsi="Arial" w:cs="Arial"/>
        </w:rPr>
        <w:tab/>
        <w:t xml:space="preserve">klasifikace produkce </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CZ-NACE</w:t>
      </w:r>
      <w:r w:rsidRPr="00DC24F0">
        <w:rPr>
          <w:rFonts w:ascii="Arial" w:hAnsi="Arial" w:cs="Arial"/>
        </w:rPr>
        <w:tab/>
        <w:t>klasifikace ekonomických činností</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ČNB</w:t>
      </w:r>
      <w:r w:rsidRPr="00DC24F0">
        <w:rPr>
          <w:rFonts w:ascii="Arial" w:hAnsi="Arial" w:cs="Arial"/>
        </w:rPr>
        <w:tab/>
        <w:t>Česká národní banka</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ČR</w:t>
      </w:r>
      <w:r w:rsidRPr="00DC24F0">
        <w:rPr>
          <w:rFonts w:ascii="Arial" w:hAnsi="Arial" w:cs="Arial"/>
        </w:rPr>
        <w:tab/>
        <w:t>Česká republika</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ČSÚ</w:t>
      </w:r>
      <w:r w:rsidRPr="00DC24F0">
        <w:rPr>
          <w:rFonts w:ascii="Arial" w:hAnsi="Arial" w:cs="Arial"/>
        </w:rPr>
        <w:tab/>
        <w:t>Český statistický úřad</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ČÚZK</w:t>
      </w:r>
      <w:r w:rsidRPr="00DC24F0">
        <w:rPr>
          <w:rFonts w:ascii="Arial" w:hAnsi="Arial" w:cs="Arial"/>
        </w:rPr>
        <w:tab/>
        <w:t>Český úřad zeměměřický a katastrální</w:t>
      </w:r>
    </w:p>
    <w:p w:rsidR="00931E4F" w:rsidRDefault="00931E4F" w:rsidP="00DC24F0">
      <w:pPr>
        <w:tabs>
          <w:tab w:val="left" w:pos="1276"/>
        </w:tabs>
        <w:spacing w:before="60" w:after="60" w:line="240" w:lineRule="auto"/>
        <w:rPr>
          <w:rFonts w:ascii="Arial" w:hAnsi="Arial" w:cs="Arial"/>
        </w:rPr>
      </w:pPr>
      <w:r w:rsidRPr="00DC24F0">
        <w:rPr>
          <w:rFonts w:ascii="Arial" w:hAnsi="Arial" w:cs="Arial"/>
        </w:rPr>
        <w:t xml:space="preserve">EDP </w:t>
      </w:r>
      <w:r w:rsidRPr="00DC24F0">
        <w:rPr>
          <w:rFonts w:ascii="Arial" w:hAnsi="Arial" w:cs="Arial"/>
        </w:rPr>
        <w:tab/>
      </w:r>
      <w:proofErr w:type="spellStart"/>
      <w:r w:rsidRPr="00DC24F0">
        <w:rPr>
          <w:rFonts w:ascii="Arial" w:hAnsi="Arial" w:cs="Arial"/>
        </w:rPr>
        <w:t>Enterpreneurial</w:t>
      </w:r>
      <w:proofErr w:type="spellEnd"/>
      <w:r w:rsidRPr="00DC24F0">
        <w:rPr>
          <w:rFonts w:ascii="Arial" w:hAnsi="Arial" w:cs="Arial"/>
        </w:rPr>
        <w:t xml:space="preserve"> </w:t>
      </w:r>
      <w:proofErr w:type="spellStart"/>
      <w:r w:rsidRPr="00DC24F0">
        <w:rPr>
          <w:rFonts w:ascii="Arial" w:hAnsi="Arial" w:cs="Arial"/>
        </w:rPr>
        <w:t>discovery</w:t>
      </w:r>
      <w:proofErr w:type="spellEnd"/>
      <w:r w:rsidRPr="00DC24F0">
        <w:rPr>
          <w:rFonts w:ascii="Arial" w:hAnsi="Arial" w:cs="Arial"/>
        </w:rPr>
        <w:t xml:space="preserve"> </w:t>
      </w:r>
      <w:r w:rsidR="007F7124">
        <w:rPr>
          <w:rFonts w:ascii="Arial" w:hAnsi="Arial" w:cs="Arial"/>
        </w:rPr>
        <w:t>proces</w:t>
      </w:r>
    </w:p>
    <w:p w:rsidR="007F7124" w:rsidRPr="00DC24F0" w:rsidRDefault="007F7124" w:rsidP="00DC24F0">
      <w:pPr>
        <w:tabs>
          <w:tab w:val="left" w:pos="1276"/>
        </w:tabs>
        <w:spacing w:before="60" w:after="60" w:line="240" w:lineRule="auto"/>
        <w:rPr>
          <w:rFonts w:ascii="Arial" w:hAnsi="Arial" w:cs="Arial"/>
        </w:rPr>
      </w:pPr>
      <w:r w:rsidRPr="007F7124">
        <w:rPr>
          <w:rFonts w:ascii="Arial" w:hAnsi="Arial" w:cs="Arial"/>
        </w:rPr>
        <w:t>EIS</w:t>
      </w:r>
      <w:r w:rsidRPr="007F7124">
        <w:rPr>
          <w:rFonts w:ascii="Arial" w:hAnsi="Arial" w:cs="Arial"/>
        </w:rPr>
        <w:tab/>
      </w:r>
      <w:proofErr w:type="spellStart"/>
      <w:r w:rsidRPr="007F7124">
        <w:rPr>
          <w:rFonts w:ascii="Arial" w:hAnsi="Arial" w:cs="Arial"/>
        </w:rPr>
        <w:t>European</w:t>
      </w:r>
      <w:proofErr w:type="spellEnd"/>
      <w:r w:rsidRPr="007F7124">
        <w:rPr>
          <w:rFonts w:ascii="Arial" w:hAnsi="Arial" w:cs="Arial"/>
        </w:rPr>
        <w:t xml:space="preserve"> </w:t>
      </w:r>
      <w:proofErr w:type="spellStart"/>
      <w:r w:rsidRPr="007F7124">
        <w:rPr>
          <w:rFonts w:ascii="Arial" w:hAnsi="Arial" w:cs="Arial"/>
        </w:rPr>
        <w:t>Innovation</w:t>
      </w:r>
      <w:proofErr w:type="spellEnd"/>
      <w:r w:rsidRPr="007F7124">
        <w:rPr>
          <w:rFonts w:ascii="Arial" w:hAnsi="Arial" w:cs="Arial"/>
        </w:rPr>
        <w:t xml:space="preserve"> </w:t>
      </w:r>
      <w:proofErr w:type="spellStart"/>
      <w:r w:rsidRPr="007F7124">
        <w:rPr>
          <w:rFonts w:ascii="Arial" w:hAnsi="Arial" w:cs="Arial"/>
        </w:rPr>
        <w:t>Scoreboard</w:t>
      </w:r>
      <w:proofErr w:type="spellEnd"/>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EK</w:t>
      </w:r>
      <w:r w:rsidRPr="00DC24F0">
        <w:rPr>
          <w:rFonts w:ascii="Arial" w:hAnsi="Arial" w:cs="Arial"/>
        </w:rPr>
        <w:tab/>
        <w:t xml:space="preserve">Evropská komise / </w:t>
      </w:r>
      <w:proofErr w:type="spellStart"/>
      <w:r w:rsidRPr="00DC24F0">
        <w:rPr>
          <w:rFonts w:ascii="Arial" w:hAnsi="Arial" w:cs="Arial"/>
        </w:rPr>
        <w:t>European</w:t>
      </w:r>
      <w:proofErr w:type="spellEnd"/>
      <w:r w:rsidRPr="00DC24F0">
        <w:rPr>
          <w:rFonts w:ascii="Arial" w:hAnsi="Arial" w:cs="Arial"/>
        </w:rPr>
        <w:t xml:space="preserve"> </w:t>
      </w:r>
      <w:proofErr w:type="spellStart"/>
      <w:r w:rsidRPr="00DC24F0">
        <w:rPr>
          <w:rFonts w:ascii="Arial" w:hAnsi="Arial" w:cs="Arial"/>
        </w:rPr>
        <w:t>Commission</w:t>
      </w:r>
      <w:proofErr w:type="spellEnd"/>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EPO</w:t>
      </w:r>
      <w:r w:rsidRPr="00DC24F0">
        <w:rPr>
          <w:rFonts w:ascii="Arial" w:hAnsi="Arial" w:cs="Arial"/>
        </w:rPr>
        <w:tab/>
        <w:t>Evropský patentový úřad</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ERDF</w:t>
      </w:r>
      <w:r w:rsidRPr="00DC24F0">
        <w:rPr>
          <w:rFonts w:ascii="Arial" w:hAnsi="Arial" w:cs="Arial"/>
        </w:rPr>
        <w:tab/>
        <w:t>Evropský fond pro regionální rozvoj</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ERC</w:t>
      </w:r>
      <w:r w:rsidRPr="00DC24F0">
        <w:rPr>
          <w:rFonts w:ascii="Arial" w:hAnsi="Arial" w:cs="Arial"/>
        </w:rPr>
        <w:tab/>
      </w:r>
      <w:proofErr w:type="spellStart"/>
      <w:r w:rsidRPr="00DC24F0">
        <w:rPr>
          <w:rFonts w:ascii="Arial" w:hAnsi="Arial" w:cs="Arial"/>
        </w:rPr>
        <w:t>European</w:t>
      </w:r>
      <w:proofErr w:type="spellEnd"/>
      <w:r w:rsidRPr="00DC24F0">
        <w:rPr>
          <w:rFonts w:ascii="Arial" w:hAnsi="Arial" w:cs="Arial"/>
        </w:rPr>
        <w:t xml:space="preserve"> </w:t>
      </w:r>
      <w:proofErr w:type="spellStart"/>
      <w:r w:rsidRPr="00DC24F0">
        <w:rPr>
          <w:rFonts w:ascii="Arial" w:hAnsi="Arial" w:cs="Arial"/>
        </w:rPr>
        <w:t>Research</w:t>
      </w:r>
      <w:proofErr w:type="spellEnd"/>
      <w:r w:rsidRPr="00DC24F0">
        <w:rPr>
          <w:rFonts w:ascii="Arial" w:hAnsi="Arial" w:cs="Arial"/>
        </w:rPr>
        <w:t xml:space="preserve"> </w:t>
      </w:r>
      <w:proofErr w:type="spellStart"/>
      <w:r w:rsidRPr="00DC24F0">
        <w:rPr>
          <w:rFonts w:ascii="Arial" w:hAnsi="Arial" w:cs="Arial"/>
        </w:rPr>
        <w:t>Council</w:t>
      </w:r>
      <w:proofErr w:type="spellEnd"/>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ERIC</w:t>
      </w:r>
      <w:r w:rsidRPr="00DC24F0">
        <w:rPr>
          <w:rFonts w:ascii="Arial" w:hAnsi="Arial" w:cs="Arial"/>
        </w:rPr>
        <w:tab/>
        <w:t>Společenství pro konsorcium evropské výzkumné infrastruktury</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ERIH/ERIH PLUS</w:t>
      </w:r>
      <w:r w:rsidRPr="00DC24F0">
        <w:rPr>
          <w:rFonts w:ascii="Arial" w:hAnsi="Arial" w:cs="Arial"/>
        </w:rPr>
        <w:tab/>
        <w:t xml:space="preserve"> </w:t>
      </w:r>
      <w:proofErr w:type="spellStart"/>
      <w:r w:rsidRPr="00DC24F0">
        <w:rPr>
          <w:rFonts w:ascii="Arial" w:hAnsi="Arial" w:cs="Arial"/>
        </w:rPr>
        <w:t>European</w:t>
      </w:r>
      <w:proofErr w:type="spellEnd"/>
      <w:r w:rsidRPr="00DC24F0">
        <w:rPr>
          <w:rFonts w:ascii="Arial" w:hAnsi="Arial" w:cs="Arial"/>
        </w:rPr>
        <w:t xml:space="preserve"> Reference Index </w:t>
      </w:r>
      <w:proofErr w:type="spellStart"/>
      <w:r w:rsidRPr="00DC24F0">
        <w:rPr>
          <w:rFonts w:ascii="Arial" w:hAnsi="Arial" w:cs="Arial"/>
        </w:rPr>
        <w:t>for</w:t>
      </w:r>
      <w:proofErr w:type="spellEnd"/>
      <w:r w:rsidRPr="00DC24F0">
        <w:rPr>
          <w:rFonts w:ascii="Arial" w:hAnsi="Arial" w:cs="Arial"/>
        </w:rPr>
        <w:t xml:space="preserve"> </w:t>
      </w:r>
      <w:proofErr w:type="spellStart"/>
      <w:r w:rsidRPr="00DC24F0">
        <w:rPr>
          <w:rFonts w:ascii="Arial" w:hAnsi="Arial" w:cs="Arial"/>
        </w:rPr>
        <w:t>the</w:t>
      </w:r>
      <w:proofErr w:type="spellEnd"/>
      <w:r w:rsidRPr="00DC24F0">
        <w:rPr>
          <w:rFonts w:ascii="Arial" w:hAnsi="Arial" w:cs="Arial"/>
        </w:rPr>
        <w:t xml:space="preserve"> </w:t>
      </w:r>
      <w:proofErr w:type="spellStart"/>
      <w:r w:rsidRPr="00DC24F0">
        <w:rPr>
          <w:rFonts w:ascii="Arial" w:hAnsi="Arial" w:cs="Arial"/>
        </w:rPr>
        <w:t>Humanities</w:t>
      </w:r>
      <w:proofErr w:type="spellEnd"/>
      <w:r w:rsidRPr="00DC24F0">
        <w:rPr>
          <w:rFonts w:ascii="Arial" w:hAnsi="Arial" w:cs="Arial"/>
        </w:rPr>
        <w:t xml:space="preserve"> and </w:t>
      </w:r>
      <w:proofErr w:type="spellStart"/>
      <w:r w:rsidRPr="00DC24F0">
        <w:rPr>
          <w:rFonts w:ascii="Arial" w:hAnsi="Arial" w:cs="Arial"/>
        </w:rPr>
        <w:t>the</w:t>
      </w:r>
      <w:proofErr w:type="spellEnd"/>
      <w:r w:rsidRPr="00DC24F0">
        <w:rPr>
          <w:rFonts w:ascii="Arial" w:hAnsi="Arial" w:cs="Arial"/>
        </w:rPr>
        <w:t xml:space="preserve"> </w:t>
      </w:r>
      <w:proofErr w:type="spellStart"/>
      <w:r w:rsidRPr="00DC24F0">
        <w:rPr>
          <w:rFonts w:ascii="Arial" w:hAnsi="Arial" w:cs="Arial"/>
        </w:rPr>
        <w:t>Social</w:t>
      </w:r>
      <w:proofErr w:type="spellEnd"/>
      <w:r w:rsidRPr="00DC24F0">
        <w:rPr>
          <w:rFonts w:ascii="Arial" w:hAnsi="Arial" w:cs="Arial"/>
        </w:rPr>
        <w:t xml:space="preserve"> Sciences</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ES</w:t>
      </w:r>
      <w:r w:rsidRPr="00DC24F0">
        <w:rPr>
          <w:rFonts w:ascii="Arial" w:hAnsi="Arial" w:cs="Arial"/>
        </w:rPr>
        <w:tab/>
        <w:t>Evropské společenství</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ESF</w:t>
      </w:r>
      <w:r w:rsidRPr="00DC24F0">
        <w:rPr>
          <w:rFonts w:ascii="Arial" w:hAnsi="Arial" w:cs="Arial"/>
        </w:rPr>
        <w:tab/>
        <w:t>Evropský sociální fond</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ESFRI</w:t>
      </w:r>
      <w:r w:rsidRPr="00DC24F0">
        <w:rPr>
          <w:rFonts w:ascii="Arial" w:hAnsi="Arial" w:cs="Arial"/>
        </w:rPr>
        <w:tab/>
        <w:t>Evropského strategického fóra pro výzkumné infrastruktury</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ESIF</w:t>
      </w:r>
      <w:r w:rsidRPr="00DC24F0">
        <w:rPr>
          <w:rFonts w:ascii="Arial" w:hAnsi="Arial" w:cs="Arial"/>
        </w:rPr>
        <w:tab/>
        <w:t>Evropské strukturální a investiční fondy</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EU</w:t>
      </w:r>
      <w:r w:rsidRPr="00DC24F0">
        <w:rPr>
          <w:rFonts w:ascii="Arial" w:hAnsi="Arial" w:cs="Arial"/>
        </w:rPr>
        <w:tab/>
        <w:t>Evropská unie</w:t>
      </w:r>
    </w:p>
    <w:p w:rsidR="00931E4F" w:rsidRPr="00DC24F0" w:rsidRDefault="007E2EC7" w:rsidP="00DC24F0">
      <w:pPr>
        <w:tabs>
          <w:tab w:val="left" w:pos="1276"/>
        </w:tabs>
        <w:spacing w:before="60" w:after="60" w:line="240" w:lineRule="auto"/>
        <w:rPr>
          <w:rFonts w:ascii="Arial" w:hAnsi="Arial" w:cs="Arial"/>
        </w:rPr>
      </w:pPr>
      <w:r>
        <w:rPr>
          <w:rFonts w:ascii="Arial" w:hAnsi="Arial" w:cs="Arial"/>
        </w:rPr>
        <w:t>EU </w:t>
      </w:r>
      <w:r w:rsidR="00931E4F" w:rsidRPr="00DC24F0">
        <w:rPr>
          <w:rFonts w:ascii="Arial" w:hAnsi="Arial" w:cs="Arial"/>
        </w:rPr>
        <w:t>28</w:t>
      </w:r>
      <w:r w:rsidR="00931E4F" w:rsidRPr="00DC24F0">
        <w:rPr>
          <w:rFonts w:ascii="Arial" w:hAnsi="Arial" w:cs="Arial"/>
        </w:rPr>
        <w:tab/>
        <w:t>všechny členské státy EU od července 2013 (včetně Chorvatska)</w:t>
      </w:r>
    </w:p>
    <w:p w:rsidR="00931E4F" w:rsidRDefault="00931E4F" w:rsidP="00DC24F0">
      <w:pPr>
        <w:tabs>
          <w:tab w:val="left" w:pos="1276"/>
        </w:tabs>
        <w:spacing w:before="60" w:after="60" w:line="240" w:lineRule="auto"/>
        <w:rPr>
          <w:rFonts w:ascii="Arial" w:hAnsi="Arial" w:cs="Arial"/>
        </w:rPr>
      </w:pPr>
      <w:proofErr w:type="spellStart"/>
      <w:r w:rsidRPr="00DC24F0">
        <w:rPr>
          <w:rFonts w:ascii="Arial" w:hAnsi="Arial" w:cs="Arial"/>
        </w:rPr>
        <w:t>Eurostat</w:t>
      </w:r>
      <w:proofErr w:type="spellEnd"/>
      <w:r w:rsidRPr="00DC24F0">
        <w:rPr>
          <w:rFonts w:ascii="Arial" w:hAnsi="Arial" w:cs="Arial"/>
        </w:rPr>
        <w:tab/>
        <w:t>Evropský statistický úřad</w:t>
      </w:r>
    </w:p>
    <w:p w:rsidR="00185BAC" w:rsidRPr="00DC24F0" w:rsidRDefault="00185BAC" w:rsidP="00DC24F0">
      <w:pPr>
        <w:tabs>
          <w:tab w:val="left" w:pos="1276"/>
        </w:tabs>
        <w:spacing w:before="60" w:after="60" w:line="240" w:lineRule="auto"/>
        <w:rPr>
          <w:rFonts w:ascii="Arial" w:hAnsi="Arial" w:cs="Arial"/>
        </w:rPr>
      </w:pPr>
      <w:r w:rsidRPr="00185BAC">
        <w:rPr>
          <w:rFonts w:ascii="Arial" w:hAnsi="Arial" w:cs="Arial"/>
        </w:rPr>
        <w:t>FN</w:t>
      </w:r>
      <w:r w:rsidRPr="00185BAC">
        <w:rPr>
          <w:rFonts w:ascii="Arial" w:hAnsi="Arial" w:cs="Arial"/>
        </w:rPr>
        <w:tab/>
        <w:t>fakultní nemocnice</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FOS</w:t>
      </w:r>
      <w:r w:rsidRPr="00DC24F0">
        <w:rPr>
          <w:rFonts w:ascii="Arial" w:hAnsi="Arial" w:cs="Arial"/>
        </w:rPr>
        <w:tab/>
        <w:t xml:space="preserve">číselník </w:t>
      </w:r>
      <w:proofErr w:type="spellStart"/>
      <w:r w:rsidRPr="00DC24F0">
        <w:rPr>
          <w:rFonts w:ascii="Arial" w:hAnsi="Arial" w:cs="Arial"/>
        </w:rPr>
        <w:t>Fields</w:t>
      </w:r>
      <w:proofErr w:type="spellEnd"/>
      <w:r w:rsidRPr="00DC24F0">
        <w:rPr>
          <w:rFonts w:ascii="Arial" w:hAnsi="Arial" w:cs="Arial"/>
        </w:rPr>
        <w:t xml:space="preserve"> </w:t>
      </w:r>
      <w:proofErr w:type="spellStart"/>
      <w:r w:rsidRPr="00DC24F0">
        <w:rPr>
          <w:rFonts w:ascii="Arial" w:hAnsi="Arial" w:cs="Arial"/>
        </w:rPr>
        <w:t>of</w:t>
      </w:r>
      <w:proofErr w:type="spellEnd"/>
      <w:r w:rsidRPr="00DC24F0">
        <w:rPr>
          <w:rFonts w:ascii="Arial" w:hAnsi="Arial" w:cs="Arial"/>
        </w:rPr>
        <w:t xml:space="preserve"> Science and Technology </w:t>
      </w:r>
      <w:proofErr w:type="spellStart"/>
      <w:r w:rsidRPr="00DC24F0">
        <w:rPr>
          <w:rFonts w:ascii="Arial" w:hAnsi="Arial" w:cs="Arial"/>
        </w:rPr>
        <w:t>classification</w:t>
      </w:r>
      <w:proofErr w:type="spellEnd"/>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FTE</w:t>
      </w:r>
      <w:r w:rsidRPr="00DC24F0">
        <w:rPr>
          <w:rFonts w:ascii="Arial" w:hAnsi="Arial" w:cs="Arial"/>
        </w:rPr>
        <w:tab/>
        <w:t xml:space="preserve">Full </w:t>
      </w:r>
      <w:proofErr w:type="spellStart"/>
      <w:r w:rsidR="00A539B3">
        <w:rPr>
          <w:rFonts w:ascii="Arial" w:hAnsi="Arial" w:cs="Arial"/>
        </w:rPr>
        <w:t>T</w:t>
      </w:r>
      <w:r w:rsidRPr="00DC24F0">
        <w:rPr>
          <w:rFonts w:ascii="Arial" w:hAnsi="Arial" w:cs="Arial"/>
        </w:rPr>
        <w:t>ime</w:t>
      </w:r>
      <w:proofErr w:type="spellEnd"/>
      <w:r w:rsidRPr="00DC24F0">
        <w:rPr>
          <w:rFonts w:ascii="Arial" w:hAnsi="Arial" w:cs="Arial"/>
        </w:rPr>
        <w:t xml:space="preserve"> </w:t>
      </w:r>
      <w:proofErr w:type="spellStart"/>
      <w:r w:rsidR="00A539B3">
        <w:rPr>
          <w:rFonts w:ascii="Arial" w:hAnsi="Arial" w:cs="Arial"/>
        </w:rPr>
        <w:t>E</w:t>
      </w:r>
      <w:r w:rsidRPr="00DC24F0">
        <w:rPr>
          <w:rFonts w:ascii="Arial" w:hAnsi="Arial" w:cs="Arial"/>
        </w:rPr>
        <w:t>quivalent</w:t>
      </w:r>
      <w:proofErr w:type="spellEnd"/>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 xml:space="preserve">GA ČR </w:t>
      </w:r>
      <w:r w:rsidRPr="00DC24F0">
        <w:rPr>
          <w:rFonts w:ascii="Arial" w:hAnsi="Arial" w:cs="Arial"/>
        </w:rPr>
        <w:tab/>
        <w:t>Grantová agentura České republiky</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GERD</w:t>
      </w:r>
      <w:r w:rsidRPr="00DC24F0">
        <w:rPr>
          <w:rFonts w:ascii="Arial" w:hAnsi="Arial" w:cs="Arial"/>
        </w:rPr>
        <w:tab/>
        <w:t xml:space="preserve">Gross </w:t>
      </w:r>
      <w:proofErr w:type="spellStart"/>
      <w:r w:rsidRPr="00DC24F0">
        <w:rPr>
          <w:rFonts w:ascii="Arial" w:hAnsi="Arial" w:cs="Arial"/>
        </w:rPr>
        <w:t>Expenditure</w:t>
      </w:r>
      <w:proofErr w:type="spellEnd"/>
      <w:r w:rsidRPr="00DC24F0">
        <w:rPr>
          <w:rFonts w:ascii="Arial" w:hAnsi="Arial" w:cs="Arial"/>
        </w:rPr>
        <w:t xml:space="preserve"> on R&amp;D – celkové (hrubé) výdaje na </w:t>
      </w:r>
      <w:proofErr w:type="spellStart"/>
      <w:r w:rsidRPr="00DC24F0">
        <w:rPr>
          <w:rFonts w:ascii="Arial" w:hAnsi="Arial" w:cs="Arial"/>
        </w:rPr>
        <w:t>VaV</w:t>
      </w:r>
      <w:proofErr w:type="spellEnd"/>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GFŘ</w:t>
      </w:r>
      <w:r w:rsidRPr="00DC24F0">
        <w:rPr>
          <w:rFonts w:ascii="Arial" w:hAnsi="Arial" w:cs="Arial"/>
        </w:rPr>
        <w:tab/>
        <w:t>Generální finanční ředitelství</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GII</w:t>
      </w:r>
      <w:r w:rsidRPr="00DC24F0">
        <w:rPr>
          <w:rFonts w:ascii="Arial" w:hAnsi="Arial" w:cs="Arial"/>
        </w:rPr>
        <w:tab/>
      </w:r>
      <w:proofErr w:type="spellStart"/>
      <w:r w:rsidRPr="00DC24F0">
        <w:rPr>
          <w:rFonts w:ascii="Arial" w:hAnsi="Arial" w:cs="Arial"/>
        </w:rPr>
        <w:t>Global</w:t>
      </w:r>
      <w:proofErr w:type="spellEnd"/>
      <w:r w:rsidRPr="00DC24F0">
        <w:rPr>
          <w:rFonts w:ascii="Arial" w:hAnsi="Arial" w:cs="Arial"/>
        </w:rPr>
        <w:t xml:space="preserve"> </w:t>
      </w:r>
      <w:proofErr w:type="spellStart"/>
      <w:r w:rsidRPr="00DC24F0">
        <w:rPr>
          <w:rFonts w:ascii="Arial" w:hAnsi="Arial" w:cs="Arial"/>
        </w:rPr>
        <w:t>Innovation</w:t>
      </w:r>
      <w:proofErr w:type="spellEnd"/>
      <w:r w:rsidRPr="00DC24F0">
        <w:rPr>
          <w:rFonts w:ascii="Arial" w:hAnsi="Arial" w:cs="Arial"/>
        </w:rPr>
        <w:t xml:space="preserve"> Index</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GOVERD</w:t>
      </w:r>
      <w:r w:rsidRPr="00DC24F0">
        <w:rPr>
          <w:rFonts w:ascii="Arial" w:hAnsi="Arial" w:cs="Arial"/>
        </w:rPr>
        <w:tab/>
      </w:r>
      <w:proofErr w:type="spellStart"/>
      <w:r w:rsidRPr="00DC24F0">
        <w:rPr>
          <w:rFonts w:ascii="Arial" w:hAnsi="Arial" w:cs="Arial"/>
        </w:rPr>
        <w:t>Government</w:t>
      </w:r>
      <w:proofErr w:type="spellEnd"/>
      <w:r w:rsidRPr="00DC24F0">
        <w:rPr>
          <w:rFonts w:ascii="Arial" w:hAnsi="Arial" w:cs="Arial"/>
        </w:rPr>
        <w:t xml:space="preserve"> </w:t>
      </w:r>
      <w:proofErr w:type="spellStart"/>
      <w:r w:rsidRPr="00DC24F0">
        <w:rPr>
          <w:rFonts w:ascii="Arial" w:hAnsi="Arial" w:cs="Arial"/>
        </w:rPr>
        <w:t>Expenditure</w:t>
      </w:r>
      <w:proofErr w:type="spellEnd"/>
      <w:r w:rsidRPr="00DC24F0">
        <w:rPr>
          <w:rFonts w:ascii="Arial" w:hAnsi="Arial" w:cs="Arial"/>
        </w:rPr>
        <w:t xml:space="preserve"> on R&amp;D – výdaje na </w:t>
      </w:r>
      <w:proofErr w:type="spellStart"/>
      <w:r w:rsidRPr="00DC24F0">
        <w:rPr>
          <w:rFonts w:ascii="Arial" w:hAnsi="Arial" w:cs="Arial"/>
        </w:rPr>
        <w:t>VaV</w:t>
      </w:r>
      <w:proofErr w:type="spellEnd"/>
      <w:r w:rsidRPr="00DC24F0">
        <w:rPr>
          <w:rFonts w:ascii="Arial" w:hAnsi="Arial" w:cs="Arial"/>
        </w:rPr>
        <w:t xml:space="preserve"> ve vládním sektoru</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H2020</w:t>
      </w:r>
      <w:r w:rsidRPr="00DC24F0">
        <w:rPr>
          <w:rFonts w:ascii="Arial" w:hAnsi="Arial" w:cs="Arial"/>
        </w:rPr>
        <w:tab/>
        <w:t xml:space="preserve">Rámcový program EU pro výzkum a inovace Horizont 2020 </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HC</w:t>
      </w:r>
      <w:r w:rsidRPr="00DC24F0">
        <w:rPr>
          <w:rFonts w:ascii="Arial" w:hAnsi="Arial" w:cs="Arial"/>
        </w:rPr>
        <w:tab/>
      </w:r>
      <w:proofErr w:type="spellStart"/>
      <w:r w:rsidRPr="00DC24F0">
        <w:rPr>
          <w:rFonts w:ascii="Arial" w:hAnsi="Arial" w:cs="Arial"/>
        </w:rPr>
        <w:t>Headcount</w:t>
      </w:r>
      <w:proofErr w:type="spellEnd"/>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HDP</w:t>
      </w:r>
      <w:r w:rsidRPr="00DC24F0">
        <w:rPr>
          <w:rFonts w:ascii="Arial" w:hAnsi="Arial" w:cs="Arial"/>
        </w:rPr>
        <w:tab/>
      </w:r>
      <w:r w:rsidR="00A539B3">
        <w:rPr>
          <w:rFonts w:ascii="Arial" w:hAnsi="Arial" w:cs="Arial"/>
        </w:rPr>
        <w:t>h</w:t>
      </w:r>
      <w:r w:rsidRPr="00DC24F0">
        <w:rPr>
          <w:rFonts w:ascii="Arial" w:hAnsi="Arial" w:cs="Arial"/>
        </w:rPr>
        <w:t>rubý domácí produkt</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HPH</w:t>
      </w:r>
      <w:r w:rsidRPr="00DC24F0">
        <w:rPr>
          <w:rFonts w:ascii="Arial" w:hAnsi="Arial" w:cs="Arial"/>
        </w:rPr>
        <w:tab/>
      </w:r>
      <w:r w:rsidR="00A539B3">
        <w:rPr>
          <w:rFonts w:ascii="Arial" w:hAnsi="Arial" w:cs="Arial"/>
        </w:rPr>
        <w:t>h</w:t>
      </w:r>
      <w:r w:rsidRPr="00DC24F0">
        <w:rPr>
          <w:rFonts w:ascii="Arial" w:hAnsi="Arial" w:cs="Arial"/>
        </w:rPr>
        <w:t>rubá přidaná hodnota</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ICT</w:t>
      </w:r>
      <w:r w:rsidRPr="00DC24F0">
        <w:rPr>
          <w:rFonts w:ascii="Arial" w:hAnsi="Arial" w:cs="Arial"/>
        </w:rPr>
        <w:tab/>
      </w:r>
      <w:r w:rsidR="00A539B3">
        <w:rPr>
          <w:rFonts w:ascii="Arial" w:hAnsi="Arial" w:cs="Arial"/>
        </w:rPr>
        <w:t>i</w:t>
      </w:r>
      <w:r w:rsidRPr="00DC24F0">
        <w:rPr>
          <w:rFonts w:ascii="Arial" w:hAnsi="Arial" w:cs="Arial"/>
        </w:rPr>
        <w:t>nformační a komunikační technologie</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lastRenderedPageBreak/>
        <w:t>INFRA</w:t>
      </w:r>
      <w:r w:rsidRPr="00DC24F0">
        <w:rPr>
          <w:rFonts w:ascii="Arial" w:hAnsi="Arial" w:cs="Arial"/>
        </w:rPr>
        <w:tab/>
        <w:t xml:space="preserve">Projekty velkých infrastruktur </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IOI</w:t>
      </w:r>
      <w:r w:rsidRPr="00DC24F0">
        <w:rPr>
          <w:rFonts w:ascii="Arial" w:hAnsi="Arial" w:cs="Arial"/>
        </w:rPr>
        <w:tab/>
      </w:r>
      <w:proofErr w:type="spellStart"/>
      <w:r w:rsidRPr="00DC24F0">
        <w:rPr>
          <w:rFonts w:ascii="Arial" w:hAnsi="Arial" w:cs="Arial"/>
        </w:rPr>
        <w:t>The</w:t>
      </w:r>
      <w:proofErr w:type="spellEnd"/>
      <w:r w:rsidRPr="00DC24F0">
        <w:rPr>
          <w:rFonts w:ascii="Arial" w:hAnsi="Arial" w:cs="Arial"/>
        </w:rPr>
        <w:t xml:space="preserve"> </w:t>
      </w:r>
      <w:proofErr w:type="spellStart"/>
      <w:r w:rsidRPr="00DC24F0">
        <w:rPr>
          <w:rFonts w:ascii="Arial" w:hAnsi="Arial" w:cs="Arial"/>
        </w:rPr>
        <w:t>Innovation</w:t>
      </w:r>
      <w:proofErr w:type="spellEnd"/>
      <w:r w:rsidRPr="00DC24F0">
        <w:rPr>
          <w:rFonts w:ascii="Arial" w:hAnsi="Arial" w:cs="Arial"/>
        </w:rPr>
        <w:t xml:space="preserve"> Output </w:t>
      </w:r>
      <w:proofErr w:type="spellStart"/>
      <w:r w:rsidRPr="00DC24F0">
        <w:rPr>
          <w:rFonts w:ascii="Arial" w:hAnsi="Arial" w:cs="Arial"/>
        </w:rPr>
        <w:t>Indicator</w:t>
      </w:r>
      <w:proofErr w:type="spellEnd"/>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IS VaVaI</w:t>
      </w:r>
      <w:r w:rsidRPr="00DC24F0">
        <w:rPr>
          <w:rFonts w:ascii="Arial" w:hAnsi="Arial" w:cs="Arial"/>
        </w:rPr>
        <w:tab/>
        <w:t>Informační systém výzkumu, experimentálního vývoje a inovací</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ITS</w:t>
      </w:r>
      <w:r w:rsidRPr="00DC24F0">
        <w:rPr>
          <w:rFonts w:ascii="Arial" w:hAnsi="Arial" w:cs="Arial"/>
        </w:rPr>
        <w:tab/>
      </w:r>
      <w:r w:rsidR="006F616E">
        <w:rPr>
          <w:rFonts w:ascii="Arial" w:hAnsi="Arial" w:cs="Arial"/>
        </w:rPr>
        <w:t>i</w:t>
      </w:r>
      <w:r w:rsidRPr="00DC24F0">
        <w:rPr>
          <w:rFonts w:ascii="Arial" w:hAnsi="Arial" w:cs="Arial"/>
        </w:rPr>
        <w:t>nteligentní dopravní systémy</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IUS</w:t>
      </w:r>
      <w:r w:rsidRPr="00DC24F0">
        <w:rPr>
          <w:rFonts w:ascii="Arial" w:hAnsi="Arial" w:cs="Arial"/>
        </w:rPr>
        <w:tab/>
      </w:r>
      <w:proofErr w:type="spellStart"/>
      <w:r w:rsidRPr="00DC24F0">
        <w:rPr>
          <w:rFonts w:ascii="Arial" w:hAnsi="Arial" w:cs="Arial"/>
        </w:rPr>
        <w:t>Innovation</w:t>
      </w:r>
      <w:proofErr w:type="spellEnd"/>
      <w:r w:rsidRPr="00DC24F0">
        <w:rPr>
          <w:rFonts w:ascii="Arial" w:hAnsi="Arial" w:cs="Arial"/>
        </w:rPr>
        <w:t xml:space="preserve"> Union </w:t>
      </w:r>
      <w:proofErr w:type="spellStart"/>
      <w:r w:rsidRPr="00DC24F0">
        <w:rPr>
          <w:rFonts w:ascii="Arial" w:hAnsi="Arial" w:cs="Arial"/>
        </w:rPr>
        <w:t>Scoreboard</w:t>
      </w:r>
      <w:proofErr w:type="spellEnd"/>
    </w:p>
    <w:p w:rsidR="00931E4F" w:rsidRPr="00DC24F0" w:rsidRDefault="00931E4F" w:rsidP="00CA0464">
      <w:pPr>
        <w:tabs>
          <w:tab w:val="left" w:pos="1276"/>
        </w:tabs>
        <w:spacing w:before="60" w:after="60" w:line="240" w:lineRule="auto"/>
        <w:ind w:left="1276" w:hanging="1276"/>
        <w:rPr>
          <w:rFonts w:ascii="Arial" w:hAnsi="Arial" w:cs="Arial"/>
        </w:rPr>
      </w:pPr>
      <w:r w:rsidRPr="00DC24F0">
        <w:rPr>
          <w:rFonts w:ascii="Arial" w:hAnsi="Arial" w:cs="Arial"/>
        </w:rPr>
        <w:t>KIA</w:t>
      </w:r>
      <w:r w:rsidRPr="00DC24F0">
        <w:rPr>
          <w:rFonts w:ascii="Arial" w:hAnsi="Arial" w:cs="Arial"/>
        </w:rPr>
        <w:tab/>
        <w:t>respektive KIABI, zaměstnanost ve znalostně intenzivních odvětvích měřenou jako % z celkové zaměstnanosti</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Lic 5-01</w:t>
      </w:r>
      <w:r w:rsidRPr="00DC24F0">
        <w:rPr>
          <w:rFonts w:ascii="Arial" w:hAnsi="Arial" w:cs="Arial"/>
        </w:rPr>
        <w:tab/>
        <w:t>šetření ČSÚ</w:t>
      </w:r>
      <w:r w:rsidR="006F616E">
        <w:rPr>
          <w:rFonts w:ascii="Arial" w:hAnsi="Arial" w:cs="Arial"/>
        </w:rPr>
        <w:t>/</w:t>
      </w:r>
      <w:r w:rsidRPr="00DC24F0">
        <w:rPr>
          <w:rFonts w:ascii="Arial" w:hAnsi="Arial" w:cs="Arial"/>
        </w:rPr>
        <w:t>Roční výkaz o licencích</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MD</w:t>
      </w:r>
      <w:r w:rsidRPr="00DC24F0">
        <w:rPr>
          <w:rFonts w:ascii="Arial" w:hAnsi="Arial" w:cs="Arial"/>
        </w:rPr>
        <w:tab/>
        <w:t>Ministerstvo dopravy</w:t>
      </w:r>
    </w:p>
    <w:p w:rsidR="00931E4F" w:rsidRPr="00DC24F0" w:rsidRDefault="00931E4F" w:rsidP="00DC24F0">
      <w:pPr>
        <w:tabs>
          <w:tab w:val="left" w:pos="1276"/>
        </w:tabs>
        <w:spacing w:before="60" w:after="60" w:line="240" w:lineRule="auto"/>
        <w:ind w:left="1276" w:hanging="1276"/>
        <w:rPr>
          <w:rFonts w:ascii="Arial" w:hAnsi="Arial" w:cs="Arial"/>
        </w:rPr>
      </w:pPr>
      <w:r w:rsidRPr="00DC24F0">
        <w:rPr>
          <w:rFonts w:ascii="Arial" w:hAnsi="Arial" w:cs="Arial"/>
        </w:rPr>
        <w:t>Metodika</w:t>
      </w:r>
      <w:r w:rsidRPr="00DC24F0">
        <w:rPr>
          <w:rFonts w:ascii="Arial" w:hAnsi="Arial" w:cs="Arial"/>
        </w:rPr>
        <w:tab/>
        <w:t>metodika hodnocení výsledků výzkumných organizací schválená vládou</w:t>
      </w:r>
      <w:r w:rsidR="006F616E">
        <w:rPr>
          <w:rFonts w:ascii="Arial" w:hAnsi="Arial" w:cs="Arial"/>
        </w:rPr>
        <w:t>,</w:t>
      </w:r>
      <w:r w:rsidRPr="00DC24F0">
        <w:rPr>
          <w:rFonts w:ascii="Arial" w:hAnsi="Arial" w:cs="Arial"/>
        </w:rPr>
        <w:t xml:space="preserve"> legislativně zakotvená</w:t>
      </w:r>
      <w:r w:rsidR="00EB0FF6">
        <w:rPr>
          <w:rFonts w:ascii="Arial" w:hAnsi="Arial" w:cs="Arial"/>
        </w:rPr>
        <w:t xml:space="preserve"> v </w:t>
      </w:r>
      <w:r w:rsidRPr="00DC24F0">
        <w:rPr>
          <w:rFonts w:ascii="Arial" w:hAnsi="Arial" w:cs="Arial"/>
        </w:rPr>
        <w:t xml:space="preserve">zákoně č. 130/2002 sb. </w:t>
      </w:r>
      <w:r w:rsidR="00DC1F1D">
        <w:rPr>
          <w:rFonts w:ascii="Arial" w:hAnsi="Arial" w:cs="Arial"/>
        </w:rPr>
        <w:t>o</w:t>
      </w:r>
      <w:r w:rsidRPr="00DC24F0">
        <w:rPr>
          <w:rFonts w:ascii="Arial" w:hAnsi="Arial" w:cs="Arial"/>
        </w:rPr>
        <w:t xml:space="preserve"> podpoře výzkumu, experimentálního vývoje a inovací (platná 2013 – 2016)</w:t>
      </w:r>
    </w:p>
    <w:p w:rsidR="00931E4F" w:rsidRPr="00DC24F0" w:rsidRDefault="00931E4F" w:rsidP="00DC24F0">
      <w:pPr>
        <w:tabs>
          <w:tab w:val="left" w:pos="1276"/>
        </w:tabs>
        <w:spacing w:before="60" w:after="60" w:line="240" w:lineRule="auto"/>
        <w:ind w:left="1276" w:hanging="1276"/>
        <w:rPr>
          <w:rFonts w:ascii="Arial" w:hAnsi="Arial" w:cs="Arial"/>
        </w:rPr>
      </w:pPr>
      <w:r w:rsidRPr="00DC24F0">
        <w:rPr>
          <w:rFonts w:ascii="Arial" w:hAnsi="Arial" w:cs="Arial"/>
        </w:rPr>
        <w:t>MEZINAR</w:t>
      </w:r>
      <w:r w:rsidRPr="00DC24F0">
        <w:rPr>
          <w:rFonts w:ascii="Arial" w:hAnsi="Arial" w:cs="Arial"/>
        </w:rPr>
        <w:tab/>
        <w:t>Mezinárodní spolupráce ČR ve výzkumu a vývoji realizovaná na základě mezinárodních smluv</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MF</w:t>
      </w:r>
      <w:r w:rsidRPr="00DC24F0">
        <w:rPr>
          <w:rFonts w:ascii="Arial" w:hAnsi="Arial" w:cs="Arial"/>
        </w:rPr>
        <w:tab/>
        <w:t>Ministerstvo financí</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MK</w:t>
      </w:r>
      <w:r w:rsidRPr="00DC24F0">
        <w:rPr>
          <w:rFonts w:ascii="Arial" w:hAnsi="Arial" w:cs="Arial"/>
        </w:rPr>
        <w:tab/>
        <w:t>Ministerstvo kultury</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MMR</w:t>
      </w:r>
      <w:r w:rsidRPr="00DC24F0">
        <w:rPr>
          <w:rFonts w:ascii="Arial" w:hAnsi="Arial" w:cs="Arial"/>
        </w:rPr>
        <w:tab/>
        <w:t>Ministerstvo pro místní rozvoj</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MO</w:t>
      </w:r>
      <w:r w:rsidRPr="00DC24F0">
        <w:rPr>
          <w:rFonts w:ascii="Arial" w:hAnsi="Arial" w:cs="Arial"/>
        </w:rPr>
        <w:tab/>
        <w:t>Ministerstvo obrany</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MPO</w:t>
      </w:r>
      <w:r w:rsidRPr="00DC24F0">
        <w:rPr>
          <w:rFonts w:ascii="Arial" w:hAnsi="Arial" w:cs="Arial"/>
        </w:rPr>
        <w:tab/>
        <w:t>Ministerstvo průmyslu a obchodu</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MPSV</w:t>
      </w:r>
      <w:r w:rsidRPr="00DC24F0">
        <w:rPr>
          <w:rFonts w:ascii="Arial" w:hAnsi="Arial" w:cs="Arial"/>
        </w:rPr>
        <w:tab/>
        <w:t>Ministerstvo práce a sociálních věcí</w:t>
      </w:r>
    </w:p>
    <w:p w:rsidR="00931E4F" w:rsidRPr="00DC24F0" w:rsidRDefault="00931E4F" w:rsidP="00DC24F0">
      <w:pPr>
        <w:tabs>
          <w:tab w:val="left" w:pos="1276"/>
        </w:tabs>
        <w:spacing w:before="60" w:after="60" w:line="240" w:lineRule="auto"/>
        <w:ind w:left="1276" w:hanging="1276"/>
        <w:rPr>
          <w:rFonts w:ascii="Arial" w:hAnsi="Arial" w:cs="Arial"/>
        </w:rPr>
      </w:pPr>
      <w:r w:rsidRPr="00DC24F0">
        <w:rPr>
          <w:rFonts w:ascii="Arial" w:hAnsi="Arial" w:cs="Arial"/>
        </w:rPr>
        <w:t>MS2014+</w:t>
      </w:r>
      <w:r w:rsidRPr="00DC24F0">
        <w:rPr>
          <w:rFonts w:ascii="Arial" w:hAnsi="Arial" w:cs="Arial"/>
        </w:rPr>
        <w:tab/>
      </w:r>
      <w:r w:rsidR="006F616E">
        <w:rPr>
          <w:rFonts w:ascii="Arial" w:hAnsi="Arial" w:cs="Arial"/>
        </w:rPr>
        <w:t>M</w:t>
      </w:r>
      <w:r w:rsidRPr="00DC24F0">
        <w:rPr>
          <w:rFonts w:ascii="Arial" w:hAnsi="Arial" w:cs="Arial"/>
        </w:rPr>
        <w:t>onitorovací systém evropských strukturálních a investičních fondů (ESIF) pro programové období 2014–2020</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MSC2007</w:t>
      </w:r>
      <w:r w:rsidRPr="00DC24F0">
        <w:rPr>
          <w:rFonts w:ascii="Arial" w:hAnsi="Arial" w:cs="Arial"/>
        </w:rPr>
        <w:tab/>
        <w:t>Monitorovací systém Strukturálních fondů</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MSP</w:t>
      </w:r>
      <w:r w:rsidRPr="00DC24F0">
        <w:rPr>
          <w:rFonts w:ascii="Arial" w:hAnsi="Arial" w:cs="Arial"/>
        </w:rPr>
        <w:tab/>
      </w:r>
      <w:r w:rsidR="006F616E">
        <w:rPr>
          <w:rFonts w:ascii="Arial" w:hAnsi="Arial" w:cs="Arial"/>
        </w:rPr>
        <w:t>m</w:t>
      </w:r>
      <w:r w:rsidRPr="00DC24F0">
        <w:rPr>
          <w:rFonts w:ascii="Arial" w:hAnsi="Arial" w:cs="Arial"/>
        </w:rPr>
        <w:t>alý a střední podnik</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MSTI</w:t>
      </w:r>
      <w:r w:rsidRPr="00DC24F0">
        <w:rPr>
          <w:rFonts w:ascii="Arial" w:hAnsi="Arial" w:cs="Arial"/>
        </w:rPr>
        <w:tab/>
      </w:r>
      <w:proofErr w:type="spellStart"/>
      <w:r w:rsidRPr="00DC24F0">
        <w:rPr>
          <w:rFonts w:ascii="Arial" w:hAnsi="Arial" w:cs="Arial"/>
        </w:rPr>
        <w:t>Main</w:t>
      </w:r>
      <w:proofErr w:type="spellEnd"/>
      <w:r w:rsidRPr="00DC24F0">
        <w:rPr>
          <w:rFonts w:ascii="Arial" w:hAnsi="Arial" w:cs="Arial"/>
        </w:rPr>
        <w:t xml:space="preserve"> Science and Technology </w:t>
      </w:r>
      <w:proofErr w:type="spellStart"/>
      <w:r w:rsidRPr="00DC24F0">
        <w:rPr>
          <w:rFonts w:ascii="Arial" w:hAnsi="Arial" w:cs="Arial"/>
        </w:rPr>
        <w:t>Indicators</w:t>
      </w:r>
      <w:proofErr w:type="spellEnd"/>
      <w:r w:rsidRPr="00DC24F0">
        <w:rPr>
          <w:rFonts w:ascii="Arial" w:hAnsi="Arial" w:cs="Arial"/>
        </w:rPr>
        <w:t>, OECD</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 xml:space="preserve">MŠMT </w:t>
      </w:r>
      <w:r w:rsidRPr="00DC24F0">
        <w:rPr>
          <w:rFonts w:ascii="Arial" w:hAnsi="Arial" w:cs="Arial"/>
        </w:rPr>
        <w:tab/>
        <w:t>Ministerstvo školství, mládeže a tělovýchovy</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MV</w:t>
      </w:r>
      <w:r w:rsidRPr="00DC24F0">
        <w:rPr>
          <w:rFonts w:ascii="Arial" w:hAnsi="Arial" w:cs="Arial"/>
        </w:rPr>
        <w:tab/>
        <w:t>Ministerstvo vnitra</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MZ</w:t>
      </w:r>
      <w:r w:rsidRPr="00DC24F0">
        <w:rPr>
          <w:rFonts w:ascii="Arial" w:hAnsi="Arial" w:cs="Arial"/>
        </w:rPr>
        <w:tab/>
        <w:t>Ministerstvo zdravotnictví</w:t>
      </w:r>
    </w:p>
    <w:p w:rsidR="00931E4F" w:rsidRPr="00DC24F0" w:rsidRDefault="00931E4F" w:rsidP="00DC24F0">
      <w:pPr>
        <w:tabs>
          <w:tab w:val="left" w:pos="1276"/>
        </w:tabs>
        <w:spacing w:before="60" w:after="60" w:line="240" w:lineRule="auto"/>
        <w:rPr>
          <w:rFonts w:ascii="Arial" w:hAnsi="Arial" w:cs="Arial"/>
        </w:rPr>
      </w:pPr>
      <w:proofErr w:type="spellStart"/>
      <w:r w:rsidRPr="00DC24F0">
        <w:rPr>
          <w:rFonts w:ascii="Arial" w:hAnsi="Arial" w:cs="Arial"/>
        </w:rPr>
        <w:t>MZe</w:t>
      </w:r>
      <w:proofErr w:type="spellEnd"/>
      <w:r w:rsidRPr="00DC24F0">
        <w:rPr>
          <w:rFonts w:ascii="Arial" w:hAnsi="Arial" w:cs="Arial"/>
        </w:rPr>
        <w:tab/>
        <w:t>Ministerstvo zemědělství</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MŽP</w:t>
      </w:r>
      <w:r w:rsidRPr="00DC24F0">
        <w:rPr>
          <w:rFonts w:ascii="Arial" w:hAnsi="Arial" w:cs="Arial"/>
        </w:rPr>
        <w:tab/>
        <w:t>Ministerstvo životního prostředí</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 xml:space="preserve">NIP </w:t>
      </w:r>
      <w:r w:rsidRPr="00DC24F0">
        <w:rPr>
          <w:rFonts w:ascii="Arial" w:hAnsi="Arial" w:cs="Arial"/>
        </w:rPr>
        <w:tab/>
      </w:r>
      <w:r w:rsidR="006F616E">
        <w:rPr>
          <w:rFonts w:ascii="Arial" w:hAnsi="Arial" w:cs="Arial"/>
        </w:rPr>
        <w:t>n</w:t>
      </w:r>
      <w:r w:rsidRPr="00DC24F0">
        <w:rPr>
          <w:rFonts w:ascii="Arial" w:hAnsi="Arial" w:cs="Arial"/>
        </w:rPr>
        <w:t>árodní inovační platformy</w:t>
      </w:r>
    </w:p>
    <w:p w:rsidR="00931E4F" w:rsidRDefault="00931E4F" w:rsidP="00DC24F0">
      <w:pPr>
        <w:tabs>
          <w:tab w:val="left" w:pos="1276"/>
        </w:tabs>
        <w:spacing w:before="60" w:after="60" w:line="240" w:lineRule="auto"/>
        <w:rPr>
          <w:rFonts w:ascii="Arial" w:hAnsi="Arial" w:cs="Arial"/>
        </w:rPr>
      </w:pPr>
      <w:r w:rsidRPr="00DC24F0">
        <w:rPr>
          <w:rFonts w:ascii="Arial" w:hAnsi="Arial" w:cs="Arial"/>
        </w:rPr>
        <w:t>NH</w:t>
      </w:r>
      <w:r w:rsidRPr="00DC24F0">
        <w:rPr>
          <w:rFonts w:ascii="Arial" w:hAnsi="Arial" w:cs="Arial"/>
        </w:rPr>
        <w:tab/>
        <w:t>národní hospodářství</w:t>
      </w:r>
    </w:p>
    <w:p w:rsidR="007D5ABA" w:rsidRPr="00DC24F0" w:rsidRDefault="007D5ABA" w:rsidP="00DC24F0">
      <w:pPr>
        <w:tabs>
          <w:tab w:val="left" w:pos="1276"/>
        </w:tabs>
        <w:spacing w:before="60" w:after="60" w:line="240" w:lineRule="auto"/>
        <w:rPr>
          <w:rFonts w:ascii="Arial" w:hAnsi="Arial" w:cs="Arial"/>
        </w:rPr>
      </w:pPr>
      <w:r w:rsidRPr="007D5ABA">
        <w:rPr>
          <w:rFonts w:ascii="Arial" w:hAnsi="Arial" w:cs="Arial"/>
        </w:rPr>
        <w:t>NOK</w:t>
      </w:r>
      <w:r w:rsidRPr="007D5ABA">
        <w:rPr>
          <w:rFonts w:ascii="Arial" w:hAnsi="Arial" w:cs="Arial"/>
        </w:rPr>
        <w:tab/>
        <w:t>Národní orgán pro koordinaci</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NPU</w:t>
      </w:r>
      <w:r w:rsidRPr="00DC24F0">
        <w:rPr>
          <w:rFonts w:ascii="Arial" w:hAnsi="Arial" w:cs="Arial"/>
        </w:rPr>
        <w:tab/>
        <w:t>Národní programy udržitelnosti I a II</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OECD</w:t>
      </w:r>
      <w:r w:rsidRPr="00DC24F0">
        <w:rPr>
          <w:rFonts w:ascii="Arial" w:hAnsi="Arial" w:cs="Arial"/>
        </w:rPr>
        <w:tab/>
        <w:t>Organizace pro ekonomickou spolupráci a rozvoj</w:t>
      </w:r>
    </w:p>
    <w:p w:rsidR="00931E4F" w:rsidRPr="00DC24F0" w:rsidRDefault="00E12E07" w:rsidP="00DC24F0">
      <w:pPr>
        <w:tabs>
          <w:tab w:val="left" w:pos="1276"/>
        </w:tabs>
        <w:spacing w:before="60" w:after="60" w:line="240" w:lineRule="auto"/>
        <w:rPr>
          <w:rFonts w:ascii="Arial" w:hAnsi="Arial" w:cs="Arial"/>
        </w:rPr>
      </w:pPr>
      <w:r>
        <w:rPr>
          <w:rFonts w:ascii="Arial" w:hAnsi="Arial" w:cs="Arial"/>
        </w:rPr>
        <w:t>OP</w:t>
      </w:r>
      <w:r>
        <w:rPr>
          <w:rFonts w:ascii="Arial" w:hAnsi="Arial" w:cs="Arial"/>
        </w:rPr>
        <w:tab/>
        <w:t>o</w:t>
      </w:r>
      <w:r w:rsidR="00931E4F" w:rsidRPr="00DC24F0">
        <w:rPr>
          <w:rFonts w:ascii="Arial" w:hAnsi="Arial" w:cs="Arial"/>
        </w:rPr>
        <w:t>perační program</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OP PI</w:t>
      </w:r>
      <w:r w:rsidRPr="00DC24F0">
        <w:rPr>
          <w:rFonts w:ascii="Arial" w:hAnsi="Arial" w:cs="Arial"/>
        </w:rPr>
        <w:tab/>
        <w:t>Operační program podnikání a inovace</w:t>
      </w:r>
    </w:p>
    <w:p w:rsidR="00931E4F" w:rsidRDefault="00931E4F" w:rsidP="00DC24F0">
      <w:pPr>
        <w:tabs>
          <w:tab w:val="left" w:pos="1276"/>
        </w:tabs>
        <w:spacing w:before="60" w:after="60" w:line="240" w:lineRule="auto"/>
        <w:rPr>
          <w:rFonts w:ascii="Arial" w:hAnsi="Arial" w:cs="Arial"/>
        </w:rPr>
      </w:pPr>
      <w:r w:rsidRPr="00DC24F0">
        <w:rPr>
          <w:rFonts w:ascii="Arial" w:hAnsi="Arial" w:cs="Arial"/>
        </w:rPr>
        <w:t>OP PIK</w:t>
      </w:r>
      <w:r w:rsidRPr="00DC24F0">
        <w:rPr>
          <w:rFonts w:ascii="Arial" w:hAnsi="Arial" w:cs="Arial"/>
        </w:rPr>
        <w:tab/>
        <w:t>Operační program podnikání a inovace pro konkurenceschopnost</w:t>
      </w:r>
    </w:p>
    <w:p w:rsidR="005537BA" w:rsidRPr="00DC24F0" w:rsidRDefault="005537BA" w:rsidP="00DC24F0">
      <w:pPr>
        <w:tabs>
          <w:tab w:val="left" w:pos="1276"/>
        </w:tabs>
        <w:spacing w:before="60" w:after="60" w:line="240" w:lineRule="auto"/>
        <w:rPr>
          <w:rFonts w:ascii="Arial" w:hAnsi="Arial" w:cs="Arial"/>
        </w:rPr>
      </w:pPr>
      <w:r w:rsidRPr="005537BA">
        <w:rPr>
          <w:rFonts w:ascii="Arial" w:hAnsi="Arial" w:cs="Arial"/>
        </w:rPr>
        <w:t>OP PPR</w:t>
      </w:r>
      <w:r w:rsidRPr="005537BA">
        <w:rPr>
          <w:rFonts w:ascii="Arial" w:hAnsi="Arial" w:cs="Arial"/>
        </w:rPr>
        <w:tab/>
        <w:t>Operační program Praha – pól růstu ČR</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 xml:space="preserve">OP </w:t>
      </w:r>
      <w:proofErr w:type="spellStart"/>
      <w:r w:rsidRPr="00DC24F0">
        <w:rPr>
          <w:rFonts w:ascii="Arial" w:hAnsi="Arial" w:cs="Arial"/>
        </w:rPr>
        <w:t>VaVpI</w:t>
      </w:r>
      <w:proofErr w:type="spellEnd"/>
      <w:r w:rsidRPr="00DC24F0">
        <w:rPr>
          <w:rFonts w:ascii="Arial" w:hAnsi="Arial" w:cs="Arial"/>
        </w:rPr>
        <w:t xml:space="preserve"> </w:t>
      </w:r>
      <w:r w:rsidRPr="00DC24F0">
        <w:rPr>
          <w:rFonts w:ascii="Arial" w:hAnsi="Arial" w:cs="Arial"/>
        </w:rPr>
        <w:tab/>
        <w:t>Operační program Výzkum a vývoj pro inovace</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OP VK</w:t>
      </w:r>
      <w:r w:rsidRPr="00DC24F0">
        <w:rPr>
          <w:rFonts w:ascii="Arial" w:hAnsi="Arial" w:cs="Arial"/>
        </w:rPr>
        <w:tab/>
        <w:t>Operační program Vzdělávání pro konkurenceschopnost</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OP VVV</w:t>
      </w:r>
      <w:r w:rsidRPr="00DC24F0">
        <w:rPr>
          <w:rFonts w:ascii="Arial" w:hAnsi="Arial" w:cs="Arial"/>
        </w:rPr>
        <w:tab/>
        <w:t>Operační program Výzkum, vývoj a vzdělávání</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PPP</w:t>
      </w:r>
      <w:r w:rsidRPr="00DC24F0">
        <w:rPr>
          <w:rFonts w:ascii="Arial" w:hAnsi="Arial" w:cs="Arial"/>
        </w:rPr>
        <w:tab/>
        <w:t xml:space="preserve">parita kupní síly </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PCT</w:t>
      </w:r>
      <w:r w:rsidRPr="00DC24F0">
        <w:rPr>
          <w:rFonts w:ascii="Arial" w:hAnsi="Arial" w:cs="Arial"/>
        </w:rPr>
        <w:tab/>
        <w:t xml:space="preserve">Smlouva o patentové spolupráci/Patent </w:t>
      </w:r>
      <w:proofErr w:type="spellStart"/>
      <w:r w:rsidRPr="00DC24F0">
        <w:rPr>
          <w:rFonts w:ascii="Arial" w:hAnsi="Arial" w:cs="Arial"/>
        </w:rPr>
        <w:t>Cooperation</w:t>
      </w:r>
      <w:proofErr w:type="spellEnd"/>
      <w:r w:rsidRPr="00DC24F0">
        <w:rPr>
          <w:rFonts w:ascii="Arial" w:hAnsi="Arial" w:cs="Arial"/>
        </w:rPr>
        <w:t xml:space="preserve"> </w:t>
      </w:r>
      <w:proofErr w:type="spellStart"/>
      <w:r w:rsidRPr="00DC24F0">
        <w:rPr>
          <w:rFonts w:ascii="Arial" w:hAnsi="Arial" w:cs="Arial"/>
        </w:rPr>
        <w:t>Treaty</w:t>
      </w:r>
      <w:proofErr w:type="spellEnd"/>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PF</w:t>
      </w:r>
      <w:r w:rsidRPr="00DC24F0">
        <w:rPr>
          <w:rFonts w:ascii="Arial" w:hAnsi="Arial" w:cs="Arial"/>
        </w:rPr>
        <w:tab/>
        <w:t>právnické a fyzické osoby mimo vysoké školy</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 xml:space="preserve">PO </w:t>
      </w:r>
      <w:r w:rsidRPr="00DC24F0">
        <w:rPr>
          <w:rFonts w:ascii="Arial" w:hAnsi="Arial" w:cs="Arial"/>
        </w:rPr>
        <w:tab/>
        <w:t>prioritní osa operačního programu</w:t>
      </w:r>
    </w:p>
    <w:p w:rsidR="00931E4F" w:rsidRPr="00DC24F0" w:rsidRDefault="00931E4F" w:rsidP="00DC24F0">
      <w:pPr>
        <w:tabs>
          <w:tab w:val="left" w:pos="1276"/>
        </w:tabs>
        <w:spacing w:before="60" w:after="60" w:line="240" w:lineRule="auto"/>
        <w:ind w:left="1276" w:hanging="1276"/>
        <w:rPr>
          <w:rFonts w:ascii="Arial" w:hAnsi="Arial" w:cs="Arial"/>
        </w:rPr>
      </w:pPr>
      <w:r w:rsidRPr="00DC24F0">
        <w:rPr>
          <w:rFonts w:ascii="Arial" w:hAnsi="Arial" w:cs="Arial"/>
        </w:rPr>
        <w:lastRenderedPageBreak/>
        <w:t>PPS</w:t>
      </w:r>
      <w:r w:rsidRPr="00DC24F0">
        <w:rPr>
          <w:rFonts w:ascii="Arial" w:hAnsi="Arial" w:cs="Arial"/>
        </w:rPr>
        <w:tab/>
      </w:r>
      <w:proofErr w:type="spellStart"/>
      <w:r w:rsidRPr="00DC24F0">
        <w:rPr>
          <w:rFonts w:ascii="Arial" w:hAnsi="Arial" w:cs="Arial"/>
        </w:rPr>
        <w:t>Purchasing</w:t>
      </w:r>
      <w:proofErr w:type="spellEnd"/>
      <w:r w:rsidRPr="00DC24F0">
        <w:rPr>
          <w:rFonts w:ascii="Arial" w:hAnsi="Arial" w:cs="Arial"/>
        </w:rPr>
        <w:t xml:space="preserve"> </w:t>
      </w:r>
      <w:proofErr w:type="spellStart"/>
      <w:r w:rsidRPr="00DC24F0">
        <w:rPr>
          <w:rFonts w:ascii="Arial" w:hAnsi="Arial" w:cs="Arial"/>
        </w:rPr>
        <w:t>Power</w:t>
      </w:r>
      <w:proofErr w:type="spellEnd"/>
      <w:r w:rsidRPr="00DC24F0">
        <w:rPr>
          <w:rFonts w:ascii="Arial" w:hAnsi="Arial" w:cs="Arial"/>
        </w:rPr>
        <w:t xml:space="preserve"> Standard - standard kupní síly; jednotka pro měření kupní síly příslušné měnové jednotky</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PS</w:t>
      </w:r>
      <w:r w:rsidRPr="00DC24F0">
        <w:rPr>
          <w:rFonts w:ascii="Arial" w:hAnsi="Arial" w:cs="Arial"/>
        </w:rPr>
        <w:tab/>
      </w:r>
      <w:r w:rsidR="006F616E">
        <w:rPr>
          <w:rFonts w:ascii="Arial" w:hAnsi="Arial" w:cs="Arial"/>
        </w:rPr>
        <w:t>p</w:t>
      </w:r>
      <w:r w:rsidRPr="00DC24F0">
        <w:rPr>
          <w:rFonts w:ascii="Arial" w:hAnsi="Arial" w:cs="Arial"/>
        </w:rPr>
        <w:t>racovní skupina</w:t>
      </w:r>
    </w:p>
    <w:p w:rsidR="00931E4F" w:rsidRDefault="00931E4F" w:rsidP="00DC24F0">
      <w:pPr>
        <w:tabs>
          <w:tab w:val="left" w:pos="1276"/>
        </w:tabs>
        <w:spacing w:before="60" w:after="60" w:line="240" w:lineRule="auto"/>
        <w:rPr>
          <w:rFonts w:ascii="Arial" w:hAnsi="Arial" w:cs="Arial"/>
        </w:rPr>
      </w:pPr>
      <w:r w:rsidRPr="00DC24F0">
        <w:rPr>
          <w:rFonts w:ascii="Arial" w:hAnsi="Arial" w:cs="Arial"/>
        </w:rPr>
        <w:t xml:space="preserve">R&amp;D </w:t>
      </w:r>
      <w:r w:rsidRPr="00DC24F0">
        <w:rPr>
          <w:rFonts w:ascii="Arial" w:hAnsi="Arial" w:cs="Arial"/>
        </w:rPr>
        <w:tab/>
      </w:r>
      <w:proofErr w:type="spellStart"/>
      <w:r w:rsidRPr="00DC24F0">
        <w:rPr>
          <w:rFonts w:ascii="Arial" w:hAnsi="Arial" w:cs="Arial"/>
        </w:rPr>
        <w:t>Research</w:t>
      </w:r>
      <w:proofErr w:type="spellEnd"/>
      <w:r w:rsidRPr="00DC24F0">
        <w:rPr>
          <w:rFonts w:ascii="Arial" w:hAnsi="Arial" w:cs="Arial"/>
        </w:rPr>
        <w:t xml:space="preserve"> and </w:t>
      </w:r>
      <w:proofErr w:type="spellStart"/>
      <w:r w:rsidRPr="00DC24F0">
        <w:rPr>
          <w:rFonts w:ascii="Arial" w:hAnsi="Arial" w:cs="Arial"/>
        </w:rPr>
        <w:t>Development</w:t>
      </w:r>
      <w:proofErr w:type="spellEnd"/>
    </w:p>
    <w:p w:rsidR="00A87FE6" w:rsidRPr="00A87FE6" w:rsidRDefault="00A87FE6" w:rsidP="00A87FE6">
      <w:pPr>
        <w:tabs>
          <w:tab w:val="left" w:pos="1276"/>
        </w:tabs>
        <w:spacing w:before="60" w:after="60" w:line="240" w:lineRule="auto"/>
        <w:rPr>
          <w:rFonts w:ascii="Arial" w:hAnsi="Arial" w:cs="Arial"/>
        </w:rPr>
      </w:pPr>
      <w:r w:rsidRPr="00A87FE6">
        <w:rPr>
          <w:rFonts w:ascii="Arial" w:hAnsi="Arial" w:cs="Arial"/>
        </w:rPr>
        <w:t>RII</w:t>
      </w:r>
      <w:r w:rsidRPr="00A87FE6">
        <w:rPr>
          <w:rFonts w:ascii="Arial" w:hAnsi="Arial" w:cs="Arial"/>
        </w:rPr>
        <w:tab/>
      </w:r>
      <w:proofErr w:type="spellStart"/>
      <w:r w:rsidRPr="00A87FE6">
        <w:rPr>
          <w:rFonts w:ascii="Arial" w:hAnsi="Arial" w:cs="Arial"/>
        </w:rPr>
        <w:t>Regional</w:t>
      </w:r>
      <w:proofErr w:type="spellEnd"/>
      <w:r w:rsidRPr="00A87FE6">
        <w:rPr>
          <w:rFonts w:ascii="Arial" w:hAnsi="Arial" w:cs="Arial"/>
        </w:rPr>
        <w:t xml:space="preserve"> </w:t>
      </w:r>
      <w:proofErr w:type="spellStart"/>
      <w:r w:rsidRPr="00A87FE6">
        <w:rPr>
          <w:rFonts w:ascii="Arial" w:hAnsi="Arial" w:cs="Arial"/>
        </w:rPr>
        <w:t>Innovation</w:t>
      </w:r>
      <w:proofErr w:type="spellEnd"/>
      <w:r w:rsidRPr="00A87FE6">
        <w:rPr>
          <w:rFonts w:ascii="Arial" w:hAnsi="Arial" w:cs="Arial"/>
        </w:rPr>
        <w:t xml:space="preserve"> Index</w:t>
      </w:r>
    </w:p>
    <w:p w:rsidR="00A87FE6" w:rsidRPr="00DC24F0" w:rsidRDefault="00A87FE6" w:rsidP="00A87FE6">
      <w:pPr>
        <w:tabs>
          <w:tab w:val="left" w:pos="1276"/>
        </w:tabs>
        <w:spacing w:before="60" w:after="60" w:line="240" w:lineRule="auto"/>
        <w:rPr>
          <w:rFonts w:ascii="Arial" w:hAnsi="Arial" w:cs="Arial"/>
        </w:rPr>
      </w:pPr>
      <w:r w:rsidRPr="00A87FE6">
        <w:rPr>
          <w:rFonts w:ascii="Arial" w:hAnsi="Arial" w:cs="Arial"/>
        </w:rPr>
        <w:t>RIS</w:t>
      </w:r>
      <w:r w:rsidRPr="00A87FE6">
        <w:rPr>
          <w:rFonts w:ascii="Arial" w:hAnsi="Arial" w:cs="Arial"/>
        </w:rPr>
        <w:tab/>
      </w:r>
      <w:proofErr w:type="spellStart"/>
      <w:r w:rsidRPr="00A87FE6">
        <w:rPr>
          <w:rFonts w:ascii="Arial" w:hAnsi="Arial" w:cs="Arial"/>
        </w:rPr>
        <w:t>Regional</w:t>
      </w:r>
      <w:proofErr w:type="spellEnd"/>
      <w:r w:rsidRPr="00A87FE6">
        <w:rPr>
          <w:rFonts w:ascii="Arial" w:hAnsi="Arial" w:cs="Arial"/>
        </w:rPr>
        <w:t xml:space="preserve"> </w:t>
      </w:r>
      <w:proofErr w:type="spellStart"/>
      <w:r w:rsidRPr="00A87FE6">
        <w:rPr>
          <w:rFonts w:ascii="Arial" w:hAnsi="Arial" w:cs="Arial"/>
        </w:rPr>
        <w:t>Innovation</w:t>
      </w:r>
      <w:proofErr w:type="spellEnd"/>
      <w:r w:rsidRPr="00A87FE6">
        <w:rPr>
          <w:rFonts w:ascii="Arial" w:hAnsi="Arial" w:cs="Arial"/>
        </w:rPr>
        <w:t xml:space="preserve"> </w:t>
      </w:r>
      <w:proofErr w:type="spellStart"/>
      <w:r w:rsidRPr="00A87FE6">
        <w:rPr>
          <w:rFonts w:ascii="Arial" w:hAnsi="Arial" w:cs="Arial"/>
        </w:rPr>
        <w:t>Scoreboard</w:t>
      </w:r>
      <w:proofErr w:type="spellEnd"/>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RIS3</w:t>
      </w:r>
      <w:r w:rsidRPr="00DC24F0">
        <w:rPr>
          <w:rFonts w:ascii="Arial" w:hAnsi="Arial" w:cs="Arial"/>
        </w:rPr>
        <w:tab/>
        <w:t xml:space="preserve">Národní výzkumná a inovační strategie pro inteligentní specializaci České republiky </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RIV</w:t>
      </w:r>
      <w:r w:rsidRPr="00DC24F0">
        <w:rPr>
          <w:rFonts w:ascii="Arial" w:hAnsi="Arial" w:cs="Arial"/>
        </w:rPr>
        <w:tab/>
        <w:t>Rejstřík informací o výsledcích</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RP</w:t>
      </w:r>
      <w:r w:rsidRPr="00DC24F0">
        <w:rPr>
          <w:rFonts w:ascii="Arial" w:hAnsi="Arial" w:cs="Arial"/>
        </w:rPr>
        <w:tab/>
        <w:t>Rámcové programy EU pro výzkum a technologický rozvoj</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RVKHR</w:t>
      </w:r>
      <w:r w:rsidRPr="00DC24F0">
        <w:rPr>
          <w:rFonts w:ascii="Arial" w:hAnsi="Arial" w:cs="Arial"/>
        </w:rPr>
        <w:tab/>
        <w:t>Rada vlády pro konkurenceschopnost a hospodářský růst</w:t>
      </w:r>
      <w:r w:rsidRPr="00DC24F0">
        <w:rPr>
          <w:rFonts w:ascii="Arial" w:hAnsi="Arial" w:cs="Arial"/>
        </w:rPr>
        <w:tab/>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RVO</w:t>
      </w:r>
      <w:r w:rsidRPr="00DC24F0">
        <w:rPr>
          <w:rFonts w:ascii="Arial" w:hAnsi="Arial" w:cs="Arial"/>
        </w:rPr>
        <w:tab/>
        <w:t>Rozvoj výzkumných organizací</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RVVI</w:t>
      </w:r>
      <w:r w:rsidRPr="00DC24F0">
        <w:rPr>
          <w:rFonts w:ascii="Arial" w:hAnsi="Arial" w:cs="Arial"/>
        </w:rPr>
        <w:tab/>
        <w:t>Rada pro výzkum, vývoj a inovace</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SC</w:t>
      </w:r>
      <w:r w:rsidRPr="00DC24F0">
        <w:rPr>
          <w:rFonts w:ascii="Arial" w:hAnsi="Arial" w:cs="Arial"/>
        </w:rPr>
        <w:tab/>
        <w:t>specifický cíl operačního programu</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Sekce VVI</w:t>
      </w:r>
      <w:r w:rsidRPr="00DC24F0">
        <w:rPr>
          <w:rFonts w:ascii="Arial" w:hAnsi="Arial" w:cs="Arial"/>
        </w:rPr>
        <w:tab/>
        <w:t>Sekce pro vědu, výzkum a inovace</w:t>
      </w:r>
      <w:r w:rsidR="002D1868">
        <w:rPr>
          <w:rFonts w:ascii="Arial" w:hAnsi="Arial" w:cs="Arial"/>
        </w:rPr>
        <w:t xml:space="preserve"> Úřadu vlády ČR</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SERV</w:t>
      </w:r>
      <w:r w:rsidRPr="00DC24F0">
        <w:rPr>
          <w:rFonts w:ascii="Arial" w:hAnsi="Arial" w:cs="Arial"/>
        </w:rPr>
        <w:tab/>
      </w:r>
      <w:r w:rsidR="006F616E">
        <w:rPr>
          <w:rFonts w:ascii="Arial" w:hAnsi="Arial" w:cs="Arial"/>
        </w:rPr>
        <w:t>v</w:t>
      </w:r>
      <w:r w:rsidRPr="00DC24F0">
        <w:rPr>
          <w:rFonts w:ascii="Arial" w:hAnsi="Arial" w:cs="Arial"/>
        </w:rPr>
        <w:t>ývoz znalostně intenzivních služeb jako% z celkového vývozu služeb</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SF EU</w:t>
      </w:r>
      <w:r w:rsidRPr="00DC24F0">
        <w:rPr>
          <w:rFonts w:ascii="Arial" w:hAnsi="Arial" w:cs="Arial"/>
        </w:rPr>
        <w:tab/>
      </w:r>
      <w:r w:rsidR="006F616E">
        <w:rPr>
          <w:rFonts w:ascii="Arial" w:hAnsi="Arial" w:cs="Arial"/>
        </w:rPr>
        <w:t>S</w:t>
      </w:r>
      <w:r w:rsidRPr="00DC24F0">
        <w:rPr>
          <w:rFonts w:ascii="Arial" w:hAnsi="Arial" w:cs="Arial"/>
        </w:rPr>
        <w:t>trukturální fondy Evropské unie</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SHV</w:t>
      </w:r>
      <w:r w:rsidRPr="00DC24F0">
        <w:rPr>
          <w:rFonts w:ascii="Arial" w:hAnsi="Arial" w:cs="Arial"/>
        </w:rPr>
        <w:tab/>
        <w:t>společenské a humanitní vědy</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SII</w:t>
      </w:r>
      <w:r w:rsidRPr="00DC24F0">
        <w:rPr>
          <w:rFonts w:ascii="Arial" w:hAnsi="Arial" w:cs="Arial"/>
        </w:rPr>
        <w:tab/>
      </w:r>
      <w:r w:rsidR="006F616E">
        <w:rPr>
          <w:rFonts w:ascii="Arial" w:hAnsi="Arial" w:cs="Arial"/>
        </w:rPr>
        <w:t>s</w:t>
      </w:r>
      <w:r w:rsidRPr="00DC24F0">
        <w:rPr>
          <w:rFonts w:ascii="Arial" w:hAnsi="Arial" w:cs="Arial"/>
        </w:rPr>
        <w:t>ouhrnný inovační index</w:t>
      </w:r>
    </w:p>
    <w:p w:rsidR="00931E4F" w:rsidRPr="00DC24F0" w:rsidRDefault="00931E4F" w:rsidP="00DC24F0">
      <w:pPr>
        <w:tabs>
          <w:tab w:val="left" w:pos="1276"/>
        </w:tabs>
        <w:spacing w:before="60" w:after="60" w:line="240" w:lineRule="auto"/>
        <w:ind w:left="1276" w:hanging="1276"/>
        <w:rPr>
          <w:rFonts w:ascii="Arial" w:hAnsi="Arial" w:cs="Arial"/>
        </w:rPr>
      </w:pPr>
      <w:r w:rsidRPr="00DC24F0">
        <w:rPr>
          <w:rFonts w:ascii="Arial" w:hAnsi="Arial" w:cs="Arial"/>
        </w:rPr>
        <w:t>SP</w:t>
      </w:r>
      <w:r w:rsidRPr="00DC24F0">
        <w:rPr>
          <w:rFonts w:ascii="Arial" w:hAnsi="Arial" w:cs="Arial"/>
        </w:rPr>
        <w:tab/>
      </w:r>
      <w:r w:rsidR="006F616E">
        <w:rPr>
          <w:rFonts w:ascii="Arial" w:hAnsi="Arial" w:cs="Arial"/>
        </w:rPr>
        <w:t>s</w:t>
      </w:r>
      <w:r w:rsidRPr="00DC24F0">
        <w:rPr>
          <w:rFonts w:ascii="Arial" w:hAnsi="Arial" w:cs="Arial"/>
        </w:rPr>
        <w:t>tátní příspěvkové organizace (SPO), organizační složky státu (OSS) a veřejné výzkumné</w:t>
      </w:r>
      <w:r w:rsidR="00DC24F0">
        <w:rPr>
          <w:rFonts w:ascii="Arial" w:hAnsi="Arial" w:cs="Arial"/>
        </w:rPr>
        <w:t xml:space="preserve"> </w:t>
      </w:r>
      <w:r w:rsidRPr="00DC24F0">
        <w:rPr>
          <w:rFonts w:ascii="Arial" w:hAnsi="Arial" w:cs="Arial"/>
        </w:rPr>
        <w:t>instituce (VVI) mimo ústavů AV ČR</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SPO</w:t>
      </w:r>
      <w:r w:rsidRPr="00DC24F0">
        <w:rPr>
          <w:rFonts w:ascii="Arial" w:hAnsi="Arial" w:cs="Arial"/>
        </w:rPr>
        <w:tab/>
      </w:r>
      <w:r w:rsidR="006F616E">
        <w:rPr>
          <w:rFonts w:ascii="Arial" w:hAnsi="Arial" w:cs="Arial"/>
        </w:rPr>
        <w:t>s</w:t>
      </w:r>
      <w:r w:rsidRPr="00DC24F0">
        <w:rPr>
          <w:rFonts w:ascii="Arial" w:hAnsi="Arial" w:cs="Arial"/>
        </w:rPr>
        <w:t>tátní příspěvkové organizace</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SPOLUFIN</w:t>
      </w:r>
      <w:r w:rsidRPr="00DC24F0">
        <w:rPr>
          <w:rFonts w:ascii="Arial" w:hAnsi="Arial" w:cs="Arial"/>
        </w:rPr>
        <w:tab/>
      </w:r>
      <w:r w:rsidR="006F616E">
        <w:rPr>
          <w:rFonts w:ascii="Arial" w:hAnsi="Arial" w:cs="Arial"/>
        </w:rPr>
        <w:t>s</w:t>
      </w:r>
      <w:r w:rsidRPr="00DC24F0">
        <w:rPr>
          <w:rFonts w:ascii="Arial" w:hAnsi="Arial" w:cs="Arial"/>
        </w:rPr>
        <w:t>polufinancování operačních programů ve VaVaI ze státního rozpočtu</w:t>
      </w:r>
    </w:p>
    <w:p w:rsidR="00931E4F" w:rsidRDefault="00F9796F" w:rsidP="00DC24F0">
      <w:pPr>
        <w:tabs>
          <w:tab w:val="left" w:pos="1276"/>
        </w:tabs>
        <w:spacing w:before="60" w:after="60" w:line="240" w:lineRule="auto"/>
        <w:rPr>
          <w:rFonts w:ascii="Arial" w:hAnsi="Arial" w:cs="Arial"/>
        </w:rPr>
      </w:pPr>
      <w:r>
        <w:rPr>
          <w:rFonts w:ascii="Arial" w:hAnsi="Arial" w:cs="Arial"/>
        </w:rPr>
        <w:t>SR</w:t>
      </w:r>
      <w:r>
        <w:rPr>
          <w:rFonts w:ascii="Arial" w:hAnsi="Arial" w:cs="Arial"/>
        </w:rPr>
        <w:tab/>
        <w:t>s</w:t>
      </w:r>
      <w:r w:rsidR="00931E4F" w:rsidRPr="00DC24F0">
        <w:rPr>
          <w:rFonts w:ascii="Arial" w:hAnsi="Arial" w:cs="Arial"/>
        </w:rPr>
        <w:t>tátní rozpočet</w:t>
      </w:r>
    </w:p>
    <w:p w:rsidR="00583263" w:rsidRPr="00DC24F0" w:rsidRDefault="00583263" w:rsidP="00DC24F0">
      <w:pPr>
        <w:tabs>
          <w:tab w:val="left" w:pos="1276"/>
        </w:tabs>
        <w:spacing w:before="60" w:after="60" w:line="240" w:lineRule="auto"/>
        <w:rPr>
          <w:rFonts w:ascii="Arial" w:hAnsi="Arial" w:cs="Arial"/>
        </w:rPr>
      </w:pPr>
      <w:r w:rsidRPr="00583263">
        <w:rPr>
          <w:rFonts w:ascii="Arial" w:hAnsi="Arial" w:cs="Arial"/>
        </w:rPr>
        <w:t>SUSEN</w:t>
      </w:r>
      <w:r w:rsidRPr="00583263">
        <w:rPr>
          <w:rFonts w:ascii="Arial" w:hAnsi="Arial" w:cs="Arial"/>
        </w:rPr>
        <w:tab/>
        <w:t>Projekt Udržitelná energetika (SUSTAINABLE ENERGY)</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SÚJB</w:t>
      </w:r>
      <w:r w:rsidRPr="00DC24F0">
        <w:rPr>
          <w:rFonts w:ascii="Arial" w:hAnsi="Arial" w:cs="Arial"/>
        </w:rPr>
        <w:tab/>
        <w:t>Státní úřad pro jadernou bezpečnost</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SVV</w:t>
      </w:r>
      <w:r w:rsidRPr="00DC24F0">
        <w:rPr>
          <w:rFonts w:ascii="Arial" w:hAnsi="Arial" w:cs="Arial"/>
        </w:rPr>
        <w:tab/>
      </w:r>
      <w:r w:rsidR="006F616E">
        <w:rPr>
          <w:rFonts w:ascii="Arial" w:hAnsi="Arial" w:cs="Arial"/>
        </w:rPr>
        <w:t>s</w:t>
      </w:r>
      <w:r w:rsidRPr="00DC24F0">
        <w:rPr>
          <w:rFonts w:ascii="Arial" w:hAnsi="Arial" w:cs="Arial"/>
        </w:rPr>
        <w:t xml:space="preserve">pecifický vysokoškolský výzkum </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TA ČR</w:t>
      </w:r>
      <w:r w:rsidRPr="00DC24F0">
        <w:rPr>
          <w:rFonts w:ascii="Arial" w:hAnsi="Arial" w:cs="Arial"/>
        </w:rPr>
        <w:tab/>
        <w:t>Technologická agentura ČR</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TC AV ČR</w:t>
      </w:r>
      <w:r w:rsidRPr="00DC24F0">
        <w:rPr>
          <w:rFonts w:ascii="Arial" w:hAnsi="Arial" w:cs="Arial"/>
        </w:rPr>
        <w:tab/>
        <w:t>Technologické centrum Akademie věd České republiky</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ÚPV ČR</w:t>
      </w:r>
      <w:r w:rsidRPr="00DC24F0">
        <w:rPr>
          <w:rFonts w:ascii="Arial" w:hAnsi="Arial" w:cs="Arial"/>
        </w:rPr>
        <w:tab/>
        <w:t>Úřad průmyslového vlastnictví České republiky</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ÚV ČR</w:t>
      </w:r>
      <w:r w:rsidRPr="00DC24F0">
        <w:rPr>
          <w:rFonts w:ascii="Arial" w:hAnsi="Arial" w:cs="Arial"/>
        </w:rPr>
        <w:tab/>
        <w:t>Úřad vlády České republiky</w:t>
      </w:r>
    </w:p>
    <w:p w:rsidR="00931E4F" w:rsidRPr="00DC24F0" w:rsidRDefault="00931E4F" w:rsidP="00DC24F0">
      <w:pPr>
        <w:tabs>
          <w:tab w:val="left" w:pos="1276"/>
        </w:tabs>
        <w:spacing w:before="60" w:after="60" w:line="240" w:lineRule="auto"/>
        <w:rPr>
          <w:rFonts w:ascii="Arial" w:hAnsi="Arial" w:cs="Arial"/>
        </w:rPr>
      </w:pPr>
      <w:proofErr w:type="spellStart"/>
      <w:r w:rsidRPr="00DC24F0">
        <w:rPr>
          <w:rFonts w:ascii="Arial" w:hAnsi="Arial" w:cs="Arial"/>
        </w:rPr>
        <w:t>VaV</w:t>
      </w:r>
      <w:proofErr w:type="spellEnd"/>
      <w:r w:rsidRPr="00DC24F0">
        <w:rPr>
          <w:rFonts w:ascii="Arial" w:hAnsi="Arial" w:cs="Arial"/>
        </w:rPr>
        <w:tab/>
        <w:t>výzkum a vývoj</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VaVaI</w:t>
      </w:r>
      <w:r w:rsidRPr="00DC24F0">
        <w:rPr>
          <w:rFonts w:ascii="Arial" w:hAnsi="Arial" w:cs="Arial"/>
        </w:rPr>
        <w:tab/>
      </w:r>
      <w:r w:rsidR="006F616E">
        <w:rPr>
          <w:rFonts w:ascii="Arial" w:hAnsi="Arial" w:cs="Arial"/>
        </w:rPr>
        <w:t>v</w:t>
      </w:r>
      <w:r w:rsidRPr="00DC24F0">
        <w:rPr>
          <w:rFonts w:ascii="Arial" w:hAnsi="Arial" w:cs="Arial"/>
        </w:rPr>
        <w:t>ýzkum, experimentální vývoj a inovace</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VES</w:t>
      </w:r>
      <w:r w:rsidRPr="00DC24F0">
        <w:rPr>
          <w:rFonts w:ascii="Arial" w:hAnsi="Arial" w:cs="Arial"/>
        </w:rPr>
        <w:tab/>
        <w:t xml:space="preserve">evidence veřejných soutěží ve výzkumu, experimentálním vývoji a inovacích </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VO</w:t>
      </w:r>
      <w:r w:rsidRPr="00DC24F0">
        <w:rPr>
          <w:rFonts w:ascii="Arial" w:hAnsi="Arial" w:cs="Arial"/>
        </w:rPr>
        <w:tab/>
        <w:t>výzkumné organizace</w:t>
      </w:r>
    </w:p>
    <w:p w:rsidR="00931E4F" w:rsidRDefault="00931E4F" w:rsidP="00DC24F0">
      <w:pPr>
        <w:tabs>
          <w:tab w:val="left" w:pos="1276"/>
        </w:tabs>
        <w:spacing w:before="60" w:after="60" w:line="240" w:lineRule="auto"/>
        <w:rPr>
          <w:rFonts w:ascii="Arial" w:hAnsi="Arial" w:cs="Arial"/>
        </w:rPr>
      </w:pPr>
      <w:r w:rsidRPr="00DC24F0">
        <w:rPr>
          <w:rFonts w:ascii="Arial" w:hAnsi="Arial" w:cs="Arial"/>
        </w:rPr>
        <w:t>VŠ</w:t>
      </w:r>
      <w:r w:rsidRPr="00DC24F0">
        <w:rPr>
          <w:rFonts w:ascii="Arial" w:hAnsi="Arial" w:cs="Arial"/>
        </w:rPr>
        <w:tab/>
        <w:t>vysoká škola (státní, veřejná, soukromá, obchodní společnost)</w:t>
      </w:r>
    </w:p>
    <w:p w:rsidR="00445207" w:rsidRPr="00DC24F0" w:rsidRDefault="00445207" w:rsidP="00DC24F0">
      <w:pPr>
        <w:tabs>
          <w:tab w:val="left" w:pos="1276"/>
        </w:tabs>
        <w:spacing w:before="60" w:after="60" w:line="240" w:lineRule="auto"/>
        <w:rPr>
          <w:rFonts w:ascii="Arial" w:hAnsi="Arial" w:cs="Arial"/>
        </w:rPr>
      </w:pPr>
      <w:r w:rsidRPr="00445207">
        <w:rPr>
          <w:rFonts w:ascii="Arial" w:hAnsi="Arial" w:cs="Arial"/>
        </w:rPr>
        <w:t>VŠE</w:t>
      </w:r>
      <w:r w:rsidRPr="00445207">
        <w:rPr>
          <w:rFonts w:ascii="Arial" w:hAnsi="Arial" w:cs="Arial"/>
        </w:rPr>
        <w:tab/>
        <w:t>Vysoká škola ekonomická v Praze</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 xml:space="preserve">VTR 5-01 </w:t>
      </w:r>
      <w:r w:rsidRPr="00DC24F0">
        <w:rPr>
          <w:rFonts w:ascii="Arial" w:hAnsi="Arial" w:cs="Arial"/>
        </w:rPr>
        <w:tab/>
      </w:r>
      <w:r w:rsidR="006F616E">
        <w:rPr>
          <w:rFonts w:ascii="Arial" w:hAnsi="Arial" w:cs="Arial"/>
        </w:rPr>
        <w:t>š</w:t>
      </w:r>
      <w:r w:rsidRPr="00DC24F0">
        <w:rPr>
          <w:rFonts w:ascii="Arial" w:hAnsi="Arial" w:cs="Arial"/>
        </w:rPr>
        <w:t>etření ČSÚ</w:t>
      </w:r>
      <w:r w:rsidR="006F616E">
        <w:rPr>
          <w:rFonts w:ascii="Arial" w:hAnsi="Arial" w:cs="Arial"/>
        </w:rPr>
        <w:t>/</w:t>
      </w:r>
      <w:r w:rsidRPr="00DC24F0">
        <w:rPr>
          <w:rFonts w:ascii="Arial" w:hAnsi="Arial" w:cs="Arial"/>
        </w:rPr>
        <w:t>Roční výkaz o výzkumu a vývoji</w:t>
      </w:r>
    </w:p>
    <w:p w:rsidR="00931E4F" w:rsidRPr="00DC24F0" w:rsidRDefault="00931E4F" w:rsidP="00DC24F0">
      <w:pPr>
        <w:tabs>
          <w:tab w:val="left" w:pos="1276"/>
        </w:tabs>
        <w:spacing w:before="60" w:after="60" w:line="240" w:lineRule="auto"/>
        <w:rPr>
          <w:rFonts w:ascii="Arial" w:hAnsi="Arial" w:cs="Arial"/>
        </w:rPr>
      </w:pPr>
      <w:r w:rsidRPr="00DC24F0">
        <w:rPr>
          <w:rFonts w:ascii="Arial" w:hAnsi="Arial" w:cs="Arial"/>
        </w:rPr>
        <w:t>VVI</w:t>
      </w:r>
      <w:r w:rsidRPr="00DC24F0">
        <w:rPr>
          <w:rFonts w:ascii="Arial" w:hAnsi="Arial" w:cs="Arial"/>
        </w:rPr>
        <w:tab/>
        <w:t>veřejná výzkumná instituce</w:t>
      </w:r>
    </w:p>
    <w:p w:rsidR="00931E4F" w:rsidRDefault="00931E4F" w:rsidP="00DC24F0">
      <w:pPr>
        <w:tabs>
          <w:tab w:val="left" w:pos="1276"/>
        </w:tabs>
        <w:spacing w:before="60" w:after="60" w:line="240" w:lineRule="auto"/>
        <w:rPr>
          <w:rFonts w:ascii="Arial" w:hAnsi="Arial" w:cs="Arial"/>
        </w:rPr>
      </w:pPr>
      <w:r w:rsidRPr="00DC24F0">
        <w:rPr>
          <w:rFonts w:ascii="Arial" w:hAnsi="Arial" w:cs="Arial"/>
        </w:rPr>
        <w:t>VVŠ</w:t>
      </w:r>
      <w:r w:rsidRPr="00DC24F0">
        <w:rPr>
          <w:rFonts w:ascii="Arial" w:hAnsi="Arial" w:cs="Arial"/>
        </w:rPr>
        <w:tab/>
        <w:t>veřejná nebo státní vysoká škola</w:t>
      </w:r>
    </w:p>
    <w:p w:rsidR="000337C3" w:rsidRPr="00DC24F0" w:rsidRDefault="000337C3" w:rsidP="00DC24F0">
      <w:pPr>
        <w:tabs>
          <w:tab w:val="left" w:pos="1276"/>
        </w:tabs>
        <w:spacing w:before="60" w:after="60" w:line="240" w:lineRule="auto"/>
        <w:rPr>
          <w:rFonts w:ascii="Arial" w:hAnsi="Arial" w:cs="Arial"/>
        </w:rPr>
      </w:pPr>
      <w:proofErr w:type="spellStart"/>
      <w:r w:rsidRPr="000337C3">
        <w:rPr>
          <w:rFonts w:ascii="Arial" w:hAnsi="Arial" w:cs="Arial"/>
        </w:rPr>
        <w:t>WoS</w:t>
      </w:r>
      <w:proofErr w:type="spellEnd"/>
      <w:r w:rsidRPr="000337C3">
        <w:rPr>
          <w:rFonts w:ascii="Arial" w:hAnsi="Arial" w:cs="Arial"/>
        </w:rPr>
        <w:tab/>
        <w:t xml:space="preserve">Web </w:t>
      </w:r>
      <w:proofErr w:type="spellStart"/>
      <w:r w:rsidRPr="000337C3">
        <w:rPr>
          <w:rFonts w:ascii="Arial" w:hAnsi="Arial" w:cs="Arial"/>
        </w:rPr>
        <w:t>of</w:t>
      </w:r>
      <w:proofErr w:type="spellEnd"/>
      <w:r w:rsidRPr="000337C3">
        <w:rPr>
          <w:rFonts w:ascii="Arial" w:hAnsi="Arial" w:cs="Arial"/>
        </w:rPr>
        <w:t xml:space="preserve"> Science</w:t>
      </w:r>
    </w:p>
    <w:p w:rsidR="00203E37" w:rsidRDefault="00931E4F" w:rsidP="00DC24F0">
      <w:pPr>
        <w:tabs>
          <w:tab w:val="left" w:pos="1276"/>
        </w:tabs>
        <w:spacing w:before="60" w:after="60" w:line="240" w:lineRule="auto"/>
        <w:rPr>
          <w:rFonts w:ascii="Arial" w:hAnsi="Arial" w:cs="Arial"/>
        </w:rPr>
      </w:pPr>
      <w:r w:rsidRPr="00DC24F0">
        <w:rPr>
          <w:rFonts w:ascii="Arial" w:hAnsi="Arial" w:cs="Arial"/>
        </w:rPr>
        <w:t>ZO 1-04</w:t>
      </w:r>
      <w:r w:rsidRPr="00DC24F0">
        <w:rPr>
          <w:rFonts w:ascii="Arial" w:hAnsi="Arial" w:cs="Arial"/>
        </w:rPr>
        <w:tab/>
        <w:t>čtvrtletní</w:t>
      </w:r>
      <w:r w:rsidR="00DC24F0" w:rsidRPr="00DC24F0">
        <w:rPr>
          <w:rFonts w:ascii="Arial" w:hAnsi="Arial" w:cs="Arial"/>
        </w:rPr>
        <w:t xml:space="preserve"> výkaz o dovozu a vývozu služeb</w:t>
      </w:r>
    </w:p>
    <w:p w:rsidR="00203E37" w:rsidRDefault="00203E37">
      <w:pPr>
        <w:rPr>
          <w:rFonts w:ascii="Arial" w:hAnsi="Arial" w:cs="Arial"/>
        </w:rPr>
      </w:pPr>
      <w:r>
        <w:rPr>
          <w:rFonts w:ascii="Arial" w:hAnsi="Arial" w:cs="Arial"/>
        </w:rPr>
        <w:br w:type="page"/>
      </w:r>
    </w:p>
    <w:p w:rsidR="004311E6" w:rsidRPr="00374B90" w:rsidRDefault="004311E6" w:rsidP="004311E6">
      <w:pPr>
        <w:rPr>
          <w:rFonts w:ascii="Arial" w:hAnsi="Arial" w:cs="Arial"/>
          <w:b/>
          <w:sz w:val="24"/>
          <w:szCs w:val="24"/>
        </w:rPr>
      </w:pPr>
      <w:r w:rsidRPr="00374B90">
        <w:rPr>
          <w:rFonts w:ascii="Arial" w:hAnsi="Arial" w:cs="Arial"/>
          <w:b/>
          <w:sz w:val="24"/>
          <w:szCs w:val="24"/>
        </w:rPr>
        <w:lastRenderedPageBreak/>
        <w:t>Zpracovatel:</w:t>
      </w:r>
    </w:p>
    <w:p w:rsidR="004311E6" w:rsidRDefault="005F5A7B" w:rsidP="005F5A7B">
      <w:pPr>
        <w:tabs>
          <w:tab w:val="left" w:pos="6237"/>
        </w:tabs>
        <w:rPr>
          <w:rFonts w:ascii="Arial" w:hAnsi="Arial" w:cs="Arial"/>
          <w:b/>
        </w:rPr>
      </w:pPr>
      <w:r w:rsidRPr="005F5A7B">
        <w:rPr>
          <w:rFonts w:ascii="Arial" w:hAnsi="Arial" w:cs="Arial"/>
          <w:b/>
        </w:rPr>
        <w:t>Odbor Rady pro výzkum, vývoj a inovace</w:t>
      </w:r>
      <w:r w:rsidR="004311E6">
        <w:rPr>
          <w:rFonts w:ascii="Arial" w:hAnsi="Arial" w:cs="Arial"/>
          <w:b/>
        </w:rPr>
        <w:t>:</w:t>
      </w:r>
      <w:r w:rsidR="004311E6">
        <w:rPr>
          <w:rFonts w:ascii="Arial" w:hAnsi="Arial" w:cs="Arial"/>
          <w:b/>
        </w:rPr>
        <w:tab/>
      </w:r>
      <w:r>
        <w:rPr>
          <w:rFonts w:ascii="Arial" w:hAnsi="Arial" w:cs="Arial"/>
          <w:i/>
        </w:rPr>
        <w:t>Jan Marek</w:t>
      </w:r>
    </w:p>
    <w:p w:rsidR="004311E6" w:rsidRDefault="005F5A7B" w:rsidP="005F5A7B">
      <w:pPr>
        <w:tabs>
          <w:tab w:val="left" w:pos="6237"/>
        </w:tabs>
        <w:rPr>
          <w:rFonts w:ascii="Arial" w:hAnsi="Arial" w:cs="Arial"/>
          <w:b/>
        </w:rPr>
      </w:pPr>
      <w:r w:rsidRPr="005F5A7B">
        <w:rPr>
          <w:rFonts w:ascii="Arial" w:hAnsi="Arial" w:cs="Arial"/>
          <w:b/>
        </w:rPr>
        <w:t>Oddělení analýz a koordinace vědy, výzkumu a inovací</w:t>
      </w:r>
      <w:r>
        <w:rPr>
          <w:rFonts w:ascii="Arial" w:hAnsi="Arial" w:cs="Arial"/>
          <w:b/>
        </w:rPr>
        <w:t>:</w:t>
      </w:r>
      <w:r>
        <w:rPr>
          <w:rFonts w:ascii="Arial" w:hAnsi="Arial" w:cs="Arial"/>
          <w:b/>
        </w:rPr>
        <w:tab/>
      </w:r>
      <w:r w:rsidR="004311E6" w:rsidRPr="00D35C9F">
        <w:rPr>
          <w:rFonts w:ascii="Arial" w:hAnsi="Arial" w:cs="Arial"/>
          <w:i/>
        </w:rPr>
        <w:t>Přemysl Filip</w:t>
      </w:r>
    </w:p>
    <w:p w:rsidR="004311E6" w:rsidRPr="00374B90" w:rsidRDefault="004311E6" w:rsidP="004311E6">
      <w:pPr>
        <w:spacing w:before="480"/>
        <w:rPr>
          <w:rFonts w:ascii="Arial" w:hAnsi="Arial" w:cs="Arial"/>
          <w:b/>
          <w:sz w:val="24"/>
          <w:szCs w:val="24"/>
        </w:rPr>
      </w:pPr>
      <w:r w:rsidRPr="00374B90">
        <w:rPr>
          <w:rFonts w:ascii="Arial" w:hAnsi="Arial" w:cs="Arial"/>
          <w:b/>
          <w:sz w:val="24"/>
          <w:szCs w:val="24"/>
        </w:rPr>
        <w:t>Autoři jednotlivých kapitol Dokumentu:</w:t>
      </w:r>
    </w:p>
    <w:p w:rsidR="00E72FE8" w:rsidRDefault="004311E6" w:rsidP="00E72FE8">
      <w:pPr>
        <w:spacing w:after="0"/>
        <w:rPr>
          <w:rFonts w:ascii="Arial" w:hAnsi="Arial" w:cs="Arial"/>
        </w:rPr>
      </w:pPr>
      <w:r w:rsidRPr="006A469E">
        <w:rPr>
          <w:rFonts w:ascii="Arial" w:hAnsi="Arial" w:cs="Arial"/>
          <w:b/>
        </w:rPr>
        <w:t xml:space="preserve">Finanční </w:t>
      </w:r>
      <w:r w:rsidRPr="005B3FC2">
        <w:rPr>
          <w:rFonts w:ascii="Arial" w:hAnsi="Arial" w:cs="Arial"/>
          <w:b/>
        </w:rPr>
        <w:t>toky ve výzkumu a vývoji</w:t>
      </w:r>
    </w:p>
    <w:p w:rsidR="004311E6" w:rsidRPr="006A469E" w:rsidRDefault="00E72FE8" w:rsidP="00E72FE8">
      <w:pPr>
        <w:rPr>
          <w:rFonts w:ascii="Arial" w:hAnsi="Arial" w:cs="Arial"/>
        </w:rPr>
      </w:pPr>
      <w:r w:rsidRPr="00E72FE8">
        <w:rPr>
          <w:rFonts w:ascii="Arial" w:hAnsi="Arial" w:cs="Arial"/>
          <w:i/>
        </w:rPr>
        <w:t xml:space="preserve">Lucie </w:t>
      </w:r>
      <w:proofErr w:type="spellStart"/>
      <w:r w:rsidRPr="00E72FE8">
        <w:rPr>
          <w:rFonts w:ascii="Arial" w:hAnsi="Arial" w:cs="Arial"/>
          <w:i/>
        </w:rPr>
        <w:t>Kureková</w:t>
      </w:r>
      <w:proofErr w:type="spellEnd"/>
    </w:p>
    <w:p w:rsidR="00E72FE8" w:rsidRPr="00E72FE8" w:rsidRDefault="004311E6" w:rsidP="00E72FE8">
      <w:pPr>
        <w:spacing w:after="0"/>
        <w:rPr>
          <w:rFonts w:ascii="Arial" w:hAnsi="Arial" w:cs="Arial"/>
          <w:b/>
        </w:rPr>
      </w:pPr>
      <w:r w:rsidRPr="006A469E">
        <w:rPr>
          <w:rFonts w:ascii="Arial" w:hAnsi="Arial" w:cs="Arial"/>
          <w:b/>
        </w:rPr>
        <w:t xml:space="preserve">Financování </w:t>
      </w:r>
      <w:r>
        <w:rPr>
          <w:rFonts w:ascii="Arial" w:hAnsi="Arial" w:cs="Arial"/>
          <w:b/>
        </w:rPr>
        <w:t>výzkumu a vývoje</w:t>
      </w:r>
      <w:r w:rsidRPr="006A469E">
        <w:rPr>
          <w:rFonts w:ascii="Arial" w:hAnsi="Arial" w:cs="Arial"/>
          <w:b/>
        </w:rPr>
        <w:t xml:space="preserve"> ze státního rozpočtu</w:t>
      </w:r>
      <w:r w:rsidRPr="00E72FE8">
        <w:rPr>
          <w:rFonts w:ascii="Arial" w:hAnsi="Arial" w:cs="Arial"/>
          <w:b/>
        </w:rPr>
        <w:t xml:space="preserve"> </w:t>
      </w:r>
    </w:p>
    <w:p w:rsidR="004311E6" w:rsidRPr="006A469E" w:rsidRDefault="004311E6" w:rsidP="004311E6">
      <w:pPr>
        <w:rPr>
          <w:rFonts w:ascii="Arial" w:hAnsi="Arial" w:cs="Arial"/>
          <w:i/>
        </w:rPr>
      </w:pPr>
      <w:r w:rsidRPr="006A469E">
        <w:rPr>
          <w:rFonts w:ascii="Arial" w:hAnsi="Arial" w:cs="Arial"/>
          <w:i/>
        </w:rPr>
        <w:t xml:space="preserve">Lucie </w:t>
      </w:r>
      <w:proofErr w:type="spellStart"/>
      <w:r w:rsidRPr="006A469E">
        <w:rPr>
          <w:rFonts w:ascii="Arial" w:hAnsi="Arial" w:cs="Arial"/>
          <w:i/>
        </w:rPr>
        <w:t>Kureková</w:t>
      </w:r>
      <w:proofErr w:type="spellEnd"/>
    </w:p>
    <w:p w:rsidR="00E72FE8" w:rsidRPr="00E72FE8" w:rsidRDefault="004311E6" w:rsidP="00E72FE8">
      <w:pPr>
        <w:spacing w:after="0"/>
        <w:rPr>
          <w:rFonts w:ascii="Arial" w:hAnsi="Arial" w:cs="Arial"/>
          <w:b/>
        </w:rPr>
      </w:pPr>
      <w:r w:rsidRPr="006A469E">
        <w:rPr>
          <w:rFonts w:ascii="Arial" w:hAnsi="Arial" w:cs="Arial"/>
          <w:b/>
        </w:rPr>
        <w:t xml:space="preserve">Podpora </w:t>
      </w:r>
      <w:r>
        <w:rPr>
          <w:rFonts w:ascii="Arial" w:hAnsi="Arial" w:cs="Arial"/>
          <w:b/>
        </w:rPr>
        <w:t>výzkumu, vývoje a inovací</w:t>
      </w:r>
      <w:r w:rsidR="00EB0FF6">
        <w:rPr>
          <w:rFonts w:ascii="Arial" w:hAnsi="Arial" w:cs="Arial"/>
          <w:b/>
        </w:rPr>
        <w:t xml:space="preserve"> v </w:t>
      </w:r>
      <w:r w:rsidRPr="006A469E">
        <w:rPr>
          <w:rFonts w:ascii="Arial" w:hAnsi="Arial" w:cs="Arial"/>
          <w:b/>
        </w:rPr>
        <w:t>ČR z evropských prostředků</w:t>
      </w:r>
    </w:p>
    <w:p w:rsidR="004311E6" w:rsidRDefault="00A61AA5" w:rsidP="004311E6">
      <w:pPr>
        <w:ind w:left="709" w:hanging="709"/>
        <w:rPr>
          <w:rFonts w:ascii="Arial" w:hAnsi="Arial" w:cs="Arial"/>
          <w:i/>
        </w:rPr>
      </w:pPr>
      <w:r>
        <w:rPr>
          <w:rFonts w:ascii="Arial" w:hAnsi="Arial" w:cs="Arial"/>
          <w:i/>
        </w:rPr>
        <w:t xml:space="preserve">Kateřina </w:t>
      </w:r>
      <w:proofErr w:type="spellStart"/>
      <w:r>
        <w:rPr>
          <w:rFonts w:ascii="Arial" w:hAnsi="Arial" w:cs="Arial"/>
          <w:i/>
        </w:rPr>
        <w:t>Bumanová</w:t>
      </w:r>
      <w:proofErr w:type="spellEnd"/>
      <w:r>
        <w:rPr>
          <w:rFonts w:ascii="Arial" w:hAnsi="Arial" w:cs="Arial"/>
          <w:i/>
        </w:rPr>
        <w:t xml:space="preserve">, Pavel Jaroš, </w:t>
      </w:r>
      <w:r w:rsidR="002B10DD" w:rsidRPr="00EF4179">
        <w:rPr>
          <w:rFonts w:ascii="Arial" w:hAnsi="Arial" w:cs="Arial"/>
          <w:i/>
        </w:rPr>
        <w:t xml:space="preserve">Lucie </w:t>
      </w:r>
      <w:proofErr w:type="spellStart"/>
      <w:r w:rsidR="002B10DD" w:rsidRPr="00EF4179">
        <w:rPr>
          <w:rFonts w:ascii="Arial" w:hAnsi="Arial" w:cs="Arial"/>
          <w:i/>
        </w:rPr>
        <w:t>Kureková</w:t>
      </w:r>
      <w:proofErr w:type="spellEnd"/>
    </w:p>
    <w:p w:rsidR="005F5A7B" w:rsidRPr="008337FB" w:rsidRDefault="005F5A7B" w:rsidP="005F5A7B">
      <w:pPr>
        <w:spacing w:after="0"/>
        <w:rPr>
          <w:rFonts w:ascii="Arial" w:hAnsi="Arial" w:cs="Arial"/>
          <w:b/>
        </w:rPr>
      </w:pPr>
      <w:r w:rsidRPr="00F657F4">
        <w:rPr>
          <w:rFonts w:ascii="Arial" w:hAnsi="Arial" w:cs="Arial"/>
          <w:b/>
        </w:rPr>
        <w:t>Implementace národní strategie pro inteligentní specializaci</w:t>
      </w:r>
    </w:p>
    <w:p w:rsidR="005F5A7B" w:rsidRPr="006A469E" w:rsidRDefault="007624AF" w:rsidP="005F5A7B">
      <w:pPr>
        <w:ind w:left="709" w:hanging="709"/>
        <w:rPr>
          <w:rFonts w:ascii="Arial" w:hAnsi="Arial" w:cs="Arial"/>
          <w:i/>
        </w:rPr>
      </w:pPr>
      <w:r>
        <w:rPr>
          <w:rFonts w:ascii="Arial" w:hAnsi="Arial" w:cs="Arial"/>
          <w:i/>
        </w:rPr>
        <w:t xml:space="preserve">MPO: </w:t>
      </w:r>
      <w:r w:rsidR="005F5A7B" w:rsidRPr="00EF4179">
        <w:rPr>
          <w:rFonts w:ascii="Arial" w:hAnsi="Arial" w:cs="Arial"/>
          <w:i/>
        </w:rPr>
        <w:t xml:space="preserve">Klára </w:t>
      </w:r>
      <w:proofErr w:type="spellStart"/>
      <w:r w:rsidR="005F5A7B" w:rsidRPr="00EF4179">
        <w:rPr>
          <w:rFonts w:ascii="Arial" w:hAnsi="Arial" w:cs="Arial"/>
          <w:i/>
        </w:rPr>
        <w:t>Slanařová</w:t>
      </w:r>
      <w:proofErr w:type="spellEnd"/>
      <w:r w:rsidR="00A61AA5">
        <w:rPr>
          <w:rFonts w:ascii="Arial" w:hAnsi="Arial" w:cs="Arial"/>
          <w:i/>
        </w:rPr>
        <w:t xml:space="preserve">, Jan Bilík </w:t>
      </w:r>
    </w:p>
    <w:p w:rsidR="004311E6" w:rsidRDefault="004311E6" w:rsidP="00E72FE8">
      <w:pPr>
        <w:spacing w:after="0"/>
        <w:rPr>
          <w:rFonts w:ascii="Arial" w:hAnsi="Arial" w:cs="Arial"/>
          <w:b/>
        </w:rPr>
      </w:pPr>
      <w:r w:rsidRPr="006A469E">
        <w:rPr>
          <w:rFonts w:ascii="Arial" w:hAnsi="Arial" w:cs="Arial"/>
          <w:b/>
        </w:rPr>
        <w:t xml:space="preserve">Lidské zdroje ve </w:t>
      </w:r>
      <w:r>
        <w:rPr>
          <w:rFonts w:ascii="Arial" w:hAnsi="Arial" w:cs="Arial"/>
          <w:b/>
        </w:rPr>
        <w:t>výzkumu a vývoji</w:t>
      </w:r>
    </w:p>
    <w:p w:rsidR="00E72FE8" w:rsidRPr="00E72FE8" w:rsidRDefault="00A61AA5" w:rsidP="004311E6">
      <w:pPr>
        <w:rPr>
          <w:rFonts w:ascii="Arial" w:hAnsi="Arial" w:cs="Arial"/>
          <w:i/>
        </w:rPr>
      </w:pPr>
      <w:r>
        <w:rPr>
          <w:rFonts w:ascii="Arial" w:hAnsi="Arial" w:cs="Arial"/>
          <w:i/>
        </w:rPr>
        <w:t xml:space="preserve">Jana </w:t>
      </w:r>
      <w:proofErr w:type="spellStart"/>
      <w:r>
        <w:rPr>
          <w:rFonts w:ascii="Arial" w:hAnsi="Arial" w:cs="Arial"/>
          <w:i/>
        </w:rPr>
        <w:t>Kubecová</w:t>
      </w:r>
      <w:proofErr w:type="spellEnd"/>
    </w:p>
    <w:p w:rsidR="00E72FE8" w:rsidRPr="008337FB" w:rsidRDefault="004311E6" w:rsidP="008337FB">
      <w:pPr>
        <w:spacing w:after="0"/>
        <w:rPr>
          <w:rFonts w:ascii="Arial" w:hAnsi="Arial" w:cs="Arial"/>
          <w:b/>
        </w:rPr>
      </w:pPr>
      <w:r>
        <w:rPr>
          <w:rFonts w:ascii="Arial" w:hAnsi="Arial" w:cs="Arial"/>
          <w:b/>
        </w:rPr>
        <w:t>Výzkumné i</w:t>
      </w:r>
      <w:r w:rsidRPr="006A469E">
        <w:rPr>
          <w:rFonts w:ascii="Arial" w:hAnsi="Arial" w:cs="Arial"/>
          <w:b/>
        </w:rPr>
        <w:t xml:space="preserve">nfrastruktury </w:t>
      </w:r>
      <w:r>
        <w:rPr>
          <w:rFonts w:ascii="Arial" w:hAnsi="Arial" w:cs="Arial"/>
          <w:b/>
        </w:rPr>
        <w:t>a centra výzkumu a vývoje</w:t>
      </w:r>
      <w:r w:rsidRPr="008337FB">
        <w:rPr>
          <w:rFonts w:ascii="Arial" w:hAnsi="Arial" w:cs="Arial"/>
          <w:b/>
        </w:rPr>
        <w:t xml:space="preserve"> </w:t>
      </w:r>
    </w:p>
    <w:p w:rsidR="004311E6" w:rsidRPr="008337FB" w:rsidRDefault="00A61AA5" w:rsidP="004311E6">
      <w:pPr>
        <w:rPr>
          <w:rFonts w:ascii="Arial" w:hAnsi="Arial" w:cs="Arial"/>
          <w:i/>
        </w:rPr>
      </w:pPr>
      <w:r>
        <w:rPr>
          <w:rFonts w:ascii="Arial" w:hAnsi="Arial" w:cs="Arial"/>
          <w:i/>
        </w:rPr>
        <w:t xml:space="preserve">Jana </w:t>
      </w:r>
      <w:proofErr w:type="spellStart"/>
      <w:r>
        <w:rPr>
          <w:rFonts w:ascii="Arial" w:hAnsi="Arial" w:cs="Arial"/>
          <w:i/>
        </w:rPr>
        <w:t>Frantíková</w:t>
      </w:r>
      <w:proofErr w:type="spellEnd"/>
    </w:p>
    <w:p w:rsidR="008337FB" w:rsidRPr="008337FB" w:rsidRDefault="004311E6" w:rsidP="008337FB">
      <w:pPr>
        <w:spacing w:after="0"/>
        <w:rPr>
          <w:rFonts w:ascii="Arial" w:hAnsi="Arial" w:cs="Arial"/>
          <w:b/>
        </w:rPr>
      </w:pPr>
      <w:r w:rsidRPr="006A469E">
        <w:rPr>
          <w:rFonts w:ascii="Arial" w:hAnsi="Arial" w:cs="Arial"/>
          <w:b/>
        </w:rPr>
        <w:t>Výsledky výzkumu a vývoje</w:t>
      </w:r>
      <w:r w:rsidRPr="008337FB">
        <w:rPr>
          <w:rFonts w:ascii="Arial" w:hAnsi="Arial" w:cs="Arial"/>
          <w:b/>
        </w:rPr>
        <w:t xml:space="preserve"> </w:t>
      </w:r>
    </w:p>
    <w:p w:rsidR="004311E6" w:rsidRPr="008337FB" w:rsidRDefault="00A61AA5" w:rsidP="004311E6">
      <w:pPr>
        <w:rPr>
          <w:rFonts w:ascii="Arial" w:hAnsi="Arial" w:cs="Arial"/>
          <w:i/>
        </w:rPr>
      </w:pPr>
      <w:r>
        <w:rPr>
          <w:rFonts w:ascii="Arial" w:hAnsi="Arial" w:cs="Arial"/>
          <w:i/>
        </w:rPr>
        <w:t xml:space="preserve">Lucie </w:t>
      </w:r>
      <w:proofErr w:type="spellStart"/>
      <w:r>
        <w:rPr>
          <w:rFonts w:ascii="Arial" w:hAnsi="Arial" w:cs="Arial"/>
          <w:i/>
        </w:rPr>
        <w:t>Kureková</w:t>
      </w:r>
      <w:proofErr w:type="spellEnd"/>
    </w:p>
    <w:p w:rsidR="008337FB" w:rsidRPr="008337FB" w:rsidRDefault="004311E6" w:rsidP="008337FB">
      <w:pPr>
        <w:spacing w:after="0"/>
        <w:rPr>
          <w:rFonts w:ascii="Arial" w:hAnsi="Arial" w:cs="Arial"/>
          <w:b/>
        </w:rPr>
      </w:pPr>
      <w:r w:rsidRPr="006A469E">
        <w:rPr>
          <w:rFonts w:ascii="Arial" w:hAnsi="Arial" w:cs="Arial"/>
          <w:b/>
        </w:rPr>
        <w:t>Inovační výkonnost české ekonomiky a její mezinárodní srovnání</w:t>
      </w:r>
    </w:p>
    <w:p w:rsidR="00F657F4" w:rsidRPr="00EF4179" w:rsidRDefault="002B10DD" w:rsidP="004311E6">
      <w:pPr>
        <w:ind w:left="709" w:hanging="709"/>
        <w:rPr>
          <w:rFonts w:ascii="Arial" w:hAnsi="Arial" w:cs="Arial"/>
          <w:i/>
        </w:rPr>
      </w:pPr>
      <w:r w:rsidRPr="00EF4179">
        <w:rPr>
          <w:rFonts w:ascii="Arial" w:hAnsi="Arial" w:cs="Arial"/>
          <w:i/>
        </w:rPr>
        <w:t xml:space="preserve">Jana </w:t>
      </w:r>
      <w:proofErr w:type="spellStart"/>
      <w:r w:rsidRPr="00EF4179">
        <w:rPr>
          <w:rFonts w:ascii="Arial" w:hAnsi="Arial" w:cs="Arial"/>
          <w:i/>
        </w:rPr>
        <w:t>Kubecová</w:t>
      </w:r>
      <w:proofErr w:type="spellEnd"/>
    </w:p>
    <w:p w:rsidR="004311E6" w:rsidRPr="00374B90" w:rsidRDefault="004311E6" w:rsidP="00A61AA5">
      <w:pPr>
        <w:spacing w:before="3200"/>
        <w:rPr>
          <w:rFonts w:ascii="Arial" w:hAnsi="Arial" w:cs="Arial"/>
          <w:b/>
          <w:sz w:val="24"/>
          <w:szCs w:val="24"/>
        </w:rPr>
      </w:pPr>
      <w:r w:rsidRPr="00374B90">
        <w:rPr>
          <w:rFonts w:ascii="Arial" w:hAnsi="Arial" w:cs="Arial"/>
          <w:b/>
          <w:sz w:val="24"/>
          <w:szCs w:val="24"/>
        </w:rPr>
        <w:t>Odborní recenzenti:</w:t>
      </w:r>
    </w:p>
    <w:p w:rsidR="004311E6" w:rsidRDefault="004311E6" w:rsidP="004311E6">
      <w:pPr>
        <w:rPr>
          <w:rFonts w:ascii="Arial" w:hAnsi="Arial" w:cs="Arial"/>
        </w:rPr>
      </w:pPr>
      <w:r>
        <w:rPr>
          <w:rFonts w:ascii="Arial" w:hAnsi="Arial" w:cs="Arial"/>
        </w:rPr>
        <w:t>p</w:t>
      </w:r>
      <w:r w:rsidRPr="006A469E">
        <w:rPr>
          <w:rFonts w:ascii="Arial" w:hAnsi="Arial" w:cs="Arial"/>
        </w:rPr>
        <w:t xml:space="preserve">rof. </w:t>
      </w:r>
      <w:r>
        <w:rPr>
          <w:rFonts w:ascii="Arial" w:hAnsi="Arial" w:cs="Arial"/>
        </w:rPr>
        <w:t xml:space="preserve">Ing. </w:t>
      </w:r>
      <w:r w:rsidRPr="006A469E">
        <w:rPr>
          <w:rFonts w:ascii="Arial" w:hAnsi="Arial" w:cs="Arial"/>
        </w:rPr>
        <w:t>Š</w:t>
      </w:r>
      <w:r w:rsidR="00AF752B">
        <w:rPr>
          <w:rFonts w:ascii="Arial" w:hAnsi="Arial" w:cs="Arial"/>
        </w:rPr>
        <w:t>tě</w:t>
      </w:r>
      <w:r w:rsidRPr="006A469E">
        <w:rPr>
          <w:rFonts w:ascii="Arial" w:hAnsi="Arial" w:cs="Arial"/>
        </w:rPr>
        <w:t xml:space="preserve">pán </w:t>
      </w:r>
      <w:proofErr w:type="spellStart"/>
      <w:r w:rsidRPr="006A469E">
        <w:rPr>
          <w:rFonts w:ascii="Arial" w:hAnsi="Arial" w:cs="Arial"/>
        </w:rPr>
        <w:t>Jurajda</w:t>
      </w:r>
      <w:proofErr w:type="spellEnd"/>
      <w:r>
        <w:rPr>
          <w:rFonts w:ascii="Arial" w:hAnsi="Arial" w:cs="Arial"/>
        </w:rPr>
        <w:t>, Ph.D.</w:t>
      </w:r>
    </w:p>
    <w:p w:rsidR="004311E6" w:rsidRDefault="004311E6" w:rsidP="004311E6">
      <w:pPr>
        <w:rPr>
          <w:rFonts w:ascii="Arial" w:hAnsi="Arial" w:cs="Arial"/>
        </w:rPr>
      </w:pPr>
      <w:r>
        <w:rPr>
          <w:rFonts w:ascii="Arial" w:hAnsi="Arial" w:cs="Arial"/>
        </w:rPr>
        <w:t>doc. Ing. Karel Havlíček, Ph.D., MBA</w:t>
      </w:r>
    </w:p>
    <w:p w:rsidR="007D6778" w:rsidRDefault="004311E6" w:rsidP="007D6778">
      <w:pPr>
        <w:ind w:left="4815" w:hanging="4815"/>
        <w:jc w:val="both"/>
        <w:rPr>
          <w:rFonts w:ascii="Arial" w:hAnsi="Arial" w:cs="Arial"/>
        </w:rPr>
      </w:pPr>
      <w:r>
        <w:rPr>
          <w:rFonts w:ascii="Arial" w:hAnsi="Arial" w:cs="Arial"/>
        </w:rPr>
        <w:t>Ing. Martin Mana</w:t>
      </w:r>
      <w:r w:rsidR="00B2386C">
        <w:rPr>
          <w:rFonts w:ascii="Arial" w:hAnsi="Arial" w:cs="Arial"/>
        </w:rPr>
        <w:t>, Mgr. Marek Štampach</w:t>
      </w:r>
      <w:r>
        <w:rPr>
          <w:rFonts w:ascii="Arial" w:hAnsi="Arial" w:cs="Arial"/>
        </w:rPr>
        <w:tab/>
        <w:t>kapitoly Finanční toky ve výzkumu a vývoji</w:t>
      </w:r>
      <w:r w:rsidR="008337FB">
        <w:rPr>
          <w:rFonts w:ascii="Arial" w:hAnsi="Arial" w:cs="Arial"/>
        </w:rPr>
        <w:t xml:space="preserve"> a</w:t>
      </w:r>
      <w:r w:rsidR="007624AF">
        <w:rPr>
          <w:rFonts w:ascii="Arial" w:hAnsi="Arial" w:cs="Arial"/>
        </w:rPr>
        <w:t> </w:t>
      </w:r>
      <w:r>
        <w:rPr>
          <w:rFonts w:ascii="Arial" w:hAnsi="Arial" w:cs="Arial"/>
        </w:rPr>
        <w:t>Lidské zdroje ve výzkumu a</w:t>
      </w:r>
      <w:r w:rsidR="008337FB">
        <w:rPr>
          <w:rFonts w:ascii="Arial" w:hAnsi="Arial" w:cs="Arial"/>
        </w:rPr>
        <w:t xml:space="preserve"> vývoji</w:t>
      </w:r>
      <w:r w:rsidR="00F97742">
        <w:rPr>
          <w:rFonts w:ascii="Arial" w:hAnsi="Arial" w:cs="Arial"/>
        </w:rPr>
        <w:t>.</w:t>
      </w:r>
    </w:p>
    <w:p w:rsidR="007D6778" w:rsidRDefault="007D6778" w:rsidP="007D6778">
      <w:pPr>
        <w:ind w:left="4815" w:hanging="4815"/>
        <w:jc w:val="both"/>
        <w:rPr>
          <w:rFonts w:ascii="Arial" w:hAnsi="Arial" w:cs="Arial"/>
        </w:rPr>
        <w:sectPr w:rsidR="007D6778" w:rsidSect="008B51EA">
          <w:pgSz w:w="11906" w:h="16838"/>
          <w:pgMar w:top="1134" w:right="1134" w:bottom="1134" w:left="1134" w:header="709" w:footer="709" w:gutter="0"/>
          <w:cols w:space="708"/>
          <w:docGrid w:linePitch="360"/>
        </w:sectPr>
      </w:pPr>
      <w:r>
        <w:rPr>
          <w:rFonts w:ascii="Arial" w:hAnsi="Arial" w:cs="Arial"/>
        </w:rPr>
        <w:t xml:space="preserve"> </w:t>
      </w:r>
    </w:p>
    <w:p w:rsidR="00931E4F" w:rsidRDefault="007D6778" w:rsidP="007D6778">
      <w:pPr>
        <w:pStyle w:val="Nadpis1"/>
      </w:pPr>
      <w:bookmarkStart w:id="57" w:name="_Toc529974130"/>
      <w:r>
        <w:lastRenderedPageBreak/>
        <w:t>PŘÍLOHA</w:t>
      </w:r>
      <w:bookmarkEnd w:id="57"/>
    </w:p>
    <w:p w:rsidR="00DF4550" w:rsidRDefault="00D7788A" w:rsidP="000C39F7">
      <w:pPr>
        <w:pStyle w:val="komentzaobrzkem"/>
        <w:spacing w:after="240"/>
        <w:rPr>
          <w:rFonts w:cs="Arial"/>
          <w:i w:val="0"/>
          <w:color w:val="1F497D" w:themeColor="text2"/>
          <w:sz w:val="24"/>
        </w:rPr>
      </w:pPr>
      <w:proofErr w:type="gramStart"/>
      <w:r>
        <w:rPr>
          <w:rFonts w:cs="Arial"/>
          <w:i w:val="0"/>
          <w:color w:val="1F497D" w:themeColor="text2"/>
          <w:sz w:val="24"/>
        </w:rPr>
        <w:t xml:space="preserve">P.1 </w:t>
      </w:r>
      <w:r w:rsidR="00DF4550" w:rsidRPr="00DF4550">
        <w:rPr>
          <w:rFonts w:cs="Arial"/>
          <w:i w:val="0"/>
          <w:color w:val="1F497D" w:themeColor="text2"/>
          <w:sz w:val="24"/>
        </w:rPr>
        <w:t>Monitoring</w:t>
      </w:r>
      <w:proofErr w:type="gramEnd"/>
      <w:r w:rsidR="00DF4550" w:rsidRPr="00DF4550">
        <w:rPr>
          <w:rFonts w:cs="Arial"/>
          <w:i w:val="0"/>
          <w:color w:val="1F497D" w:themeColor="text2"/>
          <w:sz w:val="24"/>
        </w:rPr>
        <w:t xml:space="preserve"> kvantitativních indikátorů plnění cílů Národní politiky výzkumu, vývoje a inovací ČR na léta 2016 </w:t>
      </w:r>
      <w:r w:rsidR="00DF4550">
        <w:rPr>
          <w:rFonts w:cs="Arial"/>
          <w:i w:val="0"/>
          <w:color w:val="1F497D" w:themeColor="text2"/>
          <w:sz w:val="24"/>
        </w:rPr>
        <w:t>–</w:t>
      </w:r>
      <w:r w:rsidR="00DF4550" w:rsidRPr="00DF4550">
        <w:rPr>
          <w:rFonts w:cs="Arial"/>
          <w:i w:val="0"/>
          <w:color w:val="1F497D" w:themeColor="text2"/>
          <w:sz w:val="24"/>
        </w:rPr>
        <w:t xml:space="preserve"> 2020</w:t>
      </w:r>
    </w:p>
    <w:p w:rsidR="009A4B85" w:rsidRPr="00637E01" w:rsidRDefault="009A4B85" w:rsidP="009A4B85">
      <w:pPr>
        <w:spacing w:line="360" w:lineRule="auto"/>
        <w:ind w:firstLine="708"/>
        <w:jc w:val="both"/>
        <w:rPr>
          <w:rFonts w:ascii="Arial" w:hAnsi="Arial" w:cs="Arial"/>
        </w:rPr>
      </w:pPr>
      <w:r w:rsidRPr="00637E01">
        <w:rPr>
          <w:rFonts w:ascii="Arial" w:hAnsi="Arial" w:cs="Arial"/>
          <w:lang w:eastAsia="cs-CZ"/>
        </w:rPr>
        <w:t>Národní politika výzkumu, výv</w:t>
      </w:r>
      <w:r>
        <w:rPr>
          <w:rFonts w:ascii="Arial" w:hAnsi="Arial" w:cs="Arial"/>
          <w:lang w:eastAsia="cs-CZ"/>
        </w:rPr>
        <w:t>oje a inovací ČR na léta 2016–</w:t>
      </w:r>
      <w:r w:rsidRPr="00637E01">
        <w:rPr>
          <w:rFonts w:ascii="Arial" w:hAnsi="Arial" w:cs="Arial"/>
          <w:lang w:eastAsia="cs-CZ"/>
        </w:rPr>
        <w:t>2020 (NP VaVaI) jako zastřešující strategický dokument v oblasti VaVaI je navržena včetně indikátorové soustavy. Pomocí stanovených indikátorů je možné posuzovat pokrok při plnění cílů v souvislosti s realizací uvedené strategie.</w:t>
      </w:r>
      <w:r w:rsidRPr="00637E01">
        <w:rPr>
          <w:rFonts w:ascii="Arial" w:hAnsi="Arial" w:cs="Arial"/>
        </w:rPr>
        <w:t xml:space="preserve"> Součástí implementace NP VaVaI má být také pravidelný monitoring indikátorů a jejich analýza. </w:t>
      </w:r>
      <w:r w:rsidRPr="00637E01">
        <w:rPr>
          <w:rFonts w:ascii="Arial" w:hAnsi="Arial" w:cs="Arial"/>
          <w:b/>
        </w:rPr>
        <w:t>Interim hodnocení NP VaVaI</w:t>
      </w:r>
      <w:r w:rsidRPr="00637E01">
        <w:rPr>
          <w:rFonts w:ascii="Arial" w:hAnsi="Arial" w:cs="Arial"/>
        </w:rPr>
        <w:t xml:space="preserve"> mělo být provedeno v souladu se zásadními milníky jejího specifického cíle 1.3: </w:t>
      </w:r>
      <w:r w:rsidRPr="00637E01">
        <w:rPr>
          <w:rFonts w:ascii="Arial" w:hAnsi="Arial" w:cs="Arial"/>
          <w:bCs/>
        </w:rPr>
        <w:t>Posílit strategickou inteligenci pro politiku VaVaI</w:t>
      </w:r>
      <w:r w:rsidRPr="00637E01">
        <w:rPr>
          <w:rFonts w:ascii="Arial" w:hAnsi="Arial" w:cs="Arial"/>
          <w:b/>
          <w:bCs/>
        </w:rPr>
        <w:t xml:space="preserve"> </w:t>
      </w:r>
      <w:r w:rsidRPr="00637E01">
        <w:rPr>
          <w:rFonts w:ascii="Arial" w:hAnsi="Arial" w:cs="Arial"/>
          <w:b/>
        </w:rPr>
        <w:t>v roce 2018 v gesci ÚV ČR – Odbor RVVI</w:t>
      </w:r>
      <w:r w:rsidRPr="00637E01">
        <w:rPr>
          <w:rFonts w:ascii="Arial" w:hAnsi="Arial" w:cs="Arial"/>
        </w:rPr>
        <w:t>.</w:t>
      </w:r>
    </w:p>
    <w:p w:rsidR="009A4B85" w:rsidRPr="00637E01" w:rsidRDefault="009A4B85" w:rsidP="009A4B85">
      <w:pPr>
        <w:spacing w:line="360" w:lineRule="auto"/>
        <w:ind w:firstLine="708"/>
        <w:jc w:val="both"/>
        <w:rPr>
          <w:rFonts w:ascii="Arial" w:hAnsi="Arial" w:cs="Arial"/>
        </w:rPr>
      </w:pPr>
      <w:r w:rsidRPr="00637E01">
        <w:rPr>
          <w:rFonts w:ascii="Arial" w:hAnsi="Arial" w:cs="Arial"/>
        </w:rPr>
        <w:t xml:space="preserve">V rámci </w:t>
      </w:r>
      <w:r w:rsidRPr="00637E01">
        <w:rPr>
          <w:rFonts w:ascii="Arial" w:hAnsi="Arial" w:cs="Arial"/>
          <w:b/>
        </w:rPr>
        <w:t>zahájení pravidelného monitoringu</w:t>
      </w:r>
      <w:r w:rsidRPr="00637E01">
        <w:rPr>
          <w:rFonts w:ascii="Arial" w:hAnsi="Arial" w:cs="Arial"/>
        </w:rPr>
        <w:t xml:space="preserve"> byly v minulém roce stanoveny aktuální </w:t>
      </w:r>
      <w:r w:rsidRPr="00637E01">
        <w:rPr>
          <w:rFonts w:ascii="Arial" w:hAnsi="Arial" w:cs="Arial"/>
          <w:b/>
        </w:rPr>
        <w:t>hodnoty kvantitativních indikátorů</w:t>
      </w:r>
      <w:r w:rsidRPr="00637E01">
        <w:rPr>
          <w:rFonts w:ascii="Arial" w:hAnsi="Arial" w:cs="Arial"/>
        </w:rPr>
        <w:t xml:space="preserve"> (ve většině případů pokud to bylo možné za rok 2016). Indikátorová soustava navržená v NP VaVaI obsahuje takové kvalitativní a kvantitativní indikátory, které byly relevantní v době její tvorby. Tabulka </w:t>
      </w:r>
      <w:proofErr w:type="gramStart"/>
      <w:r w:rsidRPr="00637E01">
        <w:rPr>
          <w:rFonts w:ascii="Arial" w:hAnsi="Arial" w:cs="Arial"/>
        </w:rPr>
        <w:t>P.1 uvádí</w:t>
      </w:r>
      <w:proofErr w:type="gramEnd"/>
      <w:r w:rsidRPr="00637E01">
        <w:rPr>
          <w:rFonts w:ascii="Arial" w:hAnsi="Arial" w:cs="Arial"/>
        </w:rPr>
        <w:t xml:space="preserve"> mimo jiné </w:t>
      </w:r>
      <w:r w:rsidRPr="00637E01">
        <w:rPr>
          <w:rFonts w:ascii="Arial" w:hAnsi="Arial" w:cs="Arial"/>
          <w:b/>
        </w:rPr>
        <w:t>u některých indikátorů jejich zpřesnění</w:t>
      </w:r>
      <w:r w:rsidRPr="00637E01">
        <w:rPr>
          <w:rFonts w:ascii="Arial" w:hAnsi="Arial" w:cs="Arial"/>
        </w:rPr>
        <w:t xml:space="preserve"> ve smyslu lepší vypovídací schopnosti těchto indikátorů a</w:t>
      </w:r>
      <w:r w:rsidR="007A7BF8">
        <w:rPr>
          <w:rFonts w:ascii="Arial" w:hAnsi="Arial" w:cs="Arial"/>
        </w:rPr>
        <w:t> </w:t>
      </w:r>
      <w:r w:rsidRPr="00637E01">
        <w:rPr>
          <w:rFonts w:ascii="Arial" w:hAnsi="Arial" w:cs="Arial"/>
        </w:rPr>
        <w:t>dostupné hodnoty za rok 2017.</w:t>
      </w:r>
    </w:p>
    <w:p w:rsidR="009A4B85" w:rsidRPr="00637E01" w:rsidRDefault="009A4B85" w:rsidP="009A4B85">
      <w:pPr>
        <w:keepNext/>
        <w:spacing w:after="100" w:afterAutospacing="1" w:line="360" w:lineRule="auto"/>
        <w:rPr>
          <w:rFonts w:ascii="Arial" w:hAnsi="Arial" w:cs="Arial"/>
          <w:b/>
          <w:lang w:eastAsia="cs-CZ"/>
        </w:rPr>
      </w:pPr>
      <w:r w:rsidRPr="00637E01">
        <w:rPr>
          <w:rFonts w:ascii="Arial" w:hAnsi="Arial" w:cs="Arial"/>
          <w:b/>
          <w:lang w:eastAsia="cs-CZ"/>
        </w:rPr>
        <w:t xml:space="preserve">Tabulka </w:t>
      </w:r>
      <w:proofErr w:type="gramStart"/>
      <w:r w:rsidRPr="00637E01">
        <w:rPr>
          <w:rFonts w:ascii="Arial" w:hAnsi="Arial" w:cs="Arial"/>
          <w:b/>
          <w:lang w:eastAsia="cs-CZ"/>
        </w:rPr>
        <w:t>P.1:</w:t>
      </w:r>
      <w:proofErr w:type="gramEnd"/>
      <w:r w:rsidRPr="00637E01">
        <w:rPr>
          <w:rFonts w:ascii="Arial" w:hAnsi="Arial" w:cs="Arial"/>
          <w:b/>
          <w:lang w:eastAsia="cs-CZ"/>
        </w:rPr>
        <w:t xml:space="preserve"> Hodnoty kvantitativních indikátorů pro hodnocení pokroku v plnění cílů Národní politiky výzkumu, vývoje a inovací ČR na léta 2016–2020</w:t>
      </w:r>
    </w:p>
    <w:tbl>
      <w:tblPr>
        <w:tblStyle w:val="Mkatabulky"/>
        <w:tblW w:w="5000" w:type="pct"/>
        <w:tblInd w:w="108" w:type="dxa"/>
        <w:tblLayout w:type="fixed"/>
        <w:tblLook w:val="04A0" w:firstRow="1" w:lastRow="0" w:firstColumn="1" w:lastColumn="0" w:noHBand="0" w:noVBand="1"/>
      </w:tblPr>
      <w:tblGrid>
        <w:gridCol w:w="717"/>
        <w:gridCol w:w="2969"/>
        <w:gridCol w:w="1858"/>
        <w:gridCol w:w="1872"/>
        <w:gridCol w:w="1872"/>
      </w:tblGrid>
      <w:tr w:rsidR="009A4B85" w:rsidRPr="00637E01" w:rsidTr="009A4B85">
        <w:trPr>
          <w:trHeight w:val="433"/>
          <w:tblHeader/>
        </w:trPr>
        <w:tc>
          <w:tcPr>
            <w:tcW w:w="691" w:type="dxa"/>
            <w:shd w:val="clear" w:color="auto" w:fill="F2F2F2" w:themeFill="background1" w:themeFillShade="F2"/>
            <w:vAlign w:val="center"/>
          </w:tcPr>
          <w:p w:rsidR="009A4B85" w:rsidRPr="00637E01" w:rsidRDefault="009A4B85" w:rsidP="009A4B85">
            <w:pPr>
              <w:rPr>
                <w:rFonts w:ascii="Arial" w:hAnsi="Arial" w:cs="Arial"/>
                <w:sz w:val="18"/>
                <w:szCs w:val="18"/>
              </w:rPr>
            </w:pPr>
          </w:p>
        </w:tc>
        <w:tc>
          <w:tcPr>
            <w:tcW w:w="2861" w:type="dxa"/>
            <w:shd w:val="clear" w:color="auto" w:fill="F2F2F2" w:themeFill="background1" w:themeFillShade="F2"/>
            <w:vAlign w:val="center"/>
          </w:tcPr>
          <w:p w:rsidR="009A4B85" w:rsidRPr="00637E01" w:rsidRDefault="009A4B85" w:rsidP="009A4B85">
            <w:pPr>
              <w:jc w:val="center"/>
              <w:rPr>
                <w:rFonts w:ascii="Arial" w:hAnsi="Arial" w:cs="Arial"/>
                <w:b/>
                <w:sz w:val="18"/>
                <w:szCs w:val="18"/>
              </w:rPr>
            </w:pPr>
            <w:r w:rsidRPr="00637E01">
              <w:rPr>
                <w:rFonts w:ascii="Arial" w:hAnsi="Arial" w:cs="Arial"/>
                <w:b/>
                <w:sz w:val="18"/>
                <w:szCs w:val="18"/>
              </w:rPr>
              <w:t>Název</w:t>
            </w:r>
          </w:p>
        </w:tc>
        <w:tc>
          <w:tcPr>
            <w:tcW w:w="1791" w:type="dxa"/>
            <w:shd w:val="clear" w:color="auto" w:fill="F2F2F2" w:themeFill="background1" w:themeFillShade="F2"/>
            <w:vAlign w:val="center"/>
          </w:tcPr>
          <w:p w:rsidR="009A4B85" w:rsidRPr="00637E01" w:rsidRDefault="009A4B85" w:rsidP="009A4B85">
            <w:pPr>
              <w:jc w:val="center"/>
              <w:rPr>
                <w:rFonts w:ascii="Arial" w:hAnsi="Arial" w:cs="Arial"/>
                <w:b/>
                <w:sz w:val="18"/>
                <w:szCs w:val="18"/>
              </w:rPr>
            </w:pPr>
            <w:r w:rsidRPr="00637E01">
              <w:rPr>
                <w:rFonts w:ascii="Arial" w:hAnsi="Arial" w:cs="Arial"/>
                <w:b/>
                <w:sz w:val="18"/>
                <w:szCs w:val="18"/>
              </w:rPr>
              <w:t>Výchozí hodnota při tvorbě NP VaVaI (rok)</w:t>
            </w:r>
          </w:p>
        </w:tc>
        <w:tc>
          <w:tcPr>
            <w:tcW w:w="1804" w:type="dxa"/>
            <w:shd w:val="clear" w:color="auto" w:fill="F2F2F2" w:themeFill="background1" w:themeFillShade="F2"/>
            <w:vAlign w:val="center"/>
          </w:tcPr>
          <w:p w:rsidR="009A4B85" w:rsidRPr="00637E01" w:rsidRDefault="009A4B85" w:rsidP="009A4B85">
            <w:pPr>
              <w:jc w:val="center"/>
              <w:rPr>
                <w:rFonts w:ascii="Arial" w:hAnsi="Arial" w:cs="Arial"/>
                <w:b/>
                <w:sz w:val="18"/>
                <w:szCs w:val="18"/>
              </w:rPr>
            </w:pPr>
            <w:r w:rsidRPr="00637E01">
              <w:rPr>
                <w:rFonts w:ascii="Arial" w:hAnsi="Arial" w:cs="Arial"/>
                <w:b/>
                <w:sz w:val="18"/>
                <w:szCs w:val="18"/>
              </w:rPr>
              <w:t>Výchozí hodnota pro monitoring plnění cílů (rok)</w:t>
            </w:r>
          </w:p>
        </w:tc>
        <w:tc>
          <w:tcPr>
            <w:tcW w:w="1804" w:type="dxa"/>
            <w:shd w:val="clear" w:color="auto" w:fill="F2F2F2" w:themeFill="background1" w:themeFillShade="F2"/>
            <w:vAlign w:val="center"/>
          </w:tcPr>
          <w:p w:rsidR="009A4B85" w:rsidRPr="00637E01" w:rsidRDefault="009A4B85" w:rsidP="009A4B85">
            <w:pPr>
              <w:jc w:val="center"/>
              <w:rPr>
                <w:rFonts w:ascii="Arial" w:hAnsi="Arial" w:cs="Arial"/>
                <w:b/>
                <w:sz w:val="18"/>
                <w:szCs w:val="18"/>
              </w:rPr>
            </w:pPr>
            <w:r w:rsidRPr="00637E01">
              <w:rPr>
                <w:rFonts w:ascii="Arial" w:hAnsi="Arial" w:cs="Arial"/>
                <w:b/>
                <w:sz w:val="18"/>
                <w:szCs w:val="18"/>
              </w:rPr>
              <w:t xml:space="preserve">Hodnota ukazatele </w:t>
            </w:r>
            <w:r>
              <w:rPr>
                <w:rFonts w:ascii="Arial" w:hAnsi="Arial" w:cs="Arial"/>
                <w:b/>
                <w:sz w:val="18"/>
                <w:szCs w:val="18"/>
              </w:rPr>
              <w:t xml:space="preserve">pro </w:t>
            </w:r>
            <w:r w:rsidRPr="00637E01">
              <w:rPr>
                <w:rFonts w:ascii="Arial" w:hAnsi="Arial" w:cs="Arial"/>
                <w:b/>
                <w:sz w:val="18"/>
                <w:szCs w:val="18"/>
              </w:rPr>
              <w:t>rok 2017</w:t>
            </w:r>
          </w:p>
        </w:tc>
      </w:tr>
      <w:tr w:rsidR="009A4B85" w:rsidRPr="00637E01" w:rsidTr="009A4B85">
        <w:trPr>
          <w:trHeight w:val="742"/>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t>1</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Počet absolventů doktorského studia ve věku 25–34 let na milion obyvatel stejné věkové skupiny</w:t>
            </w:r>
          </w:p>
        </w:tc>
        <w:tc>
          <w:tcPr>
            <w:tcW w:w="1791"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1 709</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(2012)</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 xml:space="preserve">1 637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(2016)</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w:t>
            </w:r>
          </w:p>
        </w:tc>
      </w:tr>
      <w:tr w:rsidR="009A4B85" w:rsidRPr="00637E01" w:rsidTr="009A4B85">
        <w:trPr>
          <w:trHeight w:val="742"/>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t>2</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Podíl žen na celkovém počtu výzkumných pracovníků (%)</w:t>
            </w:r>
          </w:p>
        </w:tc>
        <w:tc>
          <w:tcPr>
            <w:tcW w:w="1791"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25 %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(2013)</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23,1 %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(2016)</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w:t>
            </w:r>
          </w:p>
        </w:tc>
      </w:tr>
      <w:tr w:rsidR="009A4B85" w:rsidRPr="00637E01" w:rsidTr="009A4B85">
        <w:trPr>
          <w:trHeight w:val="118"/>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t>3</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Podíl vědeckých publikací ve spoluautorství domácích a zahraničních výzkumníků (%)</w:t>
            </w:r>
          </w:p>
        </w:tc>
        <w:tc>
          <w:tcPr>
            <w:tcW w:w="1791"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42 %*</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54,5 %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(2016)</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48,3 %</w:t>
            </w:r>
            <w:r w:rsidRPr="00637E01">
              <w:rPr>
                <w:rFonts w:ascii="Arial" w:hAnsi="Arial" w:cs="Arial"/>
                <w:sz w:val="18"/>
                <w:szCs w:val="18"/>
                <w:vertAlign w:val="superscript"/>
              </w:rPr>
              <w:t>2</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(2017)</w:t>
            </w:r>
          </w:p>
        </w:tc>
      </w:tr>
      <w:tr w:rsidR="009A4B85" w:rsidRPr="00637E01" w:rsidTr="009A4B85">
        <w:trPr>
          <w:trHeight w:val="742"/>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t>4</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Podíl zahraničních výzkumníků v celkovém počtu výzkumníků (%)</w:t>
            </w:r>
          </w:p>
        </w:tc>
        <w:tc>
          <w:tcPr>
            <w:tcW w:w="1791"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6 %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(2011)</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9,49 %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(2015)</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w:t>
            </w:r>
          </w:p>
        </w:tc>
      </w:tr>
      <w:tr w:rsidR="009A4B85" w:rsidRPr="00637E01" w:rsidTr="009A4B85">
        <w:trPr>
          <w:trHeight w:val="742"/>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t>5</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 xml:space="preserve">Počet účastí v programu Horizont 2020 na tisíc výzkumných </w:t>
            </w:r>
            <w:proofErr w:type="gramStart"/>
            <w:r w:rsidRPr="00637E01">
              <w:rPr>
                <w:rFonts w:ascii="Arial" w:hAnsi="Arial" w:cs="Arial"/>
                <w:sz w:val="18"/>
                <w:szCs w:val="18"/>
              </w:rPr>
              <w:t>pracovníků</w:t>
            </w:r>
            <w:proofErr w:type="gramEnd"/>
            <w:r w:rsidRPr="00637E01">
              <w:rPr>
                <w:rFonts w:ascii="Arial" w:hAnsi="Arial" w:cs="Arial"/>
                <w:sz w:val="18"/>
                <w:szCs w:val="18"/>
              </w:rPr>
              <w:t xml:space="preserve"> (FTE)</w:t>
            </w:r>
          </w:p>
        </w:tc>
        <w:tc>
          <w:tcPr>
            <w:tcW w:w="1791" w:type="dxa"/>
            <w:vAlign w:val="center"/>
          </w:tcPr>
          <w:p w:rsidR="009A4B85" w:rsidRPr="00637E01" w:rsidRDefault="009A4B85" w:rsidP="009A4B85">
            <w:pPr>
              <w:pStyle w:val="Odstavecseseznamem"/>
              <w:numPr>
                <w:ilvl w:val="0"/>
                <w:numId w:val="24"/>
              </w:numPr>
              <w:spacing w:before="120" w:after="120"/>
              <w:jc w:val="center"/>
              <w:rPr>
                <w:rFonts w:ascii="Arial" w:hAnsi="Arial" w:cs="Arial"/>
                <w:sz w:val="18"/>
                <w:szCs w:val="18"/>
              </w:rPr>
            </w:pP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18,4</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(2016)</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21,6</w:t>
            </w:r>
            <w:r w:rsidRPr="00637E01">
              <w:rPr>
                <w:rFonts w:ascii="Arial" w:hAnsi="Arial" w:cs="Arial"/>
                <w:sz w:val="18"/>
                <w:szCs w:val="18"/>
                <w:vertAlign w:val="superscript"/>
              </w:rPr>
              <w:t>3</w:t>
            </w:r>
          </w:p>
          <w:p w:rsidR="009A4B85" w:rsidRPr="00637E01" w:rsidRDefault="009A4B85" w:rsidP="009A4B85">
            <w:pPr>
              <w:jc w:val="center"/>
              <w:rPr>
                <w:rFonts w:ascii="Arial" w:hAnsi="Arial" w:cs="Arial"/>
                <w:sz w:val="18"/>
                <w:szCs w:val="18"/>
              </w:rPr>
            </w:pPr>
          </w:p>
        </w:tc>
      </w:tr>
      <w:tr w:rsidR="009A4B85" w:rsidRPr="00637E01" w:rsidTr="009A4B85">
        <w:trPr>
          <w:trHeight w:val="742"/>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t>6</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Získaný finanční příspěvek v programu Horizont 2020 na mld. € HDP</w:t>
            </w:r>
          </w:p>
        </w:tc>
        <w:tc>
          <w:tcPr>
            <w:tcW w:w="1791" w:type="dxa"/>
            <w:vAlign w:val="center"/>
          </w:tcPr>
          <w:p w:rsidR="009A4B85" w:rsidRPr="00637E01" w:rsidRDefault="009A4B85" w:rsidP="009A4B85">
            <w:pPr>
              <w:pStyle w:val="Odstavecseseznamem"/>
              <w:numPr>
                <w:ilvl w:val="0"/>
                <w:numId w:val="24"/>
              </w:numPr>
              <w:spacing w:before="120" w:after="120"/>
              <w:jc w:val="center"/>
              <w:rPr>
                <w:rFonts w:ascii="Arial" w:hAnsi="Arial" w:cs="Arial"/>
                <w:sz w:val="18"/>
                <w:szCs w:val="18"/>
              </w:rPr>
            </w:pP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1,15</w:t>
            </w:r>
            <w:r w:rsidRPr="00637E01">
              <w:rPr>
                <w:rFonts w:ascii="Arial" w:hAnsi="Arial" w:cs="Arial"/>
                <w:sz w:val="18"/>
                <w:szCs w:val="18"/>
                <w:vertAlign w:val="superscript"/>
              </w:rPr>
              <w:t>4</w:t>
            </w:r>
          </w:p>
        </w:tc>
      </w:tr>
      <w:tr w:rsidR="009A4B85" w:rsidRPr="00637E01" w:rsidTr="009A4B85">
        <w:trPr>
          <w:trHeight w:val="742"/>
        </w:trPr>
        <w:tc>
          <w:tcPr>
            <w:tcW w:w="691" w:type="dxa"/>
            <w:vAlign w:val="center"/>
          </w:tcPr>
          <w:p w:rsidR="009A4B85" w:rsidRPr="00637E01" w:rsidRDefault="009A4B85" w:rsidP="009A4B85">
            <w:pPr>
              <w:rPr>
                <w:rFonts w:ascii="Arial" w:hAnsi="Arial" w:cs="Arial"/>
                <w:sz w:val="18"/>
                <w:szCs w:val="18"/>
                <w:highlight w:val="yellow"/>
              </w:rPr>
            </w:pPr>
            <w:r w:rsidRPr="00637E01">
              <w:rPr>
                <w:rFonts w:ascii="Arial" w:hAnsi="Arial" w:cs="Arial"/>
                <w:sz w:val="18"/>
                <w:szCs w:val="18"/>
              </w:rPr>
              <w:t>7</w:t>
            </w:r>
          </w:p>
        </w:tc>
        <w:tc>
          <w:tcPr>
            <w:tcW w:w="2861" w:type="dxa"/>
            <w:vAlign w:val="center"/>
          </w:tcPr>
          <w:p w:rsidR="009A4B85" w:rsidRPr="00637E01" w:rsidRDefault="009A4B85" w:rsidP="009A4B85">
            <w:pPr>
              <w:spacing w:line="200" w:lineRule="exact"/>
              <w:contextualSpacing/>
              <w:rPr>
                <w:rFonts w:ascii="Arial" w:hAnsi="Arial" w:cs="Arial"/>
                <w:sz w:val="18"/>
                <w:szCs w:val="18"/>
                <w:highlight w:val="yellow"/>
              </w:rPr>
            </w:pPr>
            <w:r w:rsidRPr="00637E01">
              <w:rPr>
                <w:rFonts w:ascii="Arial" w:hAnsi="Arial" w:cs="Arial"/>
                <w:sz w:val="18"/>
                <w:szCs w:val="18"/>
              </w:rPr>
              <w:t xml:space="preserve">Celkový počet publikací registrovaných v databázi </w:t>
            </w:r>
            <w:proofErr w:type="spellStart"/>
            <w:r w:rsidRPr="00637E01">
              <w:rPr>
                <w:rFonts w:ascii="Arial" w:hAnsi="Arial" w:cs="Arial"/>
                <w:sz w:val="18"/>
                <w:szCs w:val="18"/>
              </w:rPr>
              <w:t>WoS</w:t>
            </w:r>
            <w:proofErr w:type="spellEnd"/>
            <w:r w:rsidRPr="00637E01">
              <w:rPr>
                <w:rFonts w:ascii="Arial" w:hAnsi="Arial" w:cs="Arial"/>
                <w:sz w:val="18"/>
                <w:szCs w:val="18"/>
              </w:rPr>
              <w:t xml:space="preserve"> na milion obyvatel</w:t>
            </w:r>
          </w:p>
        </w:tc>
        <w:tc>
          <w:tcPr>
            <w:tcW w:w="1791"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1 658*</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(2014)</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2 118</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(2016)</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1 766</w:t>
            </w:r>
            <w:r w:rsidRPr="00637E01">
              <w:rPr>
                <w:rFonts w:ascii="Arial" w:hAnsi="Arial" w:cs="Arial"/>
                <w:sz w:val="18"/>
                <w:szCs w:val="18"/>
                <w:vertAlign w:val="superscript"/>
              </w:rPr>
              <w:t>2</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(2017)</w:t>
            </w:r>
          </w:p>
        </w:tc>
      </w:tr>
      <w:tr w:rsidR="009A4B85" w:rsidRPr="00637E01" w:rsidTr="009A4B85">
        <w:trPr>
          <w:trHeight w:val="742"/>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t>8</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Počet PCT přihlášek na milion obyvatel</w:t>
            </w:r>
          </w:p>
        </w:tc>
        <w:tc>
          <w:tcPr>
            <w:tcW w:w="1791"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16,0</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(2012)</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17,3</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(2014)</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w:t>
            </w:r>
          </w:p>
        </w:tc>
      </w:tr>
      <w:tr w:rsidR="009A4B85" w:rsidRPr="00637E01" w:rsidTr="009A4B85">
        <w:trPr>
          <w:trHeight w:val="742"/>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lastRenderedPageBreak/>
              <w:t>9</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Výnosy z prodeje licencí patentů (včetně národních) v mil. Kč</w:t>
            </w:r>
          </w:p>
        </w:tc>
        <w:tc>
          <w:tcPr>
            <w:tcW w:w="1791"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2 726</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(2014)</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3 356</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(2016)</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w:t>
            </w:r>
          </w:p>
        </w:tc>
      </w:tr>
      <w:tr w:rsidR="009A4B85" w:rsidRPr="00637E01" w:rsidTr="009A4B85">
        <w:trPr>
          <w:trHeight w:val="383"/>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t>10</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Podíl vysoce citovaných publikací (podíl publikací v 10 % nejcitovanějších publikací v celkovém počtu)</w:t>
            </w:r>
          </w:p>
        </w:tc>
        <w:tc>
          <w:tcPr>
            <w:tcW w:w="1791"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10 %*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(2012)</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10,3 %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(2015)</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7,8 %</w:t>
            </w:r>
            <w:r w:rsidRPr="00637E01">
              <w:rPr>
                <w:rFonts w:ascii="Arial" w:hAnsi="Arial" w:cs="Arial"/>
                <w:sz w:val="18"/>
                <w:szCs w:val="18"/>
                <w:vertAlign w:val="superscript"/>
              </w:rPr>
              <w:t>2</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(2017)</w:t>
            </w:r>
          </w:p>
        </w:tc>
      </w:tr>
      <w:tr w:rsidR="009A4B85" w:rsidRPr="00637E01" w:rsidTr="009A4B85">
        <w:trPr>
          <w:trHeight w:val="383"/>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t>11</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 xml:space="preserve">Celkový počet ERC grantů na tisíc výzkumných </w:t>
            </w:r>
            <w:proofErr w:type="gramStart"/>
            <w:r w:rsidRPr="00637E01">
              <w:rPr>
                <w:rFonts w:ascii="Arial" w:hAnsi="Arial" w:cs="Arial"/>
                <w:sz w:val="18"/>
                <w:szCs w:val="18"/>
              </w:rPr>
              <w:t>pracovníků</w:t>
            </w:r>
            <w:proofErr w:type="gramEnd"/>
            <w:r w:rsidRPr="00637E01">
              <w:rPr>
                <w:rFonts w:ascii="Arial" w:hAnsi="Arial" w:cs="Arial"/>
                <w:sz w:val="18"/>
                <w:szCs w:val="18"/>
              </w:rPr>
              <w:t xml:space="preserve"> ve vládním a VŠ sektoru </w:t>
            </w:r>
          </w:p>
        </w:tc>
        <w:tc>
          <w:tcPr>
            <w:tcW w:w="1791"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0,17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(2013)</w:t>
            </w:r>
          </w:p>
        </w:tc>
        <w:tc>
          <w:tcPr>
            <w:tcW w:w="1804" w:type="dxa"/>
            <w:vAlign w:val="center"/>
          </w:tcPr>
          <w:p w:rsidR="009A4B85" w:rsidRPr="00637E01" w:rsidRDefault="009A4B85" w:rsidP="009A4B85">
            <w:pPr>
              <w:jc w:val="center"/>
              <w:rPr>
                <w:rFonts w:ascii="Arial" w:hAnsi="Arial" w:cs="Arial"/>
                <w:sz w:val="18"/>
                <w:szCs w:val="18"/>
              </w:rPr>
            </w:pPr>
            <w:r>
              <w:rPr>
                <w:rFonts w:ascii="Arial" w:hAnsi="Arial" w:cs="Arial"/>
                <w:sz w:val="18"/>
                <w:szCs w:val="18"/>
              </w:rPr>
              <w:t>0,33</w:t>
            </w:r>
            <w:r w:rsidRPr="00BA1506">
              <w:rPr>
                <w:rFonts w:ascii="Arial" w:hAnsi="Arial" w:cs="Arial"/>
                <w:sz w:val="18"/>
                <w:szCs w:val="18"/>
                <w:vertAlign w:val="superscript"/>
              </w:rPr>
              <w:t>1</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(2016)</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0,11</w:t>
            </w:r>
            <w:r w:rsidRPr="00637E01">
              <w:rPr>
                <w:rFonts w:ascii="Arial" w:hAnsi="Arial" w:cs="Arial"/>
                <w:sz w:val="18"/>
                <w:szCs w:val="18"/>
                <w:vertAlign w:val="superscript"/>
              </w:rPr>
              <w:t>5</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(2017)</w:t>
            </w:r>
          </w:p>
        </w:tc>
      </w:tr>
      <w:tr w:rsidR="009A4B85" w:rsidRPr="00637E01" w:rsidTr="009A4B85">
        <w:trPr>
          <w:trHeight w:val="742"/>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t>12</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Podíl publikací ve spoluautorství veřejného a soukromého sektoru v celkovém počtu publikací (%)</w:t>
            </w:r>
          </w:p>
        </w:tc>
        <w:tc>
          <w:tcPr>
            <w:tcW w:w="1791"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1,5 %*</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1,7 %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(2016)</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1,6 %</w:t>
            </w:r>
            <w:r w:rsidRPr="00637E01">
              <w:rPr>
                <w:rFonts w:ascii="Arial" w:hAnsi="Arial" w:cs="Arial"/>
                <w:sz w:val="18"/>
                <w:szCs w:val="18"/>
                <w:vertAlign w:val="superscript"/>
              </w:rPr>
              <w:t>2</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(2017)</w:t>
            </w:r>
          </w:p>
        </w:tc>
      </w:tr>
      <w:tr w:rsidR="009A4B85" w:rsidRPr="00637E01" w:rsidTr="009A4B85">
        <w:trPr>
          <w:trHeight w:val="516"/>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t>13</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 xml:space="preserve">Podíl zdrojů z (domácího) podnikatelského sektoru ve výdajích vládního a VŠ sektoru na </w:t>
            </w:r>
            <w:proofErr w:type="spellStart"/>
            <w:r w:rsidRPr="00637E01">
              <w:rPr>
                <w:rFonts w:ascii="Arial" w:hAnsi="Arial" w:cs="Arial"/>
                <w:sz w:val="18"/>
                <w:szCs w:val="18"/>
              </w:rPr>
              <w:t>VaV</w:t>
            </w:r>
            <w:proofErr w:type="spellEnd"/>
            <w:r w:rsidRPr="00637E01">
              <w:rPr>
                <w:rFonts w:ascii="Arial" w:hAnsi="Arial" w:cs="Arial"/>
                <w:sz w:val="18"/>
                <w:szCs w:val="18"/>
              </w:rPr>
              <w:t xml:space="preserve"> (%)</w:t>
            </w:r>
          </w:p>
        </w:tc>
        <w:tc>
          <w:tcPr>
            <w:tcW w:w="1791"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6,8 %</w:t>
            </w:r>
            <w:r w:rsidRPr="00637E01">
              <w:rPr>
                <w:rFonts w:ascii="Arial" w:hAnsi="Arial" w:cs="Arial"/>
                <w:sz w:val="18"/>
                <w:szCs w:val="18"/>
                <w:vertAlign w:val="superscript"/>
              </w:rPr>
              <w:t>1</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(2013)</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9,2 %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(2016)</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w:t>
            </w:r>
          </w:p>
        </w:tc>
      </w:tr>
      <w:tr w:rsidR="009A4B85" w:rsidRPr="00637E01" w:rsidTr="009A4B85">
        <w:trPr>
          <w:trHeight w:val="72"/>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t>14</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 xml:space="preserve">Podíl zaměstnanosti v </w:t>
            </w:r>
            <w:proofErr w:type="spellStart"/>
            <w:r w:rsidRPr="00637E01">
              <w:rPr>
                <w:rFonts w:ascii="Arial" w:hAnsi="Arial" w:cs="Arial"/>
                <w:sz w:val="18"/>
                <w:szCs w:val="18"/>
              </w:rPr>
              <w:t>high</w:t>
            </w:r>
            <w:proofErr w:type="spellEnd"/>
            <w:r w:rsidRPr="00637E01">
              <w:rPr>
                <w:rFonts w:ascii="Arial" w:hAnsi="Arial" w:cs="Arial"/>
                <w:sz w:val="18"/>
                <w:szCs w:val="18"/>
              </w:rPr>
              <w:t xml:space="preserve">- a medium </w:t>
            </w:r>
            <w:proofErr w:type="spellStart"/>
            <w:r w:rsidRPr="00637E01">
              <w:rPr>
                <w:rFonts w:ascii="Arial" w:hAnsi="Arial" w:cs="Arial"/>
                <w:sz w:val="18"/>
                <w:szCs w:val="18"/>
              </w:rPr>
              <w:t>high-tech</w:t>
            </w:r>
            <w:proofErr w:type="spellEnd"/>
            <w:r w:rsidRPr="00637E01">
              <w:rPr>
                <w:rFonts w:ascii="Arial" w:hAnsi="Arial" w:cs="Arial"/>
                <w:sz w:val="18"/>
                <w:szCs w:val="18"/>
              </w:rPr>
              <w:t xml:space="preserve"> zpracovatelském průmyslu (%)</w:t>
            </w:r>
          </w:p>
        </w:tc>
        <w:tc>
          <w:tcPr>
            <w:tcW w:w="1791"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11,0 %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(2014)</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11,5 %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(2016)</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11,4 %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(2017)</w:t>
            </w:r>
          </w:p>
        </w:tc>
      </w:tr>
      <w:tr w:rsidR="009A4B85" w:rsidRPr="00637E01" w:rsidTr="009A4B85">
        <w:trPr>
          <w:trHeight w:val="742"/>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t>15</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Podíl zaměstnanosti ve znalostně intenzivních službách (%)</w:t>
            </w:r>
          </w:p>
        </w:tc>
        <w:tc>
          <w:tcPr>
            <w:tcW w:w="1791"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32,6 %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(2013)</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32,9 %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(2016)</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33,3 %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(2017)</w:t>
            </w:r>
          </w:p>
        </w:tc>
      </w:tr>
      <w:tr w:rsidR="009A4B85" w:rsidRPr="00637E01" w:rsidTr="009A4B85">
        <w:trPr>
          <w:trHeight w:val="742"/>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t>16</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Podíl zdrojů z podnikatelského sektoru v </w:t>
            </w:r>
            <w:proofErr w:type="gramStart"/>
            <w:r w:rsidRPr="00637E01">
              <w:rPr>
                <w:rFonts w:ascii="Arial" w:hAnsi="Arial" w:cs="Arial"/>
                <w:sz w:val="18"/>
                <w:szCs w:val="18"/>
              </w:rPr>
              <w:t>GERD</w:t>
            </w:r>
            <w:proofErr w:type="gramEnd"/>
            <w:r w:rsidRPr="00637E01">
              <w:rPr>
                <w:rFonts w:ascii="Arial" w:hAnsi="Arial" w:cs="Arial"/>
                <w:sz w:val="18"/>
                <w:szCs w:val="18"/>
              </w:rPr>
              <w:t xml:space="preserve"> (%)</w:t>
            </w:r>
          </w:p>
        </w:tc>
        <w:tc>
          <w:tcPr>
            <w:tcW w:w="1791"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38 %*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(2013)</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60,2 %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(2016)</w:t>
            </w:r>
          </w:p>
        </w:tc>
        <w:tc>
          <w:tcPr>
            <w:tcW w:w="1804" w:type="dxa"/>
            <w:vAlign w:val="center"/>
          </w:tcPr>
          <w:p w:rsidR="009A4B85" w:rsidRPr="00637E01" w:rsidRDefault="009A4B85" w:rsidP="009A4B85">
            <w:pPr>
              <w:jc w:val="center"/>
              <w:rPr>
                <w:rFonts w:ascii="Arial" w:hAnsi="Arial" w:cs="Arial"/>
                <w:sz w:val="18"/>
                <w:szCs w:val="18"/>
              </w:rPr>
            </w:pPr>
          </w:p>
        </w:tc>
      </w:tr>
      <w:tr w:rsidR="009A4B85" w:rsidRPr="00637E01" w:rsidTr="009A4B85">
        <w:trPr>
          <w:trHeight w:val="742"/>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t>17</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Early-</w:t>
            </w:r>
            <w:proofErr w:type="spellStart"/>
            <w:r w:rsidRPr="00637E01">
              <w:rPr>
                <w:rFonts w:ascii="Arial" w:hAnsi="Arial" w:cs="Arial"/>
                <w:sz w:val="18"/>
                <w:szCs w:val="18"/>
              </w:rPr>
              <w:t>stage</w:t>
            </w:r>
            <w:proofErr w:type="spellEnd"/>
            <w:r w:rsidRPr="00637E01">
              <w:rPr>
                <w:rFonts w:ascii="Arial" w:hAnsi="Arial" w:cs="Arial"/>
                <w:sz w:val="18"/>
                <w:szCs w:val="18"/>
              </w:rPr>
              <w:t xml:space="preserve"> investice rizikového kapitálu (% HDP)</w:t>
            </w:r>
          </w:p>
        </w:tc>
        <w:tc>
          <w:tcPr>
            <w:tcW w:w="1791"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0,001 %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(2013)</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0,002 %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(2016)</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w:t>
            </w:r>
          </w:p>
        </w:tc>
      </w:tr>
      <w:tr w:rsidR="009A4B85" w:rsidRPr="00637E01" w:rsidTr="009A4B85">
        <w:trPr>
          <w:trHeight w:val="383"/>
        </w:trPr>
        <w:tc>
          <w:tcPr>
            <w:tcW w:w="691" w:type="dxa"/>
            <w:vAlign w:val="center"/>
          </w:tcPr>
          <w:p w:rsidR="009A4B85" w:rsidRPr="00637E01" w:rsidRDefault="009A4B85" w:rsidP="009A4B85">
            <w:pPr>
              <w:rPr>
                <w:rFonts w:ascii="Arial" w:hAnsi="Arial" w:cs="Arial"/>
                <w:sz w:val="18"/>
                <w:szCs w:val="18"/>
              </w:rPr>
            </w:pPr>
            <w:r w:rsidRPr="00637E01">
              <w:rPr>
                <w:rFonts w:ascii="Arial" w:hAnsi="Arial" w:cs="Arial"/>
                <w:sz w:val="18"/>
                <w:szCs w:val="18"/>
              </w:rPr>
              <w:t>18</w:t>
            </w:r>
          </w:p>
        </w:tc>
        <w:tc>
          <w:tcPr>
            <w:tcW w:w="2861" w:type="dxa"/>
            <w:vAlign w:val="center"/>
          </w:tcPr>
          <w:p w:rsidR="009A4B85" w:rsidRPr="00637E01" w:rsidRDefault="009A4B85" w:rsidP="009A4B85">
            <w:pPr>
              <w:spacing w:line="200" w:lineRule="exact"/>
              <w:contextualSpacing/>
              <w:rPr>
                <w:rFonts w:ascii="Arial" w:hAnsi="Arial" w:cs="Arial"/>
                <w:sz w:val="18"/>
                <w:szCs w:val="18"/>
              </w:rPr>
            </w:pPr>
            <w:r w:rsidRPr="00637E01">
              <w:rPr>
                <w:rFonts w:ascii="Arial" w:hAnsi="Arial" w:cs="Arial"/>
                <w:sz w:val="18"/>
                <w:szCs w:val="18"/>
              </w:rPr>
              <w:t>Podíl domácí přidané hodnoty v celkovém exportu (%)</w:t>
            </w:r>
          </w:p>
        </w:tc>
        <w:tc>
          <w:tcPr>
            <w:tcW w:w="1791"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54,7 %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(2011)</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53,4 %</w:t>
            </w:r>
          </w:p>
          <w:p w:rsidR="009A4B85" w:rsidRPr="00637E01" w:rsidRDefault="009A4B85" w:rsidP="009A4B85">
            <w:pPr>
              <w:jc w:val="center"/>
              <w:rPr>
                <w:rFonts w:ascii="Arial" w:hAnsi="Arial" w:cs="Arial"/>
                <w:sz w:val="18"/>
                <w:szCs w:val="18"/>
              </w:rPr>
            </w:pPr>
            <w:r w:rsidRPr="00637E01">
              <w:rPr>
                <w:rFonts w:ascii="Arial" w:hAnsi="Arial" w:cs="Arial"/>
                <w:sz w:val="18"/>
                <w:szCs w:val="18"/>
              </w:rPr>
              <w:t>(2014 - odhad)</w:t>
            </w:r>
          </w:p>
        </w:tc>
        <w:tc>
          <w:tcPr>
            <w:tcW w:w="1804" w:type="dxa"/>
            <w:vAlign w:val="center"/>
          </w:tcPr>
          <w:p w:rsidR="009A4B85" w:rsidRPr="00637E01" w:rsidRDefault="009A4B85" w:rsidP="009A4B85">
            <w:pPr>
              <w:jc w:val="center"/>
              <w:rPr>
                <w:rFonts w:ascii="Arial" w:hAnsi="Arial" w:cs="Arial"/>
                <w:sz w:val="18"/>
                <w:szCs w:val="18"/>
              </w:rPr>
            </w:pPr>
            <w:r w:rsidRPr="00637E01">
              <w:rPr>
                <w:rFonts w:ascii="Arial" w:hAnsi="Arial" w:cs="Arial"/>
                <w:sz w:val="18"/>
                <w:szCs w:val="18"/>
              </w:rPr>
              <w:t>-</w:t>
            </w:r>
          </w:p>
        </w:tc>
      </w:tr>
    </w:tbl>
    <w:p w:rsidR="009A4B85" w:rsidRPr="00637E01" w:rsidRDefault="009A4B85" w:rsidP="009A4B85">
      <w:pPr>
        <w:pStyle w:val="Odstavecseseznamem"/>
        <w:spacing w:before="120"/>
        <w:ind w:left="0"/>
        <w:jc w:val="both"/>
        <w:rPr>
          <w:rFonts w:ascii="Arial" w:hAnsi="Arial" w:cs="Arial"/>
          <w:i/>
          <w:sz w:val="18"/>
          <w:szCs w:val="18"/>
        </w:rPr>
      </w:pPr>
      <w:r w:rsidRPr="00637E01">
        <w:rPr>
          <w:rFonts w:ascii="Arial" w:hAnsi="Arial" w:cs="Arial"/>
          <w:sz w:val="18"/>
          <w:szCs w:val="18"/>
        </w:rPr>
        <w:t>*</w:t>
      </w:r>
      <w:r w:rsidRPr="00637E01">
        <w:rPr>
          <w:rFonts w:ascii="Arial" w:hAnsi="Arial" w:cs="Arial"/>
          <w:i/>
          <w:sz w:val="18"/>
          <w:szCs w:val="18"/>
        </w:rPr>
        <w:t>u indikátoru bylo provedeno zpřesnění výpočtu, proto výchozí hodnoty pro monitoring není vhodné porovnávat s výchozími hodnotami využitými při tvorbě dokumentu.</w:t>
      </w:r>
    </w:p>
    <w:p w:rsidR="009A4B85" w:rsidRPr="00637E01" w:rsidRDefault="009A4B85" w:rsidP="009A4B85">
      <w:pPr>
        <w:spacing w:before="240"/>
        <w:rPr>
          <w:rFonts w:ascii="Arial" w:hAnsi="Arial" w:cs="Arial"/>
          <w:u w:val="single"/>
        </w:rPr>
      </w:pPr>
      <w:r w:rsidRPr="00637E01">
        <w:rPr>
          <w:rFonts w:ascii="Arial" w:hAnsi="Arial" w:cs="Arial"/>
          <w:u w:val="single"/>
        </w:rPr>
        <w:t>Poznámky k indikátorům:</w:t>
      </w:r>
    </w:p>
    <w:p w:rsidR="009A4B85" w:rsidRPr="00637E01" w:rsidRDefault="009A4B85" w:rsidP="009A4B85">
      <w:pPr>
        <w:spacing w:before="60" w:after="60"/>
        <w:ind w:left="425" w:hanging="425"/>
        <w:jc w:val="both"/>
        <w:rPr>
          <w:rFonts w:ascii="Arial" w:hAnsi="Arial" w:cs="Arial"/>
          <w:sz w:val="18"/>
          <w:szCs w:val="18"/>
        </w:rPr>
      </w:pPr>
      <w:r w:rsidRPr="00637E01">
        <w:rPr>
          <w:rFonts w:ascii="Arial" w:hAnsi="Arial" w:cs="Arial"/>
          <w:sz w:val="18"/>
          <w:szCs w:val="18"/>
          <w:vertAlign w:val="superscript"/>
        </w:rPr>
        <w:t>1</w:t>
      </w:r>
      <w:r w:rsidRPr="00637E01">
        <w:rPr>
          <w:rFonts w:ascii="Arial" w:hAnsi="Arial" w:cs="Arial"/>
          <w:sz w:val="18"/>
          <w:szCs w:val="18"/>
        </w:rPr>
        <w:tab/>
        <w:t>Výchozí hodnota indikátoru Národní politiky výzkumu, vývoje a inovací v ČR na léta 2016 – 2020, která však byla aktualizována podle nových statistických dat.</w:t>
      </w:r>
    </w:p>
    <w:p w:rsidR="009A4B85" w:rsidRPr="00637E01" w:rsidRDefault="009A4B85" w:rsidP="009A4B85">
      <w:pPr>
        <w:spacing w:before="60" w:after="60"/>
        <w:ind w:left="425" w:hanging="425"/>
        <w:jc w:val="both"/>
        <w:rPr>
          <w:rFonts w:ascii="Arial" w:hAnsi="Arial" w:cs="Arial"/>
          <w:sz w:val="18"/>
          <w:szCs w:val="18"/>
        </w:rPr>
      </w:pPr>
      <w:r w:rsidRPr="00637E01">
        <w:rPr>
          <w:rFonts w:ascii="Arial" w:hAnsi="Arial" w:cs="Arial"/>
          <w:sz w:val="18"/>
          <w:szCs w:val="18"/>
          <w:vertAlign w:val="superscript"/>
        </w:rPr>
        <w:t>2</w:t>
      </w:r>
      <w:r w:rsidRPr="00637E01">
        <w:rPr>
          <w:rFonts w:ascii="Arial" w:hAnsi="Arial" w:cs="Arial"/>
          <w:sz w:val="18"/>
          <w:szCs w:val="18"/>
        </w:rPr>
        <w:tab/>
        <w:t xml:space="preserve">Údaj stanoven z </w:t>
      </w:r>
      <w:proofErr w:type="gramStart"/>
      <w:r w:rsidRPr="00637E01">
        <w:rPr>
          <w:rFonts w:ascii="Arial" w:hAnsi="Arial" w:cs="Arial"/>
          <w:sz w:val="18"/>
          <w:szCs w:val="18"/>
        </w:rPr>
        <w:t>Web</w:t>
      </w:r>
      <w:proofErr w:type="gramEnd"/>
      <w:r w:rsidRPr="00637E01">
        <w:rPr>
          <w:rFonts w:ascii="Arial" w:hAnsi="Arial" w:cs="Arial"/>
          <w:sz w:val="18"/>
          <w:szCs w:val="18"/>
        </w:rPr>
        <w:t xml:space="preserve"> </w:t>
      </w:r>
      <w:proofErr w:type="spellStart"/>
      <w:r w:rsidRPr="00637E01">
        <w:rPr>
          <w:rFonts w:ascii="Arial" w:hAnsi="Arial" w:cs="Arial"/>
          <w:sz w:val="18"/>
          <w:szCs w:val="18"/>
        </w:rPr>
        <w:t>of</w:t>
      </w:r>
      <w:proofErr w:type="spellEnd"/>
      <w:r w:rsidRPr="00637E01">
        <w:rPr>
          <w:rFonts w:ascii="Arial" w:hAnsi="Arial" w:cs="Arial"/>
          <w:sz w:val="18"/>
          <w:szCs w:val="18"/>
        </w:rPr>
        <w:t xml:space="preserve"> Science </w:t>
      </w:r>
      <w:proofErr w:type="spellStart"/>
      <w:r w:rsidRPr="00637E01">
        <w:rPr>
          <w:rFonts w:ascii="Arial" w:hAnsi="Arial" w:cs="Arial"/>
          <w:sz w:val="18"/>
          <w:szCs w:val="18"/>
        </w:rPr>
        <w:t>InCites</w:t>
      </w:r>
      <w:proofErr w:type="spellEnd"/>
      <w:r w:rsidRPr="00637E01">
        <w:rPr>
          <w:rFonts w:ascii="Arial" w:hAnsi="Arial" w:cs="Arial"/>
          <w:sz w:val="18"/>
          <w:szCs w:val="18"/>
        </w:rPr>
        <w:t xml:space="preserve"> pro publikace typu '</w:t>
      </w:r>
      <w:proofErr w:type="spellStart"/>
      <w:r w:rsidRPr="00637E01">
        <w:rPr>
          <w:rFonts w:ascii="Arial" w:hAnsi="Arial" w:cs="Arial"/>
          <w:sz w:val="18"/>
          <w:szCs w:val="18"/>
        </w:rPr>
        <w:t>article</w:t>
      </w:r>
      <w:proofErr w:type="spellEnd"/>
      <w:r w:rsidRPr="00637E01">
        <w:rPr>
          <w:rFonts w:ascii="Arial" w:hAnsi="Arial" w:cs="Arial"/>
          <w:sz w:val="18"/>
          <w:szCs w:val="18"/>
        </w:rPr>
        <w:t>', '</w:t>
      </w:r>
      <w:proofErr w:type="spellStart"/>
      <w:r w:rsidRPr="00637E01">
        <w:rPr>
          <w:rFonts w:ascii="Arial" w:hAnsi="Arial" w:cs="Arial"/>
          <w:sz w:val="18"/>
          <w:szCs w:val="18"/>
        </w:rPr>
        <w:t>review</w:t>
      </w:r>
      <w:proofErr w:type="spellEnd"/>
      <w:r w:rsidRPr="00637E01">
        <w:rPr>
          <w:rFonts w:ascii="Arial" w:hAnsi="Arial" w:cs="Arial"/>
          <w:sz w:val="18"/>
          <w:szCs w:val="18"/>
        </w:rPr>
        <w:t>', '</w:t>
      </w:r>
      <w:proofErr w:type="spellStart"/>
      <w:r w:rsidRPr="00637E01">
        <w:rPr>
          <w:rFonts w:ascii="Arial" w:hAnsi="Arial" w:cs="Arial"/>
          <w:sz w:val="18"/>
          <w:szCs w:val="18"/>
        </w:rPr>
        <w:t>letter</w:t>
      </w:r>
      <w:proofErr w:type="spellEnd"/>
      <w:r w:rsidRPr="00637E01">
        <w:rPr>
          <w:rFonts w:ascii="Arial" w:hAnsi="Arial" w:cs="Arial"/>
          <w:sz w:val="18"/>
          <w:szCs w:val="18"/>
        </w:rPr>
        <w:t>','</w:t>
      </w:r>
      <w:proofErr w:type="spellStart"/>
      <w:r w:rsidRPr="00637E01">
        <w:rPr>
          <w:rFonts w:ascii="Arial" w:hAnsi="Arial" w:cs="Arial"/>
          <w:sz w:val="18"/>
          <w:szCs w:val="18"/>
        </w:rPr>
        <w:t>proceedings</w:t>
      </w:r>
      <w:proofErr w:type="spellEnd"/>
      <w:r w:rsidRPr="00637E01">
        <w:rPr>
          <w:rFonts w:ascii="Arial" w:hAnsi="Arial" w:cs="Arial"/>
          <w:sz w:val="18"/>
          <w:szCs w:val="18"/>
        </w:rPr>
        <w:t xml:space="preserve"> </w:t>
      </w:r>
      <w:proofErr w:type="spellStart"/>
      <w:r w:rsidRPr="00637E01">
        <w:rPr>
          <w:rFonts w:ascii="Arial" w:hAnsi="Arial" w:cs="Arial"/>
          <w:sz w:val="18"/>
          <w:szCs w:val="18"/>
        </w:rPr>
        <w:t>paper</w:t>
      </w:r>
      <w:proofErr w:type="spellEnd"/>
      <w:r w:rsidRPr="00637E01">
        <w:rPr>
          <w:rFonts w:ascii="Arial" w:hAnsi="Arial" w:cs="Arial"/>
          <w:sz w:val="18"/>
          <w:szCs w:val="18"/>
        </w:rPr>
        <w:t>' (rok 2017 je nekompletní).</w:t>
      </w:r>
    </w:p>
    <w:p w:rsidR="009A4B85" w:rsidRPr="00637E01" w:rsidRDefault="009A4B85" w:rsidP="009A4B85">
      <w:pPr>
        <w:spacing w:before="60" w:after="60"/>
        <w:ind w:left="425" w:hanging="425"/>
        <w:jc w:val="both"/>
        <w:rPr>
          <w:rFonts w:ascii="Arial" w:hAnsi="Arial" w:cs="Arial"/>
          <w:sz w:val="18"/>
          <w:szCs w:val="18"/>
        </w:rPr>
      </w:pPr>
      <w:r w:rsidRPr="00637E01">
        <w:rPr>
          <w:rFonts w:ascii="Arial" w:hAnsi="Arial" w:cs="Arial"/>
          <w:sz w:val="18"/>
          <w:szCs w:val="18"/>
          <w:vertAlign w:val="superscript"/>
        </w:rPr>
        <w:t>3</w:t>
      </w:r>
      <w:r w:rsidRPr="00637E01">
        <w:rPr>
          <w:rFonts w:ascii="Arial" w:hAnsi="Arial" w:cs="Arial"/>
          <w:sz w:val="18"/>
          <w:szCs w:val="18"/>
        </w:rPr>
        <w:tab/>
        <w:t>Hodnota byla stanovena pouze pro běžící a ukončené projekty (tj. byly vyloučeny projekty v přípravě a</w:t>
      </w:r>
      <w:r w:rsidR="007A7BF8">
        <w:rPr>
          <w:rFonts w:ascii="Arial" w:hAnsi="Arial" w:cs="Arial"/>
          <w:sz w:val="18"/>
          <w:szCs w:val="18"/>
        </w:rPr>
        <w:t> </w:t>
      </w:r>
      <w:r w:rsidRPr="00637E01">
        <w:rPr>
          <w:rFonts w:ascii="Arial" w:hAnsi="Arial" w:cs="Arial"/>
          <w:sz w:val="18"/>
          <w:szCs w:val="18"/>
        </w:rPr>
        <w:t>zastavené projekty), přičemž do výpočtu byli zahrnuti pouze přímí příjemci. Hodnota indikátoru s časem narůstá, neboť narůstá i celkový počet projektů řešených v programů H2020. Hodnota by proto měla být porovnávána se součtem za všechny členské státy EU (hodnota indikátoru pro EU-28 v roce 2017 činila 37,8).</w:t>
      </w:r>
    </w:p>
    <w:p w:rsidR="009A4B85" w:rsidRPr="00637E01" w:rsidRDefault="009A4B85" w:rsidP="009A4B85">
      <w:pPr>
        <w:spacing w:before="60" w:after="60"/>
        <w:ind w:left="425" w:hanging="425"/>
        <w:jc w:val="both"/>
        <w:rPr>
          <w:rFonts w:ascii="Arial" w:hAnsi="Arial" w:cs="Arial"/>
          <w:sz w:val="18"/>
          <w:szCs w:val="18"/>
        </w:rPr>
      </w:pPr>
      <w:r w:rsidRPr="00637E01">
        <w:rPr>
          <w:rFonts w:ascii="Arial" w:hAnsi="Arial" w:cs="Arial"/>
          <w:sz w:val="18"/>
          <w:szCs w:val="18"/>
          <w:vertAlign w:val="superscript"/>
        </w:rPr>
        <w:t>4</w:t>
      </w:r>
      <w:r w:rsidRPr="00637E01">
        <w:rPr>
          <w:rFonts w:ascii="Arial" w:hAnsi="Arial" w:cs="Arial"/>
          <w:sz w:val="18"/>
          <w:szCs w:val="18"/>
        </w:rPr>
        <w:tab/>
        <w:t>Hodnota byla stanovena pouze pro běžící a ukončené projekty (tj. byly vyloučeny projekty v přípravě a</w:t>
      </w:r>
      <w:r w:rsidR="007A7BF8">
        <w:rPr>
          <w:rFonts w:ascii="Arial" w:hAnsi="Arial" w:cs="Arial"/>
          <w:sz w:val="18"/>
          <w:szCs w:val="18"/>
        </w:rPr>
        <w:t> </w:t>
      </w:r>
      <w:r w:rsidRPr="00637E01">
        <w:rPr>
          <w:rFonts w:ascii="Arial" w:hAnsi="Arial" w:cs="Arial"/>
          <w:sz w:val="18"/>
          <w:szCs w:val="18"/>
        </w:rPr>
        <w:t>zastavené projekty), přičemž do výpočtu byli zahrnuti pouze přímí příjemci. Hodnota indikátoru s časem narůstá, neboť narůstá i celkový počet projektů řešených v programů H2020. Hodnota by proto měla být porovnávána se součtem za všechny členské státy EU (hodnota indikátoru pro EU-28 v roce 2017 činila 2,01).</w:t>
      </w:r>
    </w:p>
    <w:p w:rsidR="009A4B85" w:rsidRDefault="009A4B85" w:rsidP="007A7BF8">
      <w:pPr>
        <w:spacing w:before="60" w:after="60"/>
        <w:ind w:left="425" w:hanging="425"/>
        <w:jc w:val="both"/>
        <w:rPr>
          <w:rFonts w:ascii="Arial" w:hAnsi="Arial" w:cs="Arial"/>
          <w:sz w:val="18"/>
          <w:szCs w:val="18"/>
        </w:rPr>
      </w:pPr>
      <w:r w:rsidRPr="00637E01">
        <w:rPr>
          <w:rFonts w:ascii="Arial" w:hAnsi="Arial" w:cs="Arial"/>
          <w:sz w:val="18"/>
          <w:szCs w:val="18"/>
          <w:vertAlign w:val="superscript"/>
        </w:rPr>
        <w:t>5</w:t>
      </w:r>
      <w:r w:rsidRPr="00637E01">
        <w:rPr>
          <w:rFonts w:ascii="Arial" w:hAnsi="Arial" w:cs="Arial"/>
          <w:sz w:val="18"/>
          <w:szCs w:val="18"/>
        </w:rPr>
        <w:tab/>
        <w:t>Indikátor byl stanoven jako počet ERC grantů, jejichž řešení bylo zahájeno v roce 2017. Hodnota indikátoru by měla být porovnávána se součtem za všechny členské státy EU (hodnota indikátoru pro EU-28 v roce 2017 činila 1,07).</w:t>
      </w:r>
      <w:r>
        <w:rPr>
          <w:rFonts w:ascii="Arial" w:hAnsi="Arial" w:cs="Arial"/>
          <w:sz w:val="18"/>
          <w:szCs w:val="18"/>
        </w:rPr>
        <w:br w:type="page"/>
      </w:r>
    </w:p>
    <w:p w:rsidR="000C39F7" w:rsidRPr="000C39F7" w:rsidRDefault="00D7788A" w:rsidP="009A4B85">
      <w:pPr>
        <w:pStyle w:val="komentzaobrzkem"/>
        <w:spacing w:before="240" w:after="240"/>
        <w:rPr>
          <w:rFonts w:cs="Arial"/>
          <w:i w:val="0"/>
          <w:color w:val="1F497D" w:themeColor="text2"/>
          <w:sz w:val="24"/>
        </w:rPr>
      </w:pPr>
      <w:proofErr w:type="gramStart"/>
      <w:r>
        <w:rPr>
          <w:rFonts w:cs="Arial"/>
          <w:i w:val="0"/>
          <w:color w:val="1F497D" w:themeColor="text2"/>
          <w:sz w:val="24"/>
        </w:rPr>
        <w:lastRenderedPageBreak/>
        <w:t xml:space="preserve">P.2 </w:t>
      </w:r>
      <w:r w:rsidR="000C39F7" w:rsidRPr="000C39F7">
        <w:rPr>
          <w:rFonts w:cs="Arial"/>
          <w:i w:val="0"/>
          <w:color w:val="1F497D" w:themeColor="text2"/>
          <w:sz w:val="24"/>
        </w:rPr>
        <w:t>Datové</w:t>
      </w:r>
      <w:proofErr w:type="gramEnd"/>
      <w:r w:rsidR="000C39F7" w:rsidRPr="000C39F7">
        <w:rPr>
          <w:rFonts w:cs="Arial"/>
          <w:i w:val="0"/>
          <w:color w:val="1F497D" w:themeColor="text2"/>
          <w:sz w:val="24"/>
        </w:rPr>
        <w:t xml:space="preserve"> zdroje ve výzkumu, vývoji a inovacích</w:t>
      </w:r>
    </w:p>
    <w:p w:rsidR="009A4B85" w:rsidRPr="00381AF1" w:rsidRDefault="009A4B85" w:rsidP="009A4B85">
      <w:pPr>
        <w:spacing w:after="0" w:line="360" w:lineRule="auto"/>
        <w:ind w:firstLine="357"/>
        <w:jc w:val="both"/>
        <w:rPr>
          <w:rFonts w:ascii="Arial" w:eastAsia="Times New Roman" w:hAnsi="Arial" w:cs="Arial"/>
          <w:lang w:eastAsia="cs-CZ"/>
        </w:rPr>
      </w:pPr>
      <w:r w:rsidRPr="00CB4BFE">
        <w:rPr>
          <w:rFonts w:ascii="Arial" w:eastAsia="Times New Roman" w:hAnsi="Arial" w:cs="Arial"/>
          <w:lang w:eastAsia="cs-CZ"/>
        </w:rPr>
        <w:t xml:space="preserve">Základem každé kvalitní empirické analýzy by měla být aktuální a relevantní data. Rovněž při tvorbě tohoto dokumentu je cílem použití takových statisticko-matematických nástrojů, aby bylo možné nejen hodnotit minulý a současný stav i vývoj VaVaI, </w:t>
      </w:r>
      <w:r w:rsidRPr="00FC6C7A">
        <w:rPr>
          <w:rFonts w:ascii="Arial" w:eastAsia="Times New Roman" w:hAnsi="Arial" w:cs="Arial"/>
          <w:lang w:eastAsia="cs-CZ"/>
        </w:rPr>
        <w:t xml:space="preserve">ale také predikovat vývoj budoucí </w:t>
      </w:r>
      <w:r w:rsidRPr="00924504">
        <w:rPr>
          <w:rFonts w:ascii="Arial" w:eastAsia="Times New Roman" w:hAnsi="Arial" w:cs="Arial"/>
          <w:lang w:eastAsia="cs-CZ"/>
        </w:rPr>
        <w:t>či evaluovat intervence. K použití těchto sofistikovaných metod je však nutné mít k dispozici kvalitní datovou základnu. Ukazuje se totiž, že pro analýzy VaVaI jsou data</w:t>
      </w:r>
      <w:r>
        <w:rPr>
          <w:rFonts w:ascii="Arial" w:eastAsia="Times New Roman" w:hAnsi="Arial" w:cs="Arial"/>
          <w:lang w:eastAsia="cs-CZ"/>
        </w:rPr>
        <w:t xml:space="preserve"> v </w:t>
      </w:r>
      <w:r w:rsidRPr="00924504">
        <w:rPr>
          <w:rFonts w:ascii="Arial" w:eastAsia="Times New Roman" w:hAnsi="Arial" w:cs="Arial"/>
          <w:lang w:eastAsia="cs-CZ"/>
        </w:rPr>
        <w:t>agregované podobě nedostačující, neboť pro komple</w:t>
      </w:r>
      <w:r w:rsidRPr="00CB4BFE">
        <w:rPr>
          <w:rFonts w:ascii="Arial" w:eastAsia="Times New Roman" w:hAnsi="Arial" w:cs="Arial"/>
          <w:lang w:eastAsia="cs-CZ"/>
        </w:rPr>
        <w:t>xní zhodnocení je nutné analyzovat individuální data o jednotlivých subjektech VaVaI.</w:t>
      </w:r>
    </w:p>
    <w:p w:rsidR="009A4B85" w:rsidRPr="00381AF1" w:rsidRDefault="009A4B85" w:rsidP="009A4B85">
      <w:pPr>
        <w:spacing w:after="0" w:line="360" w:lineRule="auto"/>
        <w:ind w:firstLine="357"/>
        <w:jc w:val="both"/>
        <w:rPr>
          <w:rFonts w:ascii="Arial" w:eastAsia="Times New Roman" w:hAnsi="Arial" w:cs="Arial"/>
          <w:lang w:eastAsia="cs-CZ"/>
        </w:rPr>
      </w:pPr>
      <w:r w:rsidRPr="00381AF1">
        <w:rPr>
          <w:rFonts w:ascii="Arial" w:eastAsia="Times New Roman" w:hAnsi="Arial" w:cs="Arial"/>
          <w:lang w:eastAsia="cs-CZ"/>
        </w:rPr>
        <w:t>Tab</w:t>
      </w:r>
      <w:r>
        <w:rPr>
          <w:rFonts w:ascii="Arial" w:eastAsia="Times New Roman" w:hAnsi="Arial" w:cs="Arial"/>
          <w:lang w:eastAsia="cs-CZ"/>
        </w:rPr>
        <w:t>ulka</w:t>
      </w:r>
      <w:r w:rsidRPr="00381AF1">
        <w:rPr>
          <w:rFonts w:ascii="Arial" w:eastAsia="Times New Roman" w:hAnsi="Arial" w:cs="Arial"/>
          <w:lang w:eastAsia="cs-CZ"/>
        </w:rPr>
        <w:t xml:space="preserve"> </w:t>
      </w:r>
      <w:proofErr w:type="gramStart"/>
      <w:r>
        <w:rPr>
          <w:rFonts w:ascii="Arial" w:eastAsia="Times New Roman" w:hAnsi="Arial" w:cs="Arial"/>
          <w:lang w:eastAsia="cs-CZ"/>
        </w:rPr>
        <w:t xml:space="preserve">P.2 </w:t>
      </w:r>
      <w:r w:rsidRPr="00381AF1">
        <w:rPr>
          <w:rFonts w:ascii="Arial" w:eastAsia="Times New Roman" w:hAnsi="Arial" w:cs="Arial"/>
          <w:lang w:eastAsia="cs-CZ"/>
        </w:rPr>
        <w:t>stručně</w:t>
      </w:r>
      <w:proofErr w:type="gramEnd"/>
      <w:r w:rsidRPr="00381AF1">
        <w:rPr>
          <w:rFonts w:ascii="Arial" w:eastAsia="Times New Roman" w:hAnsi="Arial" w:cs="Arial"/>
          <w:lang w:eastAsia="cs-CZ"/>
        </w:rPr>
        <w:t xml:space="preserve"> shrnuje datové zdroje využitelné pro analýzu VaVaI</w:t>
      </w:r>
      <w:r>
        <w:rPr>
          <w:rFonts w:ascii="Arial" w:eastAsia="Times New Roman" w:hAnsi="Arial" w:cs="Arial"/>
          <w:lang w:eastAsia="cs-CZ"/>
        </w:rPr>
        <w:t xml:space="preserve"> v </w:t>
      </w:r>
      <w:r w:rsidRPr="00381AF1">
        <w:rPr>
          <w:rFonts w:ascii="Arial" w:eastAsia="Times New Roman" w:hAnsi="Arial" w:cs="Arial"/>
          <w:lang w:eastAsia="cs-CZ"/>
        </w:rPr>
        <w:t>ČR.</w:t>
      </w:r>
      <w:r>
        <w:rPr>
          <w:rFonts w:ascii="Arial" w:eastAsia="Times New Roman" w:hAnsi="Arial" w:cs="Arial"/>
          <w:lang w:eastAsia="cs-CZ"/>
        </w:rPr>
        <w:t xml:space="preserve"> V </w:t>
      </w:r>
      <w:r w:rsidRPr="00381AF1">
        <w:rPr>
          <w:rFonts w:ascii="Arial" w:eastAsia="Times New Roman" w:hAnsi="Arial" w:cs="Arial"/>
          <w:lang w:eastAsia="cs-CZ"/>
        </w:rPr>
        <w:t xml:space="preserve">zásadě lze datové zdroje rozdělit na národní a zahraniční. Důležitými národními institucemi, které spravují primární statistiky o VaVaI, jsou RVVI a ČSÚ. </w:t>
      </w:r>
      <w:r w:rsidRPr="00CB4BFE">
        <w:rPr>
          <w:rFonts w:ascii="Arial" w:eastAsia="Times New Roman" w:hAnsi="Arial" w:cs="Arial"/>
          <w:lang w:eastAsia="cs-CZ"/>
        </w:rPr>
        <w:t>RVVI je správcem IS VaVaI a</w:t>
      </w:r>
      <w:r>
        <w:rPr>
          <w:rFonts w:ascii="Arial" w:eastAsia="Times New Roman" w:hAnsi="Arial" w:cs="Arial"/>
          <w:lang w:eastAsia="cs-CZ"/>
        </w:rPr>
        <w:t> </w:t>
      </w:r>
      <w:r w:rsidRPr="00CB4BFE">
        <w:rPr>
          <w:rFonts w:ascii="Arial" w:eastAsia="Times New Roman" w:hAnsi="Arial" w:cs="Arial"/>
          <w:lang w:eastAsia="cs-CZ"/>
        </w:rPr>
        <w:t>provozovatelem informačního systému je Úřad vlády ČR, IS</w:t>
      </w:r>
      <w:r w:rsidRPr="00381AF1">
        <w:rPr>
          <w:rFonts w:ascii="Arial" w:eastAsia="Times New Roman" w:hAnsi="Arial" w:cs="Arial"/>
          <w:lang w:eastAsia="cs-CZ"/>
        </w:rPr>
        <w:t xml:space="preserve"> VaVaI zajišťuje shromažďování, zpracování, poskytování a využívání údajů o VaVaI podporovaných z</w:t>
      </w:r>
      <w:r w:rsidR="007A7BF8">
        <w:rPr>
          <w:rFonts w:ascii="Arial" w:eastAsia="Times New Roman" w:hAnsi="Arial" w:cs="Arial"/>
          <w:lang w:eastAsia="cs-CZ"/>
        </w:rPr>
        <w:t> </w:t>
      </w:r>
      <w:r w:rsidRPr="00381AF1">
        <w:rPr>
          <w:rFonts w:ascii="Arial" w:eastAsia="Times New Roman" w:hAnsi="Arial" w:cs="Arial"/>
          <w:lang w:eastAsia="cs-CZ"/>
        </w:rPr>
        <w:t>veřejných prostředků. Cíle a obsah IS</w:t>
      </w:r>
      <w:r>
        <w:rPr>
          <w:rFonts w:ascii="Arial" w:eastAsia="Times New Roman" w:hAnsi="Arial" w:cs="Arial"/>
          <w:lang w:eastAsia="cs-CZ"/>
        </w:rPr>
        <w:t> </w:t>
      </w:r>
      <w:r w:rsidRPr="00381AF1">
        <w:rPr>
          <w:rFonts w:ascii="Arial" w:eastAsia="Times New Roman" w:hAnsi="Arial" w:cs="Arial"/>
          <w:lang w:eastAsia="cs-CZ"/>
        </w:rPr>
        <w:t xml:space="preserve">VaVaI, dále práva, povinnosti a postup při předání, zařazení, zpracování a poskytování údajů jsou stanoveny </w:t>
      </w:r>
      <w:r w:rsidRPr="00696880">
        <w:rPr>
          <w:rFonts w:ascii="Arial" w:eastAsia="Times New Roman" w:hAnsi="Arial" w:cs="Arial"/>
          <w:lang w:eastAsia="cs-CZ"/>
        </w:rPr>
        <w:t>Zákonem o podpoře výzkumu, experimentálního vývoje a inovací, dále pak nařízením vlády č. 397/2009 Sb., o informačním systému výzkumu, experimentálního vývoje a inovací, zvláštními právními předpisy a</w:t>
      </w:r>
      <w:r w:rsidR="007A7BF8">
        <w:rPr>
          <w:rFonts w:ascii="Arial" w:eastAsia="Times New Roman" w:hAnsi="Arial" w:cs="Arial"/>
          <w:lang w:eastAsia="cs-CZ"/>
        </w:rPr>
        <w:t> </w:t>
      </w:r>
      <w:r w:rsidRPr="00696880">
        <w:rPr>
          <w:rFonts w:ascii="Arial" w:eastAsia="Times New Roman" w:hAnsi="Arial" w:cs="Arial"/>
          <w:lang w:eastAsia="cs-CZ"/>
        </w:rPr>
        <w:t xml:space="preserve">Provozním řádem IS VaVaI. </w:t>
      </w:r>
      <w:r w:rsidRPr="008C149D">
        <w:rPr>
          <w:rFonts w:ascii="Arial" w:eastAsia="Times New Roman" w:hAnsi="Arial" w:cs="Arial"/>
          <w:lang w:eastAsia="cs-CZ"/>
        </w:rPr>
        <w:t>Databáze IS VaVaI obsahuje Centrální evidenci aktivit VaVaI (CEA), Evidenci veřejných soutěží ve VaVaI (VES), Centrální evidenci projektů VaVaI (CEP) a Rejstřík informací o výsledcích (RIV).</w:t>
      </w:r>
      <w:r>
        <w:rPr>
          <w:rFonts w:ascii="Arial" w:eastAsia="Times New Roman" w:hAnsi="Arial" w:cs="Arial"/>
          <w:lang w:eastAsia="cs-CZ"/>
        </w:rPr>
        <w:t xml:space="preserve"> V </w:t>
      </w:r>
      <w:r w:rsidRPr="008C149D">
        <w:rPr>
          <w:rFonts w:ascii="Arial" w:eastAsia="Times New Roman" w:hAnsi="Arial" w:cs="Arial"/>
          <w:lang w:eastAsia="cs-CZ"/>
        </w:rPr>
        <w:t>roce 2016 byl spuštěn nový informační systém IS VaVaI 2.0 na webových stránkách www.rvvi.cz a byl kladen důraz na maximální uživatelský komfort, přehlednost a přístupnost dat pro veřejnost.</w:t>
      </w:r>
      <w:r>
        <w:rPr>
          <w:rFonts w:ascii="Arial" w:eastAsia="Times New Roman" w:hAnsi="Arial" w:cs="Arial"/>
          <w:lang w:eastAsia="cs-CZ"/>
        </w:rPr>
        <w:t xml:space="preserve"> </w:t>
      </w:r>
      <w:r w:rsidRPr="00381AF1">
        <w:rPr>
          <w:rFonts w:ascii="Arial" w:eastAsia="Times New Roman" w:hAnsi="Arial" w:cs="Arial"/>
          <w:lang w:eastAsia="cs-CZ"/>
        </w:rPr>
        <w:t xml:space="preserve">ČSÚ sleduje charakteristiky </w:t>
      </w:r>
      <w:proofErr w:type="spellStart"/>
      <w:r w:rsidRPr="00381AF1">
        <w:rPr>
          <w:rFonts w:ascii="Arial" w:eastAsia="Times New Roman" w:hAnsi="Arial" w:cs="Arial"/>
          <w:lang w:eastAsia="cs-CZ"/>
        </w:rPr>
        <w:t>VaV</w:t>
      </w:r>
      <w:proofErr w:type="spellEnd"/>
      <w:r w:rsidRPr="00381AF1">
        <w:rPr>
          <w:rFonts w:ascii="Arial" w:eastAsia="Times New Roman" w:hAnsi="Arial" w:cs="Arial"/>
          <w:lang w:eastAsia="cs-CZ"/>
        </w:rPr>
        <w:t xml:space="preserve"> pomocí přímého dotazníkového statistického šetření, dále zpracovává data dalších institucí. </w:t>
      </w:r>
      <w:r w:rsidRPr="008C149D">
        <w:rPr>
          <w:rFonts w:ascii="Arial" w:eastAsia="Times New Roman" w:hAnsi="Arial" w:cs="Arial"/>
          <w:lang w:eastAsia="cs-CZ"/>
        </w:rPr>
        <w:t>Šetření je</w:t>
      </w:r>
      <w:r>
        <w:rPr>
          <w:rFonts w:ascii="Arial" w:eastAsia="Times New Roman" w:hAnsi="Arial" w:cs="Arial"/>
          <w:lang w:eastAsia="cs-CZ"/>
        </w:rPr>
        <w:t xml:space="preserve"> v </w:t>
      </w:r>
      <w:r w:rsidRPr="008C149D">
        <w:rPr>
          <w:rFonts w:ascii="Arial" w:eastAsia="Times New Roman" w:hAnsi="Arial" w:cs="Arial"/>
          <w:lang w:eastAsia="cs-CZ"/>
        </w:rPr>
        <w:t xml:space="preserve">souladu s principy EU a OECD, které jsou uvedeny ve </w:t>
      </w:r>
      <w:proofErr w:type="spellStart"/>
      <w:r w:rsidRPr="008C149D">
        <w:rPr>
          <w:rFonts w:ascii="Arial" w:eastAsia="Times New Roman" w:hAnsi="Arial" w:cs="Arial"/>
          <w:lang w:eastAsia="cs-CZ"/>
        </w:rPr>
        <w:t>Frascati</w:t>
      </w:r>
      <w:proofErr w:type="spellEnd"/>
      <w:r w:rsidRPr="008C149D">
        <w:rPr>
          <w:rFonts w:ascii="Arial" w:eastAsia="Times New Roman" w:hAnsi="Arial" w:cs="Arial"/>
          <w:lang w:eastAsia="cs-CZ"/>
        </w:rPr>
        <w:t xml:space="preserve"> </w:t>
      </w:r>
      <w:proofErr w:type="spellStart"/>
      <w:r>
        <w:rPr>
          <w:rFonts w:ascii="Arial" w:eastAsia="Times New Roman" w:hAnsi="Arial" w:cs="Arial"/>
          <w:lang w:eastAsia="cs-CZ"/>
        </w:rPr>
        <w:t>Manual</w:t>
      </w:r>
      <w:proofErr w:type="spellEnd"/>
      <w:r w:rsidRPr="008C149D">
        <w:rPr>
          <w:rFonts w:ascii="Arial" w:eastAsia="Times New Roman" w:hAnsi="Arial" w:cs="Arial"/>
          <w:lang w:eastAsia="cs-CZ"/>
        </w:rPr>
        <w:t xml:space="preserve"> a</w:t>
      </w:r>
      <w:r>
        <w:rPr>
          <w:rFonts w:ascii="Arial" w:eastAsia="Times New Roman" w:hAnsi="Arial" w:cs="Arial"/>
          <w:lang w:eastAsia="cs-CZ"/>
        </w:rPr>
        <w:t xml:space="preserve"> v</w:t>
      </w:r>
      <w:r w:rsidR="007A7BF8">
        <w:rPr>
          <w:rFonts w:ascii="Arial" w:eastAsia="Times New Roman" w:hAnsi="Arial" w:cs="Arial"/>
          <w:lang w:eastAsia="cs-CZ"/>
        </w:rPr>
        <w:t> </w:t>
      </w:r>
      <w:r w:rsidRPr="008C149D">
        <w:rPr>
          <w:rFonts w:ascii="Arial" w:eastAsia="Times New Roman" w:hAnsi="Arial" w:cs="Arial"/>
          <w:lang w:eastAsia="cs-CZ"/>
        </w:rPr>
        <w:t>prováděcím nařízení Komise (EU) č. 995/2012.</w:t>
      </w:r>
      <w:r>
        <w:rPr>
          <w:rFonts w:ascii="Arial" w:eastAsia="Times New Roman" w:hAnsi="Arial" w:cs="Arial"/>
          <w:lang w:eastAsia="cs-CZ"/>
        </w:rPr>
        <w:t xml:space="preserve"> </w:t>
      </w:r>
      <w:r w:rsidRPr="00381AF1">
        <w:rPr>
          <w:rFonts w:ascii="Arial" w:eastAsia="Times New Roman" w:hAnsi="Arial" w:cs="Arial"/>
          <w:lang w:eastAsia="cs-CZ"/>
        </w:rPr>
        <w:t>Dlouhodobým cílem ČSÚ je vytváření komplexního obrazu o</w:t>
      </w:r>
      <w:r>
        <w:rPr>
          <w:rFonts w:ascii="Arial" w:eastAsia="Times New Roman" w:hAnsi="Arial" w:cs="Arial"/>
          <w:lang w:eastAsia="cs-CZ"/>
        </w:rPr>
        <w:t> </w:t>
      </w:r>
      <w:r w:rsidRPr="00381AF1">
        <w:rPr>
          <w:rFonts w:ascii="Arial" w:eastAsia="Times New Roman" w:hAnsi="Arial" w:cs="Arial"/>
          <w:lang w:eastAsia="cs-CZ"/>
        </w:rPr>
        <w:t xml:space="preserve">rozvoji </w:t>
      </w:r>
      <w:proofErr w:type="spellStart"/>
      <w:r w:rsidRPr="00381AF1">
        <w:rPr>
          <w:rFonts w:ascii="Arial" w:eastAsia="Times New Roman" w:hAnsi="Arial" w:cs="Arial"/>
          <w:lang w:eastAsia="cs-CZ"/>
        </w:rPr>
        <w:t>VaV</w:t>
      </w:r>
      <w:proofErr w:type="spellEnd"/>
      <w:r>
        <w:rPr>
          <w:rFonts w:ascii="Arial" w:eastAsia="Times New Roman" w:hAnsi="Arial" w:cs="Arial"/>
          <w:lang w:eastAsia="cs-CZ"/>
        </w:rPr>
        <w:t xml:space="preserve"> v </w:t>
      </w:r>
      <w:r w:rsidRPr="00381AF1">
        <w:rPr>
          <w:rFonts w:ascii="Arial" w:eastAsia="Times New Roman" w:hAnsi="Arial" w:cs="Arial"/>
          <w:lang w:eastAsia="cs-CZ"/>
        </w:rPr>
        <w:t>České republice statis</w:t>
      </w:r>
      <w:r>
        <w:rPr>
          <w:rFonts w:ascii="Arial" w:eastAsia="Times New Roman" w:hAnsi="Arial" w:cs="Arial"/>
          <w:lang w:eastAsia="cs-CZ"/>
        </w:rPr>
        <w:t>tickými nástroji, informacemi a </w:t>
      </w:r>
      <w:r w:rsidRPr="00381AF1">
        <w:rPr>
          <w:rFonts w:ascii="Arial" w:eastAsia="Times New Roman" w:hAnsi="Arial" w:cs="Arial"/>
          <w:lang w:eastAsia="cs-CZ"/>
        </w:rPr>
        <w:t>analytickou činností</w:t>
      </w:r>
      <w:r>
        <w:rPr>
          <w:rFonts w:ascii="Arial" w:eastAsia="Times New Roman" w:hAnsi="Arial" w:cs="Arial"/>
          <w:lang w:eastAsia="cs-CZ"/>
        </w:rPr>
        <w:t xml:space="preserve"> v </w:t>
      </w:r>
      <w:r w:rsidRPr="00381AF1">
        <w:rPr>
          <w:rFonts w:ascii="Arial" w:eastAsia="Times New Roman" w:hAnsi="Arial" w:cs="Arial"/>
          <w:lang w:eastAsia="cs-CZ"/>
        </w:rPr>
        <w:t>kontextu dalších makroekonomických a strukturálních ukazatelů. Konkrétně od roku 19</w:t>
      </w:r>
      <w:r>
        <w:rPr>
          <w:rFonts w:ascii="Arial" w:eastAsia="Times New Roman" w:hAnsi="Arial" w:cs="Arial"/>
          <w:lang w:eastAsia="cs-CZ"/>
        </w:rPr>
        <w:t xml:space="preserve">95 je každoročně prováděno </w:t>
      </w:r>
      <w:r w:rsidRPr="00381AF1">
        <w:rPr>
          <w:rFonts w:ascii="Arial" w:eastAsia="Times New Roman" w:hAnsi="Arial" w:cs="Arial"/>
          <w:lang w:eastAsia="cs-CZ"/>
        </w:rPr>
        <w:t xml:space="preserve">výběrové dotazníkové šetření </w:t>
      </w:r>
      <w:r w:rsidRPr="00FF34CA">
        <w:rPr>
          <w:rFonts w:ascii="Arial" w:eastAsia="Times New Roman" w:hAnsi="Arial" w:cs="Arial"/>
          <w:lang w:eastAsia="cs-CZ"/>
        </w:rPr>
        <w:t>VTR 5-01</w:t>
      </w:r>
      <w:r>
        <w:rPr>
          <w:rFonts w:ascii="Arial" w:eastAsia="Times New Roman" w:hAnsi="Arial" w:cs="Arial"/>
          <w:lang w:eastAsia="cs-CZ"/>
        </w:rPr>
        <w:t>.</w:t>
      </w:r>
    </w:p>
    <w:p w:rsidR="009A4B85" w:rsidRPr="00381AF1" w:rsidRDefault="009A4B85" w:rsidP="009A4B85">
      <w:pPr>
        <w:spacing w:after="0" w:line="360" w:lineRule="auto"/>
        <w:ind w:firstLine="357"/>
        <w:jc w:val="both"/>
        <w:rPr>
          <w:rFonts w:ascii="Arial" w:eastAsia="Times New Roman" w:hAnsi="Arial" w:cs="Arial"/>
          <w:lang w:eastAsia="cs-CZ"/>
        </w:rPr>
      </w:pPr>
      <w:proofErr w:type="spellStart"/>
      <w:r w:rsidRPr="00381AF1">
        <w:rPr>
          <w:rFonts w:ascii="Arial" w:eastAsia="Times New Roman" w:hAnsi="Arial" w:cs="Arial"/>
          <w:lang w:eastAsia="cs-CZ"/>
        </w:rPr>
        <w:t>E</w:t>
      </w:r>
      <w:r>
        <w:rPr>
          <w:rFonts w:ascii="Arial" w:eastAsia="Times New Roman" w:hAnsi="Arial" w:cs="Arial"/>
          <w:lang w:eastAsia="cs-CZ"/>
        </w:rPr>
        <w:t>urostat</w:t>
      </w:r>
      <w:proofErr w:type="spellEnd"/>
      <w:r w:rsidRPr="00381AF1">
        <w:rPr>
          <w:rFonts w:ascii="Arial" w:eastAsia="Times New Roman" w:hAnsi="Arial" w:cs="Arial"/>
          <w:lang w:eastAsia="cs-CZ"/>
        </w:rPr>
        <w:t xml:space="preserve"> a OECD patří mezi hlavní zahraniční instituce provozující databáze poskytující informace o VaVaI. Po vstupu ČR do EU vznikla potřeba i povinnost vést evidenci, kontrolovat průběh realizace jednotlivých projektů a monitorovat průběh čerpání finančních prostředků ze</w:t>
      </w:r>
      <w:r>
        <w:rPr>
          <w:rFonts w:ascii="Arial" w:eastAsia="Times New Roman" w:hAnsi="Arial" w:cs="Arial"/>
          <w:lang w:eastAsia="cs-CZ"/>
        </w:rPr>
        <w:t> </w:t>
      </w:r>
      <w:r w:rsidRPr="00381AF1">
        <w:rPr>
          <w:rFonts w:ascii="Arial" w:eastAsia="Times New Roman" w:hAnsi="Arial" w:cs="Arial"/>
          <w:lang w:eastAsia="cs-CZ"/>
        </w:rPr>
        <w:t>strukturálních fondů a Fondu soudržnosti. Tuto evidenci má</w:t>
      </w:r>
      <w:r>
        <w:rPr>
          <w:rFonts w:ascii="Arial" w:eastAsia="Times New Roman" w:hAnsi="Arial" w:cs="Arial"/>
          <w:lang w:eastAsia="cs-CZ"/>
        </w:rPr>
        <w:t xml:space="preserve"> v </w:t>
      </w:r>
      <w:r w:rsidRPr="00381AF1">
        <w:rPr>
          <w:rFonts w:ascii="Arial" w:eastAsia="Times New Roman" w:hAnsi="Arial" w:cs="Arial"/>
          <w:lang w:eastAsia="cs-CZ"/>
        </w:rPr>
        <w:t>gesci především MMR.</w:t>
      </w:r>
      <w:r>
        <w:rPr>
          <w:rFonts w:ascii="Arial" w:eastAsia="Times New Roman" w:hAnsi="Arial" w:cs="Arial"/>
          <w:lang w:eastAsia="cs-CZ"/>
        </w:rPr>
        <w:t xml:space="preserve"> V </w:t>
      </w:r>
      <w:r w:rsidRPr="00381AF1">
        <w:rPr>
          <w:rFonts w:ascii="Arial" w:eastAsia="Times New Roman" w:hAnsi="Arial" w:cs="Arial"/>
          <w:lang w:eastAsia="cs-CZ"/>
        </w:rPr>
        <w:t>průběhu Programového období 2007–2013 byl využíván informační systém MSC2007. Následně byl nově spuštěn systém MS2014+, který je určený pro monitorování Evropských strukturálních a</w:t>
      </w:r>
      <w:r>
        <w:rPr>
          <w:rFonts w:ascii="Arial" w:eastAsia="Times New Roman" w:hAnsi="Arial" w:cs="Arial"/>
          <w:lang w:eastAsia="cs-CZ"/>
        </w:rPr>
        <w:t> </w:t>
      </w:r>
      <w:r w:rsidRPr="00381AF1">
        <w:rPr>
          <w:rFonts w:ascii="Arial" w:eastAsia="Times New Roman" w:hAnsi="Arial" w:cs="Arial"/>
          <w:lang w:eastAsia="cs-CZ"/>
        </w:rPr>
        <w:t>investičních fondů (tzv. ESI fondy)</w:t>
      </w:r>
      <w:r>
        <w:rPr>
          <w:rFonts w:ascii="Arial" w:eastAsia="Times New Roman" w:hAnsi="Arial" w:cs="Arial"/>
          <w:lang w:eastAsia="cs-CZ"/>
        </w:rPr>
        <w:t xml:space="preserve"> v </w:t>
      </w:r>
      <w:r w:rsidRPr="00381AF1">
        <w:rPr>
          <w:rFonts w:ascii="Arial" w:eastAsia="Times New Roman" w:hAnsi="Arial" w:cs="Arial"/>
          <w:lang w:eastAsia="cs-CZ"/>
        </w:rPr>
        <w:t>programovém období 2014–2020.</w:t>
      </w:r>
      <w:r w:rsidRPr="00381AF1">
        <w:rPr>
          <w:rFonts w:ascii="Arial" w:eastAsia="Times New Roman" w:hAnsi="Arial" w:cs="Arial"/>
          <w:lang w:eastAsia="cs-CZ"/>
        </w:rPr>
        <w:br w:type="page"/>
      </w:r>
    </w:p>
    <w:p w:rsidR="009A4B85" w:rsidRPr="003B59DB" w:rsidRDefault="009A4B85" w:rsidP="009A4B85">
      <w:pPr>
        <w:pStyle w:val="Obrzek"/>
      </w:pPr>
      <w:r w:rsidRPr="003B59DB">
        <w:lastRenderedPageBreak/>
        <w:t xml:space="preserve">Tabulka </w:t>
      </w:r>
      <w:proofErr w:type="gramStart"/>
      <w:r w:rsidRPr="003B59DB">
        <w:t>P.2:</w:t>
      </w:r>
      <w:proofErr w:type="gramEnd"/>
      <w:r w:rsidRPr="003B59DB">
        <w:t xml:space="preserve"> Datové zdroje VaVaI</w:t>
      </w:r>
    </w:p>
    <w:tbl>
      <w:tblPr>
        <w:tblW w:w="5000" w:type="pct"/>
        <w:jc w:val="center"/>
        <w:tblLayout w:type="fixed"/>
        <w:tblCellMar>
          <w:left w:w="70" w:type="dxa"/>
          <w:right w:w="70" w:type="dxa"/>
        </w:tblCellMar>
        <w:tblLook w:val="04A0" w:firstRow="1" w:lastRow="0" w:firstColumn="1" w:lastColumn="0" w:noHBand="0" w:noVBand="1"/>
      </w:tblPr>
      <w:tblGrid>
        <w:gridCol w:w="397"/>
        <w:gridCol w:w="779"/>
        <w:gridCol w:w="903"/>
        <w:gridCol w:w="1535"/>
        <w:gridCol w:w="637"/>
        <w:gridCol w:w="4961"/>
      </w:tblGrid>
      <w:tr w:rsidR="009A4B85" w:rsidRPr="003B59DB" w:rsidTr="009A4B85">
        <w:trPr>
          <w:trHeight w:val="287"/>
          <w:jc w:val="center"/>
        </w:trPr>
        <w:tc>
          <w:tcPr>
            <w:tcW w:w="384" w:type="dxa"/>
            <w:tcBorders>
              <w:top w:val="nil"/>
              <w:left w:val="nil"/>
              <w:bottom w:val="nil"/>
              <w:right w:val="nil"/>
            </w:tcBorders>
            <w:shd w:val="clear" w:color="auto" w:fill="auto"/>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b/>
                <w:bCs/>
                <w:color w:val="000000"/>
                <w:sz w:val="17"/>
                <w:szCs w:val="17"/>
                <w:lang w:eastAsia="cs-CZ"/>
              </w:rPr>
            </w:pPr>
            <w:r w:rsidRPr="003B59DB">
              <w:rPr>
                <w:rFonts w:ascii="Arial" w:eastAsia="Times New Roman" w:hAnsi="Arial" w:cs="Arial"/>
                <w:b/>
                <w:bCs/>
                <w:color w:val="000000"/>
                <w:sz w:val="17"/>
                <w:szCs w:val="17"/>
                <w:lang w:eastAsia="cs-CZ"/>
              </w:rPr>
              <w:t> </w:t>
            </w:r>
          </w:p>
        </w:tc>
        <w:tc>
          <w:tcPr>
            <w:tcW w:w="2355" w:type="dxa"/>
            <w:gridSpan w:val="2"/>
            <w:tcBorders>
              <w:top w:val="single" w:sz="8" w:space="0" w:color="auto"/>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b/>
                <w:bCs/>
                <w:color w:val="000000"/>
                <w:sz w:val="17"/>
                <w:szCs w:val="17"/>
                <w:lang w:eastAsia="cs-CZ"/>
              </w:rPr>
            </w:pPr>
            <w:r w:rsidRPr="003B59DB">
              <w:rPr>
                <w:rFonts w:ascii="Arial" w:eastAsia="Times New Roman" w:hAnsi="Arial" w:cs="Arial"/>
                <w:b/>
                <w:bCs/>
                <w:color w:val="000000"/>
                <w:sz w:val="17"/>
                <w:szCs w:val="17"/>
                <w:lang w:eastAsia="cs-CZ"/>
              </w:rPr>
              <w:t>Data</w:t>
            </w:r>
          </w:p>
        </w:tc>
        <w:tc>
          <w:tcPr>
            <w:tcW w:w="5408" w:type="dxa"/>
            <w:gridSpan w:val="2"/>
            <w:tcBorders>
              <w:top w:val="single" w:sz="8" w:space="0" w:color="auto"/>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b/>
                <w:bCs/>
                <w:color w:val="000000"/>
                <w:sz w:val="17"/>
                <w:szCs w:val="17"/>
                <w:lang w:eastAsia="cs-CZ"/>
              </w:rPr>
            </w:pPr>
            <w:r w:rsidRPr="003B59DB">
              <w:rPr>
                <w:rFonts w:ascii="Arial" w:eastAsia="Times New Roman" w:hAnsi="Arial" w:cs="Arial"/>
                <w:b/>
                <w:bCs/>
                <w:color w:val="000000"/>
                <w:sz w:val="17"/>
                <w:szCs w:val="17"/>
                <w:lang w:eastAsia="cs-CZ"/>
              </w:rPr>
              <w:t>Poznámka</w:t>
            </w:r>
          </w:p>
        </w:tc>
      </w:tr>
      <w:tr w:rsidR="009A4B85" w:rsidRPr="003B59DB" w:rsidTr="009A4B85">
        <w:trPr>
          <w:trHeight w:val="478"/>
          <w:jc w:val="center"/>
        </w:trPr>
        <w:tc>
          <w:tcPr>
            <w:tcW w:w="384"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NÁRODNÍ</w:t>
            </w:r>
          </w:p>
        </w:tc>
        <w:tc>
          <w:tcPr>
            <w:tcW w:w="753" w:type="dxa"/>
            <w:vMerge w:val="restart"/>
            <w:tcBorders>
              <w:top w:val="nil"/>
              <w:left w:val="single" w:sz="8" w:space="0" w:color="auto"/>
              <w:bottom w:val="single" w:sz="8" w:space="0" w:color="000000"/>
              <w:right w:val="single" w:sz="8" w:space="0" w:color="auto"/>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b/>
                <w:bCs/>
                <w:color w:val="000000"/>
                <w:sz w:val="17"/>
                <w:szCs w:val="17"/>
                <w:lang w:eastAsia="cs-CZ"/>
              </w:rPr>
            </w:pPr>
            <w:r w:rsidRPr="003B59DB">
              <w:rPr>
                <w:rFonts w:ascii="Arial" w:eastAsia="Times New Roman" w:hAnsi="Arial" w:cs="Arial"/>
                <w:b/>
                <w:bCs/>
                <w:color w:val="000000"/>
                <w:sz w:val="17"/>
                <w:szCs w:val="17"/>
                <w:lang w:eastAsia="cs-CZ"/>
              </w:rPr>
              <w:t>RVVI</w:t>
            </w:r>
          </w:p>
          <w:p w:rsidR="009A4B85" w:rsidRPr="003B59DB" w:rsidRDefault="009A4B85" w:rsidP="009A4B85">
            <w:pPr>
              <w:spacing w:after="0" w:line="240" w:lineRule="auto"/>
              <w:jc w:val="center"/>
              <w:rPr>
                <w:rFonts w:ascii="Arial" w:eastAsia="Times New Roman" w:hAnsi="Arial" w:cs="Arial"/>
                <w:b/>
                <w:bCs/>
                <w:color w:val="000000"/>
                <w:sz w:val="17"/>
                <w:szCs w:val="17"/>
                <w:lang w:eastAsia="cs-CZ"/>
              </w:rPr>
            </w:pPr>
            <w:r w:rsidRPr="003B59DB">
              <w:rPr>
                <w:rFonts w:ascii="Arial" w:eastAsia="Times New Roman" w:hAnsi="Arial" w:cs="Arial"/>
                <w:b/>
                <w:bCs/>
                <w:color w:val="000000"/>
                <w:sz w:val="17"/>
                <w:szCs w:val="17"/>
                <w:lang w:eastAsia="cs-CZ"/>
              </w:rPr>
              <w:t>(ÚV ČR)</w:t>
            </w:r>
          </w:p>
        </w:tc>
        <w:tc>
          <w:tcPr>
            <w:tcW w:w="872" w:type="dxa"/>
            <w:vMerge w:val="restart"/>
            <w:tcBorders>
              <w:top w:val="nil"/>
              <w:left w:val="single" w:sz="8" w:space="0" w:color="auto"/>
              <w:bottom w:val="single" w:sz="8" w:space="0" w:color="000000"/>
              <w:right w:val="single" w:sz="8" w:space="0" w:color="auto"/>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IS VaVaI</w:t>
            </w:r>
          </w:p>
        </w:tc>
        <w:tc>
          <w:tcPr>
            <w:tcW w:w="1483" w:type="dxa"/>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CEA</w:t>
            </w:r>
          </w:p>
        </w:tc>
        <w:tc>
          <w:tcPr>
            <w:tcW w:w="5408"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 xml:space="preserve">Informace o poskytovatelích podpory VaVaI, o programech VaVaI </w:t>
            </w:r>
            <w:r w:rsidRPr="003B59DB">
              <w:rPr>
                <w:rFonts w:ascii="Arial" w:eastAsia="Times New Roman" w:hAnsi="Arial" w:cs="Arial"/>
                <w:color w:val="000000"/>
                <w:sz w:val="17"/>
                <w:szCs w:val="17"/>
                <w:lang w:eastAsia="cs-CZ"/>
              </w:rPr>
              <w:br/>
              <w:t>a subjektech ve VaVaI (od roku 2010)</w:t>
            </w:r>
          </w:p>
        </w:tc>
      </w:tr>
      <w:tr w:rsidR="009A4B85" w:rsidRPr="003B59DB" w:rsidTr="009A4B85">
        <w:trPr>
          <w:trHeight w:val="287"/>
          <w:jc w:val="center"/>
        </w:trPr>
        <w:tc>
          <w:tcPr>
            <w:tcW w:w="384" w:type="dxa"/>
            <w:vMerge/>
            <w:tcBorders>
              <w:top w:val="single" w:sz="8" w:space="0" w:color="auto"/>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b/>
                <w:bCs/>
                <w:color w:val="000000"/>
                <w:sz w:val="17"/>
                <w:szCs w:val="17"/>
                <w:lang w:eastAsia="cs-CZ"/>
              </w:rPr>
            </w:pPr>
          </w:p>
        </w:tc>
        <w:tc>
          <w:tcPr>
            <w:tcW w:w="872"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1483" w:type="dxa"/>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VES</w:t>
            </w:r>
          </w:p>
        </w:tc>
        <w:tc>
          <w:tcPr>
            <w:tcW w:w="5408"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Informace o veřejných soutěžích ve VaVaI (od roku 2000)</w:t>
            </w:r>
          </w:p>
        </w:tc>
      </w:tr>
      <w:tr w:rsidR="009A4B85" w:rsidRPr="003B59DB" w:rsidTr="009A4B85">
        <w:trPr>
          <w:trHeight w:val="287"/>
          <w:jc w:val="center"/>
        </w:trPr>
        <w:tc>
          <w:tcPr>
            <w:tcW w:w="384" w:type="dxa"/>
            <w:vMerge/>
            <w:tcBorders>
              <w:top w:val="single" w:sz="8" w:space="0" w:color="auto"/>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b/>
                <w:bCs/>
                <w:color w:val="000000"/>
                <w:sz w:val="17"/>
                <w:szCs w:val="17"/>
                <w:lang w:eastAsia="cs-CZ"/>
              </w:rPr>
            </w:pPr>
          </w:p>
        </w:tc>
        <w:tc>
          <w:tcPr>
            <w:tcW w:w="872"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1483" w:type="dxa"/>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CEP</w:t>
            </w:r>
          </w:p>
        </w:tc>
        <w:tc>
          <w:tcPr>
            <w:tcW w:w="5408"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Informace o projektech VaVaI (od roku 1994)</w:t>
            </w:r>
          </w:p>
        </w:tc>
      </w:tr>
      <w:tr w:rsidR="009A4B85" w:rsidRPr="003B59DB" w:rsidTr="009A4B85">
        <w:trPr>
          <w:trHeight w:val="287"/>
          <w:jc w:val="center"/>
        </w:trPr>
        <w:tc>
          <w:tcPr>
            <w:tcW w:w="384" w:type="dxa"/>
            <w:vMerge/>
            <w:tcBorders>
              <w:top w:val="single" w:sz="8" w:space="0" w:color="auto"/>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b/>
                <w:bCs/>
                <w:color w:val="000000"/>
                <w:sz w:val="17"/>
                <w:szCs w:val="17"/>
                <w:lang w:eastAsia="cs-CZ"/>
              </w:rPr>
            </w:pPr>
          </w:p>
        </w:tc>
        <w:tc>
          <w:tcPr>
            <w:tcW w:w="872"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1483" w:type="dxa"/>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CEZ</w:t>
            </w:r>
          </w:p>
        </w:tc>
        <w:tc>
          <w:tcPr>
            <w:tcW w:w="5408"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Informace o výzkumných záměrech (do roku 2009)</w:t>
            </w:r>
          </w:p>
        </w:tc>
      </w:tr>
      <w:tr w:rsidR="009A4B85" w:rsidRPr="003B59DB" w:rsidTr="009A4B85">
        <w:trPr>
          <w:trHeight w:val="287"/>
          <w:jc w:val="center"/>
        </w:trPr>
        <w:tc>
          <w:tcPr>
            <w:tcW w:w="384" w:type="dxa"/>
            <w:vMerge/>
            <w:tcBorders>
              <w:top w:val="single" w:sz="8" w:space="0" w:color="auto"/>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b/>
                <w:bCs/>
                <w:color w:val="000000"/>
                <w:sz w:val="17"/>
                <w:szCs w:val="17"/>
                <w:lang w:eastAsia="cs-CZ"/>
              </w:rPr>
            </w:pPr>
          </w:p>
        </w:tc>
        <w:tc>
          <w:tcPr>
            <w:tcW w:w="872"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1483" w:type="dxa"/>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RIV</w:t>
            </w:r>
          </w:p>
        </w:tc>
        <w:tc>
          <w:tcPr>
            <w:tcW w:w="5408"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Informace o výsledcích VaVaI uplatněných od roku 1993</w:t>
            </w:r>
          </w:p>
        </w:tc>
      </w:tr>
      <w:tr w:rsidR="009A4B85" w:rsidRPr="003B59DB" w:rsidTr="009A4B85">
        <w:trPr>
          <w:trHeight w:val="287"/>
          <w:jc w:val="center"/>
        </w:trPr>
        <w:tc>
          <w:tcPr>
            <w:tcW w:w="384" w:type="dxa"/>
            <w:vMerge/>
            <w:tcBorders>
              <w:top w:val="single" w:sz="8" w:space="0" w:color="auto"/>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vMerge w:val="restart"/>
            <w:tcBorders>
              <w:top w:val="nil"/>
              <w:left w:val="single" w:sz="8" w:space="0" w:color="auto"/>
              <w:bottom w:val="single" w:sz="8" w:space="0" w:color="000000"/>
              <w:right w:val="single" w:sz="8" w:space="0" w:color="auto"/>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b/>
                <w:bCs/>
                <w:color w:val="000000"/>
                <w:sz w:val="17"/>
                <w:szCs w:val="17"/>
                <w:lang w:eastAsia="cs-CZ"/>
              </w:rPr>
            </w:pPr>
            <w:r w:rsidRPr="003B59DB">
              <w:rPr>
                <w:rFonts w:ascii="Arial" w:eastAsia="Times New Roman" w:hAnsi="Arial" w:cs="Arial"/>
                <w:b/>
                <w:bCs/>
                <w:color w:val="000000"/>
                <w:sz w:val="17"/>
                <w:szCs w:val="17"/>
                <w:lang w:eastAsia="cs-CZ"/>
              </w:rPr>
              <w:t>ČSÚ</w:t>
            </w:r>
          </w:p>
        </w:tc>
        <w:tc>
          <w:tcPr>
            <w:tcW w:w="2355" w:type="dxa"/>
            <w:gridSpan w:val="2"/>
            <w:tcBorders>
              <w:top w:val="single" w:sz="8" w:space="0" w:color="auto"/>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rPr>
                <w:rFonts w:ascii="Arial" w:eastAsia="Times New Roman" w:hAnsi="Arial" w:cs="Arial"/>
                <w:color w:val="000000"/>
                <w:sz w:val="17"/>
                <w:szCs w:val="17"/>
                <w:highlight w:val="yellow"/>
                <w:lang w:eastAsia="cs-CZ"/>
              </w:rPr>
            </w:pPr>
            <w:r w:rsidRPr="003B59DB">
              <w:rPr>
                <w:rFonts w:ascii="Arial" w:eastAsia="Times New Roman" w:hAnsi="Arial" w:cs="Arial"/>
                <w:color w:val="000000"/>
                <w:sz w:val="17"/>
                <w:szCs w:val="17"/>
                <w:lang w:eastAsia="cs-CZ"/>
              </w:rPr>
              <w:t>Ukazatele výzkumu a vývoje</w:t>
            </w:r>
          </w:p>
        </w:tc>
        <w:tc>
          <w:tcPr>
            <w:tcW w:w="5408"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highlight w:val="yellow"/>
                <w:lang w:eastAsia="cs-CZ"/>
              </w:rPr>
            </w:pPr>
            <w:r w:rsidRPr="003B59DB">
              <w:rPr>
                <w:rFonts w:ascii="Arial" w:eastAsia="Times New Roman" w:hAnsi="Arial" w:cs="Arial"/>
                <w:color w:val="000000"/>
                <w:sz w:val="17"/>
                <w:szCs w:val="17"/>
                <w:lang w:eastAsia="cs-CZ"/>
              </w:rPr>
              <w:t>Pravidelné roční dotazníkové šetření (VTR 5-01)</w:t>
            </w:r>
          </w:p>
        </w:tc>
      </w:tr>
      <w:tr w:rsidR="009A4B85" w:rsidRPr="003B59DB" w:rsidTr="009A4B85">
        <w:trPr>
          <w:trHeight w:val="287"/>
          <w:jc w:val="center"/>
        </w:trPr>
        <w:tc>
          <w:tcPr>
            <w:tcW w:w="384" w:type="dxa"/>
            <w:vMerge/>
            <w:tcBorders>
              <w:top w:val="single" w:sz="8" w:space="0" w:color="auto"/>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b/>
                <w:bCs/>
                <w:color w:val="000000"/>
                <w:sz w:val="17"/>
                <w:szCs w:val="17"/>
                <w:lang w:eastAsia="cs-CZ"/>
              </w:rPr>
            </w:pPr>
          </w:p>
        </w:tc>
        <w:tc>
          <w:tcPr>
            <w:tcW w:w="2355" w:type="dxa"/>
            <w:gridSpan w:val="2"/>
            <w:tcBorders>
              <w:top w:val="single" w:sz="8" w:space="0" w:color="auto"/>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Nepřímá veřejná podpora výzkumu a vývoje v ČR</w:t>
            </w:r>
          </w:p>
        </w:tc>
        <w:tc>
          <w:tcPr>
            <w:tcW w:w="5408"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proofErr w:type="spellStart"/>
            <w:r w:rsidRPr="003B59DB">
              <w:rPr>
                <w:rFonts w:ascii="Arial" w:eastAsia="Times New Roman" w:hAnsi="Arial" w:cs="Arial"/>
                <w:color w:val="000000"/>
                <w:sz w:val="17"/>
                <w:szCs w:val="17"/>
                <w:lang w:eastAsia="cs-CZ"/>
              </w:rPr>
              <w:t>Metadata</w:t>
            </w:r>
            <w:proofErr w:type="spellEnd"/>
            <w:r w:rsidRPr="003B59DB">
              <w:rPr>
                <w:rFonts w:ascii="Arial" w:eastAsia="Times New Roman" w:hAnsi="Arial" w:cs="Arial"/>
                <w:color w:val="000000"/>
                <w:sz w:val="17"/>
                <w:szCs w:val="17"/>
                <w:lang w:eastAsia="cs-CZ"/>
              </w:rPr>
              <w:t xml:space="preserve"> z databáze GFŘ - MF</w:t>
            </w:r>
          </w:p>
        </w:tc>
      </w:tr>
      <w:tr w:rsidR="009A4B85" w:rsidRPr="003B59DB" w:rsidTr="009A4B85">
        <w:trPr>
          <w:trHeight w:val="710"/>
          <w:jc w:val="center"/>
        </w:trPr>
        <w:tc>
          <w:tcPr>
            <w:tcW w:w="384" w:type="dxa"/>
            <w:vMerge/>
            <w:tcBorders>
              <w:top w:val="single" w:sz="8" w:space="0" w:color="auto"/>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b/>
                <w:bCs/>
                <w:color w:val="000000"/>
                <w:sz w:val="17"/>
                <w:szCs w:val="17"/>
                <w:lang w:eastAsia="cs-CZ"/>
              </w:rPr>
            </w:pPr>
          </w:p>
        </w:tc>
        <w:tc>
          <w:tcPr>
            <w:tcW w:w="2355" w:type="dxa"/>
            <w:gridSpan w:val="2"/>
            <w:tcBorders>
              <w:top w:val="single" w:sz="8" w:space="0" w:color="auto"/>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Statistické šetření o inovacích</w:t>
            </w:r>
          </w:p>
        </w:tc>
        <w:tc>
          <w:tcPr>
            <w:tcW w:w="5408"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Poslední zveřejněné šetření (TI2014) se vztahuje k období v letech 2012 až 2014. Ke sběru dat je využit harmonizovaný dotazník zemí EU k inovačnímu šetření společenství CIS.</w:t>
            </w:r>
          </w:p>
        </w:tc>
      </w:tr>
      <w:tr w:rsidR="009A4B85" w:rsidRPr="003B59DB" w:rsidTr="009A4B85">
        <w:trPr>
          <w:trHeight w:val="1016"/>
          <w:jc w:val="center"/>
        </w:trPr>
        <w:tc>
          <w:tcPr>
            <w:tcW w:w="384" w:type="dxa"/>
            <w:vMerge/>
            <w:tcBorders>
              <w:top w:val="single" w:sz="8" w:space="0" w:color="auto"/>
              <w:left w:val="single" w:sz="8" w:space="0" w:color="auto"/>
              <w:bottom w:val="single" w:sz="8" w:space="0" w:color="000000"/>
              <w:right w:val="single" w:sz="8" w:space="0" w:color="auto"/>
            </w:tcBorders>
            <w:vAlign w:val="center"/>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vMerge/>
            <w:tcBorders>
              <w:top w:val="nil"/>
              <w:left w:val="single" w:sz="8" w:space="0" w:color="auto"/>
              <w:bottom w:val="single" w:sz="8" w:space="0" w:color="000000"/>
              <w:right w:val="single" w:sz="8" w:space="0" w:color="auto"/>
            </w:tcBorders>
            <w:vAlign w:val="center"/>
          </w:tcPr>
          <w:p w:rsidR="009A4B85" w:rsidRPr="003B59DB" w:rsidRDefault="009A4B85" w:rsidP="009A4B85">
            <w:pPr>
              <w:spacing w:after="0" w:line="240" w:lineRule="auto"/>
              <w:rPr>
                <w:rFonts w:ascii="Arial" w:eastAsia="Times New Roman" w:hAnsi="Arial" w:cs="Arial"/>
                <w:b/>
                <w:bCs/>
                <w:color w:val="000000"/>
                <w:sz w:val="17"/>
                <w:szCs w:val="17"/>
                <w:lang w:eastAsia="cs-CZ"/>
              </w:rPr>
            </w:pPr>
          </w:p>
        </w:tc>
        <w:tc>
          <w:tcPr>
            <w:tcW w:w="2355" w:type="dxa"/>
            <w:gridSpan w:val="2"/>
            <w:tcBorders>
              <w:top w:val="single" w:sz="8" w:space="0" w:color="auto"/>
              <w:left w:val="nil"/>
              <w:right w:val="single" w:sz="8" w:space="0" w:color="000000"/>
            </w:tcBorders>
            <w:shd w:val="clear" w:color="auto" w:fill="auto"/>
            <w:vAlign w:val="center"/>
          </w:tcPr>
          <w:p w:rsidR="009A4B85" w:rsidRPr="003B59DB" w:rsidRDefault="009A4B85" w:rsidP="009A4B85">
            <w:pPr>
              <w:spacing w:after="0" w:line="240" w:lineRule="auto"/>
              <w:rPr>
                <w:rFonts w:ascii="Arial" w:eastAsia="Times New Roman" w:hAnsi="Arial" w:cs="Arial"/>
                <w:color w:val="000000"/>
                <w:sz w:val="17"/>
                <w:szCs w:val="17"/>
                <w:highlight w:val="lightGray"/>
                <w:lang w:eastAsia="cs-CZ"/>
              </w:rPr>
            </w:pPr>
            <w:r w:rsidRPr="003B59DB">
              <w:rPr>
                <w:rFonts w:ascii="Arial" w:eastAsia="Times New Roman" w:hAnsi="Arial" w:cs="Arial"/>
                <w:color w:val="000000"/>
                <w:sz w:val="17"/>
                <w:szCs w:val="17"/>
                <w:lang w:eastAsia="cs-CZ"/>
              </w:rPr>
              <w:t>Přímá veřejná podpora výzkumu a vývoje v České republice</w:t>
            </w:r>
          </w:p>
        </w:tc>
        <w:tc>
          <w:tcPr>
            <w:tcW w:w="5408" w:type="dxa"/>
            <w:gridSpan w:val="2"/>
            <w:tcBorders>
              <w:top w:val="nil"/>
              <w:left w:val="nil"/>
              <w:bottom w:val="single" w:sz="4" w:space="0" w:color="auto"/>
              <w:right w:val="single" w:sz="8" w:space="0" w:color="auto"/>
            </w:tcBorders>
            <w:shd w:val="clear" w:color="auto" w:fill="auto"/>
            <w:vAlign w:val="center"/>
          </w:tcPr>
          <w:p w:rsidR="009A4B85" w:rsidRPr="003B59DB" w:rsidRDefault="009A4B85" w:rsidP="009A4B85">
            <w:pPr>
              <w:spacing w:after="0" w:line="240" w:lineRule="auto"/>
              <w:jc w:val="both"/>
              <w:rPr>
                <w:rFonts w:ascii="Arial" w:eastAsia="Times New Roman" w:hAnsi="Arial" w:cs="Arial"/>
                <w:color w:val="000000"/>
                <w:sz w:val="17"/>
                <w:szCs w:val="17"/>
                <w:highlight w:val="lightGray"/>
                <w:lang w:eastAsia="cs-CZ"/>
              </w:rPr>
            </w:pPr>
            <w:r w:rsidRPr="003B59DB">
              <w:rPr>
                <w:rFonts w:ascii="Arial" w:eastAsia="Times New Roman" w:hAnsi="Arial" w:cs="Arial"/>
                <w:color w:val="000000"/>
                <w:sz w:val="17"/>
                <w:szCs w:val="17"/>
                <w:lang w:eastAsia="cs-CZ"/>
              </w:rPr>
              <w:t xml:space="preserve">Vychází z výdajů schválených v zákoně o státním rozpočtu pro dané fiskální období (předběžné údaje) a výdajů závěrečného státního účtu pro oblast </w:t>
            </w:r>
            <w:proofErr w:type="spellStart"/>
            <w:r w:rsidRPr="003B59DB">
              <w:rPr>
                <w:rFonts w:ascii="Arial" w:eastAsia="Times New Roman" w:hAnsi="Arial" w:cs="Arial"/>
                <w:color w:val="000000"/>
                <w:sz w:val="17"/>
                <w:szCs w:val="17"/>
                <w:lang w:eastAsia="cs-CZ"/>
              </w:rPr>
              <w:t>VaV</w:t>
            </w:r>
            <w:proofErr w:type="spellEnd"/>
            <w:r w:rsidRPr="003B59DB">
              <w:rPr>
                <w:rFonts w:ascii="Arial" w:eastAsia="Times New Roman" w:hAnsi="Arial" w:cs="Arial"/>
                <w:color w:val="000000"/>
                <w:sz w:val="17"/>
                <w:szCs w:val="17"/>
                <w:lang w:eastAsia="cs-CZ"/>
              </w:rPr>
              <w:t xml:space="preserve"> (konečné údaje).</w:t>
            </w:r>
          </w:p>
        </w:tc>
      </w:tr>
      <w:tr w:rsidR="009A4B85" w:rsidRPr="003B59DB" w:rsidTr="009A4B85">
        <w:trPr>
          <w:trHeight w:val="287"/>
          <w:jc w:val="center"/>
        </w:trPr>
        <w:tc>
          <w:tcPr>
            <w:tcW w:w="384" w:type="dxa"/>
            <w:vMerge/>
            <w:tcBorders>
              <w:top w:val="single" w:sz="8" w:space="0" w:color="auto"/>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b/>
                <w:bCs/>
                <w:color w:val="000000"/>
                <w:sz w:val="17"/>
                <w:szCs w:val="17"/>
                <w:lang w:eastAsia="cs-CZ"/>
              </w:rPr>
            </w:pPr>
          </w:p>
        </w:tc>
        <w:tc>
          <w:tcPr>
            <w:tcW w:w="2355" w:type="dxa"/>
            <w:gridSpan w:val="2"/>
            <w:tcBorders>
              <w:top w:val="single" w:sz="8" w:space="0" w:color="auto"/>
              <w:left w:val="nil"/>
              <w:bottom w:val="single" w:sz="8" w:space="0" w:color="auto"/>
              <w:right w:val="single" w:sz="4" w:space="0" w:color="auto"/>
            </w:tcBorders>
            <w:shd w:val="clear" w:color="auto" w:fill="auto"/>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Patentová statistika</w:t>
            </w:r>
          </w:p>
        </w:tc>
        <w:tc>
          <w:tcPr>
            <w:tcW w:w="540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proofErr w:type="spellStart"/>
            <w:r w:rsidRPr="003B59DB">
              <w:rPr>
                <w:rFonts w:ascii="Arial" w:eastAsia="Times New Roman" w:hAnsi="Arial" w:cs="Arial"/>
                <w:color w:val="000000"/>
                <w:sz w:val="17"/>
                <w:szCs w:val="17"/>
                <w:lang w:eastAsia="cs-CZ"/>
              </w:rPr>
              <w:t>Metadata</w:t>
            </w:r>
            <w:proofErr w:type="spellEnd"/>
            <w:r w:rsidRPr="003B59DB">
              <w:rPr>
                <w:rFonts w:ascii="Arial" w:eastAsia="Times New Roman" w:hAnsi="Arial" w:cs="Arial"/>
                <w:color w:val="000000"/>
                <w:sz w:val="17"/>
                <w:szCs w:val="17"/>
                <w:lang w:eastAsia="cs-CZ"/>
              </w:rPr>
              <w:t xml:space="preserve"> ÚPV ČR a EPO</w:t>
            </w:r>
          </w:p>
        </w:tc>
      </w:tr>
      <w:tr w:rsidR="009A4B85" w:rsidRPr="003B59DB" w:rsidTr="009A4B85">
        <w:trPr>
          <w:trHeight w:val="287"/>
          <w:jc w:val="center"/>
        </w:trPr>
        <w:tc>
          <w:tcPr>
            <w:tcW w:w="384" w:type="dxa"/>
            <w:vMerge/>
            <w:tcBorders>
              <w:top w:val="single" w:sz="8" w:space="0" w:color="auto"/>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b/>
                <w:bCs/>
                <w:color w:val="000000"/>
                <w:sz w:val="17"/>
                <w:szCs w:val="17"/>
                <w:lang w:eastAsia="cs-CZ"/>
              </w:rPr>
            </w:pPr>
          </w:p>
        </w:tc>
        <w:tc>
          <w:tcPr>
            <w:tcW w:w="2355" w:type="dxa"/>
            <w:gridSpan w:val="2"/>
            <w:tcBorders>
              <w:top w:val="single" w:sz="8" w:space="0" w:color="auto"/>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Licence</w:t>
            </w:r>
          </w:p>
        </w:tc>
        <w:tc>
          <w:tcPr>
            <w:tcW w:w="5408" w:type="dxa"/>
            <w:gridSpan w:val="2"/>
            <w:tcBorders>
              <w:top w:val="single" w:sz="4" w:space="0" w:color="auto"/>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Pravidelné roční statistické šetření (Lic 5-01)</w:t>
            </w:r>
          </w:p>
        </w:tc>
      </w:tr>
      <w:tr w:rsidR="009A4B85" w:rsidRPr="003B59DB" w:rsidTr="009A4B85">
        <w:trPr>
          <w:trHeight w:val="287"/>
          <w:jc w:val="center"/>
        </w:trPr>
        <w:tc>
          <w:tcPr>
            <w:tcW w:w="384" w:type="dxa"/>
            <w:vMerge/>
            <w:tcBorders>
              <w:top w:val="single" w:sz="8" w:space="0" w:color="auto"/>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b/>
                <w:bCs/>
                <w:color w:val="000000"/>
                <w:sz w:val="17"/>
                <w:szCs w:val="17"/>
                <w:lang w:eastAsia="cs-CZ"/>
              </w:rPr>
            </w:pPr>
          </w:p>
        </w:tc>
        <w:tc>
          <w:tcPr>
            <w:tcW w:w="2355" w:type="dxa"/>
            <w:gridSpan w:val="2"/>
            <w:tcBorders>
              <w:top w:val="single" w:sz="8" w:space="0" w:color="auto"/>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Státní rozpočtové výdaje a dotace na výzkum a vývoj</w:t>
            </w:r>
          </w:p>
        </w:tc>
        <w:tc>
          <w:tcPr>
            <w:tcW w:w="5408"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proofErr w:type="spellStart"/>
            <w:r w:rsidRPr="003B59DB">
              <w:rPr>
                <w:rFonts w:ascii="Arial" w:eastAsia="Times New Roman" w:hAnsi="Arial" w:cs="Arial"/>
                <w:color w:val="000000"/>
                <w:sz w:val="17"/>
                <w:szCs w:val="17"/>
                <w:lang w:eastAsia="cs-CZ"/>
              </w:rPr>
              <w:t>Metadata</w:t>
            </w:r>
            <w:proofErr w:type="spellEnd"/>
            <w:r w:rsidRPr="003B59DB">
              <w:rPr>
                <w:rFonts w:ascii="Arial" w:eastAsia="Times New Roman" w:hAnsi="Arial" w:cs="Arial"/>
                <w:color w:val="000000"/>
                <w:sz w:val="17"/>
                <w:szCs w:val="17"/>
                <w:lang w:eastAsia="cs-CZ"/>
              </w:rPr>
              <w:t xml:space="preserve"> IS VaVaI a resortní statistiky</w:t>
            </w:r>
          </w:p>
        </w:tc>
      </w:tr>
      <w:tr w:rsidR="009A4B85" w:rsidRPr="003B59DB" w:rsidTr="009A4B85">
        <w:trPr>
          <w:trHeight w:val="287"/>
          <w:jc w:val="center"/>
        </w:trPr>
        <w:tc>
          <w:tcPr>
            <w:tcW w:w="384" w:type="dxa"/>
            <w:vMerge/>
            <w:tcBorders>
              <w:top w:val="single" w:sz="8" w:space="0" w:color="auto"/>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b/>
                <w:bCs/>
                <w:color w:val="000000"/>
                <w:sz w:val="17"/>
                <w:szCs w:val="17"/>
                <w:lang w:eastAsia="cs-CZ"/>
              </w:rPr>
            </w:pPr>
          </w:p>
        </w:tc>
        <w:tc>
          <w:tcPr>
            <w:tcW w:w="2355" w:type="dxa"/>
            <w:gridSpan w:val="2"/>
            <w:tcBorders>
              <w:top w:val="single" w:sz="8" w:space="0" w:color="auto"/>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 xml:space="preserve">Zahraniční obchod s </w:t>
            </w:r>
            <w:proofErr w:type="spellStart"/>
            <w:r w:rsidRPr="003B59DB">
              <w:rPr>
                <w:rFonts w:ascii="Arial" w:eastAsia="Times New Roman" w:hAnsi="Arial" w:cs="Arial"/>
                <w:color w:val="000000"/>
                <w:sz w:val="17"/>
                <w:szCs w:val="17"/>
                <w:lang w:eastAsia="cs-CZ"/>
              </w:rPr>
              <w:t>high-tech</w:t>
            </w:r>
            <w:proofErr w:type="spellEnd"/>
            <w:r w:rsidRPr="003B59DB">
              <w:rPr>
                <w:rFonts w:ascii="Arial" w:eastAsia="Times New Roman" w:hAnsi="Arial" w:cs="Arial"/>
                <w:color w:val="000000"/>
                <w:sz w:val="17"/>
                <w:szCs w:val="17"/>
                <w:lang w:eastAsia="cs-CZ"/>
              </w:rPr>
              <w:t xml:space="preserve"> zbožím</w:t>
            </w:r>
          </w:p>
        </w:tc>
        <w:tc>
          <w:tcPr>
            <w:tcW w:w="5408"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 xml:space="preserve">Databáze zahraničního obchodu a </w:t>
            </w:r>
            <w:proofErr w:type="spellStart"/>
            <w:r w:rsidRPr="003B59DB">
              <w:rPr>
                <w:rFonts w:ascii="Arial" w:eastAsia="Times New Roman" w:hAnsi="Arial" w:cs="Arial"/>
                <w:color w:val="000000"/>
                <w:sz w:val="17"/>
                <w:szCs w:val="17"/>
                <w:lang w:eastAsia="cs-CZ"/>
              </w:rPr>
              <w:t>metadata</w:t>
            </w:r>
            <w:proofErr w:type="spellEnd"/>
            <w:r w:rsidRPr="003B59DB">
              <w:rPr>
                <w:rFonts w:ascii="Arial" w:eastAsia="Times New Roman" w:hAnsi="Arial" w:cs="Arial"/>
                <w:color w:val="000000"/>
                <w:sz w:val="17"/>
                <w:szCs w:val="17"/>
                <w:lang w:eastAsia="cs-CZ"/>
              </w:rPr>
              <w:t xml:space="preserve"> z </w:t>
            </w:r>
            <w:proofErr w:type="spellStart"/>
            <w:r w:rsidRPr="003B59DB">
              <w:rPr>
                <w:rFonts w:ascii="Arial" w:eastAsia="Times New Roman" w:hAnsi="Arial" w:cs="Arial"/>
                <w:color w:val="000000"/>
                <w:sz w:val="17"/>
                <w:szCs w:val="17"/>
                <w:lang w:eastAsia="cs-CZ"/>
              </w:rPr>
              <w:t>Eurostatu</w:t>
            </w:r>
            <w:proofErr w:type="spellEnd"/>
          </w:p>
        </w:tc>
      </w:tr>
      <w:tr w:rsidR="009A4B85" w:rsidRPr="003B59DB" w:rsidTr="009A4B85">
        <w:trPr>
          <w:trHeight w:val="287"/>
          <w:jc w:val="center"/>
        </w:trPr>
        <w:tc>
          <w:tcPr>
            <w:tcW w:w="384" w:type="dxa"/>
            <w:vMerge/>
            <w:tcBorders>
              <w:top w:val="single" w:sz="8" w:space="0" w:color="auto"/>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b/>
                <w:bCs/>
                <w:color w:val="000000"/>
                <w:sz w:val="17"/>
                <w:szCs w:val="17"/>
                <w:lang w:eastAsia="cs-CZ"/>
              </w:rPr>
            </w:pPr>
          </w:p>
        </w:tc>
        <w:tc>
          <w:tcPr>
            <w:tcW w:w="2355" w:type="dxa"/>
            <w:gridSpan w:val="2"/>
            <w:tcBorders>
              <w:top w:val="single" w:sz="8" w:space="0" w:color="auto"/>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Technologická platební bilance - zahraniční obchod s technologickými službami</w:t>
            </w:r>
          </w:p>
        </w:tc>
        <w:tc>
          <w:tcPr>
            <w:tcW w:w="5408"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 xml:space="preserve">Čtvrtletní výkaz o dovozu a vývozu služeb (ZO 1-04) a </w:t>
            </w:r>
            <w:proofErr w:type="spellStart"/>
            <w:r w:rsidRPr="003B59DB">
              <w:rPr>
                <w:rFonts w:ascii="Arial" w:eastAsia="Times New Roman" w:hAnsi="Arial" w:cs="Arial"/>
                <w:color w:val="000000"/>
                <w:sz w:val="17"/>
                <w:szCs w:val="17"/>
                <w:lang w:eastAsia="cs-CZ"/>
              </w:rPr>
              <w:t>metadata</w:t>
            </w:r>
            <w:proofErr w:type="spellEnd"/>
            <w:r w:rsidRPr="003B59DB">
              <w:rPr>
                <w:rFonts w:ascii="Arial" w:eastAsia="Times New Roman" w:hAnsi="Arial" w:cs="Arial"/>
                <w:color w:val="000000"/>
                <w:sz w:val="17"/>
                <w:szCs w:val="17"/>
                <w:lang w:eastAsia="cs-CZ"/>
              </w:rPr>
              <w:t xml:space="preserve"> </w:t>
            </w:r>
            <w:r w:rsidRPr="003B59DB">
              <w:rPr>
                <w:rFonts w:ascii="Arial" w:eastAsia="Times New Roman" w:hAnsi="Arial" w:cs="Arial"/>
                <w:color w:val="000000"/>
                <w:sz w:val="17"/>
                <w:szCs w:val="17"/>
                <w:lang w:eastAsia="cs-CZ"/>
              </w:rPr>
              <w:br/>
              <w:t>z ČNB</w:t>
            </w:r>
          </w:p>
        </w:tc>
      </w:tr>
      <w:tr w:rsidR="009A4B85" w:rsidRPr="003B59DB" w:rsidTr="009A4B85">
        <w:trPr>
          <w:trHeight w:val="287"/>
          <w:jc w:val="center"/>
        </w:trPr>
        <w:tc>
          <w:tcPr>
            <w:tcW w:w="384" w:type="dxa"/>
            <w:vMerge/>
            <w:tcBorders>
              <w:top w:val="single" w:sz="8" w:space="0" w:color="auto"/>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vMerge w:val="restart"/>
            <w:tcBorders>
              <w:top w:val="nil"/>
              <w:left w:val="single" w:sz="8" w:space="0" w:color="auto"/>
              <w:bottom w:val="single" w:sz="8" w:space="0" w:color="000000"/>
              <w:right w:val="single" w:sz="8" w:space="0" w:color="auto"/>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b/>
                <w:bCs/>
                <w:color w:val="000000"/>
                <w:sz w:val="17"/>
                <w:szCs w:val="17"/>
                <w:lang w:eastAsia="cs-CZ"/>
              </w:rPr>
            </w:pPr>
            <w:r w:rsidRPr="003B59DB">
              <w:rPr>
                <w:rFonts w:ascii="Arial" w:eastAsia="Times New Roman" w:hAnsi="Arial" w:cs="Arial"/>
                <w:b/>
                <w:bCs/>
                <w:color w:val="000000"/>
                <w:sz w:val="17"/>
                <w:szCs w:val="17"/>
                <w:lang w:eastAsia="cs-CZ"/>
              </w:rPr>
              <w:t>MMR</w:t>
            </w:r>
          </w:p>
        </w:tc>
        <w:tc>
          <w:tcPr>
            <w:tcW w:w="2355"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MSC2007</w:t>
            </w:r>
          </w:p>
        </w:tc>
        <w:tc>
          <w:tcPr>
            <w:tcW w:w="5408" w:type="dxa"/>
            <w:gridSpan w:val="2"/>
            <w:tcBorders>
              <w:top w:val="nil"/>
              <w:left w:val="single" w:sz="8" w:space="0" w:color="auto"/>
              <w:bottom w:val="single" w:sz="8" w:space="0" w:color="000000"/>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Slouží pro věcný a finanční monitoring všech programů a projektů hrazených z fondů EU.</w:t>
            </w:r>
          </w:p>
        </w:tc>
      </w:tr>
      <w:tr w:rsidR="009A4B85" w:rsidRPr="003B59DB" w:rsidTr="009A4B85">
        <w:trPr>
          <w:trHeight w:val="287"/>
          <w:jc w:val="center"/>
        </w:trPr>
        <w:tc>
          <w:tcPr>
            <w:tcW w:w="384" w:type="dxa"/>
            <w:vMerge/>
            <w:tcBorders>
              <w:top w:val="single" w:sz="8" w:space="0" w:color="auto"/>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b/>
                <w:bCs/>
                <w:color w:val="000000"/>
                <w:sz w:val="17"/>
                <w:szCs w:val="17"/>
                <w:lang w:eastAsia="cs-CZ"/>
              </w:rPr>
            </w:pPr>
          </w:p>
        </w:tc>
        <w:tc>
          <w:tcPr>
            <w:tcW w:w="2355"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MS2014+</w:t>
            </w:r>
          </w:p>
        </w:tc>
        <w:tc>
          <w:tcPr>
            <w:tcW w:w="5408" w:type="dxa"/>
            <w:gridSpan w:val="2"/>
            <w:tcBorders>
              <w:top w:val="nil"/>
              <w:left w:val="single" w:sz="8" w:space="0" w:color="auto"/>
              <w:bottom w:val="single" w:sz="8" w:space="0" w:color="000000"/>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Slouží pro věcný a finanční monitoring všech programů a projektů hrazených z ESI fondů.</w:t>
            </w:r>
          </w:p>
        </w:tc>
      </w:tr>
      <w:tr w:rsidR="009A4B85" w:rsidRPr="003B59DB" w:rsidTr="009A4B85">
        <w:trPr>
          <w:trHeight w:val="287"/>
          <w:jc w:val="center"/>
        </w:trPr>
        <w:tc>
          <w:tcPr>
            <w:tcW w:w="384" w:type="dxa"/>
            <w:vMerge/>
            <w:tcBorders>
              <w:top w:val="single" w:sz="8" w:space="0" w:color="auto"/>
              <w:left w:val="single" w:sz="8" w:space="0" w:color="auto"/>
              <w:bottom w:val="single" w:sz="8" w:space="0" w:color="000000"/>
              <w:right w:val="single" w:sz="8" w:space="0" w:color="auto"/>
            </w:tcBorders>
            <w:vAlign w:val="center"/>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753" w:type="dxa"/>
            <w:tcBorders>
              <w:top w:val="nil"/>
              <w:left w:val="single" w:sz="8" w:space="0" w:color="auto"/>
              <w:bottom w:val="single" w:sz="8" w:space="0" w:color="000000"/>
              <w:right w:val="single" w:sz="8" w:space="0" w:color="auto"/>
            </w:tcBorders>
            <w:vAlign w:val="center"/>
          </w:tcPr>
          <w:p w:rsidR="009A4B85" w:rsidRPr="003B59DB" w:rsidRDefault="009A4B85" w:rsidP="009A4B85">
            <w:pPr>
              <w:spacing w:after="0" w:line="240" w:lineRule="auto"/>
              <w:rPr>
                <w:rFonts w:ascii="Arial" w:eastAsia="Times New Roman" w:hAnsi="Arial" w:cs="Arial"/>
                <w:b/>
                <w:bCs/>
                <w:color w:val="000000"/>
                <w:sz w:val="17"/>
                <w:szCs w:val="17"/>
                <w:lang w:eastAsia="cs-CZ"/>
              </w:rPr>
            </w:pPr>
            <w:r w:rsidRPr="003B59DB">
              <w:rPr>
                <w:rFonts w:ascii="Arial" w:eastAsia="Times New Roman" w:hAnsi="Arial" w:cs="Arial"/>
                <w:b/>
                <w:bCs/>
                <w:color w:val="000000"/>
                <w:sz w:val="17"/>
                <w:szCs w:val="17"/>
                <w:lang w:eastAsia="cs-CZ"/>
              </w:rPr>
              <w:t>MPO/CI</w:t>
            </w:r>
          </w:p>
        </w:tc>
        <w:tc>
          <w:tcPr>
            <w:tcW w:w="2355" w:type="dxa"/>
            <w:gridSpan w:val="2"/>
            <w:tcBorders>
              <w:top w:val="nil"/>
              <w:left w:val="nil"/>
              <w:bottom w:val="single" w:sz="8" w:space="0" w:color="auto"/>
              <w:right w:val="single" w:sz="8" w:space="0" w:color="auto"/>
            </w:tcBorders>
            <w:shd w:val="clear" w:color="auto" w:fill="auto"/>
            <w:vAlign w:val="center"/>
          </w:tcPr>
          <w:p w:rsidR="009A4B85" w:rsidRPr="003B59DB" w:rsidRDefault="009A4B85" w:rsidP="009A4B85">
            <w:pPr>
              <w:spacing w:after="0" w:line="240" w:lineRule="auto"/>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Udělené investiční pobídky</w:t>
            </w:r>
          </w:p>
        </w:tc>
        <w:tc>
          <w:tcPr>
            <w:tcW w:w="5408" w:type="dxa"/>
            <w:gridSpan w:val="2"/>
            <w:tcBorders>
              <w:top w:val="nil"/>
              <w:left w:val="single" w:sz="8" w:space="0" w:color="auto"/>
              <w:bottom w:val="single" w:sz="8" w:space="0" w:color="000000"/>
              <w:right w:val="single" w:sz="8" w:space="0" w:color="auto"/>
            </w:tcBorders>
            <w:shd w:val="clear" w:color="auto" w:fill="auto"/>
            <w:vAlign w:val="center"/>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 xml:space="preserve">Přehled udělených investičních podmínek do zpracovatelského průmyslu, </w:t>
            </w:r>
            <w:proofErr w:type="spellStart"/>
            <w:r w:rsidRPr="003B59DB">
              <w:rPr>
                <w:rFonts w:ascii="Arial" w:eastAsia="Times New Roman" w:hAnsi="Arial" w:cs="Arial"/>
                <w:color w:val="000000"/>
                <w:sz w:val="17"/>
                <w:szCs w:val="17"/>
                <w:lang w:eastAsia="cs-CZ"/>
              </w:rPr>
              <w:t>VaV</w:t>
            </w:r>
            <w:proofErr w:type="spellEnd"/>
            <w:r w:rsidRPr="003B59DB">
              <w:rPr>
                <w:rFonts w:ascii="Arial" w:eastAsia="Times New Roman" w:hAnsi="Arial" w:cs="Arial"/>
                <w:color w:val="000000"/>
                <w:sz w:val="17"/>
                <w:szCs w:val="17"/>
                <w:lang w:eastAsia="cs-CZ"/>
              </w:rPr>
              <w:t xml:space="preserve"> a vybraných podporovaných oborů služeb.</w:t>
            </w:r>
          </w:p>
        </w:tc>
      </w:tr>
      <w:tr w:rsidR="009A4B85" w:rsidRPr="003B59DB" w:rsidTr="009A4B85">
        <w:trPr>
          <w:trHeight w:val="287"/>
          <w:jc w:val="center"/>
        </w:trPr>
        <w:tc>
          <w:tcPr>
            <w:tcW w:w="384" w:type="dxa"/>
            <w:vMerge/>
            <w:tcBorders>
              <w:top w:val="single" w:sz="8" w:space="0" w:color="auto"/>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8516" w:type="dxa"/>
            <w:gridSpan w:val="5"/>
            <w:tcBorders>
              <w:top w:val="single" w:sz="8" w:space="0" w:color="auto"/>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další dokumenty a statistiky poskytovatelů nebo resortů a jiných organizací*</w:t>
            </w:r>
          </w:p>
        </w:tc>
      </w:tr>
      <w:tr w:rsidR="009A4B85" w:rsidRPr="003B59DB" w:rsidTr="009A4B85">
        <w:trPr>
          <w:trHeight w:val="287"/>
          <w:jc w:val="center"/>
        </w:trPr>
        <w:tc>
          <w:tcPr>
            <w:tcW w:w="384"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ZAHRANIČNÍ</w:t>
            </w:r>
          </w:p>
        </w:tc>
        <w:tc>
          <w:tcPr>
            <w:tcW w:w="3723" w:type="dxa"/>
            <w:gridSpan w:val="4"/>
            <w:tcBorders>
              <w:top w:val="single" w:sz="8" w:space="0" w:color="auto"/>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b/>
                <w:bCs/>
                <w:color w:val="000000"/>
                <w:sz w:val="17"/>
                <w:szCs w:val="17"/>
                <w:lang w:eastAsia="cs-CZ"/>
              </w:rPr>
            </w:pPr>
            <w:r w:rsidRPr="003B59DB">
              <w:rPr>
                <w:rFonts w:ascii="Arial" w:eastAsia="Times New Roman" w:hAnsi="Arial" w:cs="Arial"/>
                <w:b/>
                <w:bCs/>
                <w:color w:val="000000"/>
                <w:sz w:val="17"/>
                <w:szCs w:val="17"/>
                <w:lang w:eastAsia="cs-CZ"/>
              </w:rPr>
              <w:t>Data</w:t>
            </w:r>
          </w:p>
        </w:tc>
        <w:tc>
          <w:tcPr>
            <w:tcW w:w="4793" w:type="dxa"/>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b/>
                <w:bCs/>
                <w:color w:val="000000"/>
                <w:sz w:val="17"/>
                <w:szCs w:val="17"/>
                <w:lang w:eastAsia="cs-CZ"/>
              </w:rPr>
            </w:pPr>
            <w:r w:rsidRPr="003B59DB">
              <w:rPr>
                <w:rFonts w:ascii="Arial" w:eastAsia="Times New Roman" w:hAnsi="Arial" w:cs="Arial"/>
                <w:b/>
                <w:bCs/>
                <w:color w:val="000000"/>
                <w:sz w:val="17"/>
                <w:szCs w:val="17"/>
                <w:lang w:eastAsia="cs-CZ"/>
              </w:rPr>
              <w:t>Poznámka</w:t>
            </w:r>
          </w:p>
        </w:tc>
      </w:tr>
      <w:tr w:rsidR="009A4B85" w:rsidRPr="003B59DB" w:rsidTr="009A4B85">
        <w:trPr>
          <w:trHeight w:val="287"/>
          <w:jc w:val="center"/>
        </w:trPr>
        <w:tc>
          <w:tcPr>
            <w:tcW w:w="384"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3723" w:type="dxa"/>
            <w:gridSpan w:val="4"/>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EUROSTAT</w:t>
            </w:r>
          </w:p>
        </w:tc>
        <w:tc>
          <w:tcPr>
            <w:tcW w:w="4793" w:type="dxa"/>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proofErr w:type="spellStart"/>
            <w:r w:rsidRPr="003B59DB">
              <w:rPr>
                <w:rFonts w:ascii="Arial" w:eastAsia="Times New Roman" w:hAnsi="Arial" w:cs="Arial"/>
                <w:color w:val="000000"/>
                <w:sz w:val="17"/>
                <w:szCs w:val="17"/>
                <w:lang w:eastAsia="cs-CZ"/>
              </w:rPr>
              <w:t>Government</w:t>
            </w:r>
            <w:proofErr w:type="spellEnd"/>
            <w:r w:rsidRPr="003B59DB">
              <w:rPr>
                <w:rFonts w:ascii="Arial" w:eastAsia="Times New Roman" w:hAnsi="Arial" w:cs="Arial"/>
                <w:color w:val="000000"/>
                <w:sz w:val="17"/>
                <w:szCs w:val="17"/>
                <w:lang w:eastAsia="cs-CZ"/>
              </w:rPr>
              <w:t xml:space="preserve"> budget </w:t>
            </w:r>
            <w:proofErr w:type="spellStart"/>
            <w:r w:rsidRPr="003B59DB">
              <w:rPr>
                <w:rFonts w:ascii="Arial" w:eastAsia="Times New Roman" w:hAnsi="Arial" w:cs="Arial"/>
                <w:color w:val="000000"/>
                <w:sz w:val="17"/>
                <w:szCs w:val="17"/>
                <w:lang w:eastAsia="cs-CZ"/>
              </w:rPr>
              <w:t>appropriations</w:t>
            </w:r>
            <w:proofErr w:type="spellEnd"/>
            <w:r w:rsidRPr="003B59DB">
              <w:rPr>
                <w:rFonts w:ascii="Arial" w:eastAsia="Times New Roman" w:hAnsi="Arial" w:cs="Arial"/>
                <w:color w:val="000000"/>
                <w:sz w:val="17"/>
                <w:szCs w:val="17"/>
                <w:lang w:eastAsia="cs-CZ"/>
              </w:rPr>
              <w:t xml:space="preserve"> </w:t>
            </w:r>
            <w:proofErr w:type="spellStart"/>
            <w:r w:rsidRPr="003B59DB">
              <w:rPr>
                <w:rFonts w:ascii="Arial" w:eastAsia="Times New Roman" w:hAnsi="Arial" w:cs="Arial"/>
                <w:color w:val="000000"/>
                <w:sz w:val="17"/>
                <w:szCs w:val="17"/>
                <w:lang w:eastAsia="cs-CZ"/>
              </w:rPr>
              <w:t>or</w:t>
            </w:r>
            <w:proofErr w:type="spellEnd"/>
            <w:r w:rsidRPr="003B59DB">
              <w:rPr>
                <w:rFonts w:ascii="Arial" w:eastAsia="Times New Roman" w:hAnsi="Arial" w:cs="Arial"/>
                <w:color w:val="000000"/>
                <w:sz w:val="17"/>
                <w:szCs w:val="17"/>
                <w:lang w:eastAsia="cs-CZ"/>
              </w:rPr>
              <w:t xml:space="preserve"> </w:t>
            </w:r>
            <w:proofErr w:type="spellStart"/>
            <w:r w:rsidRPr="003B59DB">
              <w:rPr>
                <w:rFonts w:ascii="Arial" w:eastAsia="Times New Roman" w:hAnsi="Arial" w:cs="Arial"/>
                <w:color w:val="000000"/>
                <w:sz w:val="17"/>
                <w:szCs w:val="17"/>
                <w:lang w:eastAsia="cs-CZ"/>
              </w:rPr>
              <w:t>outlays</w:t>
            </w:r>
            <w:proofErr w:type="spellEnd"/>
            <w:r w:rsidRPr="003B59DB">
              <w:rPr>
                <w:rFonts w:ascii="Arial" w:eastAsia="Times New Roman" w:hAnsi="Arial" w:cs="Arial"/>
                <w:color w:val="000000"/>
                <w:sz w:val="17"/>
                <w:szCs w:val="17"/>
                <w:lang w:eastAsia="cs-CZ"/>
              </w:rPr>
              <w:t xml:space="preserve"> on R&amp;D </w:t>
            </w:r>
            <w:proofErr w:type="spellStart"/>
            <w:r w:rsidRPr="003B59DB">
              <w:rPr>
                <w:rFonts w:ascii="Arial" w:eastAsia="Times New Roman" w:hAnsi="Arial" w:cs="Arial"/>
                <w:color w:val="000000"/>
                <w:sz w:val="17"/>
                <w:szCs w:val="17"/>
                <w:lang w:eastAsia="cs-CZ"/>
              </w:rPr>
              <w:t>statistics</w:t>
            </w:r>
            <w:proofErr w:type="spellEnd"/>
          </w:p>
        </w:tc>
      </w:tr>
      <w:tr w:rsidR="009A4B85" w:rsidRPr="003B59DB" w:rsidTr="009A4B85">
        <w:trPr>
          <w:trHeight w:val="287"/>
          <w:jc w:val="center"/>
        </w:trPr>
        <w:tc>
          <w:tcPr>
            <w:tcW w:w="384"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3723" w:type="dxa"/>
            <w:gridSpan w:val="4"/>
            <w:vMerge/>
            <w:tcBorders>
              <w:top w:val="single" w:sz="8" w:space="0" w:color="auto"/>
              <w:left w:val="single" w:sz="8" w:space="0" w:color="auto"/>
              <w:bottom w:val="single" w:sz="8" w:space="0" w:color="000000"/>
              <w:right w:val="single" w:sz="8" w:space="0" w:color="000000"/>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4793" w:type="dxa"/>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proofErr w:type="spellStart"/>
            <w:r w:rsidRPr="003B59DB">
              <w:rPr>
                <w:rFonts w:ascii="Arial" w:eastAsia="Times New Roman" w:hAnsi="Arial" w:cs="Arial"/>
                <w:color w:val="000000"/>
                <w:sz w:val="17"/>
                <w:szCs w:val="17"/>
                <w:lang w:eastAsia="cs-CZ"/>
              </w:rPr>
              <w:t>Community</w:t>
            </w:r>
            <w:proofErr w:type="spellEnd"/>
            <w:r w:rsidRPr="003B59DB">
              <w:rPr>
                <w:rFonts w:ascii="Arial" w:eastAsia="Times New Roman" w:hAnsi="Arial" w:cs="Arial"/>
                <w:color w:val="000000"/>
                <w:sz w:val="17"/>
                <w:szCs w:val="17"/>
                <w:lang w:eastAsia="cs-CZ"/>
              </w:rPr>
              <w:t xml:space="preserve"> </w:t>
            </w:r>
            <w:proofErr w:type="spellStart"/>
            <w:r w:rsidRPr="003B59DB">
              <w:rPr>
                <w:rFonts w:ascii="Arial" w:eastAsia="Times New Roman" w:hAnsi="Arial" w:cs="Arial"/>
                <w:color w:val="000000"/>
                <w:sz w:val="17"/>
                <w:szCs w:val="17"/>
                <w:lang w:eastAsia="cs-CZ"/>
              </w:rPr>
              <w:t>innovation</w:t>
            </w:r>
            <w:proofErr w:type="spellEnd"/>
            <w:r w:rsidRPr="003B59DB">
              <w:rPr>
                <w:rFonts w:ascii="Arial" w:eastAsia="Times New Roman" w:hAnsi="Arial" w:cs="Arial"/>
                <w:color w:val="000000"/>
                <w:sz w:val="17"/>
                <w:szCs w:val="17"/>
                <w:lang w:eastAsia="cs-CZ"/>
              </w:rPr>
              <w:t xml:space="preserve"> </w:t>
            </w:r>
            <w:proofErr w:type="spellStart"/>
            <w:r w:rsidRPr="003B59DB">
              <w:rPr>
                <w:rFonts w:ascii="Arial" w:eastAsia="Times New Roman" w:hAnsi="Arial" w:cs="Arial"/>
                <w:color w:val="000000"/>
                <w:sz w:val="17"/>
                <w:szCs w:val="17"/>
                <w:lang w:eastAsia="cs-CZ"/>
              </w:rPr>
              <w:t>survey</w:t>
            </w:r>
            <w:proofErr w:type="spellEnd"/>
          </w:p>
        </w:tc>
      </w:tr>
      <w:tr w:rsidR="009A4B85" w:rsidRPr="003B59DB" w:rsidTr="009A4B85">
        <w:trPr>
          <w:trHeight w:val="287"/>
          <w:jc w:val="center"/>
        </w:trPr>
        <w:tc>
          <w:tcPr>
            <w:tcW w:w="384"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3723" w:type="dxa"/>
            <w:gridSpan w:val="4"/>
            <w:vMerge/>
            <w:tcBorders>
              <w:top w:val="single" w:sz="8" w:space="0" w:color="auto"/>
              <w:left w:val="single" w:sz="8" w:space="0" w:color="auto"/>
              <w:bottom w:val="single" w:sz="8" w:space="0" w:color="000000"/>
              <w:right w:val="single" w:sz="8" w:space="0" w:color="000000"/>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4793" w:type="dxa"/>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proofErr w:type="spellStart"/>
            <w:r w:rsidRPr="003B59DB">
              <w:rPr>
                <w:rFonts w:ascii="Arial" w:eastAsia="Times New Roman" w:hAnsi="Arial" w:cs="Arial"/>
                <w:color w:val="000000"/>
                <w:sz w:val="17"/>
                <w:szCs w:val="17"/>
                <w:lang w:eastAsia="cs-CZ"/>
              </w:rPr>
              <w:t>High-tech</w:t>
            </w:r>
            <w:proofErr w:type="spellEnd"/>
            <w:r w:rsidRPr="003B59DB">
              <w:rPr>
                <w:rFonts w:ascii="Arial" w:eastAsia="Times New Roman" w:hAnsi="Arial" w:cs="Arial"/>
                <w:color w:val="000000"/>
                <w:sz w:val="17"/>
                <w:szCs w:val="17"/>
                <w:lang w:eastAsia="cs-CZ"/>
              </w:rPr>
              <w:t xml:space="preserve"> </w:t>
            </w:r>
            <w:proofErr w:type="spellStart"/>
            <w:r w:rsidRPr="003B59DB">
              <w:rPr>
                <w:rFonts w:ascii="Arial" w:eastAsia="Times New Roman" w:hAnsi="Arial" w:cs="Arial"/>
                <w:color w:val="000000"/>
                <w:sz w:val="17"/>
                <w:szCs w:val="17"/>
                <w:lang w:eastAsia="cs-CZ"/>
              </w:rPr>
              <w:t>industry</w:t>
            </w:r>
            <w:proofErr w:type="spellEnd"/>
            <w:r w:rsidRPr="003B59DB">
              <w:rPr>
                <w:rFonts w:ascii="Arial" w:eastAsia="Times New Roman" w:hAnsi="Arial" w:cs="Arial"/>
                <w:color w:val="000000"/>
                <w:sz w:val="17"/>
                <w:szCs w:val="17"/>
                <w:lang w:eastAsia="cs-CZ"/>
              </w:rPr>
              <w:t xml:space="preserve"> and </w:t>
            </w:r>
            <w:proofErr w:type="spellStart"/>
            <w:r w:rsidRPr="003B59DB">
              <w:rPr>
                <w:rFonts w:ascii="Arial" w:eastAsia="Times New Roman" w:hAnsi="Arial" w:cs="Arial"/>
                <w:color w:val="000000"/>
                <w:sz w:val="17"/>
                <w:szCs w:val="17"/>
                <w:lang w:eastAsia="cs-CZ"/>
              </w:rPr>
              <w:t>knowledge-intensive</w:t>
            </w:r>
            <w:proofErr w:type="spellEnd"/>
            <w:r w:rsidRPr="003B59DB">
              <w:rPr>
                <w:rFonts w:ascii="Arial" w:eastAsia="Times New Roman" w:hAnsi="Arial" w:cs="Arial"/>
                <w:color w:val="000000"/>
                <w:sz w:val="17"/>
                <w:szCs w:val="17"/>
                <w:lang w:eastAsia="cs-CZ"/>
              </w:rPr>
              <w:t xml:space="preserve"> </w:t>
            </w:r>
            <w:proofErr w:type="spellStart"/>
            <w:r w:rsidRPr="003B59DB">
              <w:rPr>
                <w:rFonts w:ascii="Arial" w:eastAsia="Times New Roman" w:hAnsi="Arial" w:cs="Arial"/>
                <w:color w:val="000000"/>
                <w:sz w:val="17"/>
                <w:szCs w:val="17"/>
                <w:lang w:eastAsia="cs-CZ"/>
              </w:rPr>
              <w:t>services</w:t>
            </w:r>
            <w:proofErr w:type="spellEnd"/>
            <w:r w:rsidRPr="003B59DB">
              <w:rPr>
                <w:rFonts w:ascii="Arial" w:eastAsia="Times New Roman" w:hAnsi="Arial" w:cs="Arial"/>
                <w:color w:val="000000"/>
                <w:sz w:val="17"/>
                <w:szCs w:val="17"/>
                <w:lang w:eastAsia="cs-CZ"/>
              </w:rPr>
              <w:t xml:space="preserve"> </w:t>
            </w:r>
            <w:proofErr w:type="spellStart"/>
            <w:r w:rsidRPr="003B59DB">
              <w:rPr>
                <w:rFonts w:ascii="Arial" w:eastAsia="Times New Roman" w:hAnsi="Arial" w:cs="Arial"/>
                <w:color w:val="000000"/>
                <w:sz w:val="17"/>
                <w:szCs w:val="17"/>
                <w:lang w:eastAsia="cs-CZ"/>
              </w:rPr>
              <w:t>statistics</w:t>
            </w:r>
            <w:proofErr w:type="spellEnd"/>
          </w:p>
        </w:tc>
      </w:tr>
      <w:tr w:rsidR="009A4B85" w:rsidRPr="003B59DB" w:rsidTr="009A4B85">
        <w:trPr>
          <w:trHeight w:val="287"/>
          <w:jc w:val="center"/>
        </w:trPr>
        <w:tc>
          <w:tcPr>
            <w:tcW w:w="384"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3723" w:type="dxa"/>
            <w:gridSpan w:val="4"/>
            <w:vMerge/>
            <w:tcBorders>
              <w:top w:val="single" w:sz="8" w:space="0" w:color="auto"/>
              <w:left w:val="single" w:sz="8" w:space="0" w:color="auto"/>
              <w:bottom w:val="single" w:sz="8" w:space="0" w:color="000000"/>
              <w:right w:val="single" w:sz="8" w:space="0" w:color="000000"/>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4793" w:type="dxa"/>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 xml:space="preserve">Patent </w:t>
            </w:r>
            <w:proofErr w:type="spellStart"/>
            <w:r w:rsidRPr="003B59DB">
              <w:rPr>
                <w:rFonts w:ascii="Arial" w:eastAsia="Times New Roman" w:hAnsi="Arial" w:cs="Arial"/>
                <w:color w:val="000000"/>
                <w:sz w:val="17"/>
                <w:szCs w:val="17"/>
                <w:lang w:eastAsia="cs-CZ"/>
              </w:rPr>
              <w:t>statistics</w:t>
            </w:r>
            <w:proofErr w:type="spellEnd"/>
          </w:p>
        </w:tc>
      </w:tr>
      <w:tr w:rsidR="009A4B85" w:rsidRPr="003B59DB" w:rsidTr="009A4B85">
        <w:trPr>
          <w:trHeight w:val="287"/>
          <w:jc w:val="center"/>
        </w:trPr>
        <w:tc>
          <w:tcPr>
            <w:tcW w:w="384"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3723" w:type="dxa"/>
            <w:gridSpan w:val="4"/>
            <w:vMerge/>
            <w:tcBorders>
              <w:top w:val="single" w:sz="8" w:space="0" w:color="auto"/>
              <w:left w:val="single" w:sz="8" w:space="0" w:color="auto"/>
              <w:bottom w:val="single" w:sz="8" w:space="0" w:color="000000"/>
              <w:right w:val="single" w:sz="8" w:space="0" w:color="000000"/>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4793" w:type="dxa"/>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proofErr w:type="spellStart"/>
            <w:r w:rsidRPr="003B59DB">
              <w:rPr>
                <w:rFonts w:ascii="Arial" w:eastAsia="Times New Roman" w:hAnsi="Arial" w:cs="Arial"/>
                <w:color w:val="000000"/>
                <w:sz w:val="17"/>
                <w:szCs w:val="17"/>
                <w:lang w:eastAsia="cs-CZ"/>
              </w:rPr>
              <w:t>Statistics</w:t>
            </w:r>
            <w:proofErr w:type="spellEnd"/>
            <w:r w:rsidRPr="003B59DB">
              <w:rPr>
                <w:rFonts w:ascii="Arial" w:eastAsia="Times New Roman" w:hAnsi="Arial" w:cs="Arial"/>
                <w:color w:val="000000"/>
                <w:sz w:val="17"/>
                <w:szCs w:val="17"/>
                <w:lang w:eastAsia="cs-CZ"/>
              </w:rPr>
              <w:t xml:space="preserve"> on </w:t>
            </w:r>
            <w:proofErr w:type="spellStart"/>
            <w:r w:rsidRPr="003B59DB">
              <w:rPr>
                <w:rFonts w:ascii="Arial" w:eastAsia="Times New Roman" w:hAnsi="Arial" w:cs="Arial"/>
                <w:color w:val="000000"/>
                <w:sz w:val="17"/>
                <w:szCs w:val="17"/>
                <w:lang w:eastAsia="cs-CZ"/>
              </w:rPr>
              <w:t>Human</w:t>
            </w:r>
            <w:proofErr w:type="spellEnd"/>
            <w:r w:rsidRPr="003B59DB">
              <w:rPr>
                <w:rFonts w:ascii="Arial" w:eastAsia="Times New Roman" w:hAnsi="Arial" w:cs="Arial"/>
                <w:color w:val="000000"/>
                <w:sz w:val="17"/>
                <w:szCs w:val="17"/>
                <w:lang w:eastAsia="cs-CZ"/>
              </w:rPr>
              <w:t xml:space="preserve"> </w:t>
            </w:r>
            <w:proofErr w:type="spellStart"/>
            <w:r w:rsidRPr="003B59DB">
              <w:rPr>
                <w:rFonts w:ascii="Arial" w:eastAsia="Times New Roman" w:hAnsi="Arial" w:cs="Arial"/>
                <w:color w:val="000000"/>
                <w:sz w:val="17"/>
                <w:szCs w:val="17"/>
                <w:lang w:eastAsia="cs-CZ"/>
              </w:rPr>
              <w:t>Resources</w:t>
            </w:r>
            <w:proofErr w:type="spellEnd"/>
            <w:r w:rsidRPr="003B59DB">
              <w:rPr>
                <w:rFonts w:ascii="Arial" w:eastAsia="Times New Roman" w:hAnsi="Arial" w:cs="Arial"/>
                <w:color w:val="000000"/>
                <w:sz w:val="17"/>
                <w:szCs w:val="17"/>
                <w:lang w:eastAsia="cs-CZ"/>
              </w:rPr>
              <w:t xml:space="preserve"> in Science &amp; Technology</w:t>
            </w:r>
          </w:p>
        </w:tc>
      </w:tr>
      <w:tr w:rsidR="009A4B85" w:rsidRPr="003B59DB" w:rsidTr="009A4B85">
        <w:trPr>
          <w:trHeight w:val="287"/>
          <w:jc w:val="center"/>
        </w:trPr>
        <w:tc>
          <w:tcPr>
            <w:tcW w:w="384"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3723" w:type="dxa"/>
            <w:gridSpan w:val="4"/>
            <w:tcBorders>
              <w:top w:val="single" w:sz="8" w:space="0" w:color="auto"/>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OECD</w:t>
            </w:r>
          </w:p>
        </w:tc>
        <w:tc>
          <w:tcPr>
            <w:tcW w:w="4793" w:type="dxa"/>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proofErr w:type="spellStart"/>
            <w:r w:rsidRPr="003B59DB">
              <w:rPr>
                <w:rFonts w:ascii="Arial" w:eastAsia="Times New Roman" w:hAnsi="Arial" w:cs="Arial"/>
                <w:color w:val="000000"/>
                <w:sz w:val="17"/>
                <w:szCs w:val="17"/>
                <w:lang w:eastAsia="cs-CZ"/>
              </w:rPr>
              <w:t>Research</w:t>
            </w:r>
            <w:proofErr w:type="spellEnd"/>
            <w:r w:rsidRPr="003B59DB">
              <w:rPr>
                <w:rFonts w:ascii="Arial" w:eastAsia="Times New Roman" w:hAnsi="Arial" w:cs="Arial"/>
                <w:color w:val="000000"/>
                <w:sz w:val="17"/>
                <w:szCs w:val="17"/>
                <w:lang w:eastAsia="cs-CZ"/>
              </w:rPr>
              <w:t xml:space="preserve"> and </w:t>
            </w:r>
            <w:proofErr w:type="spellStart"/>
            <w:r w:rsidRPr="003B59DB">
              <w:rPr>
                <w:rFonts w:ascii="Arial" w:eastAsia="Times New Roman" w:hAnsi="Arial" w:cs="Arial"/>
                <w:color w:val="000000"/>
                <w:sz w:val="17"/>
                <w:szCs w:val="17"/>
                <w:lang w:eastAsia="cs-CZ"/>
              </w:rPr>
              <w:t>Development</w:t>
            </w:r>
            <w:proofErr w:type="spellEnd"/>
            <w:r w:rsidRPr="003B59DB">
              <w:rPr>
                <w:rFonts w:ascii="Arial" w:eastAsia="Times New Roman" w:hAnsi="Arial" w:cs="Arial"/>
                <w:color w:val="000000"/>
                <w:sz w:val="17"/>
                <w:szCs w:val="17"/>
                <w:lang w:eastAsia="cs-CZ"/>
              </w:rPr>
              <w:t xml:space="preserve"> </w:t>
            </w:r>
            <w:proofErr w:type="spellStart"/>
            <w:r w:rsidRPr="003B59DB">
              <w:rPr>
                <w:rFonts w:ascii="Arial" w:eastAsia="Times New Roman" w:hAnsi="Arial" w:cs="Arial"/>
                <w:color w:val="000000"/>
                <w:sz w:val="17"/>
                <w:szCs w:val="17"/>
                <w:lang w:eastAsia="cs-CZ"/>
              </w:rPr>
              <w:t>Statistics</w:t>
            </w:r>
            <w:proofErr w:type="spellEnd"/>
            <w:r w:rsidRPr="003B59DB">
              <w:rPr>
                <w:rFonts w:ascii="Arial" w:eastAsia="Times New Roman" w:hAnsi="Arial" w:cs="Arial"/>
                <w:color w:val="000000"/>
                <w:sz w:val="17"/>
                <w:szCs w:val="17"/>
                <w:lang w:eastAsia="cs-CZ"/>
              </w:rPr>
              <w:t xml:space="preserve"> </w:t>
            </w:r>
          </w:p>
        </w:tc>
      </w:tr>
      <w:tr w:rsidR="009A4B85" w:rsidRPr="003B59DB" w:rsidTr="009A4B85">
        <w:trPr>
          <w:trHeight w:val="287"/>
          <w:jc w:val="center"/>
        </w:trPr>
        <w:tc>
          <w:tcPr>
            <w:tcW w:w="384"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3723" w:type="dxa"/>
            <w:gridSpan w:val="4"/>
            <w:tcBorders>
              <w:top w:val="single" w:sz="8" w:space="0" w:color="auto"/>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proofErr w:type="spellStart"/>
            <w:r w:rsidRPr="003B59DB">
              <w:rPr>
                <w:rFonts w:ascii="Arial" w:eastAsia="Times New Roman" w:hAnsi="Arial" w:cs="Arial"/>
                <w:color w:val="000000"/>
                <w:sz w:val="17"/>
                <w:szCs w:val="17"/>
                <w:lang w:eastAsia="cs-CZ"/>
              </w:rPr>
              <w:t>Cordis</w:t>
            </w:r>
            <w:proofErr w:type="spellEnd"/>
          </w:p>
        </w:tc>
        <w:tc>
          <w:tcPr>
            <w:tcW w:w="4793" w:type="dxa"/>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Informace o projektech Rámcových programů</w:t>
            </w:r>
          </w:p>
        </w:tc>
      </w:tr>
      <w:tr w:rsidR="009A4B85" w:rsidRPr="003B59DB" w:rsidTr="009A4B85">
        <w:trPr>
          <w:trHeight w:val="478"/>
          <w:jc w:val="center"/>
        </w:trPr>
        <w:tc>
          <w:tcPr>
            <w:tcW w:w="384"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1625" w:type="dxa"/>
            <w:gridSpan w:val="2"/>
            <w:tcBorders>
              <w:top w:val="single" w:sz="8" w:space="0" w:color="auto"/>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E-CORDA</w:t>
            </w:r>
          </w:p>
        </w:tc>
        <w:tc>
          <w:tcPr>
            <w:tcW w:w="2098"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proofErr w:type="spellStart"/>
            <w:r w:rsidRPr="003B59DB">
              <w:rPr>
                <w:rFonts w:ascii="Arial" w:eastAsia="Times New Roman" w:hAnsi="Arial" w:cs="Arial"/>
                <w:color w:val="000000"/>
                <w:sz w:val="17"/>
                <w:szCs w:val="17"/>
                <w:lang w:eastAsia="cs-CZ"/>
              </w:rPr>
              <w:t>External</w:t>
            </w:r>
            <w:proofErr w:type="spellEnd"/>
            <w:r w:rsidRPr="003B59DB">
              <w:rPr>
                <w:rFonts w:ascii="Arial" w:eastAsia="Times New Roman" w:hAnsi="Arial" w:cs="Arial"/>
                <w:color w:val="000000"/>
                <w:sz w:val="17"/>
                <w:szCs w:val="17"/>
                <w:lang w:eastAsia="cs-CZ"/>
              </w:rPr>
              <w:t xml:space="preserve"> </w:t>
            </w:r>
            <w:proofErr w:type="spellStart"/>
            <w:r w:rsidRPr="003B59DB">
              <w:rPr>
                <w:rFonts w:ascii="Arial" w:eastAsia="Times New Roman" w:hAnsi="Arial" w:cs="Arial"/>
                <w:color w:val="000000"/>
                <w:sz w:val="17"/>
                <w:szCs w:val="17"/>
                <w:lang w:eastAsia="cs-CZ"/>
              </w:rPr>
              <w:t>Common</w:t>
            </w:r>
            <w:proofErr w:type="spellEnd"/>
            <w:r w:rsidRPr="003B59DB">
              <w:rPr>
                <w:rFonts w:ascii="Arial" w:eastAsia="Times New Roman" w:hAnsi="Arial" w:cs="Arial"/>
                <w:color w:val="000000"/>
                <w:sz w:val="17"/>
                <w:szCs w:val="17"/>
                <w:lang w:eastAsia="cs-CZ"/>
              </w:rPr>
              <w:t xml:space="preserve"> </w:t>
            </w:r>
            <w:proofErr w:type="spellStart"/>
            <w:r w:rsidRPr="003B59DB">
              <w:rPr>
                <w:rFonts w:ascii="Arial" w:eastAsia="Times New Roman" w:hAnsi="Arial" w:cs="Arial"/>
                <w:color w:val="000000"/>
                <w:sz w:val="17"/>
                <w:szCs w:val="17"/>
                <w:lang w:eastAsia="cs-CZ"/>
              </w:rPr>
              <w:t>Research</w:t>
            </w:r>
            <w:proofErr w:type="spellEnd"/>
            <w:r w:rsidRPr="003B59DB">
              <w:rPr>
                <w:rFonts w:ascii="Arial" w:eastAsia="Times New Roman" w:hAnsi="Arial" w:cs="Arial"/>
                <w:color w:val="000000"/>
                <w:sz w:val="17"/>
                <w:szCs w:val="17"/>
                <w:lang w:eastAsia="cs-CZ"/>
              </w:rPr>
              <w:t xml:space="preserve"> </w:t>
            </w:r>
            <w:proofErr w:type="spellStart"/>
            <w:r w:rsidRPr="003B59DB">
              <w:rPr>
                <w:rFonts w:ascii="Arial" w:eastAsia="Times New Roman" w:hAnsi="Arial" w:cs="Arial"/>
                <w:color w:val="000000"/>
                <w:sz w:val="17"/>
                <w:szCs w:val="17"/>
                <w:lang w:eastAsia="cs-CZ"/>
              </w:rPr>
              <w:t>DAta</w:t>
            </w:r>
            <w:proofErr w:type="spellEnd"/>
            <w:r w:rsidRPr="003B59DB">
              <w:rPr>
                <w:rFonts w:ascii="Arial" w:eastAsia="Times New Roman" w:hAnsi="Arial" w:cs="Arial"/>
                <w:color w:val="000000"/>
                <w:sz w:val="17"/>
                <w:szCs w:val="17"/>
                <w:lang w:eastAsia="cs-CZ"/>
              </w:rPr>
              <w:t xml:space="preserve"> </w:t>
            </w:r>
            <w:proofErr w:type="spellStart"/>
            <w:r w:rsidRPr="003B59DB">
              <w:rPr>
                <w:rFonts w:ascii="Arial" w:eastAsia="Times New Roman" w:hAnsi="Arial" w:cs="Arial"/>
                <w:color w:val="000000"/>
                <w:sz w:val="17"/>
                <w:szCs w:val="17"/>
                <w:lang w:eastAsia="cs-CZ"/>
              </w:rPr>
              <w:t>Warehouse</w:t>
            </w:r>
            <w:proofErr w:type="spellEnd"/>
          </w:p>
        </w:tc>
        <w:tc>
          <w:tcPr>
            <w:tcW w:w="4793" w:type="dxa"/>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Umožnuje zpracovávat statistiky účasti RP (databáze grantových dohod a databáze návrhu projektů a žadatelů).</w:t>
            </w:r>
          </w:p>
        </w:tc>
      </w:tr>
      <w:tr w:rsidR="009A4B85" w:rsidRPr="003B59DB" w:rsidTr="009A4B85">
        <w:trPr>
          <w:trHeight w:val="287"/>
          <w:jc w:val="center"/>
        </w:trPr>
        <w:tc>
          <w:tcPr>
            <w:tcW w:w="384"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1625" w:type="dxa"/>
            <w:gridSpan w:val="2"/>
            <w:tcBorders>
              <w:top w:val="single" w:sz="8" w:space="0" w:color="auto"/>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Thomson Reuters</w:t>
            </w:r>
          </w:p>
        </w:tc>
        <w:tc>
          <w:tcPr>
            <w:tcW w:w="2098"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 xml:space="preserve">Web </w:t>
            </w:r>
            <w:proofErr w:type="spellStart"/>
            <w:r w:rsidRPr="003B59DB">
              <w:rPr>
                <w:rFonts w:ascii="Arial" w:eastAsia="Times New Roman" w:hAnsi="Arial" w:cs="Arial"/>
                <w:color w:val="000000"/>
                <w:sz w:val="17"/>
                <w:szCs w:val="17"/>
                <w:lang w:eastAsia="cs-CZ"/>
              </w:rPr>
              <w:t>of</w:t>
            </w:r>
            <w:proofErr w:type="spellEnd"/>
            <w:r w:rsidRPr="003B59DB">
              <w:rPr>
                <w:rFonts w:ascii="Arial" w:eastAsia="Times New Roman" w:hAnsi="Arial" w:cs="Arial"/>
                <w:color w:val="000000"/>
                <w:sz w:val="17"/>
                <w:szCs w:val="17"/>
                <w:lang w:eastAsia="cs-CZ"/>
              </w:rPr>
              <w:t xml:space="preserve"> Science</w:t>
            </w:r>
          </w:p>
        </w:tc>
        <w:tc>
          <w:tcPr>
            <w:tcW w:w="4793" w:type="dxa"/>
            <w:vMerge w:val="restart"/>
            <w:tcBorders>
              <w:top w:val="nil"/>
              <w:left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both"/>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Citační rejstříky</w:t>
            </w:r>
          </w:p>
        </w:tc>
      </w:tr>
      <w:tr w:rsidR="009A4B85" w:rsidRPr="003B59DB" w:rsidTr="009A4B85">
        <w:trPr>
          <w:trHeight w:val="287"/>
          <w:jc w:val="center"/>
        </w:trPr>
        <w:tc>
          <w:tcPr>
            <w:tcW w:w="384"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1625" w:type="dxa"/>
            <w:gridSpan w:val="2"/>
            <w:tcBorders>
              <w:top w:val="single" w:sz="8" w:space="0" w:color="auto"/>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Thomson Reuters</w:t>
            </w:r>
          </w:p>
        </w:tc>
        <w:tc>
          <w:tcPr>
            <w:tcW w:w="2098"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proofErr w:type="spellStart"/>
            <w:r w:rsidRPr="003B59DB">
              <w:rPr>
                <w:rFonts w:ascii="Arial" w:eastAsia="Times New Roman" w:hAnsi="Arial" w:cs="Arial"/>
                <w:color w:val="000000"/>
                <w:sz w:val="17"/>
                <w:szCs w:val="17"/>
                <w:lang w:eastAsia="cs-CZ"/>
              </w:rPr>
              <w:t>Journal</w:t>
            </w:r>
            <w:proofErr w:type="spellEnd"/>
            <w:r w:rsidRPr="003B59DB">
              <w:rPr>
                <w:rFonts w:ascii="Arial" w:eastAsia="Times New Roman" w:hAnsi="Arial" w:cs="Arial"/>
                <w:color w:val="000000"/>
                <w:sz w:val="17"/>
                <w:szCs w:val="17"/>
                <w:lang w:eastAsia="cs-CZ"/>
              </w:rPr>
              <w:t xml:space="preserve"> </w:t>
            </w:r>
            <w:proofErr w:type="spellStart"/>
            <w:r w:rsidRPr="003B59DB">
              <w:rPr>
                <w:rFonts w:ascii="Arial" w:eastAsia="Times New Roman" w:hAnsi="Arial" w:cs="Arial"/>
                <w:color w:val="000000"/>
                <w:sz w:val="17"/>
                <w:szCs w:val="17"/>
                <w:lang w:eastAsia="cs-CZ"/>
              </w:rPr>
              <w:t>Citation</w:t>
            </w:r>
            <w:proofErr w:type="spellEnd"/>
            <w:r w:rsidRPr="003B59DB">
              <w:rPr>
                <w:rFonts w:ascii="Arial" w:eastAsia="Times New Roman" w:hAnsi="Arial" w:cs="Arial"/>
                <w:color w:val="000000"/>
                <w:sz w:val="17"/>
                <w:szCs w:val="17"/>
                <w:lang w:eastAsia="cs-CZ"/>
              </w:rPr>
              <w:t xml:space="preserve"> </w:t>
            </w:r>
            <w:proofErr w:type="spellStart"/>
            <w:r w:rsidRPr="003B59DB">
              <w:rPr>
                <w:rFonts w:ascii="Arial" w:eastAsia="Times New Roman" w:hAnsi="Arial" w:cs="Arial"/>
                <w:color w:val="000000"/>
                <w:sz w:val="17"/>
                <w:szCs w:val="17"/>
                <w:lang w:eastAsia="cs-CZ"/>
              </w:rPr>
              <w:t>Reports</w:t>
            </w:r>
            <w:proofErr w:type="spellEnd"/>
          </w:p>
        </w:tc>
        <w:tc>
          <w:tcPr>
            <w:tcW w:w="4793" w:type="dxa"/>
            <w:vMerge/>
            <w:tcBorders>
              <w:left w:val="single" w:sz="8" w:space="0" w:color="auto"/>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r>
      <w:tr w:rsidR="009A4B85" w:rsidRPr="003B59DB" w:rsidTr="009A4B85">
        <w:trPr>
          <w:trHeight w:val="287"/>
          <w:jc w:val="center"/>
        </w:trPr>
        <w:tc>
          <w:tcPr>
            <w:tcW w:w="384"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1625" w:type="dxa"/>
            <w:gridSpan w:val="2"/>
            <w:tcBorders>
              <w:top w:val="single" w:sz="8" w:space="0" w:color="auto"/>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proofErr w:type="spellStart"/>
            <w:r w:rsidRPr="003B59DB">
              <w:rPr>
                <w:rFonts w:ascii="Arial" w:eastAsia="Times New Roman" w:hAnsi="Arial" w:cs="Arial"/>
                <w:color w:val="000000"/>
                <w:sz w:val="17"/>
                <w:szCs w:val="17"/>
                <w:lang w:eastAsia="cs-CZ"/>
              </w:rPr>
              <w:t>Elsevier</w:t>
            </w:r>
            <w:proofErr w:type="spellEnd"/>
          </w:p>
        </w:tc>
        <w:tc>
          <w:tcPr>
            <w:tcW w:w="2098" w:type="dxa"/>
            <w:gridSpan w:val="2"/>
            <w:tcBorders>
              <w:top w:val="nil"/>
              <w:left w:val="nil"/>
              <w:bottom w:val="single" w:sz="8" w:space="0" w:color="auto"/>
              <w:right w:val="single" w:sz="8" w:space="0" w:color="auto"/>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proofErr w:type="spellStart"/>
            <w:r w:rsidRPr="003B59DB">
              <w:rPr>
                <w:rFonts w:ascii="Arial" w:eastAsia="Times New Roman" w:hAnsi="Arial" w:cs="Arial"/>
                <w:color w:val="000000"/>
                <w:sz w:val="17"/>
                <w:szCs w:val="17"/>
                <w:lang w:eastAsia="cs-CZ"/>
              </w:rPr>
              <w:t>Scopus</w:t>
            </w:r>
            <w:proofErr w:type="spellEnd"/>
          </w:p>
        </w:tc>
        <w:tc>
          <w:tcPr>
            <w:tcW w:w="4793" w:type="dxa"/>
            <w:vMerge/>
            <w:tcBorders>
              <w:left w:val="single" w:sz="8" w:space="0" w:color="auto"/>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r>
      <w:tr w:rsidR="009A4B85" w:rsidRPr="003B59DB" w:rsidTr="009A4B85">
        <w:trPr>
          <w:trHeight w:val="287"/>
          <w:jc w:val="center"/>
        </w:trPr>
        <w:tc>
          <w:tcPr>
            <w:tcW w:w="384" w:type="dxa"/>
            <w:vMerge/>
            <w:tcBorders>
              <w:top w:val="nil"/>
              <w:left w:val="single" w:sz="8" w:space="0" w:color="auto"/>
              <w:bottom w:val="single" w:sz="8" w:space="0" w:color="000000"/>
              <w:right w:val="single" w:sz="8" w:space="0" w:color="auto"/>
            </w:tcBorders>
            <w:vAlign w:val="center"/>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1625" w:type="dxa"/>
            <w:gridSpan w:val="2"/>
            <w:tcBorders>
              <w:top w:val="single" w:sz="8" w:space="0" w:color="auto"/>
              <w:left w:val="nil"/>
              <w:bottom w:val="single" w:sz="8" w:space="0" w:color="auto"/>
              <w:right w:val="single" w:sz="8" w:space="0" w:color="000000"/>
            </w:tcBorders>
            <w:shd w:val="clear" w:color="auto" w:fill="auto"/>
            <w:vAlign w:val="center"/>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proofErr w:type="spellStart"/>
            <w:r w:rsidRPr="003B59DB">
              <w:rPr>
                <w:rFonts w:ascii="Arial" w:eastAsia="Times New Roman" w:hAnsi="Arial" w:cs="Arial"/>
                <w:color w:val="000000"/>
                <w:sz w:val="17"/>
                <w:szCs w:val="17"/>
                <w:lang w:eastAsia="cs-CZ"/>
              </w:rPr>
              <w:t>European</w:t>
            </w:r>
            <w:proofErr w:type="spellEnd"/>
            <w:r w:rsidRPr="003B59DB">
              <w:rPr>
                <w:rFonts w:ascii="Arial" w:eastAsia="Times New Roman" w:hAnsi="Arial" w:cs="Arial"/>
                <w:color w:val="000000"/>
                <w:sz w:val="17"/>
                <w:szCs w:val="17"/>
                <w:lang w:eastAsia="cs-CZ"/>
              </w:rPr>
              <w:t xml:space="preserve"> science </w:t>
            </w:r>
            <w:proofErr w:type="spellStart"/>
            <w:r w:rsidRPr="003B59DB">
              <w:rPr>
                <w:rFonts w:ascii="Arial" w:eastAsia="Times New Roman" w:hAnsi="Arial" w:cs="Arial"/>
                <w:color w:val="000000"/>
                <w:sz w:val="17"/>
                <w:szCs w:val="17"/>
                <w:lang w:eastAsia="cs-CZ"/>
              </w:rPr>
              <w:t>foundation</w:t>
            </w:r>
            <w:proofErr w:type="spellEnd"/>
          </w:p>
        </w:tc>
        <w:tc>
          <w:tcPr>
            <w:tcW w:w="2098" w:type="dxa"/>
            <w:gridSpan w:val="2"/>
            <w:tcBorders>
              <w:top w:val="nil"/>
              <w:left w:val="nil"/>
              <w:bottom w:val="single" w:sz="8" w:space="0" w:color="auto"/>
              <w:right w:val="single" w:sz="8" w:space="0" w:color="auto"/>
            </w:tcBorders>
            <w:shd w:val="clear" w:color="auto" w:fill="auto"/>
            <w:vAlign w:val="center"/>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ERIH</w:t>
            </w:r>
          </w:p>
        </w:tc>
        <w:tc>
          <w:tcPr>
            <w:tcW w:w="4793" w:type="dxa"/>
            <w:vMerge/>
            <w:tcBorders>
              <w:left w:val="single" w:sz="8" w:space="0" w:color="auto"/>
              <w:bottom w:val="single" w:sz="8" w:space="0" w:color="000000"/>
              <w:right w:val="single" w:sz="8" w:space="0" w:color="auto"/>
            </w:tcBorders>
            <w:vAlign w:val="center"/>
          </w:tcPr>
          <w:p w:rsidR="009A4B85" w:rsidRPr="003B59DB" w:rsidRDefault="009A4B85" w:rsidP="009A4B85">
            <w:pPr>
              <w:spacing w:after="0" w:line="240" w:lineRule="auto"/>
              <w:rPr>
                <w:rFonts w:ascii="Arial" w:eastAsia="Times New Roman" w:hAnsi="Arial" w:cs="Arial"/>
                <w:color w:val="000000"/>
                <w:sz w:val="17"/>
                <w:szCs w:val="17"/>
                <w:lang w:eastAsia="cs-CZ"/>
              </w:rPr>
            </w:pPr>
          </w:p>
        </w:tc>
      </w:tr>
      <w:tr w:rsidR="009A4B85" w:rsidRPr="003B59DB" w:rsidTr="009A4B85">
        <w:trPr>
          <w:trHeight w:val="287"/>
          <w:jc w:val="center"/>
        </w:trPr>
        <w:tc>
          <w:tcPr>
            <w:tcW w:w="384" w:type="dxa"/>
            <w:vMerge/>
            <w:tcBorders>
              <w:top w:val="nil"/>
              <w:left w:val="single" w:sz="8" w:space="0" w:color="auto"/>
              <w:bottom w:val="single" w:sz="8" w:space="0" w:color="000000"/>
              <w:right w:val="single" w:sz="8" w:space="0" w:color="auto"/>
            </w:tcBorders>
            <w:vAlign w:val="center"/>
            <w:hideMark/>
          </w:tcPr>
          <w:p w:rsidR="009A4B85" w:rsidRPr="003B59DB" w:rsidRDefault="009A4B85" w:rsidP="009A4B85">
            <w:pPr>
              <w:spacing w:after="0" w:line="240" w:lineRule="auto"/>
              <w:rPr>
                <w:rFonts w:ascii="Arial" w:eastAsia="Times New Roman" w:hAnsi="Arial" w:cs="Arial"/>
                <w:color w:val="000000"/>
                <w:sz w:val="17"/>
                <w:szCs w:val="17"/>
                <w:lang w:eastAsia="cs-CZ"/>
              </w:rPr>
            </w:pPr>
          </w:p>
        </w:tc>
        <w:tc>
          <w:tcPr>
            <w:tcW w:w="8516" w:type="dxa"/>
            <w:gridSpan w:val="5"/>
            <w:tcBorders>
              <w:top w:val="nil"/>
              <w:left w:val="nil"/>
              <w:bottom w:val="single" w:sz="8" w:space="0" w:color="auto"/>
              <w:right w:val="single" w:sz="8" w:space="0" w:color="000000"/>
            </w:tcBorders>
            <w:shd w:val="clear" w:color="auto" w:fill="auto"/>
            <w:vAlign w:val="center"/>
            <w:hideMark/>
          </w:tcPr>
          <w:p w:rsidR="009A4B85" w:rsidRPr="003B59DB" w:rsidRDefault="009A4B85" w:rsidP="009A4B85">
            <w:pPr>
              <w:spacing w:after="0" w:line="240" w:lineRule="auto"/>
              <w:jc w:val="center"/>
              <w:rPr>
                <w:rFonts w:ascii="Arial" w:eastAsia="Times New Roman" w:hAnsi="Arial" w:cs="Arial"/>
                <w:color w:val="000000"/>
                <w:sz w:val="17"/>
                <w:szCs w:val="17"/>
                <w:lang w:eastAsia="cs-CZ"/>
              </w:rPr>
            </w:pPr>
            <w:r w:rsidRPr="003B59DB">
              <w:rPr>
                <w:rFonts w:ascii="Arial" w:eastAsia="Times New Roman" w:hAnsi="Arial" w:cs="Arial"/>
                <w:color w:val="000000"/>
                <w:sz w:val="17"/>
                <w:szCs w:val="17"/>
                <w:lang w:eastAsia="cs-CZ"/>
              </w:rPr>
              <w:t>další statistiky a studie**</w:t>
            </w:r>
          </w:p>
        </w:tc>
      </w:tr>
    </w:tbl>
    <w:p w:rsidR="009A4B85" w:rsidRPr="003B49C7" w:rsidRDefault="009A4B85" w:rsidP="009A4B85">
      <w:pPr>
        <w:pStyle w:val="Zdroj"/>
        <w:rPr>
          <w:rFonts w:cs="Arial"/>
        </w:rPr>
      </w:pPr>
      <w:r w:rsidRPr="003B49C7">
        <w:rPr>
          <w:rFonts w:cs="Arial"/>
        </w:rPr>
        <w:t>Zdroj dat: Vlastní zpracování</w:t>
      </w:r>
    </w:p>
    <w:p w:rsidR="009A4B85" w:rsidRPr="003B49C7" w:rsidRDefault="009A4B85" w:rsidP="009A4B85">
      <w:pPr>
        <w:pStyle w:val="komentzaobrzkem"/>
        <w:tabs>
          <w:tab w:val="left" w:pos="426"/>
        </w:tabs>
        <w:ind w:left="420" w:hanging="420"/>
        <w:rPr>
          <w:rFonts w:cs="Arial"/>
        </w:rPr>
      </w:pPr>
      <w:r w:rsidRPr="003B49C7">
        <w:rPr>
          <w:rFonts w:cs="Arial"/>
        </w:rPr>
        <w:lastRenderedPageBreak/>
        <w:t>*</w:t>
      </w:r>
      <w:r w:rsidRPr="003B49C7">
        <w:rPr>
          <w:rFonts w:cs="Arial"/>
        </w:rPr>
        <w:tab/>
        <w:t>např. Rejstřík veřejných výzkumných institucí; Databáze akreditovaných studijních programů; Panorama zpracovatelského průmyslu vydávané MPO; programové dokumenty, monitorovací zprávy a další materiály k operačním programům</w:t>
      </w:r>
    </w:p>
    <w:p w:rsidR="009A4B85" w:rsidRPr="003B49C7" w:rsidRDefault="009A4B85" w:rsidP="009A4B85">
      <w:pPr>
        <w:pStyle w:val="komentzaobrzkem"/>
        <w:tabs>
          <w:tab w:val="left" w:pos="426"/>
        </w:tabs>
        <w:rPr>
          <w:rFonts w:cs="Arial"/>
        </w:rPr>
      </w:pPr>
      <w:r w:rsidRPr="003B49C7">
        <w:rPr>
          <w:rFonts w:cs="Arial"/>
        </w:rPr>
        <w:t>**</w:t>
      </w:r>
      <w:r w:rsidRPr="003B49C7">
        <w:rPr>
          <w:rFonts w:cs="Arial"/>
        </w:rPr>
        <w:tab/>
        <w:t xml:space="preserve">např. </w:t>
      </w:r>
      <w:proofErr w:type="spellStart"/>
      <w:r w:rsidRPr="003B49C7">
        <w:rPr>
          <w:rFonts w:cs="Arial"/>
        </w:rPr>
        <w:t>Innovation</w:t>
      </w:r>
      <w:proofErr w:type="spellEnd"/>
      <w:r w:rsidRPr="003B49C7">
        <w:rPr>
          <w:rFonts w:cs="Arial"/>
        </w:rPr>
        <w:t xml:space="preserve"> Union </w:t>
      </w:r>
      <w:proofErr w:type="spellStart"/>
      <w:r w:rsidRPr="003B49C7">
        <w:rPr>
          <w:rFonts w:cs="Arial"/>
        </w:rPr>
        <w:t>Scoreboard</w:t>
      </w:r>
      <w:proofErr w:type="spellEnd"/>
    </w:p>
    <w:p w:rsidR="009A4B85" w:rsidRPr="003B49C7" w:rsidRDefault="009A4B85" w:rsidP="009A4B85">
      <w:pPr>
        <w:pStyle w:val="komentzaobrzkem"/>
      </w:pPr>
      <w:r w:rsidRPr="003B49C7">
        <w:t xml:space="preserve">Vzhledem k současným potřebám by bylo dobré statistiky doplnit o evidenci institucionálních prostředků podle oborů VaVaI, které byly podpořeny, a dále evidovat podporu VaVaI na národní úrovni v účetním členění na přímé a nepřímé náklady za jednotlivé finanční nástroje. </w:t>
      </w:r>
      <w:r w:rsidRPr="003B59DB">
        <w:t>Bylo by dobré na národní úrovni sledovat a mít k dispozici statistiky o využití výsledků. v oblasti lidských zdrojů by bylo vhodné propojit data s daty z oblasti trhu práce a rozšířit je o genderové statistiky.</w:t>
      </w:r>
      <w:r>
        <w:t xml:space="preserve"> </w:t>
      </w:r>
      <w:r w:rsidRPr="003B59DB">
        <w:t xml:space="preserve">Byl vytvořen převodník pro sjednocení číselníků vědních oborů používaných v ČR se strukturou definovanou OECD - </w:t>
      </w:r>
      <w:proofErr w:type="spellStart"/>
      <w:r w:rsidRPr="003B59DB">
        <w:t>Fields</w:t>
      </w:r>
      <w:proofErr w:type="spellEnd"/>
      <w:r w:rsidRPr="003B59DB">
        <w:t xml:space="preserve"> </w:t>
      </w:r>
      <w:proofErr w:type="spellStart"/>
      <w:r w:rsidRPr="003B59DB">
        <w:t>of</w:t>
      </w:r>
      <w:proofErr w:type="spellEnd"/>
      <w:r w:rsidRPr="003B59DB">
        <w:t xml:space="preserve"> Science jak na úrovni evidence IS VaVaI (skupiny oborů CEP&amp;CEZ&amp;RIV) tak oborových skupin pro hodnocení dle Metodiky hodnocení výsledků, přílohy č. 7).</w:t>
      </w:r>
    </w:p>
    <w:p w:rsidR="00A61AA5" w:rsidRPr="00BF16AB" w:rsidRDefault="00D7788A" w:rsidP="009A4B85">
      <w:pPr>
        <w:pStyle w:val="komentzaobrzkem"/>
        <w:spacing w:before="240" w:after="240"/>
        <w:rPr>
          <w:rFonts w:cs="Arial"/>
        </w:rPr>
      </w:pPr>
      <w:proofErr w:type="gramStart"/>
      <w:r>
        <w:rPr>
          <w:rFonts w:cs="Arial"/>
          <w:i w:val="0"/>
          <w:color w:val="1F497D" w:themeColor="text2"/>
          <w:sz w:val="24"/>
        </w:rPr>
        <w:t xml:space="preserve">P.3 </w:t>
      </w:r>
      <w:r w:rsidR="00A61AA5">
        <w:rPr>
          <w:rFonts w:cs="Arial"/>
          <w:i w:val="0"/>
          <w:color w:val="1F497D" w:themeColor="text2"/>
          <w:sz w:val="24"/>
        </w:rPr>
        <w:t>Druhy</w:t>
      </w:r>
      <w:proofErr w:type="gramEnd"/>
      <w:r w:rsidR="00A61AA5">
        <w:rPr>
          <w:rFonts w:cs="Arial"/>
          <w:i w:val="0"/>
          <w:color w:val="1F497D" w:themeColor="text2"/>
          <w:sz w:val="24"/>
        </w:rPr>
        <w:t xml:space="preserve"> výsledků </w:t>
      </w:r>
      <w:r w:rsidR="00A61AA5" w:rsidRPr="00BF16AB">
        <w:rPr>
          <w:rFonts w:cs="Arial"/>
          <w:i w:val="0"/>
          <w:color w:val="1F497D" w:themeColor="text2"/>
          <w:sz w:val="24"/>
        </w:rPr>
        <w:t>–</w:t>
      </w:r>
      <w:r w:rsidR="00A61AA5">
        <w:rPr>
          <w:rFonts w:cs="Arial"/>
          <w:i w:val="0"/>
          <w:color w:val="1F497D" w:themeColor="text2"/>
          <w:sz w:val="24"/>
        </w:rPr>
        <w:t xml:space="preserve"> číselník Kapitola </w:t>
      </w:r>
      <w:r w:rsidR="00A61AA5" w:rsidRPr="00A61AA5">
        <w:rPr>
          <w:rFonts w:cs="Arial"/>
          <w:i w:val="0"/>
          <w:color w:val="1F497D" w:themeColor="text2"/>
          <w:sz w:val="24"/>
        </w:rPr>
        <w:t>Výsledky výzkumu a vývoje</w:t>
      </w:r>
    </w:p>
    <w:p w:rsidR="00A61AA5" w:rsidRPr="00637E01" w:rsidRDefault="00A61AA5" w:rsidP="00A61AA5">
      <w:pPr>
        <w:keepNext/>
        <w:spacing w:after="100" w:afterAutospacing="1" w:line="360" w:lineRule="auto"/>
        <w:rPr>
          <w:rFonts w:ascii="Arial" w:hAnsi="Arial" w:cs="Arial"/>
          <w:b/>
          <w:lang w:eastAsia="cs-CZ"/>
        </w:rPr>
      </w:pPr>
      <w:r w:rsidRPr="00637E01">
        <w:rPr>
          <w:rFonts w:ascii="Arial" w:hAnsi="Arial" w:cs="Arial"/>
          <w:b/>
          <w:lang w:eastAsia="cs-CZ"/>
        </w:rPr>
        <w:t>Tabulka</w:t>
      </w:r>
      <w:r>
        <w:rPr>
          <w:rFonts w:ascii="Arial" w:hAnsi="Arial" w:cs="Arial"/>
          <w:b/>
          <w:lang w:eastAsia="cs-CZ"/>
        </w:rPr>
        <w:t xml:space="preserve"> </w:t>
      </w:r>
      <w:proofErr w:type="gramStart"/>
      <w:r>
        <w:rPr>
          <w:rFonts w:ascii="Arial" w:hAnsi="Arial" w:cs="Arial"/>
          <w:b/>
          <w:lang w:eastAsia="cs-CZ"/>
        </w:rPr>
        <w:t>P.3</w:t>
      </w:r>
      <w:r w:rsidRPr="00637E01">
        <w:rPr>
          <w:rFonts w:ascii="Arial" w:hAnsi="Arial" w:cs="Arial"/>
          <w:b/>
          <w:lang w:eastAsia="cs-CZ"/>
        </w:rPr>
        <w:t>:</w:t>
      </w:r>
      <w:proofErr w:type="gramEnd"/>
      <w:r w:rsidRPr="00637E01">
        <w:rPr>
          <w:rFonts w:ascii="Arial" w:hAnsi="Arial" w:cs="Arial"/>
          <w:b/>
          <w:lang w:eastAsia="cs-CZ"/>
        </w:rPr>
        <w:t xml:space="preserve"> </w:t>
      </w:r>
      <w:r>
        <w:rPr>
          <w:rFonts w:ascii="Arial" w:hAnsi="Arial" w:cs="Arial"/>
          <w:b/>
          <w:lang w:eastAsia="cs-CZ"/>
        </w:rPr>
        <w:t>Druhy výsledků</w:t>
      </w:r>
    </w:p>
    <w:tbl>
      <w:tblPr>
        <w:tblW w:w="5000" w:type="pct"/>
        <w:tblInd w:w="55" w:type="dxa"/>
        <w:tblCellMar>
          <w:left w:w="70" w:type="dxa"/>
          <w:right w:w="70" w:type="dxa"/>
        </w:tblCellMar>
        <w:tblLook w:val="04A0" w:firstRow="1" w:lastRow="0" w:firstColumn="1" w:lastColumn="0" w:noHBand="0" w:noVBand="1"/>
      </w:tblPr>
      <w:tblGrid>
        <w:gridCol w:w="440"/>
        <w:gridCol w:w="8772"/>
      </w:tblGrid>
      <w:tr w:rsidR="00A61AA5" w:rsidRPr="00BF16AB" w:rsidTr="00D0377A">
        <w:trPr>
          <w:trHeight w:val="288"/>
        </w:trPr>
        <w:tc>
          <w:tcPr>
            <w:tcW w:w="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A</w:t>
            </w:r>
          </w:p>
        </w:tc>
        <w:tc>
          <w:tcPr>
            <w:tcW w:w="6940" w:type="dxa"/>
            <w:tcBorders>
              <w:top w:val="single" w:sz="4" w:space="0" w:color="auto"/>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Audiovizuální tvorba</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B</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Odborná kniha</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C</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Kapitola v odborné knize a</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D</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Článek ve sborníku</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E</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Uspořádání (zorganizování) výstavy</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F</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Užitný či průmyslový vzor</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G</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Prototyp či funkční vzorek</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H</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Výsledek promítnutý do předpisů a strategických materiálů</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J</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Recenzovaný odborný článek</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M</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Uspořádání (zorganizování) konference</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N</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Certifikovaná metodika, léčebný postup, památkový postup či odborná mapa</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O</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Ostatní výsledky nezařaditelné do žádného z výše uvedených druhů výsledku</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P</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Patent</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R</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Software</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S</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souhrnná kategorie pro další aplikované výsledky používaná do roku 2007</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T</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souhrnná kategorie pro další aplikované výsledky používaná do roku 2006</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V</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výzkumná zpráva a v minulosti definované výsledky typu</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W</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Uspořádání (zorganizování) workshopu</w:t>
            </w:r>
          </w:p>
        </w:tc>
      </w:tr>
      <w:tr w:rsidR="00A61AA5" w:rsidRPr="00BF16AB" w:rsidTr="00D0377A">
        <w:trPr>
          <w:trHeight w:val="288"/>
        </w:trPr>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Z</w:t>
            </w:r>
          </w:p>
        </w:tc>
        <w:tc>
          <w:tcPr>
            <w:tcW w:w="6940" w:type="dxa"/>
            <w:tcBorders>
              <w:top w:val="nil"/>
              <w:left w:val="nil"/>
              <w:bottom w:val="single" w:sz="4" w:space="0" w:color="auto"/>
              <w:right w:val="single" w:sz="4" w:space="0" w:color="auto"/>
            </w:tcBorders>
            <w:shd w:val="clear" w:color="auto" w:fill="auto"/>
            <w:noWrap/>
            <w:vAlign w:val="bottom"/>
            <w:hideMark/>
          </w:tcPr>
          <w:p w:rsidR="00A61AA5" w:rsidRPr="00BF16AB" w:rsidRDefault="00A61AA5" w:rsidP="00D0377A">
            <w:pPr>
              <w:spacing w:after="0" w:line="240" w:lineRule="auto"/>
              <w:rPr>
                <w:rFonts w:ascii="Arial" w:eastAsia="Times New Roman" w:hAnsi="Arial" w:cs="Arial"/>
                <w:color w:val="000000"/>
                <w:lang w:eastAsia="cs-CZ"/>
              </w:rPr>
            </w:pPr>
            <w:r w:rsidRPr="00BF16AB">
              <w:rPr>
                <w:rFonts w:ascii="Arial" w:eastAsia="Times New Roman" w:hAnsi="Arial" w:cs="Arial"/>
                <w:color w:val="000000"/>
                <w:lang w:eastAsia="cs-CZ"/>
              </w:rPr>
              <w:t>poloprovoz, ověřená technologie, odrůda či plemeno</w:t>
            </w:r>
          </w:p>
        </w:tc>
      </w:tr>
    </w:tbl>
    <w:p w:rsidR="00A61AA5" w:rsidRPr="000C39F7" w:rsidRDefault="00A61AA5" w:rsidP="00A61AA5">
      <w:pPr>
        <w:spacing w:after="0" w:line="360" w:lineRule="auto"/>
        <w:jc w:val="both"/>
        <w:rPr>
          <w:rFonts w:ascii="Arial" w:eastAsia="Times New Roman" w:hAnsi="Arial" w:cs="Arial"/>
          <w:lang w:eastAsia="cs-CZ"/>
        </w:rPr>
      </w:pPr>
    </w:p>
    <w:sectPr w:rsidR="00A61AA5" w:rsidRPr="000C39F7" w:rsidSect="00250396">
      <w:headerReference w:type="default" r:id="rId84"/>
      <w:footnotePr>
        <w:numRestart w:val="eachSect"/>
      </w:footnotePr>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50396" w:rsidRDefault="00250396" w:rsidP="000822A0">
      <w:pPr>
        <w:spacing w:after="0" w:line="240" w:lineRule="auto"/>
      </w:pPr>
      <w:r>
        <w:separator/>
      </w:r>
    </w:p>
  </w:endnote>
  <w:endnote w:type="continuationSeparator" w:id="0">
    <w:p w:rsidR="00250396" w:rsidRDefault="00250396" w:rsidP="000822A0">
      <w:pPr>
        <w:spacing w:after="0" w:line="240" w:lineRule="auto"/>
      </w:pPr>
      <w:r>
        <w:continuationSeparator/>
      </w:r>
    </w:p>
  </w:endnote>
  <w:endnote w:type="continuationNotice" w:id="1">
    <w:p w:rsidR="00250396" w:rsidRDefault="0025039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20002A87" w:usb1="00000000" w:usb2="00000000"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95626650"/>
      <w:docPartObj>
        <w:docPartGallery w:val="Page Numbers (Bottom of Page)"/>
        <w:docPartUnique/>
      </w:docPartObj>
    </w:sdtPr>
    <w:sdtContent>
      <w:sdt>
        <w:sdtPr>
          <w:id w:val="-1669238322"/>
          <w:docPartObj>
            <w:docPartGallery w:val="Page Numbers (Top of Page)"/>
            <w:docPartUnique/>
          </w:docPartObj>
        </w:sdtPr>
        <w:sdtContent>
          <w:p w:rsidR="00250396" w:rsidRDefault="00250396">
            <w:pPr>
              <w:pStyle w:val="Zpat"/>
              <w:jc w:val="center"/>
            </w:pPr>
            <w:r>
              <w:t xml:space="preserve">Stránka </w:t>
            </w:r>
            <w:r>
              <w:rPr>
                <w:b/>
                <w:bCs/>
                <w:sz w:val="24"/>
                <w:szCs w:val="24"/>
              </w:rPr>
              <w:fldChar w:fldCharType="begin"/>
            </w:r>
            <w:r>
              <w:rPr>
                <w:b/>
                <w:bCs/>
              </w:rPr>
              <w:instrText>PAGE</w:instrText>
            </w:r>
            <w:r>
              <w:rPr>
                <w:b/>
                <w:bCs/>
                <w:sz w:val="24"/>
                <w:szCs w:val="24"/>
              </w:rPr>
              <w:fldChar w:fldCharType="separate"/>
            </w:r>
            <w:r>
              <w:rPr>
                <w:b/>
                <w:bCs/>
                <w:noProof/>
              </w:rPr>
              <w:t>3</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noProof/>
              </w:rPr>
              <w:t>25</w:t>
            </w:r>
            <w:r>
              <w:rPr>
                <w:b/>
                <w:bCs/>
                <w:sz w:val="24"/>
                <w:szCs w:val="24"/>
              </w:rPr>
              <w:fldChar w:fldCharType="end"/>
            </w:r>
          </w:p>
        </w:sdtContent>
      </w:sdt>
    </w:sdtContent>
  </w:sdt>
  <w:p w:rsidR="00250396" w:rsidRDefault="00250396">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0396" w:rsidRDefault="00250396">
    <w:pPr>
      <w:pStyle w:val="Zpat"/>
      <w:jc w:val="right"/>
    </w:pPr>
  </w:p>
  <w:p w:rsidR="00250396" w:rsidRDefault="00250396">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0396" w:rsidRDefault="00250396">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29459487"/>
      <w:docPartObj>
        <w:docPartGallery w:val="Page Numbers (Bottom of Page)"/>
        <w:docPartUnique/>
      </w:docPartObj>
    </w:sdtPr>
    <w:sdtEndPr>
      <w:rPr>
        <w:rFonts w:ascii="Arial" w:hAnsi="Arial" w:cs="Arial"/>
      </w:rPr>
    </w:sdtEndPr>
    <w:sdtContent>
      <w:p w:rsidR="00250396" w:rsidRPr="00250396" w:rsidRDefault="00250396">
        <w:pPr>
          <w:pStyle w:val="Zpat"/>
          <w:jc w:val="center"/>
          <w:rPr>
            <w:rFonts w:ascii="Arial" w:hAnsi="Arial" w:cs="Arial"/>
          </w:rPr>
        </w:pPr>
        <w:r w:rsidRPr="00250396">
          <w:rPr>
            <w:rFonts w:ascii="Arial" w:hAnsi="Arial" w:cs="Arial"/>
          </w:rPr>
          <w:fldChar w:fldCharType="begin"/>
        </w:r>
        <w:r w:rsidRPr="00250396">
          <w:rPr>
            <w:rFonts w:ascii="Arial" w:hAnsi="Arial" w:cs="Arial"/>
          </w:rPr>
          <w:instrText>PAGE   \* MERGEFORMAT</w:instrText>
        </w:r>
        <w:r w:rsidRPr="00250396">
          <w:rPr>
            <w:rFonts w:ascii="Arial" w:hAnsi="Arial" w:cs="Arial"/>
          </w:rPr>
          <w:fldChar w:fldCharType="separate"/>
        </w:r>
        <w:r w:rsidR="001963D5">
          <w:rPr>
            <w:rFonts w:ascii="Arial" w:hAnsi="Arial" w:cs="Arial"/>
            <w:noProof/>
          </w:rPr>
          <w:t>90</w:t>
        </w:r>
        <w:r w:rsidRPr="00250396">
          <w:rPr>
            <w:rFonts w:ascii="Arial" w:hAnsi="Arial" w:cs="Arial"/>
          </w:rPr>
          <w:fldChar w:fldCharType="end"/>
        </w:r>
      </w:p>
    </w:sdtContent>
  </w:sdt>
  <w:p w:rsidR="00250396" w:rsidRDefault="00250396">
    <w:pPr>
      <w:pStyle w:val="Zpa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0396" w:rsidRDefault="00250396">
    <w:pPr>
      <w:pStyle w:val="Zpa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0396" w:rsidRDefault="00250396">
    <w:pPr>
      <w:pStyle w:val="Zpat"/>
      <w:jc w:val="right"/>
    </w:pPr>
    <w:r>
      <w:t>148</w:t>
    </w:r>
  </w:p>
  <w:p w:rsidR="00250396" w:rsidRDefault="00250396">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50396" w:rsidRDefault="00250396" w:rsidP="000822A0">
      <w:pPr>
        <w:spacing w:after="0" w:line="240" w:lineRule="auto"/>
      </w:pPr>
      <w:r>
        <w:separator/>
      </w:r>
    </w:p>
  </w:footnote>
  <w:footnote w:type="continuationSeparator" w:id="0">
    <w:p w:rsidR="00250396" w:rsidRDefault="00250396" w:rsidP="000822A0">
      <w:pPr>
        <w:spacing w:after="0" w:line="240" w:lineRule="auto"/>
      </w:pPr>
      <w:r>
        <w:continuationSeparator/>
      </w:r>
    </w:p>
  </w:footnote>
  <w:footnote w:type="continuationNotice" w:id="1">
    <w:p w:rsidR="00250396" w:rsidRDefault="00250396">
      <w:pPr>
        <w:spacing w:after="0" w:line="240" w:lineRule="auto"/>
      </w:pPr>
    </w:p>
  </w:footnote>
  <w:footnote w:id="2">
    <w:p w:rsidR="00250396" w:rsidRDefault="00250396" w:rsidP="00D86295">
      <w:pPr>
        <w:pStyle w:val="Textpoznpodarou"/>
      </w:pPr>
      <w:r>
        <w:rPr>
          <w:rStyle w:val="Znakapoznpodarou"/>
        </w:rPr>
        <w:footnoteRef/>
      </w:r>
      <w:r>
        <w:t xml:space="preserve"> Státní vysoké školy jsou v IS VaVaI evidovány ve skupině SP, proto směřují prostředky SVV také skupině příjemců SP.</w:t>
      </w:r>
    </w:p>
  </w:footnote>
  <w:footnote w:id="3">
    <w:p w:rsidR="00250396" w:rsidRDefault="00250396" w:rsidP="00D86295">
      <w:pPr>
        <w:pStyle w:val="Textpoznpodarou"/>
      </w:pPr>
      <w:r>
        <w:rPr>
          <w:rStyle w:val="Znakapoznpodarou"/>
        </w:rPr>
        <w:footnoteRef/>
      </w:r>
      <w:r>
        <w:t xml:space="preserve"> Výzkumnou základnou jsou míněny lidské zdroje v oblasti VaVaI a výzkumné infrastruktury ve smyslu Sdělení Komise 214/C </w:t>
      </w:r>
      <w:proofErr w:type="gramStart"/>
      <w:r>
        <w:t>198/01</w:t>
      </w:r>
      <w:proofErr w:type="gramEnd"/>
      <w:r>
        <w:t>–</w:t>
      </w:r>
      <w:proofErr w:type="gramStart"/>
      <w:r>
        <w:t>Rámec</w:t>
      </w:r>
      <w:proofErr w:type="gramEnd"/>
      <w:r>
        <w:t xml:space="preserve"> pro státní podporu výzkumu, vývoje a inovací, které jsou koncentrovány v organizacích provádějících výzkum, vývoj, inovace a přenos znalostí.</w:t>
      </w:r>
    </w:p>
  </w:footnote>
  <w:footnote w:id="4">
    <w:p w:rsidR="00250396" w:rsidRDefault="00250396" w:rsidP="00D86295">
      <w:pPr>
        <w:pStyle w:val="Textpoznpodarou"/>
      </w:pPr>
      <w:r>
        <w:rPr>
          <w:rStyle w:val="Znakapoznpodarou"/>
        </w:rPr>
        <w:footnoteRef/>
      </w:r>
      <w:r>
        <w:t xml:space="preserve"> Např. </w:t>
      </w:r>
      <w:r>
        <w:rPr>
          <w:i/>
        </w:rPr>
        <w:t xml:space="preserve">Národní priority orientovaného výzkumu, experimentálního vývoje a inovací </w:t>
      </w:r>
      <w:r>
        <w:t>schválené usnesením vlády ČR dne 19. července 2012 č. 552, resortní nebo meziresortní koncepce rozvoje výzkumu, vývoje a inovací.</w:t>
      </w:r>
    </w:p>
  </w:footnote>
  <w:footnote w:id="5">
    <w:p w:rsidR="00250396" w:rsidRDefault="00250396" w:rsidP="00D86295">
      <w:pPr>
        <w:pStyle w:val="Textpoznpodarou"/>
      </w:pPr>
      <w:r>
        <w:rPr>
          <w:rStyle w:val="Znakapoznpodarou"/>
        </w:rPr>
        <w:footnoteRef/>
      </w:r>
      <w:r>
        <w:t xml:space="preserve"> </w:t>
      </w:r>
      <w:r>
        <w:rPr>
          <w:rFonts w:cs="Arial"/>
        </w:rPr>
        <w:t>Na základě údajů z IS VaVaI exportovaných dne 1. 8. 2018.</w:t>
      </w:r>
    </w:p>
  </w:footnote>
  <w:footnote w:id="6">
    <w:p w:rsidR="00250396" w:rsidRDefault="00250396" w:rsidP="00D86295">
      <w:pPr>
        <w:pStyle w:val="Textpoznpodarou"/>
      </w:pPr>
      <w:r>
        <w:rPr>
          <w:rStyle w:val="Znakapoznpodarou"/>
        </w:rPr>
        <w:footnoteRef/>
      </w:r>
      <w:r>
        <w:t xml:space="preserve"> </w:t>
      </w:r>
      <w:r>
        <w:rPr>
          <w:i/>
        </w:rPr>
        <w:t xml:space="preserve">Řízení </w:t>
      </w:r>
      <w:proofErr w:type="spellStart"/>
      <w:r>
        <w:rPr>
          <w:i/>
        </w:rPr>
        <w:t>VaV</w:t>
      </w:r>
      <w:proofErr w:type="spellEnd"/>
      <w:r>
        <w:rPr>
          <w:i/>
        </w:rPr>
        <w:t xml:space="preserve"> v České republice</w:t>
      </w:r>
      <w:r>
        <w:t xml:space="preserve">, Příloha 2 Druhé průběžné zprávy. Brighton: </w:t>
      </w:r>
      <w:proofErr w:type="spellStart"/>
      <w:r>
        <w:t>Technopolis</w:t>
      </w:r>
      <w:proofErr w:type="spellEnd"/>
      <w:r>
        <w:t xml:space="preserve"> Group, 2011 </w:t>
      </w:r>
      <w:r>
        <w:rPr>
          <w:lang w:val="en-US"/>
        </w:rPr>
        <w:t>[cit. 2018-09-30]</w:t>
      </w:r>
      <w:r>
        <w:t>. Mezinárodní audit výzkumu, vývoje a inovací v České republice. [online]. Dostupné z: http://audit-vav.reformy-msmt.cz/soubory-ke-stazeni/zaverecna-zprava-z-auditu-vaval</w:t>
      </w:r>
    </w:p>
  </w:footnote>
  <w:footnote w:id="7">
    <w:p w:rsidR="00250396" w:rsidRDefault="00250396" w:rsidP="00B44C53">
      <w:pPr>
        <w:pStyle w:val="Textpoznpodarou"/>
      </w:pPr>
      <w:r>
        <w:rPr>
          <w:rStyle w:val="Znakapoznpodarou"/>
        </w:rPr>
        <w:footnoteRef/>
      </w:r>
      <w:r>
        <w:t xml:space="preserve"> Rozdělení prostředků na institucionální a účelové je v obrázku 2.2 provedeno podle zákona o podpoře výzkumu, experimentálního vývoje a inovací.</w:t>
      </w:r>
    </w:p>
  </w:footnote>
  <w:footnote w:id="8">
    <w:p w:rsidR="00250396" w:rsidRDefault="00250396" w:rsidP="00B44C53">
      <w:pPr>
        <w:pStyle w:val="Textpoznpodarou"/>
      </w:pPr>
      <w:r>
        <w:rPr>
          <w:rStyle w:val="Znakapoznpodarou"/>
        </w:rPr>
        <w:footnoteRef/>
      </w:r>
      <w:r>
        <w:t xml:space="preserve"> Kromě institucionální podpory obsahuje rozpočtová kapitola Akademie věd ČR rovněž náklady na činnost – v roce 2017 to bylo 1 578 mil. Kč, tj. o 150 mil. Kč více než v roce 2016.</w:t>
      </w:r>
    </w:p>
  </w:footnote>
  <w:footnote w:id="9">
    <w:p w:rsidR="00250396" w:rsidRDefault="00250396" w:rsidP="008E7867">
      <w:pPr>
        <w:pStyle w:val="Textpoznpodarou"/>
      </w:pPr>
      <w:r>
        <w:rPr>
          <w:rStyle w:val="Znakapoznpodarou"/>
        </w:rPr>
        <w:footnoteRef/>
      </w:r>
      <w:r>
        <w:t xml:space="preserve"> </w:t>
      </w:r>
      <w:proofErr w:type="spellStart"/>
      <w:r w:rsidRPr="002C302D">
        <w:rPr>
          <w:rFonts w:eastAsiaTheme="minorHAnsi" w:cstheme="minorBidi"/>
          <w:i/>
          <w:lang w:val="en-US" w:eastAsia="en-US"/>
        </w:rPr>
        <w:t>Dohoda</w:t>
      </w:r>
      <w:proofErr w:type="spellEnd"/>
      <w:r w:rsidRPr="002C302D">
        <w:rPr>
          <w:rFonts w:eastAsiaTheme="minorHAnsi" w:cstheme="minorBidi"/>
          <w:i/>
          <w:lang w:val="en-US" w:eastAsia="en-US"/>
        </w:rPr>
        <w:t xml:space="preserve"> o </w:t>
      </w:r>
      <w:proofErr w:type="spellStart"/>
      <w:r w:rsidRPr="002C302D">
        <w:rPr>
          <w:rFonts w:eastAsiaTheme="minorHAnsi" w:cstheme="minorBidi"/>
          <w:i/>
          <w:lang w:val="en-US" w:eastAsia="en-US"/>
        </w:rPr>
        <w:t>partnerství</w:t>
      </w:r>
      <w:proofErr w:type="spellEnd"/>
      <w:r w:rsidRPr="002C302D">
        <w:rPr>
          <w:rFonts w:eastAsiaTheme="minorHAnsi" w:cstheme="minorBidi"/>
          <w:i/>
          <w:lang w:val="en-US" w:eastAsia="en-US"/>
        </w:rPr>
        <w:t xml:space="preserve"> v </w:t>
      </w:r>
      <w:proofErr w:type="spellStart"/>
      <w:r w:rsidRPr="002C302D">
        <w:rPr>
          <w:rFonts w:eastAsiaTheme="minorHAnsi" w:cstheme="minorBidi"/>
          <w:i/>
          <w:lang w:val="en-US" w:eastAsia="en-US"/>
        </w:rPr>
        <w:t>programovém</w:t>
      </w:r>
      <w:proofErr w:type="spellEnd"/>
      <w:r w:rsidRPr="002C302D">
        <w:rPr>
          <w:rFonts w:eastAsiaTheme="minorHAnsi" w:cstheme="minorBidi"/>
          <w:i/>
          <w:lang w:val="en-US" w:eastAsia="en-US"/>
        </w:rPr>
        <w:t xml:space="preserve"> </w:t>
      </w:r>
      <w:proofErr w:type="spellStart"/>
      <w:r w:rsidRPr="002C302D">
        <w:rPr>
          <w:rFonts w:eastAsiaTheme="minorHAnsi" w:cstheme="minorBidi"/>
          <w:i/>
          <w:lang w:val="en-US" w:eastAsia="en-US"/>
        </w:rPr>
        <w:t>období</w:t>
      </w:r>
      <w:proofErr w:type="spellEnd"/>
      <w:r w:rsidRPr="002C302D">
        <w:rPr>
          <w:rFonts w:eastAsiaTheme="minorHAnsi" w:cstheme="minorBidi"/>
          <w:i/>
          <w:lang w:val="en-US" w:eastAsia="en-US"/>
        </w:rPr>
        <w:t xml:space="preserve"> 2014–2020</w:t>
      </w:r>
    </w:p>
  </w:footnote>
  <w:footnote w:id="10">
    <w:p w:rsidR="00250396" w:rsidRDefault="00250396" w:rsidP="008E7867">
      <w:pPr>
        <w:pStyle w:val="Textpoznpodarou"/>
      </w:pPr>
      <w:r>
        <w:rPr>
          <w:rStyle w:val="Znakapoznpodarou"/>
        </w:rPr>
        <w:footnoteRef/>
      </w:r>
      <w:r>
        <w:t xml:space="preserve"> </w:t>
      </w:r>
      <w:r w:rsidRPr="008E7867">
        <w:rPr>
          <w:i/>
        </w:rPr>
        <w:t>Dohoda o partnerství v programovém období 2014–2020</w:t>
      </w:r>
      <w:r w:rsidRPr="008E7867">
        <w:t>.</w:t>
      </w:r>
      <w:r w:rsidRPr="007A0041">
        <w:t xml:space="preserve"> (4. revize, březen 2018)</w:t>
      </w:r>
      <w:r>
        <w:t>; str. 30-35</w:t>
      </w:r>
    </w:p>
  </w:footnote>
  <w:footnote w:id="11">
    <w:p w:rsidR="00250396" w:rsidRDefault="00250396" w:rsidP="008E7867">
      <w:pPr>
        <w:pStyle w:val="Textpoznpodarou"/>
      </w:pPr>
      <w:r>
        <w:rPr>
          <w:rStyle w:val="Znakapoznpodarou"/>
        </w:rPr>
        <w:footnoteRef/>
      </w:r>
      <w:r>
        <w:t xml:space="preserve"> </w:t>
      </w:r>
      <w:r w:rsidRPr="002C302D">
        <w:rPr>
          <w:i/>
        </w:rPr>
        <w:t>Dohoda o partnerství v programovém období 2014–2020</w:t>
      </w:r>
      <w:r w:rsidRPr="007A0041">
        <w:t>. (4. revize, březen 2018)</w:t>
      </w:r>
      <w:r>
        <w:t>, str. 111-112</w:t>
      </w:r>
    </w:p>
  </w:footnote>
  <w:footnote w:id="12">
    <w:p w:rsidR="00250396" w:rsidRDefault="00250396" w:rsidP="008E7867">
      <w:pPr>
        <w:pStyle w:val="Textpoznpodarou"/>
      </w:pPr>
      <w:r>
        <w:rPr>
          <w:rStyle w:val="Znakapoznpodarou"/>
        </w:rPr>
        <w:footnoteRef/>
      </w:r>
      <w:r>
        <w:t xml:space="preserve"> </w:t>
      </w:r>
      <w:r w:rsidRPr="002C302D">
        <w:rPr>
          <w:i/>
        </w:rPr>
        <w:t>Dohoda o partnerství v programovém období 2014–2020</w:t>
      </w:r>
      <w:r w:rsidRPr="007A0041">
        <w:t>. (4. revize, březen 2018)</w:t>
      </w:r>
      <w:r>
        <w:t>; str. 121-122</w:t>
      </w:r>
    </w:p>
  </w:footnote>
  <w:footnote w:id="13">
    <w:p w:rsidR="00250396" w:rsidRDefault="00250396" w:rsidP="008E7867">
      <w:pPr>
        <w:pStyle w:val="Textpoznpodarou"/>
      </w:pPr>
      <w:r w:rsidRPr="00A75FD3">
        <w:rPr>
          <w:rStyle w:val="Znakapoznpodarou"/>
        </w:rPr>
        <w:footnoteRef/>
      </w:r>
      <w:r>
        <w:t xml:space="preserve"> Tematický cíl 1 je v ČR podporován rovněž z fondu Evropského zemědělského fondu pro rozvoj venkova (cca 76 mil. EUR).  V Analýze jsou dále zpracována pouze data vztahující se k alokacím v EFRR.</w:t>
      </w:r>
    </w:p>
  </w:footnote>
  <w:footnote w:id="14">
    <w:p w:rsidR="00250396" w:rsidRDefault="00250396" w:rsidP="008E7867">
      <w:pPr>
        <w:pStyle w:val="Textpoznpodarou"/>
      </w:pPr>
      <w:r w:rsidRPr="00A75FD3">
        <w:rPr>
          <w:rStyle w:val="Znakapoznpodarou"/>
        </w:rPr>
        <w:footnoteRef/>
      </w:r>
      <w:r>
        <w:t xml:space="preserve"> </w:t>
      </w:r>
      <w:r w:rsidRPr="002C302D">
        <w:rPr>
          <w:i/>
        </w:rPr>
        <w:t>Dohoda o partnerství v programovém období 2014–2020</w:t>
      </w:r>
      <w:r w:rsidRPr="007A0041">
        <w:t>. (4. revize, březen 2018)</w:t>
      </w:r>
      <w:r w:rsidRPr="00A75FD3">
        <w:t xml:space="preserve"> </w:t>
      </w:r>
      <w:r>
        <w:t>str. 133-135</w:t>
      </w:r>
    </w:p>
  </w:footnote>
  <w:footnote w:id="15">
    <w:p w:rsidR="00250396" w:rsidRPr="008E7867" w:rsidRDefault="00250396" w:rsidP="008E7867">
      <w:pPr>
        <w:pStyle w:val="Textpoznpodarou"/>
        <w:rPr>
          <w:rFonts w:eastAsiaTheme="minorHAnsi" w:cstheme="minorBidi"/>
          <w:lang w:eastAsia="en-US"/>
        </w:rPr>
      </w:pPr>
      <w:r w:rsidRPr="008E7867">
        <w:rPr>
          <w:rStyle w:val="Znakapoznpodarou"/>
        </w:rPr>
        <w:footnoteRef/>
      </w:r>
      <w:r w:rsidRPr="008E7867">
        <w:t xml:space="preserve"> </w:t>
      </w:r>
      <w:r w:rsidRPr="008E7867">
        <w:rPr>
          <w:rFonts w:eastAsiaTheme="minorHAnsi" w:cstheme="minorBidi"/>
          <w:lang w:eastAsia="en-US"/>
        </w:rPr>
        <w:t>Zpráva o pokroku při provádění Dohody o partnerství k 31. 12. 2016, MMR NOK.</w:t>
      </w:r>
    </w:p>
  </w:footnote>
  <w:footnote w:id="16">
    <w:p w:rsidR="00250396" w:rsidRPr="002002F1" w:rsidRDefault="00250396" w:rsidP="008E7867">
      <w:pPr>
        <w:pStyle w:val="Textpoznpodarou"/>
        <w:rPr>
          <w:rFonts w:eastAsiaTheme="minorHAnsi" w:cstheme="minorBidi"/>
          <w:lang w:eastAsia="en-US"/>
        </w:rPr>
      </w:pPr>
      <w:r w:rsidRPr="008E7867">
        <w:rPr>
          <w:rStyle w:val="Znakapoznpodarou"/>
        </w:rPr>
        <w:footnoteRef/>
      </w:r>
      <w:r w:rsidRPr="008E7867">
        <w:t xml:space="preserve"> </w:t>
      </w:r>
      <w:r w:rsidRPr="008E7867">
        <w:rPr>
          <w:rFonts w:eastAsiaTheme="minorHAnsi" w:cstheme="minorBidi"/>
          <w:lang w:eastAsia="en-US"/>
        </w:rPr>
        <w:t>Čtvrtletní zpráva o implementaci ESI fondů v České republice v programovém období 2014</w:t>
      </w:r>
      <w:r w:rsidRPr="008E7867">
        <w:rPr>
          <w:rFonts w:cs="Arial"/>
        </w:rPr>
        <w:t>–</w:t>
      </w:r>
      <w:r w:rsidRPr="008E7867">
        <w:rPr>
          <w:rFonts w:eastAsiaTheme="minorHAnsi" w:cstheme="minorBidi"/>
          <w:lang w:eastAsia="en-US"/>
        </w:rPr>
        <w:t>2020, IV. čtvrtletí 2017.</w:t>
      </w:r>
    </w:p>
  </w:footnote>
  <w:footnote w:id="17">
    <w:p w:rsidR="00250396" w:rsidRPr="00E60893" w:rsidRDefault="00250396" w:rsidP="008E7867">
      <w:pPr>
        <w:pStyle w:val="Textpoznpodarou"/>
        <w:rPr>
          <w:rFonts w:cs="Arial"/>
          <w:szCs w:val="18"/>
        </w:rPr>
      </w:pPr>
      <w:r w:rsidRPr="00E60893">
        <w:rPr>
          <w:rStyle w:val="Znakapoznpodarou"/>
          <w:rFonts w:eastAsiaTheme="majorEastAsia" w:cs="Arial"/>
          <w:szCs w:val="18"/>
        </w:rPr>
        <w:footnoteRef/>
      </w:r>
      <w:r w:rsidRPr="00E60893">
        <w:rPr>
          <w:rFonts w:cs="Arial"/>
          <w:szCs w:val="18"/>
        </w:rPr>
        <w:t xml:space="preserve"> Program H2020 doplňuje také program EURATOM, jehož celkový rozpočet činí 1,603 mld. </w:t>
      </w:r>
      <w:r>
        <w:rPr>
          <w:rFonts w:cs="Arial"/>
          <w:szCs w:val="18"/>
        </w:rPr>
        <w:t xml:space="preserve">EUR </w:t>
      </w:r>
      <w:r w:rsidRPr="00E60893">
        <w:rPr>
          <w:rFonts w:cs="Arial"/>
          <w:szCs w:val="18"/>
        </w:rPr>
        <w:t>na období 2014</w:t>
      </w:r>
      <w:r w:rsidRPr="00161F06">
        <w:rPr>
          <w:rFonts w:cs="Arial"/>
          <w:szCs w:val="18"/>
        </w:rPr>
        <w:t>–</w:t>
      </w:r>
      <w:r w:rsidRPr="00E60893">
        <w:rPr>
          <w:rFonts w:cs="Arial"/>
          <w:szCs w:val="18"/>
        </w:rPr>
        <w:t>2018.</w:t>
      </w:r>
    </w:p>
  </w:footnote>
  <w:footnote w:id="18">
    <w:p w:rsidR="00250396" w:rsidRPr="002002F1" w:rsidRDefault="00250396" w:rsidP="008E7867">
      <w:pPr>
        <w:shd w:val="clear" w:color="auto" w:fill="FFFFFF"/>
        <w:spacing w:line="300" w:lineRule="atLeast"/>
        <w:jc w:val="both"/>
        <w:rPr>
          <w:rFonts w:ascii="Arial" w:hAnsi="Arial"/>
          <w:sz w:val="18"/>
          <w:szCs w:val="20"/>
        </w:rPr>
      </w:pPr>
      <w:r>
        <w:rPr>
          <w:rStyle w:val="Znakapoznpodarou"/>
        </w:rPr>
        <w:footnoteRef/>
      </w:r>
      <w:r>
        <w:t xml:space="preserve"> </w:t>
      </w:r>
      <w:proofErr w:type="gramStart"/>
      <w:r w:rsidRPr="008E7867">
        <w:rPr>
          <w:rFonts w:ascii="Arial" w:hAnsi="Arial"/>
          <w:sz w:val="18"/>
          <w:szCs w:val="20"/>
        </w:rPr>
        <w:t>COM(2018</w:t>
      </w:r>
      <w:proofErr w:type="gramEnd"/>
      <w:r w:rsidRPr="008E7867">
        <w:rPr>
          <w:rFonts w:ascii="Arial" w:hAnsi="Arial"/>
          <w:sz w:val="18"/>
          <w:szCs w:val="20"/>
        </w:rPr>
        <w:t xml:space="preserve">) 2 </w:t>
      </w:r>
      <w:proofErr w:type="spellStart"/>
      <w:r w:rsidRPr="008E7867">
        <w:rPr>
          <w:rFonts w:ascii="Arial" w:hAnsi="Arial"/>
          <w:sz w:val="18"/>
          <w:szCs w:val="20"/>
        </w:rPr>
        <w:t>final</w:t>
      </w:r>
      <w:proofErr w:type="spellEnd"/>
      <w:r w:rsidRPr="008E7867">
        <w:rPr>
          <w:rFonts w:ascii="Arial" w:hAnsi="Arial"/>
          <w:sz w:val="18"/>
          <w:szCs w:val="20"/>
        </w:rPr>
        <w:t>. </w:t>
      </w:r>
      <w:r w:rsidRPr="008E7867">
        <w:rPr>
          <w:rFonts w:ascii="Arial" w:hAnsi="Arial"/>
          <w:i/>
          <w:sz w:val="18"/>
          <w:szCs w:val="20"/>
        </w:rPr>
        <w:t>Sdělení komise Evropskému parlamentu, Radě, Evropskému hospodářskému a sociálnímu výboru a Výboru regionů: Průběžné hodnocení programu Horizont 2020: maximalizace dopadů výzkumu a inovací EU</w:t>
      </w:r>
      <w:r w:rsidRPr="008E7867">
        <w:rPr>
          <w:rFonts w:ascii="Arial" w:hAnsi="Arial"/>
          <w:sz w:val="18"/>
          <w:szCs w:val="20"/>
        </w:rPr>
        <w:t>. Brusel: Evropská komise, 2018.</w:t>
      </w:r>
    </w:p>
    <w:p w:rsidR="00250396" w:rsidRDefault="00250396" w:rsidP="008E7867">
      <w:pPr>
        <w:pStyle w:val="Textpoznpodarou"/>
      </w:pPr>
    </w:p>
  </w:footnote>
  <w:footnote w:id="19">
    <w:p w:rsidR="00250396" w:rsidRDefault="00250396" w:rsidP="008E7867">
      <w:pPr>
        <w:pStyle w:val="Textpoznpodarou"/>
      </w:pPr>
      <w:r>
        <w:rPr>
          <w:rStyle w:val="Znakapoznpodarou"/>
          <w:rFonts w:eastAsiaTheme="majorEastAsia"/>
        </w:rPr>
        <w:footnoteRef/>
      </w:r>
      <w:r>
        <w:t xml:space="preserve"> Přístup do Programu H2020 se může pro různé skupiny států lišit, proto při porovnání hodnot s průměrem za všechny státy je potřeba vést v patrnosti, že tento ukazatel může být do jisté míry </w:t>
      </w:r>
      <w:r w:rsidRPr="00DD6CDF">
        <w:t>zkreslen</w:t>
      </w:r>
      <w:r>
        <w:t xml:space="preserve">, nicméně pro základní porovnání může být použit. </w:t>
      </w:r>
    </w:p>
  </w:footnote>
  <w:footnote w:id="20">
    <w:p w:rsidR="00250396" w:rsidRDefault="00250396" w:rsidP="008E7867">
      <w:pPr>
        <w:pStyle w:val="Zdrojapoznmka"/>
      </w:pPr>
      <w:r w:rsidRPr="002C302D">
        <w:rPr>
          <w:i w:val="0"/>
        </w:rPr>
        <w:footnoteRef/>
      </w:r>
      <w:r>
        <w:t xml:space="preserve"> </w:t>
      </w:r>
      <w:r w:rsidRPr="002C302D">
        <w:rPr>
          <w:i w:val="0"/>
        </w:rPr>
        <w:t xml:space="preserve">V grafu nejsou srovnávány oblasti a opatření s nulovou účastí / úspěšností (Vynikající věda – průřezové téma, Přístup k rizikovému financování VaVaI, Vedoucí postavení v průmyslu – průřezové téma, ERA </w:t>
      </w:r>
      <w:proofErr w:type="spellStart"/>
      <w:r w:rsidRPr="002C302D">
        <w:rPr>
          <w:i w:val="0"/>
        </w:rPr>
        <w:t>Chairs</w:t>
      </w:r>
      <w:proofErr w:type="spellEnd"/>
      <w:r w:rsidRPr="002C302D">
        <w:rPr>
          <w:i w:val="0"/>
        </w:rPr>
        <w:t xml:space="preserve">, Nástroj pro podporu politiky, Podpora přístupu k mezinárodním sítím, Šíření excelence a podpora účasti </w:t>
      </w:r>
      <w:r w:rsidRPr="00F37A80">
        <w:rPr>
          <w:i w:val="0"/>
        </w:rPr>
        <w:t>–</w:t>
      </w:r>
      <w:r w:rsidRPr="002C302D">
        <w:rPr>
          <w:i w:val="0"/>
        </w:rPr>
        <w:t xml:space="preserve"> průřezové téma, Rozvoj dostupnosti a využívání výsledků výzkumu financovaného z veřejných prostředků, Předvídání a posuzování možných negativních dopadů na životní prostředí, zdraví a bezpečnost, Zlepšování znalostí ve vědecké komunikaci, Věda se společností a pro společnost </w:t>
      </w:r>
      <w:r w:rsidRPr="00F37A80">
        <w:rPr>
          <w:i w:val="0"/>
        </w:rPr>
        <w:t>–</w:t>
      </w:r>
      <w:r w:rsidRPr="002C302D">
        <w:rPr>
          <w:i w:val="0"/>
        </w:rPr>
        <w:t xml:space="preserve"> průřezové téma)</w:t>
      </w:r>
      <w:r>
        <w:rPr>
          <w:i w:val="0"/>
        </w:rPr>
        <w:t>.</w:t>
      </w:r>
    </w:p>
  </w:footnote>
  <w:footnote w:id="21">
    <w:p w:rsidR="00250396" w:rsidRPr="00E45FEC" w:rsidRDefault="00250396" w:rsidP="0069162C">
      <w:pPr>
        <w:pStyle w:val="Textpoznpodarou"/>
        <w:rPr>
          <w:rFonts w:cs="Arial"/>
        </w:rPr>
      </w:pPr>
      <w:r>
        <w:rPr>
          <w:rStyle w:val="Znakapoznpodarou"/>
        </w:rPr>
        <w:footnoteRef/>
      </w:r>
      <w:r>
        <w:t xml:space="preserve"> </w:t>
      </w:r>
      <w:r w:rsidRPr="00E45FEC">
        <w:rPr>
          <w:rFonts w:cs="Arial"/>
        </w:rPr>
        <w:t xml:space="preserve">Pokud není uvedeno jinak, pak pod pojmem financování jsou v </w:t>
      </w:r>
      <w:r w:rsidRPr="006A54E8">
        <w:rPr>
          <w:rFonts w:cs="Arial"/>
          <w:i/>
        </w:rPr>
        <w:t>Národní RIS3 strategii</w:t>
      </w:r>
      <w:r w:rsidRPr="00E45FEC">
        <w:rPr>
          <w:rFonts w:cs="Arial"/>
        </w:rPr>
        <w:t xml:space="preserve"> chápány celkové schválené (plánované) způsobilé výdaje/náklady projektů.</w:t>
      </w:r>
    </w:p>
  </w:footnote>
  <w:footnote w:id="22">
    <w:p w:rsidR="00250396" w:rsidRPr="001F3708" w:rsidRDefault="00250396" w:rsidP="0069162C">
      <w:pPr>
        <w:pStyle w:val="Textpoznpodarou"/>
      </w:pPr>
      <w:r>
        <w:rPr>
          <w:rStyle w:val="Znakapoznpodarou"/>
        </w:rPr>
        <w:footnoteRef/>
      </w:r>
      <w:r>
        <w:t xml:space="preserve"> </w:t>
      </w:r>
      <w:r w:rsidRPr="001F3708">
        <w:t>Uznané, popř. plánované náklady jednotlivých projektů.</w:t>
      </w:r>
    </w:p>
  </w:footnote>
  <w:footnote w:id="23">
    <w:p w:rsidR="00250396" w:rsidRDefault="00250396" w:rsidP="008B51EA">
      <w:pPr>
        <w:pStyle w:val="Textpoznpodarou"/>
        <w:rPr>
          <w:rFonts w:eastAsiaTheme="minorHAnsi" w:cs="Arial"/>
          <w:szCs w:val="18"/>
          <w:lang w:eastAsia="en-US"/>
        </w:rPr>
      </w:pPr>
      <w:r>
        <w:rPr>
          <w:rStyle w:val="Znakapoznpodarou"/>
          <w:rFonts w:cs="Arial"/>
          <w:szCs w:val="18"/>
        </w:rPr>
        <w:footnoteRef/>
      </w:r>
      <w:r>
        <w:rPr>
          <w:rFonts w:cs="Arial"/>
          <w:szCs w:val="18"/>
        </w:rPr>
        <w:t xml:space="preserve"> Definice jsou uvedeny v dokumentu </w:t>
      </w:r>
      <w:r>
        <w:rPr>
          <w:rFonts w:cs="Arial"/>
          <w:i/>
          <w:szCs w:val="18"/>
        </w:rPr>
        <w:t>Metodika hodnocení výsledků výzkumných organizací a hodnocení výsledků ukončených programů (platná pro léta 2013 až 2016)</w:t>
      </w:r>
      <w:r>
        <w:rPr>
          <w:rFonts w:cs="Arial"/>
          <w:szCs w:val="18"/>
        </w:rPr>
        <w:t>. Na základě usnesení vlády ze dne 8. února 2017 č. 107 o Metodice hodnocení výzkumných organizací a hodnocení programů účelové podpory výzkumu, vývoje a inovací zůstávají definice v platnosti i pro rok 2017.</w:t>
      </w:r>
    </w:p>
  </w:footnote>
  <w:footnote w:id="24">
    <w:p w:rsidR="00250396" w:rsidRDefault="00250396" w:rsidP="008B51EA">
      <w:pPr>
        <w:pStyle w:val="Textpoznpodarou"/>
        <w:rPr>
          <w:rFonts w:cs="Arial"/>
          <w:szCs w:val="18"/>
        </w:rPr>
      </w:pPr>
      <w:r>
        <w:rPr>
          <w:rStyle w:val="Znakapoznpodarou"/>
          <w:rFonts w:cs="Arial"/>
          <w:szCs w:val="18"/>
        </w:rPr>
        <w:footnoteRef/>
      </w:r>
      <w:r>
        <w:rPr>
          <w:rFonts w:cs="Arial"/>
          <w:szCs w:val="18"/>
        </w:rPr>
        <w:t xml:space="preserve"> Pro účely hodnocení výzkumných organizací dle </w:t>
      </w:r>
      <w:r>
        <w:rPr>
          <w:rFonts w:cs="Arial"/>
          <w:i/>
          <w:szCs w:val="18"/>
        </w:rPr>
        <w:t>Metodiky hodnocení výsledků výzkumných organizací a hodnocení výsledků ukončených programů (platné pro léta 2013 až 2016)</w:t>
      </w:r>
      <w:r>
        <w:rPr>
          <w:rFonts w:cs="Arial"/>
          <w:szCs w:val="18"/>
        </w:rPr>
        <w:t xml:space="preserve"> byly výsledky kategorizovány odlišně. Patenty byly vyčleňovány mimo aplikované výsledky jako samostatná kategorie a výsledky zahrnuté v obrázku 7.1 do kategorie ostatní byly řazeny mezi aplikované, byť nebyly bodově oceňovány.</w:t>
      </w:r>
    </w:p>
  </w:footnote>
  <w:footnote w:id="25">
    <w:p w:rsidR="00250396" w:rsidRDefault="00250396" w:rsidP="008B51EA">
      <w:pPr>
        <w:pStyle w:val="Textpoznpodarou"/>
        <w:rPr>
          <w:rFonts w:cs="Arial"/>
          <w:szCs w:val="18"/>
        </w:rPr>
      </w:pPr>
      <w:r>
        <w:rPr>
          <w:rStyle w:val="Znakapoznpodarou"/>
          <w:rFonts w:cs="Arial"/>
          <w:szCs w:val="18"/>
        </w:rPr>
        <w:footnoteRef/>
      </w:r>
      <w:r>
        <w:rPr>
          <w:rFonts w:cs="Arial"/>
          <w:szCs w:val="18"/>
        </w:rPr>
        <w:t xml:space="preserve"> Např. </w:t>
      </w:r>
      <w:r>
        <w:rPr>
          <w:rFonts w:cs="Arial"/>
          <w:i/>
          <w:szCs w:val="18"/>
        </w:rPr>
        <w:t>Národní politika výzkumu, vývoje a inovací České republiky na léta 2016−2020</w:t>
      </w:r>
      <w:r>
        <w:rPr>
          <w:rFonts w:cs="Arial"/>
          <w:szCs w:val="18"/>
        </w:rPr>
        <w:t xml:space="preserve"> schválená usnesením vlády ze dne 17. února 2016 č. 135 a </w:t>
      </w:r>
      <w:r>
        <w:rPr>
          <w:rFonts w:cs="Arial"/>
          <w:i/>
          <w:szCs w:val="18"/>
        </w:rPr>
        <w:t>Národní priority orientovaného výzkumu, experimentálního vývoje a inovací</w:t>
      </w:r>
      <w:r>
        <w:rPr>
          <w:rFonts w:cs="Arial"/>
          <w:szCs w:val="18"/>
        </w:rPr>
        <w:t xml:space="preserve"> schválené vládou dne 19. července 2012 č. 552.</w:t>
      </w:r>
    </w:p>
  </w:footnote>
  <w:footnote w:id="26">
    <w:p w:rsidR="00250396" w:rsidRDefault="00250396" w:rsidP="008B51EA">
      <w:pPr>
        <w:pStyle w:val="Textpoznpodarou"/>
        <w:rPr>
          <w:rFonts w:asciiTheme="minorHAnsi" w:hAnsiTheme="minorHAnsi" w:cstheme="minorBidi"/>
          <w:sz w:val="20"/>
        </w:rPr>
      </w:pPr>
      <w:r>
        <w:rPr>
          <w:rStyle w:val="Znakapoznpodarou"/>
        </w:rPr>
        <w:footnoteRef/>
      </w:r>
      <w:r>
        <w:t xml:space="preserve"> </w:t>
      </w:r>
      <w:r>
        <w:rPr>
          <w:rFonts w:cs="Arial"/>
          <w:szCs w:val="18"/>
        </w:rPr>
        <w:t>Dáno registrací v uznávaných světových databázích, bibliometrickými ukazateli stanovenými z celkového počtu článků v určitém periodiku a jejich citovaností, např. impakt faktory, Article Influence Score.</w:t>
      </w:r>
    </w:p>
  </w:footnote>
  <w:footnote w:id="27">
    <w:p w:rsidR="00250396" w:rsidRDefault="00250396" w:rsidP="008B51EA">
      <w:pPr>
        <w:pStyle w:val="Textpoznpodarou"/>
        <w:rPr>
          <w:rFonts w:cs="Arial"/>
          <w:szCs w:val="18"/>
        </w:rPr>
      </w:pPr>
      <w:r>
        <w:rPr>
          <w:rStyle w:val="Znakapoznpodarou"/>
        </w:rPr>
        <w:footnoteRef/>
      </w:r>
      <w:r>
        <w:t xml:space="preserve"> </w:t>
      </w:r>
      <w:r>
        <w:rPr>
          <w:rFonts w:cs="Arial"/>
          <w:szCs w:val="18"/>
        </w:rPr>
        <w:t>Podle prvního písmene kódu oboru, pod kterým jsou evidovány v IS VaVaI.</w:t>
      </w:r>
    </w:p>
  </w:footnote>
  <w:footnote w:id="28">
    <w:p w:rsidR="00250396" w:rsidRDefault="00250396" w:rsidP="008B51EA">
      <w:pPr>
        <w:pStyle w:val="Textpoznpodarou"/>
        <w:rPr>
          <w:rFonts w:cs="Arial"/>
          <w:szCs w:val="18"/>
        </w:rPr>
      </w:pPr>
      <w:r>
        <w:rPr>
          <w:rStyle w:val="Znakapoznpodarou"/>
          <w:rFonts w:cs="Arial"/>
          <w:szCs w:val="18"/>
        </w:rPr>
        <w:footnoteRef/>
      </w:r>
      <w:r>
        <w:rPr>
          <w:rFonts w:cs="Arial"/>
          <w:szCs w:val="18"/>
        </w:rPr>
        <w:t xml:space="preserve"> Jedná se o skupinu oborů evidovaných v IS VaVaI pod počátečním písmenem J. Dle oborového členění zavedeného </w:t>
      </w:r>
      <w:r>
        <w:rPr>
          <w:rFonts w:cs="Arial"/>
          <w:i/>
          <w:szCs w:val="18"/>
        </w:rPr>
        <w:t>Metodikou hodnocení výsledků výzkumných organizací a hodnocení výsledků ukončených programů (platnou pro léta 2013 až 2016)</w:t>
      </w:r>
      <w:r>
        <w:rPr>
          <w:rFonts w:cs="Arial"/>
          <w:szCs w:val="18"/>
        </w:rPr>
        <w:t xml:space="preserve"> se jedná o Technické vědy zkrácené o obory BC – Teorie a systémy řízení, BD – Teorie informace, DH – báňský průmysl včetně těžby a zpracování uhlí, GB – Zemědělské stroje a stavby, FS – Lékařská zařízení, přístroje a vybavení a KA – Vojenství. </w:t>
      </w:r>
    </w:p>
  </w:footnote>
  <w:footnote w:id="29">
    <w:p w:rsidR="00250396" w:rsidRDefault="00250396">
      <w:pPr>
        <w:pStyle w:val="Textpoznpodarou"/>
      </w:pPr>
      <w:r>
        <w:rPr>
          <w:rStyle w:val="Znakapoznpodarou"/>
        </w:rPr>
        <w:footnoteRef/>
      </w:r>
      <w:r>
        <w:t xml:space="preserve"> </w:t>
      </w:r>
      <w:r w:rsidRPr="00D7788A">
        <w:rPr>
          <w:rFonts w:eastAsia="Calibri" w:cs="Arial"/>
          <w:szCs w:val="18"/>
        </w:rPr>
        <w:t xml:space="preserve">Oborová bibliometrická analýza zpracovaná Odborem Rady pro výzkum, vývoj a inovace a komentovaná Odbornými panely je jedním z podkladů pro hodnocení výzkumných organizací podle </w:t>
      </w:r>
      <w:r w:rsidRPr="00D7788A">
        <w:rPr>
          <w:rFonts w:eastAsia="Calibri" w:cs="Arial"/>
          <w:i/>
          <w:szCs w:val="18"/>
        </w:rPr>
        <w:t>Metodiky M17+</w:t>
      </w:r>
      <w:r w:rsidRPr="00D7788A">
        <w:rPr>
          <w:rFonts w:eastAsia="Calibri" w:cs="Arial"/>
          <w:szCs w:val="18"/>
        </w:rPr>
        <w:t xml:space="preserve"> v rámci Modulu 2. Hlavním podkladem tohoto modulu jsou </w:t>
      </w:r>
      <w:proofErr w:type="spellStart"/>
      <w:r w:rsidRPr="00D7788A">
        <w:rPr>
          <w:rFonts w:eastAsia="Calibri" w:cs="Arial"/>
          <w:szCs w:val="18"/>
        </w:rPr>
        <w:t>bibliometrické</w:t>
      </w:r>
      <w:proofErr w:type="spellEnd"/>
      <w:r w:rsidRPr="00D7788A">
        <w:rPr>
          <w:rFonts w:eastAsia="Calibri" w:cs="Arial"/>
          <w:szCs w:val="18"/>
        </w:rPr>
        <w:t xml:space="preserve"> analýzy zpracované detailně pro jednotlivé výzkumné organizace, které budou rozesílány výzkumným organizacím v návaznosti na zveřejnění těchto oborových zpráv. Celkové hodnocení VO (které bude mít vzhledem k relativně malému množství podkladů orientační charakter) bude provedeno na základě výsledků v Modulech 1 a 2, případně dalších, postupem podle </w:t>
      </w:r>
      <w:r w:rsidRPr="00D7788A">
        <w:rPr>
          <w:rFonts w:eastAsia="Calibri" w:cs="Arial"/>
          <w:i/>
          <w:szCs w:val="18"/>
        </w:rPr>
        <w:t>Metodiky M17+</w:t>
      </w:r>
      <w:r w:rsidRPr="00D7788A">
        <w:rPr>
          <w:rFonts w:eastAsia="Calibri" w:cs="Arial"/>
          <w:szCs w:val="18"/>
        </w:rPr>
        <w:t>.</w:t>
      </w:r>
    </w:p>
  </w:footnote>
  <w:footnote w:id="30">
    <w:p w:rsidR="00250396" w:rsidRDefault="00250396" w:rsidP="008B51EA">
      <w:pPr>
        <w:pStyle w:val="Textpoznpodarou"/>
        <w:rPr>
          <w:rFonts w:cs="Arial"/>
          <w:szCs w:val="18"/>
        </w:rPr>
      </w:pPr>
      <w:r>
        <w:rPr>
          <w:rStyle w:val="Znakapoznpodarou"/>
        </w:rPr>
        <w:footnoteRef/>
      </w:r>
      <w:r>
        <w:t xml:space="preserve"> </w:t>
      </w:r>
      <w:r>
        <w:rPr>
          <w:rFonts w:cs="Arial"/>
          <w:szCs w:val="18"/>
        </w:rPr>
        <w:t xml:space="preserve">Podrobnější informace až na úroveň jednotlivých pracovišť lze nalézt v aplikaci Trendy oborové publikační výkonnosti pracovišť výzkumných organizací v České republice v letech 2008−2014. [online]. Dostupné z: https://ideaapps.cerge-ei.cz/Trendy/ </w:t>
      </w:r>
      <w:r>
        <w:rPr>
          <w:rFonts w:cs="Arial"/>
          <w:szCs w:val="18"/>
          <w:lang w:val="en-US"/>
        </w:rPr>
        <w:t>[</w:t>
      </w:r>
      <w:proofErr w:type="spellStart"/>
      <w:r>
        <w:rPr>
          <w:rFonts w:cs="Arial"/>
          <w:szCs w:val="18"/>
          <w:lang w:val="en-US"/>
        </w:rPr>
        <w:t>citace</w:t>
      </w:r>
      <w:proofErr w:type="spellEnd"/>
      <w:r>
        <w:rPr>
          <w:rFonts w:cs="Arial"/>
          <w:szCs w:val="18"/>
          <w:lang w:val="en-US"/>
        </w:rPr>
        <w:t xml:space="preserve"> </w:t>
      </w:r>
      <w:r>
        <w:rPr>
          <w:rFonts w:cs="Arial"/>
          <w:szCs w:val="18"/>
        </w:rPr>
        <w:t xml:space="preserve">15. 8. 2018] nebo ve studii </w:t>
      </w:r>
      <w:proofErr w:type="spellStart"/>
      <w:r>
        <w:rPr>
          <w:rFonts w:cs="Arial"/>
          <w:szCs w:val="18"/>
        </w:rPr>
        <w:t>Jurajda</w:t>
      </w:r>
      <w:proofErr w:type="spellEnd"/>
      <w:r>
        <w:rPr>
          <w:rFonts w:cs="Arial"/>
          <w:szCs w:val="18"/>
        </w:rPr>
        <w:t xml:space="preserve">, Š., </w:t>
      </w:r>
      <w:proofErr w:type="spellStart"/>
      <w:r>
        <w:rPr>
          <w:rFonts w:cs="Arial"/>
          <w:szCs w:val="18"/>
        </w:rPr>
        <w:t>Kozubek</w:t>
      </w:r>
      <w:proofErr w:type="spellEnd"/>
      <w:r>
        <w:rPr>
          <w:rFonts w:cs="Arial"/>
          <w:szCs w:val="18"/>
        </w:rPr>
        <w:t xml:space="preserve">, S., </w:t>
      </w:r>
      <w:proofErr w:type="spellStart"/>
      <w:r>
        <w:rPr>
          <w:rFonts w:cs="Arial"/>
          <w:szCs w:val="18"/>
        </w:rPr>
        <w:t>Münich</w:t>
      </w:r>
      <w:proofErr w:type="spellEnd"/>
      <w:r>
        <w:rPr>
          <w:rFonts w:cs="Arial"/>
          <w:szCs w:val="18"/>
        </w:rPr>
        <w:t>, D., Škoda, S</w:t>
      </w:r>
      <w:r>
        <w:rPr>
          <w:rFonts w:cs="Arial"/>
          <w:i/>
          <w:szCs w:val="18"/>
        </w:rPr>
        <w:t xml:space="preserve">. Národní srovnání vědeckého publikačního výkonu Akademie věd České republiky: kvantita vs. kvalita a spoluautorství. </w:t>
      </w:r>
      <w:r>
        <w:rPr>
          <w:rFonts w:cs="Arial"/>
          <w:szCs w:val="18"/>
        </w:rPr>
        <w:t>Národohospodářský ústav AV ČR, v. v. i., 2015, 32 s.</w:t>
      </w:r>
    </w:p>
  </w:footnote>
  <w:footnote w:id="31">
    <w:p w:rsidR="00250396" w:rsidRDefault="00250396" w:rsidP="008B51EA">
      <w:pPr>
        <w:pStyle w:val="Textpoznpodarou"/>
        <w:rPr>
          <w:rFonts w:cs="Arial"/>
          <w:szCs w:val="18"/>
        </w:rPr>
      </w:pPr>
      <w:r>
        <w:rPr>
          <w:rStyle w:val="Znakapoznpodarou"/>
        </w:rPr>
        <w:footnoteRef/>
      </w:r>
      <w:r>
        <w:t xml:space="preserve"> </w:t>
      </w:r>
      <w:r>
        <w:rPr>
          <w:rFonts w:cs="Arial"/>
          <w:szCs w:val="18"/>
        </w:rPr>
        <w:t>Tak jako u každé klasifikace je nutné vést v patrnosti, že může docházet k rozdílům mezi skupinami oborů a to z důvodu nehomogennosti jednotlivých skupinových oborů. Klasifikace FORD (OECD) se skládá z 6 skupinových oborů, které na nižší úrovni tvoří tzv. obory (</w:t>
      </w:r>
      <w:proofErr w:type="spellStart"/>
      <w:r>
        <w:rPr>
          <w:rFonts w:cs="Arial"/>
          <w:szCs w:val="18"/>
        </w:rPr>
        <w:t>FORDy</w:t>
      </w:r>
      <w:proofErr w:type="spellEnd"/>
      <w:r>
        <w:rPr>
          <w:rFonts w:cs="Arial"/>
          <w:szCs w:val="18"/>
        </w:rPr>
        <w:t>). Skupinové obory jsou pak tvořeny 5 až 11 obory.</w:t>
      </w:r>
    </w:p>
  </w:footnote>
  <w:footnote w:id="32">
    <w:p w:rsidR="00250396" w:rsidRDefault="00250396" w:rsidP="008B51EA">
      <w:pPr>
        <w:pStyle w:val="Textpoznpodarou"/>
        <w:rPr>
          <w:rFonts w:cs="Arial"/>
          <w:szCs w:val="18"/>
        </w:rPr>
      </w:pPr>
      <w:r>
        <w:rPr>
          <w:rStyle w:val="Znakapoznpodarou"/>
        </w:rPr>
        <w:footnoteRef/>
      </w:r>
      <w:r>
        <w:t xml:space="preserve"> </w:t>
      </w:r>
      <w:r>
        <w:rPr>
          <w:rFonts w:cs="Arial"/>
          <w:szCs w:val="18"/>
        </w:rPr>
        <w:t>Na úrovni jednotlivých oborů lze publikační výkon českých výzkumných pracovišť zjišťovat např. ve veřejně přístupné aplikaci Trendy oborové publikační výkonnosti pracovišť výzkumných organizací v České republice v letech 2008−2014</w:t>
      </w:r>
      <w:r>
        <w:rPr>
          <w:rFonts w:cs="Arial"/>
          <w:i/>
          <w:szCs w:val="18"/>
        </w:rPr>
        <w:t xml:space="preserve">. </w:t>
      </w:r>
      <w:r>
        <w:rPr>
          <w:rFonts w:cs="Arial"/>
          <w:szCs w:val="18"/>
        </w:rPr>
        <w:t xml:space="preserve">[online]. Dostupné z: https://ideaapps.cerge-ei.cz/Trendy/ </w:t>
      </w:r>
      <w:r>
        <w:rPr>
          <w:rFonts w:cs="Arial"/>
          <w:szCs w:val="18"/>
          <w:lang w:val="en-US"/>
        </w:rPr>
        <w:t>[</w:t>
      </w:r>
      <w:proofErr w:type="spellStart"/>
      <w:r>
        <w:rPr>
          <w:rFonts w:cs="Arial"/>
          <w:szCs w:val="18"/>
          <w:lang w:val="en-US"/>
        </w:rPr>
        <w:t>citace</w:t>
      </w:r>
      <w:proofErr w:type="spellEnd"/>
      <w:r>
        <w:rPr>
          <w:rFonts w:cs="Arial"/>
          <w:szCs w:val="18"/>
          <w:lang w:val="en-US"/>
        </w:rPr>
        <w:t xml:space="preserve"> </w:t>
      </w:r>
      <w:r>
        <w:rPr>
          <w:rFonts w:cs="Arial"/>
          <w:szCs w:val="18"/>
        </w:rPr>
        <w:t>15. 8. 2018]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0396" w:rsidRPr="0083134A" w:rsidRDefault="00250396" w:rsidP="001911CA">
    <w:pPr>
      <w:pStyle w:val="Zhlav"/>
      <w:rPr>
        <w:rFonts w:ascii="Cambria" w:eastAsia="Times New Roman" w:hAnsi="Cambria" w:cs="Arial"/>
        <w:i/>
        <w:color w:val="1F497D"/>
        <w:sz w:val="18"/>
        <w:szCs w:val="18"/>
        <w:lang w:eastAsia="cs-CZ"/>
      </w:rPr>
    </w:pPr>
    <w:r w:rsidRPr="0083134A">
      <w:rPr>
        <w:rFonts w:ascii="Cambria" w:eastAsia="Times New Roman" w:hAnsi="Cambria" w:cs="Arial"/>
        <w:i/>
        <w:color w:val="1F497D"/>
        <w:sz w:val="18"/>
        <w:szCs w:val="18"/>
        <w:lang w:eastAsia="cs-CZ"/>
      </w:rPr>
      <w:t>Analýza stavu výzkumu, vývoje a inovací v České republice a jejich srovnání se zahraničím v roce 201</w:t>
    </w:r>
    <w:r>
      <w:rPr>
        <w:rFonts w:ascii="Cambria" w:eastAsia="Times New Roman" w:hAnsi="Cambria" w:cs="Arial"/>
        <w:i/>
        <w:color w:val="1F497D"/>
        <w:sz w:val="18"/>
        <w:szCs w:val="18"/>
        <w:lang w:eastAsia="cs-CZ"/>
      </w:rPr>
      <w:t>7</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9747" w:type="dxa"/>
      <w:tblLook w:val="04A0" w:firstRow="1" w:lastRow="0" w:firstColumn="1" w:lastColumn="0" w:noHBand="0" w:noVBand="1"/>
    </w:tblPr>
    <w:tblGrid>
      <w:gridCol w:w="8188"/>
      <w:gridCol w:w="1559"/>
    </w:tblGrid>
    <w:tr w:rsidR="00250396" w:rsidTr="009A4B85">
      <w:trPr>
        <w:trHeight w:val="686"/>
      </w:trPr>
      <w:tc>
        <w:tcPr>
          <w:tcW w:w="8188" w:type="dxa"/>
          <w:tcBorders>
            <w:top w:val="nil"/>
            <w:left w:val="nil"/>
            <w:bottom w:val="nil"/>
            <w:right w:val="single" w:sz="6" w:space="0" w:color="auto"/>
          </w:tcBorders>
          <w:vAlign w:val="center"/>
        </w:tcPr>
        <w:p w:rsidR="00250396" w:rsidRPr="009758E5" w:rsidRDefault="00250396" w:rsidP="009A4B85">
          <w:pPr>
            <w:pStyle w:val="Zhlav"/>
            <w:rPr>
              <w:rFonts w:ascii="Arial" w:hAnsi="Arial" w:cs="Arial"/>
              <w:b/>
              <w:color w:val="0B38B5"/>
            </w:rPr>
          </w:pPr>
          <w:r w:rsidRPr="00A51417">
            <w:rPr>
              <w:rFonts w:ascii="Arial" w:hAnsi="Arial" w:cs="Arial"/>
              <w:b/>
              <w:noProof/>
              <w:color w:val="0B38B5"/>
              <w:lang w:eastAsia="cs-CZ"/>
            </w:rPr>
            <w:drawing>
              <wp:anchor distT="0" distB="0" distL="114300" distR="114300" simplePos="0" relativeHeight="251659264" behindDoc="0" locked="0" layoutInCell="1" allowOverlap="1" wp14:anchorId="0C705EBF" wp14:editId="4DEF6BC0">
                <wp:simplePos x="0" y="0"/>
                <wp:positionH relativeFrom="column">
                  <wp:posOffset>635</wp:posOffset>
                </wp:positionH>
                <wp:positionV relativeFrom="paragraph">
                  <wp:posOffset>-68638</wp:posOffset>
                </wp:positionV>
                <wp:extent cx="914760" cy="277200"/>
                <wp:effectExtent l="0" t="0" r="0" b="8890"/>
                <wp:wrapNone/>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914760" cy="277200"/>
                        </a:xfrm>
                        <a:prstGeom prst="rect">
                          <a:avLst/>
                        </a:prstGeom>
                      </pic:spPr>
                    </pic:pic>
                  </a:graphicData>
                </a:graphic>
                <wp14:sizeRelV relativeFrom="margin">
                  <wp14:pctHeight>0</wp14:pctHeight>
                </wp14:sizeRelV>
              </wp:anchor>
            </w:drawing>
          </w:r>
          <w:r>
            <w:rPr>
              <w:rFonts w:ascii="Arial" w:hAnsi="Arial" w:cs="Arial"/>
              <w:b/>
            </w:rPr>
            <w:t xml:space="preserve">338/                       </w:t>
          </w:r>
          <w:r w:rsidRPr="00D27C56">
            <w:rPr>
              <w:rFonts w:ascii="Arial" w:hAnsi="Arial" w:cs="Arial"/>
              <w:b/>
            </w:rPr>
            <w:t>Rada pro výzkum, vývoj a inova</w:t>
          </w:r>
          <w:r w:rsidRPr="009758E5">
            <w:rPr>
              <w:rFonts w:ascii="Arial" w:hAnsi="Arial" w:cs="Arial"/>
              <w:b/>
            </w:rPr>
            <w:t>ce</w:t>
          </w:r>
        </w:p>
      </w:tc>
      <w:tc>
        <w:tcPr>
          <w:tcW w:w="1559" w:type="dxa"/>
          <w:tcBorders>
            <w:top w:val="single" w:sz="6" w:space="0" w:color="auto"/>
            <w:left w:val="single" w:sz="6" w:space="0" w:color="auto"/>
            <w:bottom w:val="single" w:sz="6" w:space="0" w:color="auto"/>
            <w:right w:val="single" w:sz="6" w:space="0" w:color="auto"/>
          </w:tcBorders>
          <w:shd w:val="clear" w:color="auto" w:fill="C6D9F1" w:themeFill="text2" w:themeFillTint="33"/>
          <w:vAlign w:val="center"/>
        </w:tcPr>
        <w:p w:rsidR="00250396" w:rsidRPr="003C2A8E" w:rsidRDefault="00250396" w:rsidP="000562FA">
          <w:pPr>
            <w:pStyle w:val="Zhlav"/>
            <w:jc w:val="center"/>
            <w:rPr>
              <w:rFonts w:ascii="Arial" w:hAnsi="Arial" w:cs="Arial"/>
              <w:b/>
              <w:color w:val="0070C0"/>
              <w:sz w:val="28"/>
              <w:szCs w:val="28"/>
            </w:rPr>
          </w:pPr>
          <w:r>
            <w:rPr>
              <w:rFonts w:ascii="Arial" w:hAnsi="Arial" w:cs="Arial"/>
              <w:b/>
              <w:color w:val="0070C0"/>
              <w:sz w:val="28"/>
              <w:szCs w:val="28"/>
            </w:rPr>
            <w:t>340/B1</w:t>
          </w:r>
        </w:p>
      </w:tc>
    </w:tr>
  </w:tbl>
  <w:p w:rsidR="00250396" w:rsidRPr="000562FA" w:rsidRDefault="00250396" w:rsidP="000562FA">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0396" w:rsidRDefault="00250396" w:rsidP="007D64A4">
    <w:pPr>
      <w:pStyle w:val="Zhlav"/>
      <w:jc w:val="right"/>
    </w:pPr>
    <w:r>
      <w:t>B1/340</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0396" w:rsidRPr="002442BB" w:rsidRDefault="00250396">
    <w:pPr>
      <w:pStyle w:val="Zhlav"/>
      <w:rPr>
        <w:rFonts w:ascii="Cambria" w:eastAsia="Times New Roman" w:hAnsi="Cambria" w:cs="Arial"/>
        <w:i/>
        <w:color w:val="1F497D"/>
        <w:sz w:val="18"/>
        <w:szCs w:val="18"/>
        <w:lang w:eastAsia="cs-CZ"/>
      </w:rPr>
    </w:pPr>
    <w:r w:rsidRPr="0083134A">
      <w:rPr>
        <w:rFonts w:ascii="Cambria" w:eastAsia="Times New Roman" w:hAnsi="Cambria" w:cs="Arial"/>
        <w:i/>
        <w:color w:val="1F497D"/>
        <w:sz w:val="18"/>
        <w:szCs w:val="18"/>
        <w:lang w:eastAsia="cs-CZ"/>
      </w:rPr>
      <w:t>Analýza stavu výzkumu, vývoje a inovací v České republice a jejich srovnání se zahraničím v roce 201</w:t>
    </w:r>
    <w:r>
      <w:rPr>
        <w:rFonts w:ascii="Cambria" w:eastAsia="Times New Roman" w:hAnsi="Cambria" w:cs="Arial"/>
        <w:i/>
        <w:color w:val="1F497D"/>
        <w:sz w:val="18"/>
        <w:szCs w:val="18"/>
        <w:lang w:eastAsia="cs-CZ"/>
      </w:rPr>
      <w:t>6</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0396" w:rsidRPr="00B36DC6" w:rsidRDefault="00250396" w:rsidP="00B36DC6">
    <w:pPr>
      <w:pStyle w:val="Zhlav"/>
    </w:pPr>
    <w:r>
      <w:rPr>
        <w:rFonts w:ascii="Cambria" w:eastAsia="Times New Roman" w:hAnsi="Cambria" w:cs="Arial"/>
        <w:i/>
        <w:color w:val="1F497D"/>
        <w:sz w:val="18"/>
        <w:szCs w:val="18"/>
        <w:lang w:eastAsia="cs-CZ"/>
      </w:rPr>
      <w:t xml:space="preserve">Příloha </w:t>
    </w:r>
    <w:r w:rsidRPr="0083134A">
      <w:rPr>
        <w:rFonts w:ascii="Cambria" w:eastAsia="Times New Roman" w:hAnsi="Cambria" w:cs="Arial"/>
        <w:i/>
        <w:color w:val="1F497D"/>
        <w:sz w:val="18"/>
        <w:szCs w:val="18"/>
        <w:lang w:eastAsia="cs-CZ"/>
      </w:rPr>
      <w:t>Analýz</w:t>
    </w:r>
    <w:r>
      <w:rPr>
        <w:rFonts w:ascii="Cambria" w:eastAsia="Times New Roman" w:hAnsi="Cambria" w:cs="Arial"/>
        <w:i/>
        <w:color w:val="1F497D"/>
        <w:sz w:val="18"/>
        <w:szCs w:val="18"/>
        <w:lang w:eastAsia="cs-CZ"/>
      </w:rPr>
      <w:t>y</w:t>
    </w:r>
    <w:r w:rsidRPr="0083134A">
      <w:rPr>
        <w:rFonts w:ascii="Cambria" w:eastAsia="Times New Roman" w:hAnsi="Cambria" w:cs="Arial"/>
        <w:i/>
        <w:color w:val="1F497D"/>
        <w:sz w:val="18"/>
        <w:szCs w:val="18"/>
        <w:lang w:eastAsia="cs-CZ"/>
      </w:rPr>
      <w:t xml:space="preserve"> stavu výzkumu, vývoje a inovací v České republice a jejich srovnání se zahraničím v roce 201</w:t>
    </w:r>
    <w:r>
      <w:rPr>
        <w:rFonts w:ascii="Cambria" w:eastAsia="Times New Roman" w:hAnsi="Cambria" w:cs="Arial"/>
        <w:i/>
        <w:color w:val="1F497D"/>
        <w:sz w:val="18"/>
        <w:szCs w:val="18"/>
        <w:lang w:eastAsia="cs-CZ"/>
      </w:rPr>
      <w:t>6</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95A9B"/>
    <w:multiLevelType w:val="hybridMultilevel"/>
    <w:tmpl w:val="B0AAE986"/>
    <w:lvl w:ilvl="0" w:tplc="5BC85CBA">
      <w:start w:val="2"/>
      <w:numFmt w:val="decimal"/>
      <w:lvlText w:val="%1."/>
      <w:lvlJc w:val="left"/>
      <w:pPr>
        <w:ind w:left="720" w:hanging="360"/>
      </w:pPr>
      <w:rPr>
        <w:rFonts w:hint="default"/>
      </w:rPr>
    </w:lvl>
    <w:lvl w:ilvl="1" w:tplc="04050019">
      <w:start w:val="1"/>
      <w:numFmt w:val="lowerLetter"/>
      <w:lvlText w:val="%2."/>
      <w:lvlJc w:val="left"/>
      <w:pPr>
        <w:ind w:left="1440" w:hanging="360"/>
      </w:pPr>
    </w:lvl>
    <w:lvl w:ilvl="2" w:tplc="8E526E46">
      <w:start w:val="1"/>
      <w:numFmt w:val="bullet"/>
      <w:pStyle w:val="komentzaobrzkem-odrky"/>
      <w:lvlText w:val=""/>
      <w:lvlJc w:val="left"/>
      <w:pPr>
        <w:ind w:left="2160" w:hanging="180"/>
      </w:pPr>
      <w:rPr>
        <w:rFonts w:ascii="Symbol" w:hAnsi="Symbol" w:hint="default"/>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05F7761A"/>
    <w:multiLevelType w:val="hybridMultilevel"/>
    <w:tmpl w:val="1FF2CF9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CAB3892"/>
    <w:multiLevelType w:val="hybridMultilevel"/>
    <w:tmpl w:val="58F87EEC"/>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3">
    <w:nsid w:val="11AC2ED9"/>
    <w:multiLevelType w:val="multilevel"/>
    <w:tmpl w:val="FBF6B59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nsid w:val="15A814C3"/>
    <w:multiLevelType w:val="hybridMultilevel"/>
    <w:tmpl w:val="53D47F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
    <w:nsid w:val="17D2783E"/>
    <w:multiLevelType w:val="hybridMultilevel"/>
    <w:tmpl w:val="84E826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848491F"/>
    <w:multiLevelType w:val="multilevel"/>
    <w:tmpl w:val="17FCA210"/>
    <w:lvl w:ilvl="0">
      <w:start w:val="1"/>
      <w:numFmt w:val="bullet"/>
      <w:lvlText w:val=""/>
      <w:lvlJc w:val="left"/>
      <w:pPr>
        <w:ind w:left="405" w:hanging="405"/>
      </w:pPr>
      <w:rPr>
        <w:rFonts w:ascii="Symbol" w:hAnsi="Symbol" w:hint="default"/>
      </w:rPr>
    </w:lvl>
    <w:lvl w:ilvl="1">
      <w:start w:val="1"/>
      <w:numFmt w:val="decimal"/>
      <w:lvlText w:val="%2.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nsid w:val="1C633E4B"/>
    <w:multiLevelType w:val="hybridMultilevel"/>
    <w:tmpl w:val="E28A84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30476EB"/>
    <w:multiLevelType w:val="hybridMultilevel"/>
    <w:tmpl w:val="C3C4D80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2C4F154C"/>
    <w:multiLevelType w:val="hybridMultilevel"/>
    <w:tmpl w:val="4FFE46F2"/>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2C701120"/>
    <w:multiLevelType w:val="multilevel"/>
    <w:tmpl w:val="679C5182"/>
    <w:lvl w:ilvl="0">
      <w:start w:val="1"/>
      <w:numFmt w:val="bullet"/>
      <w:lvlText w:val=""/>
      <w:lvlJc w:val="left"/>
      <w:pPr>
        <w:ind w:left="405" w:hanging="405"/>
      </w:pPr>
      <w:rPr>
        <w:rFonts w:ascii="Symbol" w:hAnsi="Symbol" w:hint="default"/>
      </w:rPr>
    </w:lvl>
    <w:lvl w:ilvl="1">
      <w:start w:val="1"/>
      <w:numFmt w:val="decimal"/>
      <w:lvlText w:val="%2.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nsid w:val="2F1910F8"/>
    <w:multiLevelType w:val="multilevel"/>
    <w:tmpl w:val="E6784A7A"/>
    <w:lvl w:ilvl="0">
      <w:start w:val="9"/>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2F6F77E9"/>
    <w:multiLevelType w:val="hybridMultilevel"/>
    <w:tmpl w:val="E05230BA"/>
    <w:lvl w:ilvl="0" w:tplc="0405000F">
      <w:start w:val="1"/>
      <w:numFmt w:val="decimal"/>
      <w:lvlText w:val="%1."/>
      <w:lvlJc w:val="left"/>
      <w:pPr>
        <w:ind w:left="770" w:hanging="360"/>
      </w:pPr>
    </w:lvl>
    <w:lvl w:ilvl="1" w:tplc="04050019" w:tentative="1">
      <w:start w:val="1"/>
      <w:numFmt w:val="lowerLetter"/>
      <w:lvlText w:val="%2."/>
      <w:lvlJc w:val="left"/>
      <w:pPr>
        <w:ind w:left="1490" w:hanging="360"/>
      </w:pPr>
    </w:lvl>
    <w:lvl w:ilvl="2" w:tplc="0405001B" w:tentative="1">
      <w:start w:val="1"/>
      <w:numFmt w:val="lowerRoman"/>
      <w:lvlText w:val="%3."/>
      <w:lvlJc w:val="right"/>
      <w:pPr>
        <w:ind w:left="2210" w:hanging="180"/>
      </w:pPr>
    </w:lvl>
    <w:lvl w:ilvl="3" w:tplc="0405000F" w:tentative="1">
      <w:start w:val="1"/>
      <w:numFmt w:val="decimal"/>
      <w:lvlText w:val="%4."/>
      <w:lvlJc w:val="left"/>
      <w:pPr>
        <w:ind w:left="2930" w:hanging="360"/>
      </w:pPr>
    </w:lvl>
    <w:lvl w:ilvl="4" w:tplc="04050019" w:tentative="1">
      <w:start w:val="1"/>
      <w:numFmt w:val="lowerLetter"/>
      <w:lvlText w:val="%5."/>
      <w:lvlJc w:val="left"/>
      <w:pPr>
        <w:ind w:left="3650" w:hanging="360"/>
      </w:pPr>
    </w:lvl>
    <w:lvl w:ilvl="5" w:tplc="0405001B" w:tentative="1">
      <w:start w:val="1"/>
      <w:numFmt w:val="lowerRoman"/>
      <w:lvlText w:val="%6."/>
      <w:lvlJc w:val="right"/>
      <w:pPr>
        <w:ind w:left="4370" w:hanging="180"/>
      </w:pPr>
    </w:lvl>
    <w:lvl w:ilvl="6" w:tplc="0405000F" w:tentative="1">
      <w:start w:val="1"/>
      <w:numFmt w:val="decimal"/>
      <w:lvlText w:val="%7."/>
      <w:lvlJc w:val="left"/>
      <w:pPr>
        <w:ind w:left="5090" w:hanging="360"/>
      </w:pPr>
    </w:lvl>
    <w:lvl w:ilvl="7" w:tplc="04050019" w:tentative="1">
      <w:start w:val="1"/>
      <w:numFmt w:val="lowerLetter"/>
      <w:lvlText w:val="%8."/>
      <w:lvlJc w:val="left"/>
      <w:pPr>
        <w:ind w:left="5810" w:hanging="360"/>
      </w:pPr>
    </w:lvl>
    <w:lvl w:ilvl="8" w:tplc="0405001B" w:tentative="1">
      <w:start w:val="1"/>
      <w:numFmt w:val="lowerRoman"/>
      <w:lvlText w:val="%9."/>
      <w:lvlJc w:val="right"/>
      <w:pPr>
        <w:ind w:left="6530" w:hanging="180"/>
      </w:pPr>
    </w:lvl>
  </w:abstractNum>
  <w:abstractNum w:abstractNumId="13">
    <w:nsid w:val="36EB148A"/>
    <w:multiLevelType w:val="hybridMultilevel"/>
    <w:tmpl w:val="936645AA"/>
    <w:lvl w:ilvl="0" w:tplc="F4F851C0">
      <w:start w:val="1"/>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3794700B"/>
    <w:multiLevelType w:val="hybridMultilevel"/>
    <w:tmpl w:val="622CA298"/>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5">
    <w:nsid w:val="3C33228D"/>
    <w:multiLevelType w:val="multilevel"/>
    <w:tmpl w:val="65E6B81C"/>
    <w:lvl w:ilvl="0">
      <w:start w:val="1"/>
      <w:numFmt w:val="decimal"/>
      <w:lvlText w:val="%1."/>
      <w:lvlJc w:val="left"/>
      <w:pPr>
        <w:ind w:left="360" w:hanging="360"/>
      </w:pPr>
    </w:lvl>
    <w:lvl w:ilvl="1">
      <w:start w:val="1"/>
      <w:numFmt w:val="decimal"/>
      <w:pStyle w:val="Podtitu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40A717D6"/>
    <w:multiLevelType w:val="hybridMultilevel"/>
    <w:tmpl w:val="FCAA9BC4"/>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7">
    <w:nsid w:val="40E83F7A"/>
    <w:multiLevelType w:val="hybridMultilevel"/>
    <w:tmpl w:val="C9FC4348"/>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8">
    <w:nsid w:val="427720E2"/>
    <w:multiLevelType w:val="hybridMultilevel"/>
    <w:tmpl w:val="7A80DEF8"/>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9">
    <w:nsid w:val="44D30D09"/>
    <w:multiLevelType w:val="hybridMultilevel"/>
    <w:tmpl w:val="1A58E3B4"/>
    <w:lvl w:ilvl="0" w:tplc="5A8E6968">
      <w:start w:val="4"/>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nsid w:val="45E17AD5"/>
    <w:multiLevelType w:val="hybridMultilevel"/>
    <w:tmpl w:val="07F82542"/>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466E214A"/>
    <w:multiLevelType w:val="hybridMultilevel"/>
    <w:tmpl w:val="4CA49B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47A675AF"/>
    <w:multiLevelType w:val="multilevel"/>
    <w:tmpl w:val="FD78B282"/>
    <w:lvl w:ilvl="0">
      <w:start w:val="10"/>
      <w:numFmt w:val="decimal"/>
      <w:lvlText w:val="%1"/>
      <w:lvlJc w:val="left"/>
      <w:pPr>
        <w:ind w:left="510" w:hanging="510"/>
      </w:pPr>
      <w:rPr>
        <w:rFonts w:hint="default"/>
      </w:rPr>
    </w:lvl>
    <w:lvl w:ilvl="1">
      <w:start w:val="1"/>
      <w:numFmt w:val="decimal"/>
      <w:lvlText w:val="%1.%2"/>
      <w:lvlJc w:val="left"/>
      <w:pPr>
        <w:ind w:left="510" w:hanging="51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nsid w:val="482A3AFB"/>
    <w:multiLevelType w:val="multilevel"/>
    <w:tmpl w:val="158AD706"/>
    <w:lvl w:ilvl="0">
      <w:start w:val="7"/>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494F32BE"/>
    <w:multiLevelType w:val="hybridMultilevel"/>
    <w:tmpl w:val="922E67B8"/>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25">
    <w:nsid w:val="4C552981"/>
    <w:multiLevelType w:val="hybridMultilevel"/>
    <w:tmpl w:val="876A65C2"/>
    <w:lvl w:ilvl="0" w:tplc="16562406">
      <w:start w:val="2013"/>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54520B0A"/>
    <w:multiLevelType w:val="multilevel"/>
    <w:tmpl w:val="487ABFAA"/>
    <w:lvl w:ilvl="0">
      <w:start w:val="1"/>
      <w:numFmt w:val="bullet"/>
      <w:lvlText w:val=""/>
      <w:lvlJc w:val="left"/>
      <w:pPr>
        <w:ind w:left="405" w:hanging="405"/>
      </w:pPr>
      <w:rPr>
        <w:rFonts w:ascii="Symbol" w:hAnsi="Symbol" w:hint="default"/>
      </w:rPr>
    </w:lvl>
    <w:lvl w:ilvl="1">
      <w:start w:val="1"/>
      <w:numFmt w:val="decimal"/>
      <w:lvlText w:val="%2.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nsid w:val="596B275B"/>
    <w:multiLevelType w:val="hybridMultilevel"/>
    <w:tmpl w:val="0D26B4EA"/>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28">
    <w:nsid w:val="65664A6A"/>
    <w:multiLevelType w:val="multilevel"/>
    <w:tmpl w:val="DF988406"/>
    <w:lvl w:ilvl="0">
      <w:start w:val="1"/>
      <w:numFmt w:val="bullet"/>
      <w:lvlText w:val=""/>
      <w:lvlJc w:val="left"/>
      <w:pPr>
        <w:ind w:left="405" w:hanging="405"/>
      </w:pPr>
      <w:rPr>
        <w:rFonts w:ascii="Symbol" w:hAnsi="Symbol" w:hint="default"/>
      </w:rPr>
    </w:lvl>
    <w:lvl w:ilvl="1">
      <w:start w:val="1"/>
      <w:numFmt w:val="decimal"/>
      <w:lvlText w:val="%2.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nsid w:val="65FD6C34"/>
    <w:multiLevelType w:val="multilevel"/>
    <w:tmpl w:val="487ABFAA"/>
    <w:lvl w:ilvl="0">
      <w:start w:val="1"/>
      <w:numFmt w:val="bullet"/>
      <w:lvlText w:val=""/>
      <w:lvlJc w:val="left"/>
      <w:pPr>
        <w:ind w:left="405" w:hanging="405"/>
      </w:pPr>
      <w:rPr>
        <w:rFonts w:ascii="Symbol" w:hAnsi="Symbol" w:hint="default"/>
      </w:rPr>
    </w:lvl>
    <w:lvl w:ilvl="1">
      <w:start w:val="1"/>
      <w:numFmt w:val="decimal"/>
      <w:lvlText w:val="%2.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nsid w:val="66C90ADB"/>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nsid w:val="6E9B79CE"/>
    <w:multiLevelType w:val="multilevel"/>
    <w:tmpl w:val="DBAE4700"/>
    <w:lvl w:ilvl="0">
      <w:start w:val="1"/>
      <w:numFmt w:val="bullet"/>
      <w:lvlText w:val=""/>
      <w:lvlJc w:val="left"/>
      <w:pPr>
        <w:ind w:left="405" w:hanging="405"/>
      </w:pPr>
      <w:rPr>
        <w:rFonts w:ascii="Symbol" w:hAnsi="Symbol" w:hint="default"/>
      </w:rPr>
    </w:lvl>
    <w:lvl w:ilvl="1">
      <w:start w:val="1"/>
      <w:numFmt w:val="decimal"/>
      <w:lvlText w:val="%2.3"/>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nsid w:val="764F0510"/>
    <w:multiLevelType w:val="hybridMultilevel"/>
    <w:tmpl w:val="E9448B82"/>
    <w:lvl w:ilvl="0" w:tplc="04050001">
      <w:start w:val="1"/>
      <w:numFmt w:val="bullet"/>
      <w:lvlText w:val=""/>
      <w:lvlJc w:val="left"/>
      <w:pPr>
        <w:ind w:left="1428" w:hanging="360"/>
      </w:pPr>
      <w:rPr>
        <w:rFonts w:ascii="Symbol" w:hAnsi="Symbol" w:hint="default"/>
      </w:rPr>
    </w:lvl>
    <w:lvl w:ilvl="1" w:tplc="04050003">
      <w:start w:val="1"/>
      <w:numFmt w:val="bullet"/>
      <w:lvlText w:val="o"/>
      <w:lvlJc w:val="left"/>
      <w:pPr>
        <w:ind w:left="2148" w:hanging="360"/>
      </w:pPr>
      <w:rPr>
        <w:rFonts w:ascii="Courier New" w:hAnsi="Courier New" w:cs="Courier New" w:hint="default"/>
      </w:rPr>
    </w:lvl>
    <w:lvl w:ilvl="2" w:tplc="04050005">
      <w:start w:val="1"/>
      <w:numFmt w:val="bullet"/>
      <w:lvlText w:val=""/>
      <w:lvlJc w:val="left"/>
      <w:pPr>
        <w:ind w:left="2868" w:hanging="360"/>
      </w:pPr>
      <w:rPr>
        <w:rFonts w:ascii="Wingdings" w:hAnsi="Wingdings" w:hint="default"/>
      </w:rPr>
    </w:lvl>
    <w:lvl w:ilvl="3" w:tplc="04050001">
      <w:start w:val="1"/>
      <w:numFmt w:val="bullet"/>
      <w:lvlText w:val=""/>
      <w:lvlJc w:val="left"/>
      <w:pPr>
        <w:ind w:left="3588" w:hanging="360"/>
      </w:pPr>
      <w:rPr>
        <w:rFonts w:ascii="Symbol" w:hAnsi="Symbol" w:hint="default"/>
      </w:rPr>
    </w:lvl>
    <w:lvl w:ilvl="4" w:tplc="04050003">
      <w:start w:val="1"/>
      <w:numFmt w:val="bullet"/>
      <w:lvlText w:val="o"/>
      <w:lvlJc w:val="left"/>
      <w:pPr>
        <w:ind w:left="4308" w:hanging="360"/>
      </w:pPr>
      <w:rPr>
        <w:rFonts w:ascii="Courier New" w:hAnsi="Courier New" w:cs="Courier New" w:hint="default"/>
      </w:rPr>
    </w:lvl>
    <w:lvl w:ilvl="5" w:tplc="04050005">
      <w:start w:val="1"/>
      <w:numFmt w:val="bullet"/>
      <w:lvlText w:val=""/>
      <w:lvlJc w:val="left"/>
      <w:pPr>
        <w:ind w:left="5028" w:hanging="360"/>
      </w:pPr>
      <w:rPr>
        <w:rFonts w:ascii="Wingdings" w:hAnsi="Wingdings" w:hint="default"/>
      </w:rPr>
    </w:lvl>
    <w:lvl w:ilvl="6" w:tplc="04050001">
      <w:start w:val="1"/>
      <w:numFmt w:val="bullet"/>
      <w:lvlText w:val=""/>
      <w:lvlJc w:val="left"/>
      <w:pPr>
        <w:ind w:left="5748" w:hanging="360"/>
      </w:pPr>
      <w:rPr>
        <w:rFonts w:ascii="Symbol" w:hAnsi="Symbol" w:hint="default"/>
      </w:rPr>
    </w:lvl>
    <w:lvl w:ilvl="7" w:tplc="04050003">
      <w:start w:val="1"/>
      <w:numFmt w:val="bullet"/>
      <w:lvlText w:val="o"/>
      <w:lvlJc w:val="left"/>
      <w:pPr>
        <w:ind w:left="6468" w:hanging="360"/>
      </w:pPr>
      <w:rPr>
        <w:rFonts w:ascii="Courier New" w:hAnsi="Courier New" w:cs="Courier New" w:hint="default"/>
      </w:rPr>
    </w:lvl>
    <w:lvl w:ilvl="8" w:tplc="04050005">
      <w:start w:val="1"/>
      <w:numFmt w:val="bullet"/>
      <w:lvlText w:val=""/>
      <w:lvlJc w:val="left"/>
      <w:pPr>
        <w:ind w:left="7188" w:hanging="360"/>
      </w:pPr>
      <w:rPr>
        <w:rFonts w:ascii="Wingdings" w:hAnsi="Wingdings" w:hint="default"/>
      </w:rPr>
    </w:lvl>
  </w:abstractNum>
  <w:abstractNum w:abstractNumId="33">
    <w:nsid w:val="774C63A0"/>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nsid w:val="7E125E60"/>
    <w:multiLevelType w:val="hybridMultilevel"/>
    <w:tmpl w:val="A8D0C010"/>
    <w:lvl w:ilvl="0" w:tplc="04050001">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num w:numId="1">
    <w:abstractNumId w:val="0"/>
  </w:num>
  <w:num w:numId="2">
    <w:abstractNumId w:val="15"/>
  </w:num>
  <w:num w:numId="3">
    <w:abstractNumId w:val="1"/>
  </w:num>
  <w:num w:numId="4">
    <w:abstractNumId w:val="20"/>
  </w:num>
  <w:num w:numId="5">
    <w:abstractNumId w:val="5"/>
  </w:num>
  <w:num w:numId="6">
    <w:abstractNumId w:val="21"/>
  </w:num>
  <w:num w:numId="7">
    <w:abstractNumId w:val="33"/>
  </w:num>
  <w:num w:numId="8">
    <w:abstractNumId w:val="3"/>
  </w:num>
  <w:num w:numId="9">
    <w:abstractNumId w:val="28"/>
  </w:num>
  <w:num w:numId="10">
    <w:abstractNumId w:val="34"/>
  </w:num>
  <w:num w:numId="11">
    <w:abstractNumId w:val="23"/>
  </w:num>
  <w:num w:numId="12">
    <w:abstractNumId w:val="11"/>
  </w:num>
  <w:num w:numId="13">
    <w:abstractNumId w:val="22"/>
  </w:num>
  <w:num w:numId="14">
    <w:abstractNumId w:val="24"/>
  </w:num>
  <w:num w:numId="15">
    <w:abstractNumId w:val="16"/>
  </w:num>
  <w:num w:numId="16">
    <w:abstractNumId w:val="27"/>
  </w:num>
  <w:num w:numId="17">
    <w:abstractNumId w:val="2"/>
  </w:num>
  <w:num w:numId="18">
    <w:abstractNumId w:val="29"/>
  </w:num>
  <w:num w:numId="19">
    <w:abstractNumId w:val="31"/>
  </w:num>
  <w:num w:numId="20">
    <w:abstractNumId w:val="9"/>
  </w:num>
  <w:num w:numId="21">
    <w:abstractNumId w:val="19"/>
  </w:num>
  <w:num w:numId="22">
    <w:abstractNumId w:val="4"/>
  </w:num>
  <w:num w:numId="23">
    <w:abstractNumId w:val="12"/>
  </w:num>
  <w:num w:numId="24">
    <w:abstractNumId w:val="25"/>
  </w:num>
  <w:num w:numId="25">
    <w:abstractNumId w:val="6"/>
  </w:num>
  <w:num w:numId="26">
    <w:abstractNumId w:val="10"/>
  </w:num>
  <w:num w:numId="27">
    <w:abstractNumId w:val="26"/>
  </w:num>
  <w:num w:numId="28">
    <w:abstractNumId w:val="15"/>
  </w:num>
  <w:num w:numId="29">
    <w:abstractNumId w:val="15"/>
  </w:num>
  <w:num w:numId="30">
    <w:abstractNumId w:val="15"/>
  </w:num>
  <w:num w:numId="31">
    <w:abstractNumId w:val="15"/>
  </w:num>
  <w:num w:numId="32">
    <w:abstractNumId w:val="15"/>
  </w:num>
  <w:num w:numId="33">
    <w:abstractNumId w:val="30"/>
  </w:num>
  <w:num w:numId="34">
    <w:abstractNumId w:val="32"/>
  </w:num>
  <w:num w:numId="35">
    <w:abstractNumId w:val="1"/>
  </w:num>
  <w:num w:numId="36">
    <w:abstractNumId w:val="14"/>
  </w:num>
  <w:num w:numId="37">
    <w:abstractNumId w:val="17"/>
  </w:num>
  <w:num w:numId="38">
    <w:abstractNumId w:val="7"/>
  </w:num>
  <w:num w:numId="39">
    <w:abstractNumId w:val="18"/>
  </w:num>
  <w:num w:numId="40">
    <w:abstractNumId w:val="8"/>
  </w:num>
  <w:num w:numId="41">
    <w:abstractNumId w:val="1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cumentProtection w:edit="readOnly" w:enforcement="0"/>
  <w:defaultTabStop w:val="964"/>
  <w:hyphenationZone w:val="425"/>
  <w:characterSpacingControl w:val="doNotCompress"/>
  <w:hdrShapeDefaults>
    <o:shapedefaults v:ext="edit" spidmax="22732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22A0"/>
    <w:rsid w:val="00000A2A"/>
    <w:rsid w:val="00000FA0"/>
    <w:rsid w:val="000021AE"/>
    <w:rsid w:val="00002EE3"/>
    <w:rsid w:val="0000391C"/>
    <w:rsid w:val="00003A86"/>
    <w:rsid w:val="00003E69"/>
    <w:rsid w:val="0000544F"/>
    <w:rsid w:val="0000648C"/>
    <w:rsid w:val="00006D30"/>
    <w:rsid w:val="000103C7"/>
    <w:rsid w:val="00010F88"/>
    <w:rsid w:val="00011744"/>
    <w:rsid w:val="000118D5"/>
    <w:rsid w:val="0001216E"/>
    <w:rsid w:val="0001527C"/>
    <w:rsid w:val="000163C3"/>
    <w:rsid w:val="000178D6"/>
    <w:rsid w:val="0002004A"/>
    <w:rsid w:val="00022F9D"/>
    <w:rsid w:val="00024C1D"/>
    <w:rsid w:val="000300B7"/>
    <w:rsid w:val="000309C9"/>
    <w:rsid w:val="00030DDA"/>
    <w:rsid w:val="00031A13"/>
    <w:rsid w:val="00033087"/>
    <w:rsid w:val="000337C3"/>
    <w:rsid w:val="00033AF3"/>
    <w:rsid w:val="000366AE"/>
    <w:rsid w:val="00040353"/>
    <w:rsid w:val="00042809"/>
    <w:rsid w:val="00042E86"/>
    <w:rsid w:val="0004380E"/>
    <w:rsid w:val="000442A1"/>
    <w:rsid w:val="00045BFF"/>
    <w:rsid w:val="0004641E"/>
    <w:rsid w:val="000479F0"/>
    <w:rsid w:val="000514B7"/>
    <w:rsid w:val="0005325C"/>
    <w:rsid w:val="00053E38"/>
    <w:rsid w:val="00055163"/>
    <w:rsid w:val="00055617"/>
    <w:rsid w:val="000562FA"/>
    <w:rsid w:val="00056656"/>
    <w:rsid w:val="000566E0"/>
    <w:rsid w:val="00057D91"/>
    <w:rsid w:val="00060D84"/>
    <w:rsid w:val="00062D64"/>
    <w:rsid w:val="00064A4E"/>
    <w:rsid w:val="000659B0"/>
    <w:rsid w:val="0007004F"/>
    <w:rsid w:val="00071A9A"/>
    <w:rsid w:val="00071AE6"/>
    <w:rsid w:val="00072077"/>
    <w:rsid w:val="000733EC"/>
    <w:rsid w:val="00074540"/>
    <w:rsid w:val="000753C2"/>
    <w:rsid w:val="00075466"/>
    <w:rsid w:val="00076B14"/>
    <w:rsid w:val="00077ACD"/>
    <w:rsid w:val="00077D90"/>
    <w:rsid w:val="000822A0"/>
    <w:rsid w:val="00082875"/>
    <w:rsid w:val="00083A27"/>
    <w:rsid w:val="00085631"/>
    <w:rsid w:val="00086660"/>
    <w:rsid w:val="00092146"/>
    <w:rsid w:val="00096312"/>
    <w:rsid w:val="00096945"/>
    <w:rsid w:val="00096EFD"/>
    <w:rsid w:val="000A330F"/>
    <w:rsid w:val="000A34E0"/>
    <w:rsid w:val="000A3889"/>
    <w:rsid w:val="000A3F80"/>
    <w:rsid w:val="000A4F6C"/>
    <w:rsid w:val="000A5A93"/>
    <w:rsid w:val="000A6CAA"/>
    <w:rsid w:val="000B10EB"/>
    <w:rsid w:val="000B24F2"/>
    <w:rsid w:val="000B2C83"/>
    <w:rsid w:val="000B32DA"/>
    <w:rsid w:val="000B429D"/>
    <w:rsid w:val="000B447D"/>
    <w:rsid w:val="000B5ACD"/>
    <w:rsid w:val="000C142B"/>
    <w:rsid w:val="000C1800"/>
    <w:rsid w:val="000C39F7"/>
    <w:rsid w:val="000C48D7"/>
    <w:rsid w:val="000C5E1E"/>
    <w:rsid w:val="000C78FE"/>
    <w:rsid w:val="000D1BED"/>
    <w:rsid w:val="000D1F38"/>
    <w:rsid w:val="000D3A18"/>
    <w:rsid w:val="000D4D18"/>
    <w:rsid w:val="000D7160"/>
    <w:rsid w:val="000D733A"/>
    <w:rsid w:val="000E0C5E"/>
    <w:rsid w:val="000E1468"/>
    <w:rsid w:val="000F0518"/>
    <w:rsid w:val="000F1800"/>
    <w:rsid w:val="000F30B0"/>
    <w:rsid w:val="000F3766"/>
    <w:rsid w:val="000F625B"/>
    <w:rsid w:val="000F6379"/>
    <w:rsid w:val="000F6FA9"/>
    <w:rsid w:val="00100AF0"/>
    <w:rsid w:val="00102C27"/>
    <w:rsid w:val="00103A47"/>
    <w:rsid w:val="00107EFD"/>
    <w:rsid w:val="0011098D"/>
    <w:rsid w:val="0011270C"/>
    <w:rsid w:val="00115228"/>
    <w:rsid w:val="00115879"/>
    <w:rsid w:val="00117183"/>
    <w:rsid w:val="00120680"/>
    <w:rsid w:val="0012388A"/>
    <w:rsid w:val="00123AC7"/>
    <w:rsid w:val="00124427"/>
    <w:rsid w:val="001309B5"/>
    <w:rsid w:val="00131475"/>
    <w:rsid w:val="00133488"/>
    <w:rsid w:val="001354D7"/>
    <w:rsid w:val="00136E58"/>
    <w:rsid w:val="00137065"/>
    <w:rsid w:val="0013717B"/>
    <w:rsid w:val="001408E7"/>
    <w:rsid w:val="00140CA6"/>
    <w:rsid w:val="00141B90"/>
    <w:rsid w:val="001426C8"/>
    <w:rsid w:val="00144229"/>
    <w:rsid w:val="00145813"/>
    <w:rsid w:val="00147BAA"/>
    <w:rsid w:val="0015034C"/>
    <w:rsid w:val="00150AD1"/>
    <w:rsid w:val="00152461"/>
    <w:rsid w:val="00152549"/>
    <w:rsid w:val="00152FE4"/>
    <w:rsid w:val="001530DA"/>
    <w:rsid w:val="00153927"/>
    <w:rsid w:val="00155EC7"/>
    <w:rsid w:val="0015609A"/>
    <w:rsid w:val="00156B1E"/>
    <w:rsid w:val="00156DE5"/>
    <w:rsid w:val="00156F20"/>
    <w:rsid w:val="00160322"/>
    <w:rsid w:val="001606FF"/>
    <w:rsid w:val="00162477"/>
    <w:rsid w:val="00166571"/>
    <w:rsid w:val="00166EF7"/>
    <w:rsid w:val="001733FC"/>
    <w:rsid w:val="00174CF2"/>
    <w:rsid w:val="001750B2"/>
    <w:rsid w:val="001759B8"/>
    <w:rsid w:val="00177C95"/>
    <w:rsid w:val="001807F2"/>
    <w:rsid w:val="0018322B"/>
    <w:rsid w:val="001839D1"/>
    <w:rsid w:val="00185BAC"/>
    <w:rsid w:val="001862B6"/>
    <w:rsid w:val="00190579"/>
    <w:rsid w:val="0019075C"/>
    <w:rsid w:val="001911CA"/>
    <w:rsid w:val="00194D08"/>
    <w:rsid w:val="00195AA5"/>
    <w:rsid w:val="001961E7"/>
    <w:rsid w:val="001963D5"/>
    <w:rsid w:val="001A23D5"/>
    <w:rsid w:val="001A6ACA"/>
    <w:rsid w:val="001B06F3"/>
    <w:rsid w:val="001B11DC"/>
    <w:rsid w:val="001B2305"/>
    <w:rsid w:val="001B2A82"/>
    <w:rsid w:val="001B49AF"/>
    <w:rsid w:val="001B4C6E"/>
    <w:rsid w:val="001B5DC5"/>
    <w:rsid w:val="001B7601"/>
    <w:rsid w:val="001B7A08"/>
    <w:rsid w:val="001C051F"/>
    <w:rsid w:val="001C2C12"/>
    <w:rsid w:val="001C3BFA"/>
    <w:rsid w:val="001C539A"/>
    <w:rsid w:val="001C53C5"/>
    <w:rsid w:val="001C57AC"/>
    <w:rsid w:val="001C5BDB"/>
    <w:rsid w:val="001C71A9"/>
    <w:rsid w:val="001C7569"/>
    <w:rsid w:val="001D0211"/>
    <w:rsid w:val="001D187F"/>
    <w:rsid w:val="001D4333"/>
    <w:rsid w:val="001D5651"/>
    <w:rsid w:val="001D5D49"/>
    <w:rsid w:val="001D61E1"/>
    <w:rsid w:val="001D71E1"/>
    <w:rsid w:val="001E0782"/>
    <w:rsid w:val="001E1220"/>
    <w:rsid w:val="001E2562"/>
    <w:rsid w:val="001E2F51"/>
    <w:rsid w:val="001E37B4"/>
    <w:rsid w:val="001E59AF"/>
    <w:rsid w:val="001E7154"/>
    <w:rsid w:val="001E7576"/>
    <w:rsid w:val="001F5A37"/>
    <w:rsid w:val="001F5A98"/>
    <w:rsid w:val="001F7718"/>
    <w:rsid w:val="002002AF"/>
    <w:rsid w:val="00202841"/>
    <w:rsid w:val="00202BCE"/>
    <w:rsid w:val="00203249"/>
    <w:rsid w:val="0020345F"/>
    <w:rsid w:val="00203E37"/>
    <w:rsid w:val="00204058"/>
    <w:rsid w:val="002072CE"/>
    <w:rsid w:val="00207575"/>
    <w:rsid w:val="00210083"/>
    <w:rsid w:val="002122C6"/>
    <w:rsid w:val="002123CC"/>
    <w:rsid w:val="00214E69"/>
    <w:rsid w:val="00216024"/>
    <w:rsid w:val="00216D15"/>
    <w:rsid w:val="00216D36"/>
    <w:rsid w:val="00217E53"/>
    <w:rsid w:val="002214D1"/>
    <w:rsid w:val="00222C01"/>
    <w:rsid w:val="002239EE"/>
    <w:rsid w:val="002241D6"/>
    <w:rsid w:val="002245A9"/>
    <w:rsid w:val="0022760D"/>
    <w:rsid w:val="002305B3"/>
    <w:rsid w:val="002313B4"/>
    <w:rsid w:val="002314D2"/>
    <w:rsid w:val="00232C91"/>
    <w:rsid w:val="00233842"/>
    <w:rsid w:val="00233AD0"/>
    <w:rsid w:val="00234BAC"/>
    <w:rsid w:val="00240D52"/>
    <w:rsid w:val="00241410"/>
    <w:rsid w:val="002429CE"/>
    <w:rsid w:val="00243CE7"/>
    <w:rsid w:val="002442BB"/>
    <w:rsid w:val="00246D54"/>
    <w:rsid w:val="002479A9"/>
    <w:rsid w:val="00247BC5"/>
    <w:rsid w:val="00250396"/>
    <w:rsid w:val="00251526"/>
    <w:rsid w:val="0025162B"/>
    <w:rsid w:val="00251BC7"/>
    <w:rsid w:val="00254C1F"/>
    <w:rsid w:val="00256D87"/>
    <w:rsid w:val="002574E8"/>
    <w:rsid w:val="00257DF1"/>
    <w:rsid w:val="00262693"/>
    <w:rsid w:val="0026271A"/>
    <w:rsid w:val="00263B24"/>
    <w:rsid w:val="00264555"/>
    <w:rsid w:val="00267346"/>
    <w:rsid w:val="002701E4"/>
    <w:rsid w:val="00270D13"/>
    <w:rsid w:val="00270DF5"/>
    <w:rsid w:val="002718D4"/>
    <w:rsid w:val="00271B9E"/>
    <w:rsid w:val="0027278C"/>
    <w:rsid w:val="002727BC"/>
    <w:rsid w:val="00272ED4"/>
    <w:rsid w:val="00274D31"/>
    <w:rsid w:val="00274FB7"/>
    <w:rsid w:val="002750C6"/>
    <w:rsid w:val="002753B4"/>
    <w:rsid w:val="00275417"/>
    <w:rsid w:val="0027604E"/>
    <w:rsid w:val="00276399"/>
    <w:rsid w:val="0027724E"/>
    <w:rsid w:val="00280167"/>
    <w:rsid w:val="002826ED"/>
    <w:rsid w:val="002853CA"/>
    <w:rsid w:val="0028584E"/>
    <w:rsid w:val="00285947"/>
    <w:rsid w:val="00287DF6"/>
    <w:rsid w:val="002900BB"/>
    <w:rsid w:val="00291BB8"/>
    <w:rsid w:val="00291FE2"/>
    <w:rsid w:val="00292E9D"/>
    <w:rsid w:val="00293B7A"/>
    <w:rsid w:val="00294A1F"/>
    <w:rsid w:val="00295CF0"/>
    <w:rsid w:val="002978DA"/>
    <w:rsid w:val="00297B96"/>
    <w:rsid w:val="00297E0F"/>
    <w:rsid w:val="002A09E8"/>
    <w:rsid w:val="002A4687"/>
    <w:rsid w:val="002A55DE"/>
    <w:rsid w:val="002B0FEE"/>
    <w:rsid w:val="002B10DD"/>
    <w:rsid w:val="002B1C8B"/>
    <w:rsid w:val="002B2C14"/>
    <w:rsid w:val="002B3E07"/>
    <w:rsid w:val="002B7005"/>
    <w:rsid w:val="002B71BE"/>
    <w:rsid w:val="002C2F44"/>
    <w:rsid w:val="002C37F1"/>
    <w:rsid w:val="002C42EF"/>
    <w:rsid w:val="002C43B6"/>
    <w:rsid w:val="002C43D5"/>
    <w:rsid w:val="002C463E"/>
    <w:rsid w:val="002D131C"/>
    <w:rsid w:val="002D1868"/>
    <w:rsid w:val="002D186F"/>
    <w:rsid w:val="002D3E05"/>
    <w:rsid w:val="002D458C"/>
    <w:rsid w:val="002D480B"/>
    <w:rsid w:val="002E0A8A"/>
    <w:rsid w:val="002E2024"/>
    <w:rsid w:val="002E481C"/>
    <w:rsid w:val="002E51E9"/>
    <w:rsid w:val="00300A86"/>
    <w:rsid w:val="00300DC6"/>
    <w:rsid w:val="00301801"/>
    <w:rsid w:val="00301F72"/>
    <w:rsid w:val="00303608"/>
    <w:rsid w:val="00304A96"/>
    <w:rsid w:val="003105CD"/>
    <w:rsid w:val="0031089A"/>
    <w:rsid w:val="003117B8"/>
    <w:rsid w:val="0031202C"/>
    <w:rsid w:val="00312EEA"/>
    <w:rsid w:val="00313B6F"/>
    <w:rsid w:val="00314675"/>
    <w:rsid w:val="00315538"/>
    <w:rsid w:val="003176F6"/>
    <w:rsid w:val="00320A19"/>
    <w:rsid w:val="00321772"/>
    <w:rsid w:val="00321A9B"/>
    <w:rsid w:val="00322533"/>
    <w:rsid w:val="003227BD"/>
    <w:rsid w:val="00324EAB"/>
    <w:rsid w:val="003258D0"/>
    <w:rsid w:val="003264FF"/>
    <w:rsid w:val="00326EE3"/>
    <w:rsid w:val="0033063D"/>
    <w:rsid w:val="0033168C"/>
    <w:rsid w:val="003340C6"/>
    <w:rsid w:val="00334C28"/>
    <w:rsid w:val="00337C88"/>
    <w:rsid w:val="0034498C"/>
    <w:rsid w:val="0034559A"/>
    <w:rsid w:val="00347901"/>
    <w:rsid w:val="00350176"/>
    <w:rsid w:val="003503BD"/>
    <w:rsid w:val="00355793"/>
    <w:rsid w:val="003579FC"/>
    <w:rsid w:val="0036547D"/>
    <w:rsid w:val="003659EC"/>
    <w:rsid w:val="00365F7C"/>
    <w:rsid w:val="00366617"/>
    <w:rsid w:val="00371CE0"/>
    <w:rsid w:val="00373C4A"/>
    <w:rsid w:val="00374F12"/>
    <w:rsid w:val="00375348"/>
    <w:rsid w:val="0037638D"/>
    <w:rsid w:val="00380080"/>
    <w:rsid w:val="00381858"/>
    <w:rsid w:val="00381AF1"/>
    <w:rsid w:val="00384EC7"/>
    <w:rsid w:val="00385C99"/>
    <w:rsid w:val="00385CFC"/>
    <w:rsid w:val="003866A8"/>
    <w:rsid w:val="003900C7"/>
    <w:rsid w:val="00391634"/>
    <w:rsid w:val="00394A90"/>
    <w:rsid w:val="0039519E"/>
    <w:rsid w:val="00396B00"/>
    <w:rsid w:val="00397689"/>
    <w:rsid w:val="00397889"/>
    <w:rsid w:val="00397C62"/>
    <w:rsid w:val="003A4353"/>
    <w:rsid w:val="003A46D4"/>
    <w:rsid w:val="003A529E"/>
    <w:rsid w:val="003A5680"/>
    <w:rsid w:val="003A6429"/>
    <w:rsid w:val="003A678C"/>
    <w:rsid w:val="003A7DA3"/>
    <w:rsid w:val="003B0236"/>
    <w:rsid w:val="003B051A"/>
    <w:rsid w:val="003B0FDB"/>
    <w:rsid w:val="003B3F9F"/>
    <w:rsid w:val="003C5AC6"/>
    <w:rsid w:val="003C7372"/>
    <w:rsid w:val="003C7CE9"/>
    <w:rsid w:val="003D01B5"/>
    <w:rsid w:val="003D2841"/>
    <w:rsid w:val="003D2E8E"/>
    <w:rsid w:val="003D6C92"/>
    <w:rsid w:val="003D7C8A"/>
    <w:rsid w:val="003E1149"/>
    <w:rsid w:val="003E38D2"/>
    <w:rsid w:val="003E46C2"/>
    <w:rsid w:val="003E60D8"/>
    <w:rsid w:val="003E6475"/>
    <w:rsid w:val="003F54A7"/>
    <w:rsid w:val="003F5D8D"/>
    <w:rsid w:val="003F610C"/>
    <w:rsid w:val="004022D8"/>
    <w:rsid w:val="00402800"/>
    <w:rsid w:val="00403546"/>
    <w:rsid w:val="00404437"/>
    <w:rsid w:val="0040494A"/>
    <w:rsid w:val="00405E50"/>
    <w:rsid w:val="00407F77"/>
    <w:rsid w:val="0041213B"/>
    <w:rsid w:val="004124EE"/>
    <w:rsid w:val="00412FFE"/>
    <w:rsid w:val="00416206"/>
    <w:rsid w:val="004162FF"/>
    <w:rsid w:val="004171A4"/>
    <w:rsid w:val="00417A22"/>
    <w:rsid w:val="0042088A"/>
    <w:rsid w:val="00420AC4"/>
    <w:rsid w:val="00420ADA"/>
    <w:rsid w:val="00421E43"/>
    <w:rsid w:val="004232A4"/>
    <w:rsid w:val="00424737"/>
    <w:rsid w:val="00426339"/>
    <w:rsid w:val="00427FDF"/>
    <w:rsid w:val="004311E6"/>
    <w:rsid w:val="004314A8"/>
    <w:rsid w:val="00432232"/>
    <w:rsid w:val="00434802"/>
    <w:rsid w:val="00434B3D"/>
    <w:rsid w:val="004353DE"/>
    <w:rsid w:val="00440D65"/>
    <w:rsid w:val="00441191"/>
    <w:rsid w:val="0044188A"/>
    <w:rsid w:val="00441A5E"/>
    <w:rsid w:val="00443020"/>
    <w:rsid w:val="00444BCE"/>
    <w:rsid w:val="00444F31"/>
    <w:rsid w:val="00445207"/>
    <w:rsid w:val="00447D7E"/>
    <w:rsid w:val="00452BAE"/>
    <w:rsid w:val="00452FA4"/>
    <w:rsid w:val="00455C72"/>
    <w:rsid w:val="00457DCE"/>
    <w:rsid w:val="004626D5"/>
    <w:rsid w:val="00465964"/>
    <w:rsid w:val="00465F3A"/>
    <w:rsid w:val="00471FC6"/>
    <w:rsid w:val="00472DE4"/>
    <w:rsid w:val="00473562"/>
    <w:rsid w:val="00473D34"/>
    <w:rsid w:val="004743B7"/>
    <w:rsid w:val="00474FBD"/>
    <w:rsid w:val="004751CC"/>
    <w:rsid w:val="004765EE"/>
    <w:rsid w:val="00476838"/>
    <w:rsid w:val="00477187"/>
    <w:rsid w:val="0048054E"/>
    <w:rsid w:val="00481E6F"/>
    <w:rsid w:val="00484F54"/>
    <w:rsid w:val="00485271"/>
    <w:rsid w:val="004857AA"/>
    <w:rsid w:val="00485FF4"/>
    <w:rsid w:val="00486708"/>
    <w:rsid w:val="00486796"/>
    <w:rsid w:val="00486FEC"/>
    <w:rsid w:val="004870FA"/>
    <w:rsid w:val="004871CD"/>
    <w:rsid w:val="00490AF1"/>
    <w:rsid w:val="00491FDD"/>
    <w:rsid w:val="00492EB4"/>
    <w:rsid w:val="00493BC6"/>
    <w:rsid w:val="00493D2B"/>
    <w:rsid w:val="00493DE6"/>
    <w:rsid w:val="004943FF"/>
    <w:rsid w:val="004964DF"/>
    <w:rsid w:val="00496F66"/>
    <w:rsid w:val="004A0A8C"/>
    <w:rsid w:val="004A0A9D"/>
    <w:rsid w:val="004A1D37"/>
    <w:rsid w:val="004A2CD1"/>
    <w:rsid w:val="004B05DE"/>
    <w:rsid w:val="004B2EB5"/>
    <w:rsid w:val="004B323E"/>
    <w:rsid w:val="004B4CC4"/>
    <w:rsid w:val="004B5329"/>
    <w:rsid w:val="004C23E0"/>
    <w:rsid w:val="004C4DFC"/>
    <w:rsid w:val="004C5495"/>
    <w:rsid w:val="004C6082"/>
    <w:rsid w:val="004C65F1"/>
    <w:rsid w:val="004D0A5E"/>
    <w:rsid w:val="004D1D71"/>
    <w:rsid w:val="004D353F"/>
    <w:rsid w:val="004D442D"/>
    <w:rsid w:val="004D4B59"/>
    <w:rsid w:val="004D56D7"/>
    <w:rsid w:val="004D6CC9"/>
    <w:rsid w:val="004D7263"/>
    <w:rsid w:val="004D72F6"/>
    <w:rsid w:val="004D752C"/>
    <w:rsid w:val="004D7BAE"/>
    <w:rsid w:val="004E5F1F"/>
    <w:rsid w:val="004E627D"/>
    <w:rsid w:val="004E69B8"/>
    <w:rsid w:val="004E6D35"/>
    <w:rsid w:val="004E7062"/>
    <w:rsid w:val="004E7ED9"/>
    <w:rsid w:val="004F4CF5"/>
    <w:rsid w:val="004F4F18"/>
    <w:rsid w:val="004F5E51"/>
    <w:rsid w:val="004F7E1A"/>
    <w:rsid w:val="005017E9"/>
    <w:rsid w:val="005025F4"/>
    <w:rsid w:val="00502885"/>
    <w:rsid w:val="005030AA"/>
    <w:rsid w:val="0050469F"/>
    <w:rsid w:val="00506EB4"/>
    <w:rsid w:val="0050729D"/>
    <w:rsid w:val="0050735C"/>
    <w:rsid w:val="0050750C"/>
    <w:rsid w:val="00510549"/>
    <w:rsid w:val="0051083C"/>
    <w:rsid w:val="0051391A"/>
    <w:rsid w:val="00514F3C"/>
    <w:rsid w:val="005155C9"/>
    <w:rsid w:val="00516799"/>
    <w:rsid w:val="0052062F"/>
    <w:rsid w:val="005206B3"/>
    <w:rsid w:val="005230AC"/>
    <w:rsid w:val="00523168"/>
    <w:rsid w:val="00524C5A"/>
    <w:rsid w:val="00527788"/>
    <w:rsid w:val="0053079C"/>
    <w:rsid w:val="0053104B"/>
    <w:rsid w:val="0053116E"/>
    <w:rsid w:val="00531A2B"/>
    <w:rsid w:val="005331E2"/>
    <w:rsid w:val="0053336B"/>
    <w:rsid w:val="00533711"/>
    <w:rsid w:val="0053476C"/>
    <w:rsid w:val="00542059"/>
    <w:rsid w:val="00542E1E"/>
    <w:rsid w:val="00542E8D"/>
    <w:rsid w:val="005460F9"/>
    <w:rsid w:val="00547DC1"/>
    <w:rsid w:val="005500B3"/>
    <w:rsid w:val="00550127"/>
    <w:rsid w:val="00551234"/>
    <w:rsid w:val="00551C49"/>
    <w:rsid w:val="00551F63"/>
    <w:rsid w:val="0055255A"/>
    <w:rsid w:val="005537BA"/>
    <w:rsid w:val="00554186"/>
    <w:rsid w:val="00555CF9"/>
    <w:rsid w:val="005565D3"/>
    <w:rsid w:val="00556D9F"/>
    <w:rsid w:val="00557D4B"/>
    <w:rsid w:val="00560E15"/>
    <w:rsid w:val="00560E3E"/>
    <w:rsid w:val="00566AA1"/>
    <w:rsid w:val="005675C8"/>
    <w:rsid w:val="00570499"/>
    <w:rsid w:val="00570D3A"/>
    <w:rsid w:val="00570F5F"/>
    <w:rsid w:val="0057115F"/>
    <w:rsid w:val="00571857"/>
    <w:rsid w:val="00572EEF"/>
    <w:rsid w:val="00575F41"/>
    <w:rsid w:val="0057623F"/>
    <w:rsid w:val="00576F8B"/>
    <w:rsid w:val="005809EB"/>
    <w:rsid w:val="0058151E"/>
    <w:rsid w:val="00582855"/>
    <w:rsid w:val="00583263"/>
    <w:rsid w:val="00586845"/>
    <w:rsid w:val="00586FBE"/>
    <w:rsid w:val="00587FB6"/>
    <w:rsid w:val="0059094C"/>
    <w:rsid w:val="00591548"/>
    <w:rsid w:val="00593449"/>
    <w:rsid w:val="0059344E"/>
    <w:rsid w:val="0059392C"/>
    <w:rsid w:val="00594013"/>
    <w:rsid w:val="005A0478"/>
    <w:rsid w:val="005A1090"/>
    <w:rsid w:val="005A2034"/>
    <w:rsid w:val="005A3E3B"/>
    <w:rsid w:val="005A60F8"/>
    <w:rsid w:val="005B222F"/>
    <w:rsid w:val="005B26CF"/>
    <w:rsid w:val="005B3022"/>
    <w:rsid w:val="005C0DF9"/>
    <w:rsid w:val="005C0F99"/>
    <w:rsid w:val="005C3E14"/>
    <w:rsid w:val="005C4B3F"/>
    <w:rsid w:val="005C501D"/>
    <w:rsid w:val="005C53F3"/>
    <w:rsid w:val="005C5EE4"/>
    <w:rsid w:val="005C7C8E"/>
    <w:rsid w:val="005D119D"/>
    <w:rsid w:val="005D6ACA"/>
    <w:rsid w:val="005D7511"/>
    <w:rsid w:val="005E1834"/>
    <w:rsid w:val="005E2134"/>
    <w:rsid w:val="005E75D7"/>
    <w:rsid w:val="005E7E91"/>
    <w:rsid w:val="005F0408"/>
    <w:rsid w:val="005F1913"/>
    <w:rsid w:val="005F2F7D"/>
    <w:rsid w:val="005F4EF5"/>
    <w:rsid w:val="005F5A7B"/>
    <w:rsid w:val="005F6D9E"/>
    <w:rsid w:val="00600503"/>
    <w:rsid w:val="006027D6"/>
    <w:rsid w:val="00602ECB"/>
    <w:rsid w:val="00602F41"/>
    <w:rsid w:val="00603F10"/>
    <w:rsid w:val="00604316"/>
    <w:rsid w:val="00606882"/>
    <w:rsid w:val="00606DBB"/>
    <w:rsid w:val="00611C08"/>
    <w:rsid w:val="00612C45"/>
    <w:rsid w:val="00612C4A"/>
    <w:rsid w:val="00613032"/>
    <w:rsid w:val="00614550"/>
    <w:rsid w:val="006169AC"/>
    <w:rsid w:val="00621308"/>
    <w:rsid w:val="006246EA"/>
    <w:rsid w:val="00626787"/>
    <w:rsid w:val="006272CF"/>
    <w:rsid w:val="0062733E"/>
    <w:rsid w:val="00630A72"/>
    <w:rsid w:val="006311EE"/>
    <w:rsid w:val="006314FB"/>
    <w:rsid w:val="006323DD"/>
    <w:rsid w:val="0063281B"/>
    <w:rsid w:val="00632838"/>
    <w:rsid w:val="006338C7"/>
    <w:rsid w:val="00640229"/>
    <w:rsid w:val="00641255"/>
    <w:rsid w:val="00644A05"/>
    <w:rsid w:val="00646243"/>
    <w:rsid w:val="00646B3D"/>
    <w:rsid w:val="0065031E"/>
    <w:rsid w:val="00652A64"/>
    <w:rsid w:val="00653F61"/>
    <w:rsid w:val="006544AB"/>
    <w:rsid w:val="00657184"/>
    <w:rsid w:val="00657FC1"/>
    <w:rsid w:val="0066071D"/>
    <w:rsid w:val="00660EAB"/>
    <w:rsid w:val="0066109C"/>
    <w:rsid w:val="00661D52"/>
    <w:rsid w:val="00662CE7"/>
    <w:rsid w:val="006640BF"/>
    <w:rsid w:val="00666709"/>
    <w:rsid w:val="0067007E"/>
    <w:rsid w:val="0067054E"/>
    <w:rsid w:val="00674D46"/>
    <w:rsid w:val="00676506"/>
    <w:rsid w:val="006779FC"/>
    <w:rsid w:val="0068148D"/>
    <w:rsid w:val="00681A4A"/>
    <w:rsid w:val="00684FB3"/>
    <w:rsid w:val="00685781"/>
    <w:rsid w:val="00685E90"/>
    <w:rsid w:val="00687B9D"/>
    <w:rsid w:val="006900A7"/>
    <w:rsid w:val="00690442"/>
    <w:rsid w:val="006912BE"/>
    <w:rsid w:val="00691339"/>
    <w:rsid w:val="0069162C"/>
    <w:rsid w:val="0069265E"/>
    <w:rsid w:val="00692A96"/>
    <w:rsid w:val="0069500B"/>
    <w:rsid w:val="0069598C"/>
    <w:rsid w:val="0069675A"/>
    <w:rsid w:val="00697C3A"/>
    <w:rsid w:val="006A04BF"/>
    <w:rsid w:val="006A2786"/>
    <w:rsid w:val="006A350B"/>
    <w:rsid w:val="006A3DE9"/>
    <w:rsid w:val="006A3F07"/>
    <w:rsid w:val="006A469E"/>
    <w:rsid w:val="006A5F28"/>
    <w:rsid w:val="006A61DB"/>
    <w:rsid w:val="006A74D5"/>
    <w:rsid w:val="006A7C92"/>
    <w:rsid w:val="006B41F5"/>
    <w:rsid w:val="006B4254"/>
    <w:rsid w:val="006B76FA"/>
    <w:rsid w:val="006C1F4A"/>
    <w:rsid w:val="006C2D75"/>
    <w:rsid w:val="006C45D5"/>
    <w:rsid w:val="006C4EE8"/>
    <w:rsid w:val="006C5A24"/>
    <w:rsid w:val="006C6AB2"/>
    <w:rsid w:val="006D0E44"/>
    <w:rsid w:val="006D1EFA"/>
    <w:rsid w:val="006D2C52"/>
    <w:rsid w:val="006D62DD"/>
    <w:rsid w:val="006D7EC7"/>
    <w:rsid w:val="006E07FF"/>
    <w:rsid w:val="006E0D94"/>
    <w:rsid w:val="006E2AE6"/>
    <w:rsid w:val="006E2D24"/>
    <w:rsid w:val="006E3D4F"/>
    <w:rsid w:val="006E5CF2"/>
    <w:rsid w:val="006F4DAD"/>
    <w:rsid w:val="006F4FD1"/>
    <w:rsid w:val="006F56F0"/>
    <w:rsid w:val="006F616E"/>
    <w:rsid w:val="006F678C"/>
    <w:rsid w:val="006F7694"/>
    <w:rsid w:val="007009FC"/>
    <w:rsid w:val="00700A78"/>
    <w:rsid w:val="007029D8"/>
    <w:rsid w:val="00703FB4"/>
    <w:rsid w:val="0070446A"/>
    <w:rsid w:val="00704CDF"/>
    <w:rsid w:val="0070637C"/>
    <w:rsid w:val="007069B5"/>
    <w:rsid w:val="007106E0"/>
    <w:rsid w:val="00710CA0"/>
    <w:rsid w:val="00712CCB"/>
    <w:rsid w:val="0072023D"/>
    <w:rsid w:val="00720540"/>
    <w:rsid w:val="007216D4"/>
    <w:rsid w:val="007237F2"/>
    <w:rsid w:val="00725865"/>
    <w:rsid w:val="00725AE5"/>
    <w:rsid w:val="00726BDF"/>
    <w:rsid w:val="00727476"/>
    <w:rsid w:val="0073110F"/>
    <w:rsid w:val="00733FB3"/>
    <w:rsid w:val="00735C8E"/>
    <w:rsid w:val="0073634D"/>
    <w:rsid w:val="00736A03"/>
    <w:rsid w:val="0074008A"/>
    <w:rsid w:val="00741276"/>
    <w:rsid w:val="00741BB0"/>
    <w:rsid w:val="00744354"/>
    <w:rsid w:val="00746745"/>
    <w:rsid w:val="00747B77"/>
    <w:rsid w:val="00747D4B"/>
    <w:rsid w:val="0075032C"/>
    <w:rsid w:val="00751308"/>
    <w:rsid w:val="007514CD"/>
    <w:rsid w:val="007516A3"/>
    <w:rsid w:val="00753198"/>
    <w:rsid w:val="00753850"/>
    <w:rsid w:val="00754195"/>
    <w:rsid w:val="007578D2"/>
    <w:rsid w:val="007601CE"/>
    <w:rsid w:val="00760ECB"/>
    <w:rsid w:val="00761B6E"/>
    <w:rsid w:val="007622FB"/>
    <w:rsid w:val="007624AF"/>
    <w:rsid w:val="00763EB1"/>
    <w:rsid w:val="00764937"/>
    <w:rsid w:val="00766076"/>
    <w:rsid w:val="007673E3"/>
    <w:rsid w:val="00767440"/>
    <w:rsid w:val="00772C66"/>
    <w:rsid w:val="00774608"/>
    <w:rsid w:val="00775EA7"/>
    <w:rsid w:val="007763E2"/>
    <w:rsid w:val="007773B1"/>
    <w:rsid w:val="007800F2"/>
    <w:rsid w:val="00780374"/>
    <w:rsid w:val="007824FC"/>
    <w:rsid w:val="00786C67"/>
    <w:rsid w:val="00795655"/>
    <w:rsid w:val="00795F3D"/>
    <w:rsid w:val="007A1384"/>
    <w:rsid w:val="007A1CCD"/>
    <w:rsid w:val="007A3027"/>
    <w:rsid w:val="007A32E3"/>
    <w:rsid w:val="007A4C58"/>
    <w:rsid w:val="007A52A4"/>
    <w:rsid w:val="007A5A89"/>
    <w:rsid w:val="007A7B8E"/>
    <w:rsid w:val="007A7BF8"/>
    <w:rsid w:val="007A7E7D"/>
    <w:rsid w:val="007B7602"/>
    <w:rsid w:val="007B7782"/>
    <w:rsid w:val="007B7CB8"/>
    <w:rsid w:val="007C15E6"/>
    <w:rsid w:val="007C1B3C"/>
    <w:rsid w:val="007C1D13"/>
    <w:rsid w:val="007C4434"/>
    <w:rsid w:val="007C5BE3"/>
    <w:rsid w:val="007C65B5"/>
    <w:rsid w:val="007C70A4"/>
    <w:rsid w:val="007C7C70"/>
    <w:rsid w:val="007D09CE"/>
    <w:rsid w:val="007D5ABA"/>
    <w:rsid w:val="007D5B7F"/>
    <w:rsid w:val="007D5E4D"/>
    <w:rsid w:val="007D64A4"/>
    <w:rsid w:val="007D6778"/>
    <w:rsid w:val="007D6BEF"/>
    <w:rsid w:val="007E0989"/>
    <w:rsid w:val="007E152B"/>
    <w:rsid w:val="007E2EC7"/>
    <w:rsid w:val="007E308E"/>
    <w:rsid w:val="007E4AC1"/>
    <w:rsid w:val="007E4EF0"/>
    <w:rsid w:val="007E6226"/>
    <w:rsid w:val="007E6EC6"/>
    <w:rsid w:val="007E740F"/>
    <w:rsid w:val="007E7E08"/>
    <w:rsid w:val="007F2A93"/>
    <w:rsid w:val="007F35A6"/>
    <w:rsid w:val="007F374B"/>
    <w:rsid w:val="007F7124"/>
    <w:rsid w:val="00803CB7"/>
    <w:rsid w:val="00806FA5"/>
    <w:rsid w:val="00807C3C"/>
    <w:rsid w:val="008104B9"/>
    <w:rsid w:val="0081050E"/>
    <w:rsid w:val="00810D43"/>
    <w:rsid w:val="00812E4C"/>
    <w:rsid w:val="00815C21"/>
    <w:rsid w:val="008215DB"/>
    <w:rsid w:val="00827730"/>
    <w:rsid w:val="00830001"/>
    <w:rsid w:val="0083134A"/>
    <w:rsid w:val="00831BE1"/>
    <w:rsid w:val="008337FB"/>
    <w:rsid w:val="008349F2"/>
    <w:rsid w:val="008353E1"/>
    <w:rsid w:val="00837270"/>
    <w:rsid w:val="00840565"/>
    <w:rsid w:val="008415D7"/>
    <w:rsid w:val="0084473C"/>
    <w:rsid w:val="00845313"/>
    <w:rsid w:val="00845A88"/>
    <w:rsid w:val="00845AD8"/>
    <w:rsid w:val="00846C9A"/>
    <w:rsid w:val="008476B2"/>
    <w:rsid w:val="00847EE4"/>
    <w:rsid w:val="008511E8"/>
    <w:rsid w:val="00853FF3"/>
    <w:rsid w:val="0085422F"/>
    <w:rsid w:val="0086009A"/>
    <w:rsid w:val="0086227B"/>
    <w:rsid w:val="008626E8"/>
    <w:rsid w:val="00863581"/>
    <w:rsid w:val="00870955"/>
    <w:rsid w:val="00872228"/>
    <w:rsid w:val="00872A16"/>
    <w:rsid w:val="0087628A"/>
    <w:rsid w:val="00877B95"/>
    <w:rsid w:val="0088134D"/>
    <w:rsid w:val="00884525"/>
    <w:rsid w:val="00885DDC"/>
    <w:rsid w:val="00886B50"/>
    <w:rsid w:val="00887C8D"/>
    <w:rsid w:val="008902A9"/>
    <w:rsid w:val="00891C14"/>
    <w:rsid w:val="00892E32"/>
    <w:rsid w:val="00893B43"/>
    <w:rsid w:val="00894EB7"/>
    <w:rsid w:val="0089722D"/>
    <w:rsid w:val="00897521"/>
    <w:rsid w:val="008979CD"/>
    <w:rsid w:val="008A0A03"/>
    <w:rsid w:val="008A4640"/>
    <w:rsid w:val="008A470E"/>
    <w:rsid w:val="008A5592"/>
    <w:rsid w:val="008A677C"/>
    <w:rsid w:val="008A6D1D"/>
    <w:rsid w:val="008A7F40"/>
    <w:rsid w:val="008B05CD"/>
    <w:rsid w:val="008B1568"/>
    <w:rsid w:val="008B16EC"/>
    <w:rsid w:val="008B16F5"/>
    <w:rsid w:val="008B1B90"/>
    <w:rsid w:val="008B2F2E"/>
    <w:rsid w:val="008B3E6C"/>
    <w:rsid w:val="008B51EA"/>
    <w:rsid w:val="008B705E"/>
    <w:rsid w:val="008B7162"/>
    <w:rsid w:val="008C2C72"/>
    <w:rsid w:val="008C3009"/>
    <w:rsid w:val="008C4807"/>
    <w:rsid w:val="008C6348"/>
    <w:rsid w:val="008C6A06"/>
    <w:rsid w:val="008D1D76"/>
    <w:rsid w:val="008D3600"/>
    <w:rsid w:val="008E1238"/>
    <w:rsid w:val="008E1971"/>
    <w:rsid w:val="008E4A95"/>
    <w:rsid w:val="008E5A5C"/>
    <w:rsid w:val="008E7867"/>
    <w:rsid w:val="008E7BFB"/>
    <w:rsid w:val="008F198C"/>
    <w:rsid w:val="008F4F66"/>
    <w:rsid w:val="008F5CD4"/>
    <w:rsid w:val="008F7EB9"/>
    <w:rsid w:val="00901B4C"/>
    <w:rsid w:val="0090566F"/>
    <w:rsid w:val="009106E0"/>
    <w:rsid w:val="00910955"/>
    <w:rsid w:val="009114AA"/>
    <w:rsid w:val="00912533"/>
    <w:rsid w:val="009159C1"/>
    <w:rsid w:val="00922748"/>
    <w:rsid w:val="009234A3"/>
    <w:rsid w:val="009239D0"/>
    <w:rsid w:val="00924504"/>
    <w:rsid w:val="00925AC6"/>
    <w:rsid w:val="00926A45"/>
    <w:rsid w:val="009314D8"/>
    <w:rsid w:val="00931E4F"/>
    <w:rsid w:val="00934D86"/>
    <w:rsid w:val="0093608E"/>
    <w:rsid w:val="00937F92"/>
    <w:rsid w:val="00940950"/>
    <w:rsid w:val="009411A2"/>
    <w:rsid w:val="00945889"/>
    <w:rsid w:val="00946B51"/>
    <w:rsid w:val="00946D8B"/>
    <w:rsid w:val="0095268D"/>
    <w:rsid w:val="00954F7B"/>
    <w:rsid w:val="00956D00"/>
    <w:rsid w:val="0097357F"/>
    <w:rsid w:val="00975B9D"/>
    <w:rsid w:val="00976F01"/>
    <w:rsid w:val="009775AE"/>
    <w:rsid w:val="00986921"/>
    <w:rsid w:val="00992CC2"/>
    <w:rsid w:val="0099351B"/>
    <w:rsid w:val="00994BB0"/>
    <w:rsid w:val="00995ED6"/>
    <w:rsid w:val="009A04A4"/>
    <w:rsid w:val="009A0D12"/>
    <w:rsid w:val="009A1D5A"/>
    <w:rsid w:val="009A497A"/>
    <w:rsid w:val="009A4B85"/>
    <w:rsid w:val="009A7FBE"/>
    <w:rsid w:val="009B1616"/>
    <w:rsid w:val="009B21E1"/>
    <w:rsid w:val="009B2333"/>
    <w:rsid w:val="009B67D9"/>
    <w:rsid w:val="009B6940"/>
    <w:rsid w:val="009B7CC9"/>
    <w:rsid w:val="009D02B9"/>
    <w:rsid w:val="009D0AF1"/>
    <w:rsid w:val="009D5A19"/>
    <w:rsid w:val="009D5AD6"/>
    <w:rsid w:val="009D7D93"/>
    <w:rsid w:val="009E01AE"/>
    <w:rsid w:val="009E474E"/>
    <w:rsid w:val="009E4FF7"/>
    <w:rsid w:val="009E58A7"/>
    <w:rsid w:val="009E6F86"/>
    <w:rsid w:val="009F0AB6"/>
    <w:rsid w:val="009F10F4"/>
    <w:rsid w:val="009F1B1F"/>
    <w:rsid w:val="009F2780"/>
    <w:rsid w:val="009F3E97"/>
    <w:rsid w:val="009F506E"/>
    <w:rsid w:val="009F6F59"/>
    <w:rsid w:val="00A00AED"/>
    <w:rsid w:val="00A05A14"/>
    <w:rsid w:val="00A065FD"/>
    <w:rsid w:val="00A07D1D"/>
    <w:rsid w:val="00A07E94"/>
    <w:rsid w:val="00A10ECA"/>
    <w:rsid w:val="00A11DAD"/>
    <w:rsid w:val="00A124A5"/>
    <w:rsid w:val="00A138F2"/>
    <w:rsid w:val="00A17057"/>
    <w:rsid w:val="00A20275"/>
    <w:rsid w:val="00A20F5B"/>
    <w:rsid w:val="00A2152F"/>
    <w:rsid w:val="00A23AE8"/>
    <w:rsid w:val="00A24B39"/>
    <w:rsid w:val="00A25361"/>
    <w:rsid w:val="00A31C25"/>
    <w:rsid w:val="00A31DB5"/>
    <w:rsid w:val="00A328B0"/>
    <w:rsid w:val="00A33B70"/>
    <w:rsid w:val="00A3564C"/>
    <w:rsid w:val="00A361AA"/>
    <w:rsid w:val="00A377E2"/>
    <w:rsid w:val="00A404BD"/>
    <w:rsid w:val="00A406F3"/>
    <w:rsid w:val="00A42150"/>
    <w:rsid w:val="00A42A7C"/>
    <w:rsid w:val="00A43F5B"/>
    <w:rsid w:val="00A459C4"/>
    <w:rsid w:val="00A46703"/>
    <w:rsid w:val="00A46B2F"/>
    <w:rsid w:val="00A52530"/>
    <w:rsid w:val="00A5299C"/>
    <w:rsid w:val="00A52A0D"/>
    <w:rsid w:val="00A539B3"/>
    <w:rsid w:val="00A61AA5"/>
    <w:rsid w:val="00A623DC"/>
    <w:rsid w:val="00A62F43"/>
    <w:rsid w:val="00A63038"/>
    <w:rsid w:val="00A635B6"/>
    <w:rsid w:val="00A647DB"/>
    <w:rsid w:val="00A64948"/>
    <w:rsid w:val="00A67910"/>
    <w:rsid w:val="00A71F01"/>
    <w:rsid w:val="00A747ED"/>
    <w:rsid w:val="00A75D97"/>
    <w:rsid w:val="00A76C27"/>
    <w:rsid w:val="00A810AB"/>
    <w:rsid w:val="00A82567"/>
    <w:rsid w:val="00A83976"/>
    <w:rsid w:val="00A83D36"/>
    <w:rsid w:val="00A83EF8"/>
    <w:rsid w:val="00A844E8"/>
    <w:rsid w:val="00A85449"/>
    <w:rsid w:val="00A85849"/>
    <w:rsid w:val="00A87FE6"/>
    <w:rsid w:val="00A9152F"/>
    <w:rsid w:val="00A92D5B"/>
    <w:rsid w:val="00A93B38"/>
    <w:rsid w:val="00A96D56"/>
    <w:rsid w:val="00A97338"/>
    <w:rsid w:val="00A973AD"/>
    <w:rsid w:val="00A97B20"/>
    <w:rsid w:val="00AA139D"/>
    <w:rsid w:val="00AA1976"/>
    <w:rsid w:val="00AA218C"/>
    <w:rsid w:val="00AA4A0F"/>
    <w:rsid w:val="00AA5537"/>
    <w:rsid w:val="00AA7631"/>
    <w:rsid w:val="00AA77D6"/>
    <w:rsid w:val="00AB0FC1"/>
    <w:rsid w:val="00AB15B4"/>
    <w:rsid w:val="00AB47A5"/>
    <w:rsid w:val="00AB5B0D"/>
    <w:rsid w:val="00AB6FDB"/>
    <w:rsid w:val="00AC06A6"/>
    <w:rsid w:val="00AC07A2"/>
    <w:rsid w:val="00AC2A10"/>
    <w:rsid w:val="00AC2AAE"/>
    <w:rsid w:val="00AC4AFF"/>
    <w:rsid w:val="00AC5AAE"/>
    <w:rsid w:val="00AC66A6"/>
    <w:rsid w:val="00AC6A65"/>
    <w:rsid w:val="00AD09A4"/>
    <w:rsid w:val="00AD1602"/>
    <w:rsid w:val="00AD2A64"/>
    <w:rsid w:val="00AD6656"/>
    <w:rsid w:val="00AD665F"/>
    <w:rsid w:val="00AD7092"/>
    <w:rsid w:val="00AD7DF3"/>
    <w:rsid w:val="00AE1986"/>
    <w:rsid w:val="00AE707D"/>
    <w:rsid w:val="00AF05C7"/>
    <w:rsid w:val="00AF50F1"/>
    <w:rsid w:val="00AF752B"/>
    <w:rsid w:val="00AF76BB"/>
    <w:rsid w:val="00B01C49"/>
    <w:rsid w:val="00B028FD"/>
    <w:rsid w:val="00B04513"/>
    <w:rsid w:val="00B04F56"/>
    <w:rsid w:val="00B05C22"/>
    <w:rsid w:val="00B065F0"/>
    <w:rsid w:val="00B10C82"/>
    <w:rsid w:val="00B146C6"/>
    <w:rsid w:val="00B167F1"/>
    <w:rsid w:val="00B16922"/>
    <w:rsid w:val="00B20909"/>
    <w:rsid w:val="00B2386C"/>
    <w:rsid w:val="00B23D06"/>
    <w:rsid w:val="00B258CC"/>
    <w:rsid w:val="00B26577"/>
    <w:rsid w:val="00B2739B"/>
    <w:rsid w:val="00B30626"/>
    <w:rsid w:val="00B30638"/>
    <w:rsid w:val="00B308C1"/>
    <w:rsid w:val="00B321F0"/>
    <w:rsid w:val="00B3595F"/>
    <w:rsid w:val="00B36DC6"/>
    <w:rsid w:val="00B3747D"/>
    <w:rsid w:val="00B434E5"/>
    <w:rsid w:val="00B44C53"/>
    <w:rsid w:val="00B46596"/>
    <w:rsid w:val="00B53C4C"/>
    <w:rsid w:val="00B5551C"/>
    <w:rsid w:val="00B560FC"/>
    <w:rsid w:val="00B569FB"/>
    <w:rsid w:val="00B62635"/>
    <w:rsid w:val="00B63951"/>
    <w:rsid w:val="00B63B09"/>
    <w:rsid w:val="00B646C6"/>
    <w:rsid w:val="00B703A1"/>
    <w:rsid w:val="00B70635"/>
    <w:rsid w:val="00B717D5"/>
    <w:rsid w:val="00B75136"/>
    <w:rsid w:val="00B83554"/>
    <w:rsid w:val="00B84862"/>
    <w:rsid w:val="00B85A13"/>
    <w:rsid w:val="00B86B8F"/>
    <w:rsid w:val="00B91C87"/>
    <w:rsid w:val="00B91F45"/>
    <w:rsid w:val="00B930C2"/>
    <w:rsid w:val="00B93C4A"/>
    <w:rsid w:val="00B94441"/>
    <w:rsid w:val="00B96E06"/>
    <w:rsid w:val="00B97278"/>
    <w:rsid w:val="00BA0384"/>
    <w:rsid w:val="00BA0420"/>
    <w:rsid w:val="00BA29FC"/>
    <w:rsid w:val="00BA32EA"/>
    <w:rsid w:val="00BA6CA0"/>
    <w:rsid w:val="00BB3642"/>
    <w:rsid w:val="00BB40FD"/>
    <w:rsid w:val="00BB786E"/>
    <w:rsid w:val="00BC0234"/>
    <w:rsid w:val="00BC2054"/>
    <w:rsid w:val="00BC2124"/>
    <w:rsid w:val="00BC2B8F"/>
    <w:rsid w:val="00BC5D45"/>
    <w:rsid w:val="00BD22FF"/>
    <w:rsid w:val="00BD2AE2"/>
    <w:rsid w:val="00BD508A"/>
    <w:rsid w:val="00BD50D9"/>
    <w:rsid w:val="00BD5138"/>
    <w:rsid w:val="00BD71D2"/>
    <w:rsid w:val="00BE1BF0"/>
    <w:rsid w:val="00BE56B2"/>
    <w:rsid w:val="00BE5BD9"/>
    <w:rsid w:val="00BE6F2A"/>
    <w:rsid w:val="00BF13E7"/>
    <w:rsid w:val="00BF1621"/>
    <w:rsid w:val="00BF388E"/>
    <w:rsid w:val="00BF39BB"/>
    <w:rsid w:val="00BF536E"/>
    <w:rsid w:val="00BF5EAF"/>
    <w:rsid w:val="00BF70C2"/>
    <w:rsid w:val="00BF7E04"/>
    <w:rsid w:val="00BF7F1B"/>
    <w:rsid w:val="00C027D4"/>
    <w:rsid w:val="00C03430"/>
    <w:rsid w:val="00C04A86"/>
    <w:rsid w:val="00C0501A"/>
    <w:rsid w:val="00C051F5"/>
    <w:rsid w:val="00C06676"/>
    <w:rsid w:val="00C07080"/>
    <w:rsid w:val="00C122CA"/>
    <w:rsid w:val="00C17A33"/>
    <w:rsid w:val="00C21902"/>
    <w:rsid w:val="00C224FE"/>
    <w:rsid w:val="00C25AD7"/>
    <w:rsid w:val="00C27661"/>
    <w:rsid w:val="00C30E46"/>
    <w:rsid w:val="00C33479"/>
    <w:rsid w:val="00C3479D"/>
    <w:rsid w:val="00C34D96"/>
    <w:rsid w:val="00C3750B"/>
    <w:rsid w:val="00C406C3"/>
    <w:rsid w:val="00C40C98"/>
    <w:rsid w:val="00C41DE7"/>
    <w:rsid w:val="00C43BA9"/>
    <w:rsid w:val="00C4551F"/>
    <w:rsid w:val="00C45BA8"/>
    <w:rsid w:val="00C512AE"/>
    <w:rsid w:val="00C518A3"/>
    <w:rsid w:val="00C5505C"/>
    <w:rsid w:val="00C57316"/>
    <w:rsid w:val="00C57CF0"/>
    <w:rsid w:val="00C612FC"/>
    <w:rsid w:val="00C6226A"/>
    <w:rsid w:val="00C63F16"/>
    <w:rsid w:val="00C668F1"/>
    <w:rsid w:val="00C66E6E"/>
    <w:rsid w:val="00C67215"/>
    <w:rsid w:val="00C7097B"/>
    <w:rsid w:val="00C70C06"/>
    <w:rsid w:val="00C70FB2"/>
    <w:rsid w:val="00C741D6"/>
    <w:rsid w:val="00C7434F"/>
    <w:rsid w:val="00C74D98"/>
    <w:rsid w:val="00C75670"/>
    <w:rsid w:val="00C76C3F"/>
    <w:rsid w:val="00C80266"/>
    <w:rsid w:val="00C817CE"/>
    <w:rsid w:val="00C81DC2"/>
    <w:rsid w:val="00C841A9"/>
    <w:rsid w:val="00C86241"/>
    <w:rsid w:val="00C867C8"/>
    <w:rsid w:val="00C8696E"/>
    <w:rsid w:val="00C87292"/>
    <w:rsid w:val="00C872E9"/>
    <w:rsid w:val="00C90DA6"/>
    <w:rsid w:val="00C91D44"/>
    <w:rsid w:val="00C92A42"/>
    <w:rsid w:val="00C92DF9"/>
    <w:rsid w:val="00C943E3"/>
    <w:rsid w:val="00C949C9"/>
    <w:rsid w:val="00C961DB"/>
    <w:rsid w:val="00C9668E"/>
    <w:rsid w:val="00C97C03"/>
    <w:rsid w:val="00C97C0D"/>
    <w:rsid w:val="00CA0464"/>
    <w:rsid w:val="00CA049E"/>
    <w:rsid w:val="00CA1CD5"/>
    <w:rsid w:val="00CA2AAC"/>
    <w:rsid w:val="00CA2CAD"/>
    <w:rsid w:val="00CA321F"/>
    <w:rsid w:val="00CA34EF"/>
    <w:rsid w:val="00CA3A67"/>
    <w:rsid w:val="00CA4E15"/>
    <w:rsid w:val="00CA5023"/>
    <w:rsid w:val="00CA5571"/>
    <w:rsid w:val="00CA5BC0"/>
    <w:rsid w:val="00CB07B9"/>
    <w:rsid w:val="00CB2645"/>
    <w:rsid w:val="00CB2734"/>
    <w:rsid w:val="00CB4BFE"/>
    <w:rsid w:val="00CB4E13"/>
    <w:rsid w:val="00CB6266"/>
    <w:rsid w:val="00CB6551"/>
    <w:rsid w:val="00CB671E"/>
    <w:rsid w:val="00CB74CF"/>
    <w:rsid w:val="00CC3F5E"/>
    <w:rsid w:val="00CC73A0"/>
    <w:rsid w:val="00CC7B99"/>
    <w:rsid w:val="00CC7D85"/>
    <w:rsid w:val="00CD08EB"/>
    <w:rsid w:val="00CD0A39"/>
    <w:rsid w:val="00CD1C40"/>
    <w:rsid w:val="00CD2B35"/>
    <w:rsid w:val="00CD3891"/>
    <w:rsid w:val="00CD3FA6"/>
    <w:rsid w:val="00CD5F7C"/>
    <w:rsid w:val="00CD7774"/>
    <w:rsid w:val="00CD77FD"/>
    <w:rsid w:val="00CE2DF6"/>
    <w:rsid w:val="00CE4931"/>
    <w:rsid w:val="00CE6310"/>
    <w:rsid w:val="00CE6487"/>
    <w:rsid w:val="00CE7F46"/>
    <w:rsid w:val="00CF0B43"/>
    <w:rsid w:val="00CF1DE9"/>
    <w:rsid w:val="00CF210A"/>
    <w:rsid w:val="00CF346C"/>
    <w:rsid w:val="00CF3CB8"/>
    <w:rsid w:val="00CF42CF"/>
    <w:rsid w:val="00CF4535"/>
    <w:rsid w:val="00D006A7"/>
    <w:rsid w:val="00D0377A"/>
    <w:rsid w:val="00D03EF7"/>
    <w:rsid w:val="00D058F6"/>
    <w:rsid w:val="00D059D7"/>
    <w:rsid w:val="00D10B03"/>
    <w:rsid w:val="00D10E2E"/>
    <w:rsid w:val="00D11B98"/>
    <w:rsid w:val="00D13973"/>
    <w:rsid w:val="00D14D20"/>
    <w:rsid w:val="00D17974"/>
    <w:rsid w:val="00D2008D"/>
    <w:rsid w:val="00D21714"/>
    <w:rsid w:val="00D218BD"/>
    <w:rsid w:val="00D238B7"/>
    <w:rsid w:val="00D23EB5"/>
    <w:rsid w:val="00D24DDF"/>
    <w:rsid w:val="00D25C7B"/>
    <w:rsid w:val="00D25D35"/>
    <w:rsid w:val="00D30247"/>
    <w:rsid w:val="00D32C32"/>
    <w:rsid w:val="00D3305F"/>
    <w:rsid w:val="00D33F0D"/>
    <w:rsid w:val="00D34BA2"/>
    <w:rsid w:val="00D35C9F"/>
    <w:rsid w:val="00D3654A"/>
    <w:rsid w:val="00D36848"/>
    <w:rsid w:val="00D36A6E"/>
    <w:rsid w:val="00D36A83"/>
    <w:rsid w:val="00D37A11"/>
    <w:rsid w:val="00D40556"/>
    <w:rsid w:val="00D417C3"/>
    <w:rsid w:val="00D42C1C"/>
    <w:rsid w:val="00D437A3"/>
    <w:rsid w:val="00D44801"/>
    <w:rsid w:val="00D459EF"/>
    <w:rsid w:val="00D47272"/>
    <w:rsid w:val="00D50CD5"/>
    <w:rsid w:val="00D51389"/>
    <w:rsid w:val="00D51D03"/>
    <w:rsid w:val="00D5450B"/>
    <w:rsid w:val="00D550F8"/>
    <w:rsid w:val="00D553BC"/>
    <w:rsid w:val="00D55CFD"/>
    <w:rsid w:val="00D57C7F"/>
    <w:rsid w:val="00D617E7"/>
    <w:rsid w:val="00D62132"/>
    <w:rsid w:val="00D6317B"/>
    <w:rsid w:val="00D632D9"/>
    <w:rsid w:val="00D64174"/>
    <w:rsid w:val="00D653B6"/>
    <w:rsid w:val="00D65B5C"/>
    <w:rsid w:val="00D67B29"/>
    <w:rsid w:val="00D710F0"/>
    <w:rsid w:val="00D71BD3"/>
    <w:rsid w:val="00D72475"/>
    <w:rsid w:val="00D72528"/>
    <w:rsid w:val="00D7356F"/>
    <w:rsid w:val="00D73682"/>
    <w:rsid w:val="00D74188"/>
    <w:rsid w:val="00D764BF"/>
    <w:rsid w:val="00D76E3B"/>
    <w:rsid w:val="00D774E6"/>
    <w:rsid w:val="00D7788A"/>
    <w:rsid w:val="00D77898"/>
    <w:rsid w:val="00D8060A"/>
    <w:rsid w:val="00D80689"/>
    <w:rsid w:val="00D8259B"/>
    <w:rsid w:val="00D830F4"/>
    <w:rsid w:val="00D831E6"/>
    <w:rsid w:val="00D858E5"/>
    <w:rsid w:val="00D86295"/>
    <w:rsid w:val="00D8692E"/>
    <w:rsid w:val="00D912B7"/>
    <w:rsid w:val="00D91D9B"/>
    <w:rsid w:val="00D92A26"/>
    <w:rsid w:val="00D93393"/>
    <w:rsid w:val="00D95892"/>
    <w:rsid w:val="00D96182"/>
    <w:rsid w:val="00DA0191"/>
    <w:rsid w:val="00DA0D17"/>
    <w:rsid w:val="00DA2744"/>
    <w:rsid w:val="00DA2F57"/>
    <w:rsid w:val="00DA3248"/>
    <w:rsid w:val="00DA4861"/>
    <w:rsid w:val="00DA52C8"/>
    <w:rsid w:val="00DA52FE"/>
    <w:rsid w:val="00DA588E"/>
    <w:rsid w:val="00DA646C"/>
    <w:rsid w:val="00DA7AA4"/>
    <w:rsid w:val="00DB0022"/>
    <w:rsid w:val="00DB0086"/>
    <w:rsid w:val="00DB316D"/>
    <w:rsid w:val="00DB5657"/>
    <w:rsid w:val="00DB586D"/>
    <w:rsid w:val="00DB78C7"/>
    <w:rsid w:val="00DC0ADA"/>
    <w:rsid w:val="00DC1CA7"/>
    <w:rsid w:val="00DC1F1D"/>
    <w:rsid w:val="00DC24F0"/>
    <w:rsid w:val="00DC57CB"/>
    <w:rsid w:val="00DC5D58"/>
    <w:rsid w:val="00DC6759"/>
    <w:rsid w:val="00DD02F3"/>
    <w:rsid w:val="00DD6F06"/>
    <w:rsid w:val="00DD6F86"/>
    <w:rsid w:val="00DE520A"/>
    <w:rsid w:val="00DE7EF5"/>
    <w:rsid w:val="00DF4550"/>
    <w:rsid w:val="00DF7206"/>
    <w:rsid w:val="00DF7D8A"/>
    <w:rsid w:val="00E0197B"/>
    <w:rsid w:val="00E01F99"/>
    <w:rsid w:val="00E02571"/>
    <w:rsid w:val="00E02893"/>
    <w:rsid w:val="00E03AF6"/>
    <w:rsid w:val="00E04D87"/>
    <w:rsid w:val="00E054A1"/>
    <w:rsid w:val="00E07BB5"/>
    <w:rsid w:val="00E10899"/>
    <w:rsid w:val="00E120AD"/>
    <w:rsid w:val="00E123FB"/>
    <w:rsid w:val="00E12E07"/>
    <w:rsid w:val="00E1458B"/>
    <w:rsid w:val="00E14F8F"/>
    <w:rsid w:val="00E1519E"/>
    <w:rsid w:val="00E15D9A"/>
    <w:rsid w:val="00E174BC"/>
    <w:rsid w:val="00E20504"/>
    <w:rsid w:val="00E22D8B"/>
    <w:rsid w:val="00E243A7"/>
    <w:rsid w:val="00E25E11"/>
    <w:rsid w:val="00E25F40"/>
    <w:rsid w:val="00E2654D"/>
    <w:rsid w:val="00E26E21"/>
    <w:rsid w:val="00E30696"/>
    <w:rsid w:val="00E3147D"/>
    <w:rsid w:val="00E3554F"/>
    <w:rsid w:val="00E41CEF"/>
    <w:rsid w:val="00E43908"/>
    <w:rsid w:val="00E4579E"/>
    <w:rsid w:val="00E4712D"/>
    <w:rsid w:val="00E47653"/>
    <w:rsid w:val="00E50D47"/>
    <w:rsid w:val="00E51021"/>
    <w:rsid w:val="00E5178A"/>
    <w:rsid w:val="00E540D1"/>
    <w:rsid w:val="00E54BB7"/>
    <w:rsid w:val="00E55461"/>
    <w:rsid w:val="00E56565"/>
    <w:rsid w:val="00E604F0"/>
    <w:rsid w:val="00E621CC"/>
    <w:rsid w:val="00E63598"/>
    <w:rsid w:val="00E67798"/>
    <w:rsid w:val="00E7295C"/>
    <w:rsid w:val="00E72FE8"/>
    <w:rsid w:val="00E76BA4"/>
    <w:rsid w:val="00E80E7E"/>
    <w:rsid w:val="00E81A42"/>
    <w:rsid w:val="00E81C12"/>
    <w:rsid w:val="00E82D04"/>
    <w:rsid w:val="00E84957"/>
    <w:rsid w:val="00E85415"/>
    <w:rsid w:val="00E90CD2"/>
    <w:rsid w:val="00E90F1C"/>
    <w:rsid w:val="00E97B48"/>
    <w:rsid w:val="00E97E40"/>
    <w:rsid w:val="00EA11A4"/>
    <w:rsid w:val="00EA30E0"/>
    <w:rsid w:val="00EA42D8"/>
    <w:rsid w:val="00EA4F74"/>
    <w:rsid w:val="00EA594E"/>
    <w:rsid w:val="00EA622F"/>
    <w:rsid w:val="00EA6AC7"/>
    <w:rsid w:val="00EB0FF6"/>
    <w:rsid w:val="00EB11AA"/>
    <w:rsid w:val="00EB12E2"/>
    <w:rsid w:val="00EB1462"/>
    <w:rsid w:val="00EB24D3"/>
    <w:rsid w:val="00EB3508"/>
    <w:rsid w:val="00EB4BAA"/>
    <w:rsid w:val="00EB4C8E"/>
    <w:rsid w:val="00EB6779"/>
    <w:rsid w:val="00EB7966"/>
    <w:rsid w:val="00EC1071"/>
    <w:rsid w:val="00EC28A1"/>
    <w:rsid w:val="00EC48D7"/>
    <w:rsid w:val="00EC4C7C"/>
    <w:rsid w:val="00ED3592"/>
    <w:rsid w:val="00ED40E3"/>
    <w:rsid w:val="00ED4163"/>
    <w:rsid w:val="00ED5CEE"/>
    <w:rsid w:val="00ED6C9D"/>
    <w:rsid w:val="00ED728C"/>
    <w:rsid w:val="00EE0886"/>
    <w:rsid w:val="00EE1ED1"/>
    <w:rsid w:val="00EE35DA"/>
    <w:rsid w:val="00EE3D1B"/>
    <w:rsid w:val="00EE4F93"/>
    <w:rsid w:val="00EE6572"/>
    <w:rsid w:val="00EE6F3D"/>
    <w:rsid w:val="00EE7CAA"/>
    <w:rsid w:val="00EE7ED1"/>
    <w:rsid w:val="00EF25A6"/>
    <w:rsid w:val="00EF31D3"/>
    <w:rsid w:val="00EF387B"/>
    <w:rsid w:val="00EF4179"/>
    <w:rsid w:val="00F00AD5"/>
    <w:rsid w:val="00F027A4"/>
    <w:rsid w:val="00F045EB"/>
    <w:rsid w:val="00F04CDE"/>
    <w:rsid w:val="00F06041"/>
    <w:rsid w:val="00F07005"/>
    <w:rsid w:val="00F07665"/>
    <w:rsid w:val="00F10606"/>
    <w:rsid w:val="00F110FD"/>
    <w:rsid w:val="00F11AD4"/>
    <w:rsid w:val="00F133A7"/>
    <w:rsid w:val="00F1475C"/>
    <w:rsid w:val="00F202B5"/>
    <w:rsid w:val="00F214C4"/>
    <w:rsid w:val="00F224E6"/>
    <w:rsid w:val="00F23277"/>
    <w:rsid w:val="00F24CFB"/>
    <w:rsid w:val="00F269D1"/>
    <w:rsid w:val="00F301D1"/>
    <w:rsid w:val="00F305A9"/>
    <w:rsid w:val="00F3107D"/>
    <w:rsid w:val="00F31EA3"/>
    <w:rsid w:val="00F31FAE"/>
    <w:rsid w:val="00F3208F"/>
    <w:rsid w:val="00F3273E"/>
    <w:rsid w:val="00F335CF"/>
    <w:rsid w:val="00F34C02"/>
    <w:rsid w:val="00F36064"/>
    <w:rsid w:val="00F4154B"/>
    <w:rsid w:val="00F42F8B"/>
    <w:rsid w:val="00F44A51"/>
    <w:rsid w:val="00F45410"/>
    <w:rsid w:val="00F5077F"/>
    <w:rsid w:val="00F53673"/>
    <w:rsid w:val="00F547CC"/>
    <w:rsid w:val="00F54E2A"/>
    <w:rsid w:val="00F55574"/>
    <w:rsid w:val="00F55CD6"/>
    <w:rsid w:val="00F56DCC"/>
    <w:rsid w:val="00F57510"/>
    <w:rsid w:val="00F5764B"/>
    <w:rsid w:val="00F57A5E"/>
    <w:rsid w:val="00F619E7"/>
    <w:rsid w:val="00F63B9E"/>
    <w:rsid w:val="00F645CF"/>
    <w:rsid w:val="00F64F2E"/>
    <w:rsid w:val="00F64FB6"/>
    <w:rsid w:val="00F657F4"/>
    <w:rsid w:val="00F67712"/>
    <w:rsid w:val="00F70200"/>
    <w:rsid w:val="00F71B71"/>
    <w:rsid w:val="00F73611"/>
    <w:rsid w:val="00F73F4E"/>
    <w:rsid w:val="00F7711C"/>
    <w:rsid w:val="00F77A9A"/>
    <w:rsid w:val="00F807F8"/>
    <w:rsid w:val="00F81390"/>
    <w:rsid w:val="00F81CB7"/>
    <w:rsid w:val="00F83FB9"/>
    <w:rsid w:val="00F84487"/>
    <w:rsid w:val="00F87A32"/>
    <w:rsid w:val="00F9362B"/>
    <w:rsid w:val="00F94F64"/>
    <w:rsid w:val="00F97742"/>
    <w:rsid w:val="00F9796F"/>
    <w:rsid w:val="00FA0210"/>
    <w:rsid w:val="00FA061D"/>
    <w:rsid w:val="00FA2243"/>
    <w:rsid w:val="00FA686C"/>
    <w:rsid w:val="00FA79F7"/>
    <w:rsid w:val="00FA7DDD"/>
    <w:rsid w:val="00FB138E"/>
    <w:rsid w:val="00FB188D"/>
    <w:rsid w:val="00FB1FB6"/>
    <w:rsid w:val="00FB21A0"/>
    <w:rsid w:val="00FB53B8"/>
    <w:rsid w:val="00FB7B93"/>
    <w:rsid w:val="00FC0B1B"/>
    <w:rsid w:val="00FC158E"/>
    <w:rsid w:val="00FC2165"/>
    <w:rsid w:val="00FC216F"/>
    <w:rsid w:val="00FC2EEB"/>
    <w:rsid w:val="00FC3E18"/>
    <w:rsid w:val="00FC436B"/>
    <w:rsid w:val="00FC4D3B"/>
    <w:rsid w:val="00FC598F"/>
    <w:rsid w:val="00FC5CCD"/>
    <w:rsid w:val="00FC6C7A"/>
    <w:rsid w:val="00FD06CB"/>
    <w:rsid w:val="00FD4467"/>
    <w:rsid w:val="00FD456E"/>
    <w:rsid w:val="00FD696D"/>
    <w:rsid w:val="00FD7117"/>
    <w:rsid w:val="00FD73FE"/>
    <w:rsid w:val="00FE03A3"/>
    <w:rsid w:val="00FE2895"/>
    <w:rsid w:val="00FE45D8"/>
    <w:rsid w:val="00FE680D"/>
    <w:rsid w:val="00FF1831"/>
    <w:rsid w:val="00FF399D"/>
    <w:rsid w:val="00FF41AA"/>
    <w:rsid w:val="00FF4A41"/>
    <w:rsid w:val="00FF6865"/>
    <w:rsid w:val="00FF76B7"/>
    <w:rsid w:val="00FF7D5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273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822A0"/>
  </w:style>
  <w:style w:type="paragraph" w:styleId="Nadpis1">
    <w:name w:val="heading 1"/>
    <w:basedOn w:val="Normln"/>
    <w:next w:val="Normln"/>
    <w:link w:val="Nadpis1Char"/>
    <w:uiPriority w:val="9"/>
    <w:qFormat/>
    <w:rsid w:val="00514F3C"/>
    <w:pPr>
      <w:keepNext/>
      <w:keepLines/>
      <w:spacing w:before="480" w:after="120"/>
      <w:outlineLvl w:val="0"/>
    </w:pPr>
    <w:rPr>
      <w:rFonts w:asciiTheme="majorHAnsi" w:eastAsiaTheme="majorEastAsia" w:hAnsiTheme="majorHAnsi" w:cstheme="majorBidi"/>
      <w:b/>
      <w:bCs/>
      <w:color w:val="365F91" w:themeColor="accent1" w:themeShade="BF"/>
      <w:sz w:val="36"/>
      <w:szCs w:val="28"/>
    </w:rPr>
  </w:style>
  <w:style w:type="paragraph" w:styleId="Nadpis2">
    <w:name w:val="heading 2"/>
    <w:basedOn w:val="Normln"/>
    <w:next w:val="Normln"/>
    <w:link w:val="Nadpis2Char"/>
    <w:uiPriority w:val="9"/>
    <w:unhideWhenUsed/>
    <w:qFormat/>
    <w:rsid w:val="00514F3C"/>
    <w:pPr>
      <w:keepNext/>
      <w:keepLines/>
      <w:spacing w:before="200" w:after="120"/>
      <w:outlineLvl w:val="1"/>
    </w:pPr>
    <w:rPr>
      <w:rFonts w:asciiTheme="majorHAnsi" w:eastAsiaTheme="majorEastAsia" w:hAnsiTheme="majorHAnsi" w:cstheme="majorBidi"/>
      <w:b/>
      <w:bCs/>
      <w:color w:val="4F81BD" w:themeColor="accent1"/>
      <w:sz w:val="32"/>
      <w:szCs w:val="26"/>
    </w:rPr>
  </w:style>
  <w:style w:type="paragraph" w:styleId="Nadpis3">
    <w:name w:val="heading 3"/>
    <w:basedOn w:val="Normln"/>
    <w:next w:val="Normln"/>
    <w:link w:val="Nadpis3Char"/>
    <w:uiPriority w:val="9"/>
    <w:unhideWhenUsed/>
    <w:qFormat/>
    <w:rsid w:val="00514F3C"/>
    <w:pPr>
      <w:keepNext/>
      <w:keepLines/>
      <w:spacing w:before="200" w:after="120"/>
      <w:outlineLvl w:val="2"/>
    </w:pPr>
    <w:rPr>
      <w:rFonts w:asciiTheme="majorHAnsi" w:eastAsiaTheme="majorEastAsia" w:hAnsiTheme="majorHAnsi" w:cstheme="majorBidi"/>
      <w:b/>
      <w:bCs/>
      <w:color w:val="4F81BD" w:themeColor="accent1"/>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514F3C"/>
    <w:rPr>
      <w:rFonts w:asciiTheme="majorHAnsi" w:eastAsiaTheme="majorEastAsia" w:hAnsiTheme="majorHAnsi" w:cstheme="majorBidi"/>
      <w:b/>
      <w:bCs/>
      <w:color w:val="365F91" w:themeColor="accent1" w:themeShade="BF"/>
      <w:sz w:val="36"/>
      <w:szCs w:val="28"/>
    </w:rPr>
  </w:style>
  <w:style w:type="paragraph" w:styleId="Odstavecseseznamem">
    <w:name w:val="List Paragraph"/>
    <w:basedOn w:val="Normln"/>
    <w:uiPriority w:val="34"/>
    <w:qFormat/>
    <w:rsid w:val="000822A0"/>
    <w:pPr>
      <w:ind w:left="720"/>
      <w:contextualSpacing/>
    </w:pPr>
  </w:style>
  <w:style w:type="paragraph" w:styleId="Zhlav">
    <w:name w:val="header"/>
    <w:basedOn w:val="Normln"/>
    <w:link w:val="ZhlavChar"/>
    <w:uiPriority w:val="99"/>
    <w:unhideWhenUsed/>
    <w:rsid w:val="000822A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822A0"/>
  </w:style>
  <w:style w:type="paragraph" w:styleId="Zpat">
    <w:name w:val="footer"/>
    <w:basedOn w:val="Normln"/>
    <w:link w:val="ZpatChar"/>
    <w:uiPriority w:val="99"/>
    <w:unhideWhenUsed/>
    <w:rsid w:val="000822A0"/>
    <w:pPr>
      <w:tabs>
        <w:tab w:val="center" w:pos="4536"/>
        <w:tab w:val="right" w:pos="9072"/>
      </w:tabs>
      <w:spacing w:after="0" w:line="240" w:lineRule="auto"/>
    </w:pPr>
  </w:style>
  <w:style w:type="character" w:customStyle="1" w:styleId="ZpatChar">
    <w:name w:val="Zápatí Char"/>
    <w:basedOn w:val="Standardnpsmoodstavce"/>
    <w:link w:val="Zpat"/>
    <w:uiPriority w:val="99"/>
    <w:rsid w:val="000822A0"/>
  </w:style>
  <w:style w:type="character" w:styleId="Hypertextovodkaz">
    <w:name w:val="Hyperlink"/>
    <w:basedOn w:val="Standardnpsmoodstavce"/>
    <w:uiPriority w:val="99"/>
    <w:unhideWhenUsed/>
    <w:rsid w:val="00956D00"/>
    <w:rPr>
      <w:rFonts w:ascii="Arial" w:hAnsi="Arial"/>
      <w:strike w:val="0"/>
      <w:dstrike w:val="0"/>
      <w:color w:val="00559A"/>
      <w:u w:val="none"/>
      <w:effect w:val="none"/>
    </w:rPr>
  </w:style>
  <w:style w:type="paragraph" w:styleId="Podtitul">
    <w:name w:val="Subtitle"/>
    <w:aliases w:val="nadpis 2"/>
    <w:basedOn w:val="Normln"/>
    <w:next w:val="Normln"/>
    <w:link w:val="PodtitulChar"/>
    <w:qFormat/>
    <w:rsid w:val="000822A0"/>
    <w:pPr>
      <w:keepNext/>
      <w:numPr>
        <w:ilvl w:val="1"/>
        <w:numId w:val="2"/>
      </w:numPr>
      <w:spacing w:before="120" w:after="120" w:line="240" w:lineRule="auto"/>
    </w:pPr>
    <w:rPr>
      <w:rFonts w:asciiTheme="majorHAnsi" w:eastAsiaTheme="majorEastAsia" w:hAnsiTheme="majorHAnsi" w:cstheme="majorBidi"/>
      <w:b/>
      <w:iCs/>
      <w:spacing w:val="15"/>
      <w:sz w:val="24"/>
      <w:szCs w:val="24"/>
      <w:lang w:eastAsia="cs-CZ"/>
    </w:rPr>
  </w:style>
  <w:style w:type="character" w:customStyle="1" w:styleId="PodtitulChar">
    <w:name w:val="Podtitul Char"/>
    <w:aliases w:val="nadpis 2 Char"/>
    <w:basedOn w:val="Standardnpsmoodstavce"/>
    <w:link w:val="Podtitul"/>
    <w:rsid w:val="000822A0"/>
    <w:rPr>
      <w:rFonts w:asciiTheme="majorHAnsi" w:eastAsiaTheme="majorEastAsia" w:hAnsiTheme="majorHAnsi" w:cstheme="majorBidi"/>
      <w:b/>
      <w:iCs/>
      <w:spacing w:val="15"/>
      <w:sz w:val="24"/>
      <w:szCs w:val="24"/>
      <w:lang w:eastAsia="cs-CZ"/>
    </w:rPr>
  </w:style>
  <w:style w:type="paragraph" w:styleId="Nzev">
    <w:name w:val="Title"/>
    <w:basedOn w:val="Normln"/>
    <w:next w:val="Normln"/>
    <w:link w:val="NzevChar"/>
    <w:qFormat/>
    <w:rsid w:val="000822A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cs-CZ"/>
    </w:rPr>
  </w:style>
  <w:style w:type="character" w:customStyle="1" w:styleId="NzevChar">
    <w:name w:val="Název Char"/>
    <w:basedOn w:val="Standardnpsmoodstavce"/>
    <w:link w:val="Nzev"/>
    <w:rsid w:val="000822A0"/>
    <w:rPr>
      <w:rFonts w:asciiTheme="majorHAnsi" w:eastAsiaTheme="majorEastAsia" w:hAnsiTheme="majorHAnsi" w:cstheme="majorBidi"/>
      <w:color w:val="17365D" w:themeColor="text2" w:themeShade="BF"/>
      <w:spacing w:val="5"/>
      <w:kern w:val="28"/>
      <w:sz w:val="52"/>
      <w:szCs w:val="52"/>
      <w:lang w:eastAsia="cs-CZ"/>
    </w:rPr>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qFormat/>
    <w:rsid w:val="00145813"/>
    <w:pPr>
      <w:spacing w:after="0" w:line="240" w:lineRule="auto"/>
      <w:jc w:val="both"/>
    </w:pPr>
    <w:rPr>
      <w:rFonts w:ascii="Arial" w:eastAsia="Times New Roman" w:hAnsi="Arial" w:cs="Times New Roman"/>
      <w:sz w:val="18"/>
      <w:szCs w:val="20"/>
      <w:lang w:eastAsia="cs-CZ"/>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rsid w:val="00145813"/>
    <w:rPr>
      <w:rFonts w:ascii="Arial" w:eastAsia="Times New Roman" w:hAnsi="Arial" w:cs="Times New Roman"/>
      <w:sz w:val="18"/>
      <w:szCs w:val="20"/>
      <w:lang w:eastAsia="cs-CZ"/>
    </w:rPr>
  </w:style>
  <w:style w:type="character" w:styleId="Znakapoznpodarou">
    <w:name w:val="footnote reference"/>
    <w:aliases w:val="BVI fnr,Footnote symbol,Footnote Reference Superscript,Appel note de bas de p,Appel note de bas de page,Légende,Char Car Car Car Car,Voetnootverwijzing,PGI Fußnote Ziffer,Footnote Reference Number,Légende;Char Car Car Car Car"/>
    <w:basedOn w:val="Standardnpsmoodstavce"/>
    <w:uiPriority w:val="99"/>
    <w:rsid w:val="000822A0"/>
    <w:rPr>
      <w:vertAlign w:val="superscript"/>
    </w:rPr>
  </w:style>
  <w:style w:type="paragraph" w:styleId="Textbubliny">
    <w:name w:val="Balloon Text"/>
    <w:basedOn w:val="Normln"/>
    <w:link w:val="TextbublinyChar"/>
    <w:uiPriority w:val="99"/>
    <w:semiHidden/>
    <w:unhideWhenUsed/>
    <w:rsid w:val="000822A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822A0"/>
    <w:rPr>
      <w:rFonts w:ascii="Tahoma" w:hAnsi="Tahoma" w:cs="Tahoma"/>
      <w:sz w:val="16"/>
      <w:szCs w:val="16"/>
    </w:rPr>
  </w:style>
  <w:style w:type="paragraph" w:styleId="Normlnweb">
    <w:name w:val="Normal (Web)"/>
    <w:basedOn w:val="Normln"/>
    <w:uiPriority w:val="99"/>
    <w:semiHidden/>
    <w:unhideWhenUsed/>
    <w:rsid w:val="000822A0"/>
    <w:rPr>
      <w:rFonts w:ascii="Times New Roman" w:hAnsi="Times New Roman" w:cs="Times New Roman"/>
      <w:sz w:val="24"/>
      <w:szCs w:val="24"/>
    </w:rPr>
  </w:style>
  <w:style w:type="character" w:styleId="Odkaznakoment">
    <w:name w:val="annotation reference"/>
    <w:basedOn w:val="Standardnpsmoodstavce"/>
    <w:uiPriority w:val="99"/>
    <w:rsid w:val="00C41DE7"/>
    <w:rPr>
      <w:sz w:val="16"/>
      <w:szCs w:val="16"/>
    </w:rPr>
  </w:style>
  <w:style w:type="paragraph" w:styleId="Textkomente">
    <w:name w:val="annotation text"/>
    <w:basedOn w:val="Normln"/>
    <w:link w:val="TextkomenteChar"/>
    <w:uiPriority w:val="99"/>
    <w:rsid w:val="00C41DE7"/>
    <w:pPr>
      <w:spacing w:after="0" w:line="240" w:lineRule="auto"/>
    </w:pPr>
    <w:rPr>
      <w:rFonts w:ascii="Times New Roman" w:eastAsia="Times New Roman" w:hAnsi="Times New Roman" w:cs="Times New Roman"/>
      <w:sz w:val="20"/>
      <w:szCs w:val="20"/>
      <w:lang w:eastAsia="cs-CZ"/>
    </w:rPr>
  </w:style>
  <w:style w:type="character" w:customStyle="1" w:styleId="TextkomenteChar">
    <w:name w:val="Text komentáře Char"/>
    <w:basedOn w:val="Standardnpsmoodstavce"/>
    <w:link w:val="Textkomente"/>
    <w:uiPriority w:val="99"/>
    <w:rsid w:val="00C41DE7"/>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6A04BF"/>
    <w:pPr>
      <w:spacing w:after="200"/>
    </w:pPr>
    <w:rPr>
      <w:rFonts w:asciiTheme="minorHAnsi" w:eastAsiaTheme="minorHAnsi" w:hAnsiTheme="minorHAnsi" w:cstheme="minorBidi"/>
      <w:b/>
      <w:bCs/>
      <w:lang w:eastAsia="en-US"/>
    </w:rPr>
  </w:style>
  <w:style w:type="character" w:customStyle="1" w:styleId="PedmtkomenteChar">
    <w:name w:val="Předmět komentáře Char"/>
    <w:basedOn w:val="TextkomenteChar"/>
    <w:link w:val="Pedmtkomente"/>
    <w:uiPriority w:val="99"/>
    <w:semiHidden/>
    <w:rsid w:val="006A04BF"/>
    <w:rPr>
      <w:rFonts w:ascii="Times New Roman" w:eastAsia="Times New Roman" w:hAnsi="Times New Roman" w:cs="Times New Roman"/>
      <w:b/>
      <w:bCs/>
      <w:sz w:val="20"/>
      <w:szCs w:val="20"/>
      <w:lang w:eastAsia="cs-CZ"/>
    </w:rPr>
  </w:style>
  <w:style w:type="paragraph" w:styleId="Revize">
    <w:name w:val="Revision"/>
    <w:hidden/>
    <w:uiPriority w:val="99"/>
    <w:semiHidden/>
    <w:rsid w:val="006A04BF"/>
    <w:pPr>
      <w:spacing w:after="0" w:line="240" w:lineRule="auto"/>
    </w:pPr>
  </w:style>
  <w:style w:type="paragraph" w:customStyle="1" w:styleId="Obrzek-nadpis">
    <w:name w:val="Obrázek - nadpis"/>
    <w:basedOn w:val="Normln"/>
    <w:qFormat/>
    <w:rsid w:val="00E15D9A"/>
    <w:pPr>
      <w:keepNext/>
      <w:spacing w:before="120" w:after="240" w:line="240" w:lineRule="auto"/>
      <w:jc w:val="both"/>
    </w:pPr>
    <w:rPr>
      <w:rFonts w:ascii="Arial" w:eastAsia="Times New Roman" w:hAnsi="Arial" w:cs="Times New Roman"/>
      <w:b/>
      <w:szCs w:val="24"/>
      <w:lang w:eastAsia="cs-CZ"/>
    </w:rPr>
  </w:style>
  <w:style w:type="paragraph" w:customStyle="1" w:styleId="Zdroj">
    <w:name w:val="Zdroj"/>
    <w:basedOn w:val="Normln"/>
    <w:qFormat/>
    <w:rsid w:val="00AD6656"/>
    <w:pPr>
      <w:spacing w:before="120" w:after="120" w:line="240" w:lineRule="auto"/>
    </w:pPr>
    <w:rPr>
      <w:rFonts w:ascii="Arial" w:eastAsia="Times New Roman" w:hAnsi="Arial" w:cs="Times New Roman"/>
      <w:i/>
      <w:sz w:val="18"/>
      <w:szCs w:val="24"/>
      <w:lang w:eastAsia="cs-CZ"/>
    </w:rPr>
  </w:style>
  <w:style w:type="paragraph" w:customStyle="1" w:styleId="komentzaobrzkem">
    <w:name w:val="komentář za obrázkem"/>
    <w:basedOn w:val="Normln"/>
    <w:qFormat/>
    <w:rsid w:val="00055617"/>
    <w:pPr>
      <w:spacing w:after="60" w:line="240" w:lineRule="auto"/>
      <w:jc w:val="both"/>
    </w:pPr>
    <w:rPr>
      <w:rFonts w:ascii="Arial" w:eastAsia="Times New Roman" w:hAnsi="Arial" w:cs="Times New Roman"/>
      <w:i/>
      <w:sz w:val="18"/>
      <w:szCs w:val="24"/>
      <w:lang w:eastAsia="cs-CZ"/>
    </w:rPr>
  </w:style>
  <w:style w:type="paragraph" w:customStyle="1" w:styleId="komentzaobrzkem-odrky">
    <w:name w:val="komentář za obrázkem - odrážky"/>
    <w:basedOn w:val="komentzaobrzkem"/>
    <w:qFormat/>
    <w:rsid w:val="00055617"/>
    <w:pPr>
      <w:numPr>
        <w:ilvl w:val="2"/>
        <w:numId w:val="1"/>
      </w:numPr>
      <w:spacing w:after="0"/>
    </w:pPr>
  </w:style>
  <w:style w:type="paragraph" w:customStyle="1" w:styleId="NadpisurovenI">
    <w:name w:val="Nadpis_uroven_I"/>
    <w:basedOn w:val="Normln"/>
    <w:qFormat/>
    <w:rsid w:val="00DA646C"/>
    <w:pPr>
      <w:keepNext/>
      <w:keepLines/>
      <w:spacing w:before="240" w:after="240" w:line="240" w:lineRule="auto"/>
      <w:outlineLvl w:val="0"/>
    </w:pPr>
    <w:rPr>
      <w:rFonts w:asciiTheme="majorHAnsi" w:eastAsiaTheme="majorEastAsia" w:hAnsiTheme="majorHAnsi" w:cstheme="majorBidi"/>
      <w:b/>
      <w:bCs/>
      <w:color w:val="365F91" w:themeColor="accent1" w:themeShade="BF"/>
      <w:sz w:val="28"/>
      <w:szCs w:val="28"/>
      <w:lang w:eastAsia="cs-CZ"/>
    </w:rPr>
  </w:style>
  <w:style w:type="paragraph" w:customStyle="1" w:styleId="NadpisurovemII">
    <w:name w:val="Nadpis_urovem_II"/>
    <w:basedOn w:val="NadpisurovenI"/>
    <w:qFormat/>
    <w:rsid w:val="000C142B"/>
    <w:pPr>
      <w:spacing w:before="120" w:after="120"/>
    </w:pPr>
    <w:rPr>
      <w:sz w:val="24"/>
    </w:rPr>
  </w:style>
  <w:style w:type="paragraph" w:customStyle="1" w:styleId="Platformanadpis">
    <w:name w:val="Platforma_nadpis"/>
    <w:basedOn w:val="Normln"/>
    <w:qFormat/>
    <w:rsid w:val="00613032"/>
    <w:pPr>
      <w:spacing w:before="120" w:after="120" w:line="240" w:lineRule="auto"/>
      <w:jc w:val="both"/>
    </w:pPr>
    <w:rPr>
      <w:rFonts w:ascii="Arial" w:eastAsia="Times New Roman" w:hAnsi="Arial" w:cs="Arial"/>
      <w:b/>
      <w:lang w:eastAsia="cs-CZ"/>
    </w:rPr>
  </w:style>
  <w:style w:type="paragraph" w:styleId="Nadpisobsahu">
    <w:name w:val="TOC Heading"/>
    <w:basedOn w:val="Nadpis1"/>
    <w:next w:val="Normln"/>
    <w:uiPriority w:val="39"/>
    <w:semiHidden/>
    <w:unhideWhenUsed/>
    <w:qFormat/>
    <w:rsid w:val="001309B5"/>
    <w:pPr>
      <w:outlineLvl w:val="9"/>
    </w:pPr>
    <w:rPr>
      <w:lang w:eastAsia="cs-CZ"/>
    </w:rPr>
  </w:style>
  <w:style w:type="paragraph" w:styleId="Obsah1">
    <w:name w:val="toc 1"/>
    <w:basedOn w:val="Normln"/>
    <w:next w:val="Normln"/>
    <w:autoRedefine/>
    <w:uiPriority w:val="39"/>
    <w:unhideWhenUsed/>
    <w:qFormat/>
    <w:rsid w:val="00A92D5B"/>
    <w:pPr>
      <w:tabs>
        <w:tab w:val="right" w:leader="dot" w:pos="9639"/>
      </w:tabs>
      <w:spacing w:after="100"/>
      <w:ind w:left="680" w:right="1418" w:hanging="680"/>
    </w:pPr>
    <w:rPr>
      <w:rFonts w:ascii="Arial" w:hAnsi="Arial"/>
      <w:noProof/>
    </w:rPr>
  </w:style>
  <w:style w:type="paragraph" w:styleId="Obsah2">
    <w:name w:val="toc 2"/>
    <w:basedOn w:val="Normln"/>
    <w:next w:val="Normln"/>
    <w:autoRedefine/>
    <w:uiPriority w:val="39"/>
    <w:unhideWhenUsed/>
    <w:qFormat/>
    <w:rsid w:val="00EB24D3"/>
    <w:pPr>
      <w:tabs>
        <w:tab w:val="right" w:leader="dot" w:pos="9639"/>
      </w:tabs>
      <w:spacing w:after="100"/>
      <w:ind w:left="426" w:right="1416" w:hanging="426"/>
    </w:pPr>
    <w:rPr>
      <w:rFonts w:ascii="Arial" w:eastAsiaTheme="minorEastAsia" w:hAnsi="Arial"/>
      <w:lang w:eastAsia="cs-CZ"/>
    </w:rPr>
  </w:style>
  <w:style w:type="paragraph" w:styleId="Obsah3">
    <w:name w:val="toc 3"/>
    <w:basedOn w:val="Normln"/>
    <w:next w:val="Normln"/>
    <w:autoRedefine/>
    <w:uiPriority w:val="39"/>
    <w:unhideWhenUsed/>
    <w:qFormat/>
    <w:rsid w:val="00956D00"/>
    <w:pPr>
      <w:spacing w:after="100"/>
      <w:ind w:left="440"/>
    </w:pPr>
    <w:rPr>
      <w:rFonts w:ascii="Arial" w:eastAsiaTheme="minorEastAsia" w:hAnsi="Arial"/>
      <w:lang w:eastAsia="cs-CZ"/>
    </w:rPr>
  </w:style>
  <w:style w:type="character" w:customStyle="1" w:styleId="Nadpis2Char">
    <w:name w:val="Nadpis 2 Char"/>
    <w:basedOn w:val="Standardnpsmoodstavce"/>
    <w:link w:val="Nadpis2"/>
    <w:uiPriority w:val="9"/>
    <w:rsid w:val="00514F3C"/>
    <w:rPr>
      <w:rFonts w:asciiTheme="majorHAnsi" w:eastAsiaTheme="majorEastAsia" w:hAnsiTheme="majorHAnsi" w:cstheme="majorBidi"/>
      <w:b/>
      <w:bCs/>
      <w:color w:val="4F81BD" w:themeColor="accent1"/>
      <w:sz w:val="32"/>
      <w:szCs w:val="26"/>
    </w:rPr>
  </w:style>
  <w:style w:type="character" w:customStyle="1" w:styleId="Nadpis3Char">
    <w:name w:val="Nadpis 3 Char"/>
    <w:basedOn w:val="Standardnpsmoodstavce"/>
    <w:link w:val="Nadpis3"/>
    <w:uiPriority w:val="9"/>
    <w:rsid w:val="00514F3C"/>
    <w:rPr>
      <w:rFonts w:asciiTheme="majorHAnsi" w:eastAsiaTheme="majorEastAsia" w:hAnsiTheme="majorHAnsi" w:cstheme="majorBidi"/>
      <w:b/>
      <w:bCs/>
      <w:color w:val="4F81BD" w:themeColor="accent1"/>
      <w:sz w:val="28"/>
    </w:rPr>
  </w:style>
  <w:style w:type="character" w:styleId="Zstupntext">
    <w:name w:val="Placeholder Text"/>
    <w:basedOn w:val="Standardnpsmoodstavce"/>
    <w:uiPriority w:val="99"/>
    <w:semiHidden/>
    <w:rsid w:val="006338C7"/>
    <w:rPr>
      <w:color w:val="808080"/>
    </w:rPr>
  </w:style>
  <w:style w:type="paragraph" w:styleId="Bezmezer">
    <w:name w:val="No Spacing"/>
    <w:uiPriority w:val="1"/>
    <w:qFormat/>
    <w:rsid w:val="006338C7"/>
    <w:pPr>
      <w:spacing w:after="0" w:line="240" w:lineRule="auto"/>
    </w:pPr>
  </w:style>
  <w:style w:type="paragraph" w:styleId="Textvysvtlivek">
    <w:name w:val="endnote text"/>
    <w:basedOn w:val="Normln"/>
    <w:link w:val="TextvysvtlivekChar"/>
    <w:uiPriority w:val="99"/>
    <w:unhideWhenUsed/>
    <w:rsid w:val="006338C7"/>
    <w:pPr>
      <w:spacing w:after="0" w:line="240" w:lineRule="auto"/>
    </w:pPr>
    <w:rPr>
      <w:sz w:val="20"/>
      <w:szCs w:val="20"/>
    </w:rPr>
  </w:style>
  <w:style w:type="character" w:customStyle="1" w:styleId="TextvysvtlivekChar">
    <w:name w:val="Text vysvětlivek Char"/>
    <w:basedOn w:val="Standardnpsmoodstavce"/>
    <w:link w:val="Textvysvtlivek"/>
    <w:uiPriority w:val="99"/>
    <w:rsid w:val="006338C7"/>
    <w:rPr>
      <w:sz w:val="20"/>
      <w:szCs w:val="20"/>
    </w:rPr>
  </w:style>
  <w:style w:type="table" w:styleId="Mkatabulky">
    <w:name w:val="Table Grid"/>
    <w:basedOn w:val="Normlntabulka"/>
    <w:uiPriority w:val="59"/>
    <w:rsid w:val="00D33F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rsid w:val="00AD7092"/>
  </w:style>
  <w:style w:type="paragraph" w:customStyle="1" w:styleId="Default">
    <w:name w:val="Default"/>
    <w:rsid w:val="0058151E"/>
    <w:pPr>
      <w:autoSpaceDE w:val="0"/>
      <w:autoSpaceDN w:val="0"/>
      <w:adjustRightInd w:val="0"/>
      <w:spacing w:after="0" w:line="240" w:lineRule="auto"/>
    </w:pPr>
    <w:rPr>
      <w:rFonts w:ascii="Arial" w:hAnsi="Arial" w:cs="Arial"/>
      <w:color w:val="000000"/>
      <w:sz w:val="24"/>
      <w:szCs w:val="24"/>
    </w:rPr>
  </w:style>
  <w:style w:type="character" w:customStyle="1" w:styleId="xsptextcomputedfield">
    <w:name w:val="xsptextcomputedfield"/>
    <w:basedOn w:val="Standardnpsmoodstavce"/>
    <w:rsid w:val="00085631"/>
  </w:style>
  <w:style w:type="paragraph" w:styleId="Titulek">
    <w:name w:val="caption"/>
    <w:aliases w:val="~Caption"/>
    <w:basedOn w:val="Normln"/>
    <w:next w:val="Normln"/>
    <w:link w:val="TitulekChar"/>
    <w:autoRedefine/>
    <w:uiPriority w:val="35"/>
    <w:unhideWhenUsed/>
    <w:qFormat/>
    <w:rsid w:val="0001527C"/>
    <w:pPr>
      <w:keepNext/>
      <w:spacing w:line="240" w:lineRule="auto"/>
      <w:jc w:val="both"/>
    </w:pPr>
    <w:rPr>
      <w:b/>
      <w:bCs/>
      <w:sz w:val="20"/>
      <w:szCs w:val="20"/>
    </w:rPr>
  </w:style>
  <w:style w:type="character" w:customStyle="1" w:styleId="TitulekChar">
    <w:name w:val="Titulek Char"/>
    <w:aliases w:val="~Caption Char"/>
    <w:basedOn w:val="Standardnpsmoodstavce"/>
    <w:link w:val="Titulek"/>
    <w:uiPriority w:val="35"/>
    <w:qFormat/>
    <w:rsid w:val="0001527C"/>
    <w:rPr>
      <w:b/>
      <w:bCs/>
      <w:sz w:val="20"/>
      <w:szCs w:val="20"/>
    </w:rPr>
  </w:style>
  <w:style w:type="paragraph" w:styleId="Seznamobrzk">
    <w:name w:val="table of figures"/>
    <w:basedOn w:val="Normln"/>
    <w:next w:val="Normln"/>
    <w:uiPriority w:val="99"/>
    <w:unhideWhenUsed/>
    <w:rsid w:val="00DD02F3"/>
    <w:pPr>
      <w:spacing w:after="0"/>
    </w:pPr>
  </w:style>
  <w:style w:type="paragraph" w:styleId="Zkladntext">
    <w:name w:val="Body Text"/>
    <w:basedOn w:val="Normln"/>
    <w:link w:val="ZkladntextChar"/>
    <w:rsid w:val="00DD02F3"/>
    <w:pPr>
      <w:spacing w:after="140" w:line="288" w:lineRule="auto"/>
    </w:pPr>
    <w:rPr>
      <w:color w:val="00000A"/>
    </w:rPr>
  </w:style>
  <w:style w:type="character" w:customStyle="1" w:styleId="ZkladntextChar">
    <w:name w:val="Základní text Char"/>
    <w:basedOn w:val="Standardnpsmoodstavce"/>
    <w:link w:val="Zkladntext"/>
    <w:rsid w:val="00DD02F3"/>
    <w:rPr>
      <w:color w:val="00000A"/>
    </w:rPr>
  </w:style>
  <w:style w:type="table" w:styleId="Svtlstnovn">
    <w:name w:val="Light Shading"/>
    <w:basedOn w:val="Normlntabulka"/>
    <w:uiPriority w:val="60"/>
    <w:rsid w:val="004314A8"/>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Sledovanodkaz">
    <w:name w:val="FollowedHyperlink"/>
    <w:basedOn w:val="Standardnpsmoodstavce"/>
    <w:uiPriority w:val="99"/>
    <w:semiHidden/>
    <w:unhideWhenUsed/>
    <w:rsid w:val="00A747ED"/>
    <w:rPr>
      <w:color w:val="800080" w:themeColor="followedHyperlink"/>
      <w:u w:val="single"/>
    </w:rPr>
  </w:style>
  <w:style w:type="paragraph" w:customStyle="1" w:styleId="Obrzek">
    <w:name w:val="Obrázek"/>
    <w:basedOn w:val="Normln"/>
    <w:qFormat/>
    <w:rsid w:val="009A4B85"/>
    <w:pPr>
      <w:keepNext/>
      <w:spacing w:before="120" w:after="240" w:line="240" w:lineRule="auto"/>
      <w:jc w:val="both"/>
    </w:pPr>
    <w:rPr>
      <w:rFonts w:ascii="Arial" w:eastAsia="Times New Roman" w:hAnsi="Arial" w:cs="Times New Roman"/>
      <w:b/>
      <w:szCs w:val="24"/>
      <w:lang w:eastAsia="cs-CZ"/>
    </w:rPr>
  </w:style>
  <w:style w:type="paragraph" w:customStyle="1" w:styleId="Text">
    <w:name w:val="Text"/>
    <w:basedOn w:val="Normln"/>
    <w:qFormat/>
    <w:rsid w:val="008E7867"/>
    <w:pPr>
      <w:spacing w:after="0" w:line="360" w:lineRule="auto"/>
      <w:ind w:firstLine="405"/>
      <w:jc w:val="both"/>
    </w:pPr>
    <w:rPr>
      <w:rFonts w:ascii="Arial" w:eastAsia="Times New Roman" w:hAnsi="Arial" w:cs="Arial"/>
      <w:lang w:eastAsia="cs-CZ"/>
    </w:rPr>
  </w:style>
  <w:style w:type="paragraph" w:customStyle="1" w:styleId="Zdrojapoznmka">
    <w:name w:val="Zdroj a poznámka"/>
    <w:basedOn w:val="Normln"/>
    <w:qFormat/>
    <w:rsid w:val="008E7867"/>
    <w:pPr>
      <w:spacing w:before="120" w:after="120" w:line="240" w:lineRule="auto"/>
      <w:jc w:val="both"/>
    </w:pPr>
    <w:rPr>
      <w:rFonts w:ascii="Arial" w:eastAsia="Times New Roman" w:hAnsi="Arial" w:cs="Times New Roman"/>
      <w:i/>
      <w:sz w:val="18"/>
      <w:szCs w:val="24"/>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822A0"/>
  </w:style>
  <w:style w:type="paragraph" w:styleId="Nadpis1">
    <w:name w:val="heading 1"/>
    <w:basedOn w:val="Normln"/>
    <w:next w:val="Normln"/>
    <w:link w:val="Nadpis1Char"/>
    <w:uiPriority w:val="9"/>
    <w:qFormat/>
    <w:rsid w:val="00514F3C"/>
    <w:pPr>
      <w:keepNext/>
      <w:keepLines/>
      <w:spacing w:before="480" w:after="120"/>
      <w:outlineLvl w:val="0"/>
    </w:pPr>
    <w:rPr>
      <w:rFonts w:asciiTheme="majorHAnsi" w:eastAsiaTheme="majorEastAsia" w:hAnsiTheme="majorHAnsi" w:cstheme="majorBidi"/>
      <w:b/>
      <w:bCs/>
      <w:color w:val="365F91" w:themeColor="accent1" w:themeShade="BF"/>
      <w:sz w:val="36"/>
      <w:szCs w:val="28"/>
    </w:rPr>
  </w:style>
  <w:style w:type="paragraph" w:styleId="Nadpis2">
    <w:name w:val="heading 2"/>
    <w:basedOn w:val="Normln"/>
    <w:next w:val="Normln"/>
    <w:link w:val="Nadpis2Char"/>
    <w:uiPriority w:val="9"/>
    <w:unhideWhenUsed/>
    <w:qFormat/>
    <w:rsid w:val="00514F3C"/>
    <w:pPr>
      <w:keepNext/>
      <w:keepLines/>
      <w:spacing w:before="200" w:after="120"/>
      <w:outlineLvl w:val="1"/>
    </w:pPr>
    <w:rPr>
      <w:rFonts w:asciiTheme="majorHAnsi" w:eastAsiaTheme="majorEastAsia" w:hAnsiTheme="majorHAnsi" w:cstheme="majorBidi"/>
      <w:b/>
      <w:bCs/>
      <w:color w:val="4F81BD" w:themeColor="accent1"/>
      <w:sz w:val="32"/>
      <w:szCs w:val="26"/>
    </w:rPr>
  </w:style>
  <w:style w:type="paragraph" w:styleId="Nadpis3">
    <w:name w:val="heading 3"/>
    <w:basedOn w:val="Normln"/>
    <w:next w:val="Normln"/>
    <w:link w:val="Nadpis3Char"/>
    <w:uiPriority w:val="9"/>
    <w:unhideWhenUsed/>
    <w:qFormat/>
    <w:rsid w:val="00514F3C"/>
    <w:pPr>
      <w:keepNext/>
      <w:keepLines/>
      <w:spacing w:before="200" w:after="120"/>
      <w:outlineLvl w:val="2"/>
    </w:pPr>
    <w:rPr>
      <w:rFonts w:asciiTheme="majorHAnsi" w:eastAsiaTheme="majorEastAsia" w:hAnsiTheme="majorHAnsi" w:cstheme="majorBidi"/>
      <w:b/>
      <w:bCs/>
      <w:color w:val="4F81BD" w:themeColor="accent1"/>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514F3C"/>
    <w:rPr>
      <w:rFonts w:asciiTheme="majorHAnsi" w:eastAsiaTheme="majorEastAsia" w:hAnsiTheme="majorHAnsi" w:cstheme="majorBidi"/>
      <w:b/>
      <w:bCs/>
      <w:color w:val="365F91" w:themeColor="accent1" w:themeShade="BF"/>
      <w:sz w:val="36"/>
      <w:szCs w:val="28"/>
    </w:rPr>
  </w:style>
  <w:style w:type="paragraph" w:styleId="Odstavecseseznamem">
    <w:name w:val="List Paragraph"/>
    <w:basedOn w:val="Normln"/>
    <w:uiPriority w:val="34"/>
    <w:qFormat/>
    <w:rsid w:val="000822A0"/>
    <w:pPr>
      <w:ind w:left="720"/>
      <w:contextualSpacing/>
    </w:pPr>
  </w:style>
  <w:style w:type="paragraph" w:styleId="Zhlav">
    <w:name w:val="header"/>
    <w:basedOn w:val="Normln"/>
    <w:link w:val="ZhlavChar"/>
    <w:uiPriority w:val="99"/>
    <w:unhideWhenUsed/>
    <w:rsid w:val="000822A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822A0"/>
  </w:style>
  <w:style w:type="paragraph" w:styleId="Zpat">
    <w:name w:val="footer"/>
    <w:basedOn w:val="Normln"/>
    <w:link w:val="ZpatChar"/>
    <w:uiPriority w:val="99"/>
    <w:unhideWhenUsed/>
    <w:rsid w:val="000822A0"/>
    <w:pPr>
      <w:tabs>
        <w:tab w:val="center" w:pos="4536"/>
        <w:tab w:val="right" w:pos="9072"/>
      </w:tabs>
      <w:spacing w:after="0" w:line="240" w:lineRule="auto"/>
    </w:pPr>
  </w:style>
  <w:style w:type="character" w:customStyle="1" w:styleId="ZpatChar">
    <w:name w:val="Zápatí Char"/>
    <w:basedOn w:val="Standardnpsmoodstavce"/>
    <w:link w:val="Zpat"/>
    <w:uiPriority w:val="99"/>
    <w:rsid w:val="000822A0"/>
  </w:style>
  <w:style w:type="character" w:styleId="Hypertextovodkaz">
    <w:name w:val="Hyperlink"/>
    <w:basedOn w:val="Standardnpsmoodstavce"/>
    <w:uiPriority w:val="99"/>
    <w:unhideWhenUsed/>
    <w:rsid w:val="00956D00"/>
    <w:rPr>
      <w:rFonts w:ascii="Arial" w:hAnsi="Arial"/>
      <w:strike w:val="0"/>
      <w:dstrike w:val="0"/>
      <w:color w:val="00559A"/>
      <w:u w:val="none"/>
      <w:effect w:val="none"/>
    </w:rPr>
  </w:style>
  <w:style w:type="paragraph" w:styleId="Podtitul">
    <w:name w:val="Subtitle"/>
    <w:aliases w:val="nadpis 2"/>
    <w:basedOn w:val="Normln"/>
    <w:next w:val="Normln"/>
    <w:link w:val="PodtitulChar"/>
    <w:qFormat/>
    <w:rsid w:val="000822A0"/>
    <w:pPr>
      <w:keepNext/>
      <w:numPr>
        <w:ilvl w:val="1"/>
        <w:numId w:val="2"/>
      </w:numPr>
      <w:spacing w:before="120" w:after="120" w:line="240" w:lineRule="auto"/>
    </w:pPr>
    <w:rPr>
      <w:rFonts w:asciiTheme="majorHAnsi" w:eastAsiaTheme="majorEastAsia" w:hAnsiTheme="majorHAnsi" w:cstheme="majorBidi"/>
      <w:b/>
      <w:iCs/>
      <w:spacing w:val="15"/>
      <w:sz w:val="24"/>
      <w:szCs w:val="24"/>
      <w:lang w:eastAsia="cs-CZ"/>
    </w:rPr>
  </w:style>
  <w:style w:type="character" w:customStyle="1" w:styleId="PodtitulChar">
    <w:name w:val="Podtitul Char"/>
    <w:aliases w:val="nadpis 2 Char"/>
    <w:basedOn w:val="Standardnpsmoodstavce"/>
    <w:link w:val="Podtitul"/>
    <w:rsid w:val="000822A0"/>
    <w:rPr>
      <w:rFonts w:asciiTheme="majorHAnsi" w:eastAsiaTheme="majorEastAsia" w:hAnsiTheme="majorHAnsi" w:cstheme="majorBidi"/>
      <w:b/>
      <w:iCs/>
      <w:spacing w:val="15"/>
      <w:sz w:val="24"/>
      <w:szCs w:val="24"/>
      <w:lang w:eastAsia="cs-CZ"/>
    </w:rPr>
  </w:style>
  <w:style w:type="paragraph" w:styleId="Nzev">
    <w:name w:val="Title"/>
    <w:basedOn w:val="Normln"/>
    <w:next w:val="Normln"/>
    <w:link w:val="NzevChar"/>
    <w:qFormat/>
    <w:rsid w:val="000822A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cs-CZ"/>
    </w:rPr>
  </w:style>
  <w:style w:type="character" w:customStyle="1" w:styleId="NzevChar">
    <w:name w:val="Název Char"/>
    <w:basedOn w:val="Standardnpsmoodstavce"/>
    <w:link w:val="Nzev"/>
    <w:rsid w:val="000822A0"/>
    <w:rPr>
      <w:rFonts w:asciiTheme="majorHAnsi" w:eastAsiaTheme="majorEastAsia" w:hAnsiTheme="majorHAnsi" w:cstheme="majorBidi"/>
      <w:color w:val="17365D" w:themeColor="text2" w:themeShade="BF"/>
      <w:spacing w:val="5"/>
      <w:kern w:val="28"/>
      <w:sz w:val="52"/>
      <w:szCs w:val="52"/>
      <w:lang w:eastAsia="cs-CZ"/>
    </w:rPr>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qFormat/>
    <w:rsid w:val="00145813"/>
    <w:pPr>
      <w:spacing w:after="0" w:line="240" w:lineRule="auto"/>
      <w:jc w:val="both"/>
    </w:pPr>
    <w:rPr>
      <w:rFonts w:ascii="Arial" w:eastAsia="Times New Roman" w:hAnsi="Arial" w:cs="Times New Roman"/>
      <w:sz w:val="18"/>
      <w:szCs w:val="20"/>
      <w:lang w:eastAsia="cs-CZ"/>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rsid w:val="00145813"/>
    <w:rPr>
      <w:rFonts w:ascii="Arial" w:eastAsia="Times New Roman" w:hAnsi="Arial" w:cs="Times New Roman"/>
      <w:sz w:val="18"/>
      <w:szCs w:val="20"/>
      <w:lang w:eastAsia="cs-CZ"/>
    </w:rPr>
  </w:style>
  <w:style w:type="character" w:styleId="Znakapoznpodarou">
    <w:name w:val="footnote reference"/>
    <w:aliases w:val="BVI fnr,Footnote symbol,Footnote Reference Superscript,Appel note de bas de p,Appel note de bas de page,Légende,Char Car Car Car Car,Voetnootverwijzing,PGI Fußnote Ziffer,Footnote Reference Number,Légende;Char Car Car Car Car"/>
    <w:basedOn w:val="Standardnpsmoodstavce"/>
    <w:uiPriority w:val="99"/>
    <w:rsid w:val="000822A0"/>
    <w:rPr>
      <w:vertAlign w:val="superscript"/>
    </w:rPr>
  </w:style>
  <w:style w:type="paragraph" w:styleId="Textbubliny">
    <w:name w:val="Balloon Text"/>
    <w:basedOn w:val="Normln"/>
    <w:link w:val="TextbublinyChar"/>
    <w:uiPriority w:val="99"/>
    <w:semiHidden/>
    <w:unhideWhenUsed/>
    <w:rsid w:val="000822A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822A0"/>
    <w:rPr>
      <w:rFonts w:ascii="Tahoma" w:hAnsi="Tahoma" w:cs="Tahoma"/>
      <w:sz w:val="16"/>
      <w:szCs w:val="16"/>
    </w:rPr>
  </w:style>
  <w:style w:type="paragraph" w:styleId="Normlnweb">
    <w:name w:val="Normal (Web)"/>
    <w:basedOn w:val="Normln"/>
    <w:uiPriority w:val="99"/>
    <w:semiHidden/>
    <w:unhideWhenUsed/>
    <w:rsid w:val="000822A0"/>
    <w:rPr>
      <w:rFonts w:ascii="Times New Roman" w:hAnsi="Times New Roman" w:cs="Times New Roman"/>
      <w:sz w:val="24"/>
      <w:szCs w:val="24"/>
    </w:rPr>
  </w:style>
  <w:style w:type="character" w:styleId="Odkaznakoment">
    <w:name w:val="annotation reference"/>
    <w:basedOn w:val="Standardnpsmoodstavce"/>
    <w:uiPriority w:val="99"/>
    <w:rsid w:val="00C41DE7"/>
    <w:rPr>
      <w:sz w:val="16"/>
      <w:szCs w:val="16"/>
    </w:rPr>
  </w:style>
  <w:style w:type="paragraph" w:styleId="Textkomente">
    <w:name w:val="annotation text"/>
    <w:basedOn w:val="Normln"/>
    <w:link w:val="TextkomenteChar"/>
    <w:uiPriority w:val="99"/>
    <w:rsid w:val="00C41DE7"/>
    <w:pPr>
      <w:spacing w:after="0" w:line="240" w:lineRule="auto"/>
    </w:pPr>
    <w:rPr>
      <w:rFonts w:ascii="Times New Roman" w:eastAsia="Times New Roman" w:hAnsi="Times New Roman" w:cs="Times New Roman"/>
      <w:sz w:val="20"/>
      <w:szCs w:val="20"/>
      <w:lang w:eastAsia="cs-CZ"/>
    </w:rPr>
  </w:style>
  <w:style w:type="character" w:customStyle="1" w:styleId="TextkomenteChar">
    <w:name w:val="Text komentáře Char"/>
    <w:basedOn w:val="Standardnpsmoodstavce"/>
    <w:link w:val="Textkomente"/>
    <w:uiPriority w:val="99"/>
    <w:rsid w:val="00C41DE7"/>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6A04BF"/>
    <w:pPr>
      <w:spacing w:after="200"/>
    </w:pPr>
    <w:rPr>
      <w:rFonts w:asciiTheme="minorHAnsi" w:eastAsiaTheme="minorHAnsi" w:hAnsiTheme="minorHAnsi" w:cstheme="minorBidi"/>
      <w:b/>
      <w:bCs/>
      <w:lang w:eastAsia="en-US"/>
    </w:rPr>
  </w:style>
  <w:style w:type="character" w:customStyle="1" w:styleId="PedmtkomenteChar">
    <w:name w:val="Předmět komentáře Char"/>
    <w:basedOn w:val="TextkomenteChar"/>
    <w:link w:val="Pedmtkomente"/>
    <w:uiPriority w:val="99"/>
    <w:semiHidden/>
    <w:rsid w:val="006A04BF"/>
    <w:rPr>
      <w:rFonts w:ascii="Times New Roman" w:eastAsia="Times New Roman" w:hAnsi="Times New Roman" w:cs="Times New Roman"/>
      <w:b/>
      <w:bCs/>
      <w:sz w:val="20"/>
      <w:szCs w:val="20"/>
      <w:lang w:eastAsia="cs-CZ"/>
    </w:rPr>
  </w:style>
  <w:style w:type="paragraph" w:styleId="Revize">
    <w:name w:val="Revision"/>
    <w:hidden/>
    <w:uiPriority w:val="99"/>
    <w:semiHidden/>
    <w:rsid w:val="006A04BF"/>
    <w:pPr>
      <w:spacing w:after="0" w:line="240" w:lineRule="auto"/>
    </w:pPr>
  </w:style>
  <w:style w:type="paragraph" w:customStyle="1" w:styleId="Obrzek-nadpis">
    <w:name w:val="Obrázek - nadpis"/>
    <w:basedOn w:val="Normln"/>
    <w:qFormat/>
    <w:rsid w:val="00E15D9A"/>
    <w:pPr>
      <w:keepNext/>
      <w:spacing w:before="120" w:after="240" w:line="240" w:lineRule="auto"/>
      <w:jc w:val="both"/>
    </w:pPr>
    <w:rPr>
      <w:rFonts w:ascii="Arial" w:eastAsia="Times New Roman" w:hAnsi="Arial" w:cs="Times New Roman"/>
      <w:b/>
      <w:szCs w:val="24"/>
      <w:lang w:eastAsia="cs-CZ"/>
    </w:rPr>
  </w:style>
  <w:style w:type="paragraph" w:customStyle="1" w:styleId="Zdroj">
    <w:name w:val="Zdroj"/>
    <w:basedOn w:val="Normln"/>
    <w:qFormat/>
    <w:rsid w:val="00AD6656"/>
    <w:pPr>
      <w:spacing w:before="120" w:after="120" w:line="240" w:lineRule="auto"/>
    </w:pPr>
    <w:rPr>
      <w:rFonts w:ascii="Arial" w:eastAsia="Times New Roman" w:hAnsi="Arial" w:cs="Times New Roman"/>
      <w:i/>
      <w:sz w:val="18"/>
      <w:szCs w:val="24"/>
      <w:lang w:eastAsia="cs-CZ"/>
    </w:rPr>
  </w:style>
  <w:style w:type="paragraph" w:customStyle="1" w:styleId="komentzaobrzkem">
    <w:name w:val="komentář za obrázkem"/>
    <w:basedOn w:val="Normln"/>
    <w:qFormat/>
    <w:rsid w:val="00055617"/>
    <w:pPr>
      <w:spacing w:after="60" w:line="240" w:lineRule="auto"/>
      <w:jc w:val="both"/>
    </w:pPr>
    <w:rPr>
      <w:rFonts w:ascii="Arial" w:eastAsia="Times New Roman" w:hAnsi="Arial" w:cs="Times New Roman"/>
      <w:i/>
      <w:sz w:val="18"/>
      <w:szCs w:val="24"/>
      <w:lang w:eastAsia="cs-CZ"/>
    </w:rPr>
  </w:style>
  <w:style w:type="paragraph" w:customStyle="1" w:styleId="komentzaobrzkem-odrky">
    <w:name w:val="komentář za obrázkem - odrážky"/>
    <w:basedOn w:val="komentzaobrzkem"/>
    <w:qFormat/>
    <w:rsid w:val="00055617"/>
    <w:pPr>
      <w:numPr>
        <w:ilvl w:val="2"/>
        <w:numId w:val="1"/>
      </w:numPr>
      <w:spacing w:after="0"/>
    </w:pPr>
  </w:style>
  <w:style w:type="paragraph" w:customStyle="1" w:styleId="NadpisurovenI">
    <w:name w:val="Nadpis_uroven_I"/>
    <w:basedOn w:val="Normln"/>
    <w:qFormat/>
    <w:rsid w:val="00DA646C"/>
    <w:pPr>
      <w:keepNext/>
      <w:keepLines/>
      <w:spacing w:before="240" w:after="240" w:line="240" w:lineRule="auto"/>
      <w:outlineLvl w:val="0"/>
    </w:pPr>
    <w:rPr>
      <w:rFonts w:asciiTheme="majorHAnsi" w:eastAsiaTheme="majorEastAsia" w:hAnsiTheme="majorHAnsi" w:cstheme="majorBidi"/>
      <w:b/>
      <w:bCs/>
      <w:color w:val="365F91" w:themeColor="accent1" w:themeShade="BF"/>
      <w:sz w:val="28"/>
      <w:szCs w:val="28"/>
      <w:lang w:eastAsia="cs-CZ"/>
    </w:rPr>
  </w:style>
  <w:style w:type="paragraph" w:customStyle="1" w:styleId="NadpisurovemII">
    <w:name w:val="Nadpis_urovem_II"/>
    <w:basedOn w:val="NadpisurovenI"/>
    <w:qFormat/>
    <w:rsid w:val="000C142B"/>
    <w:pPr>
      <w:spacing w:before="120" w:after="120"/>
    </w:pPr>
    <w:rPr>
      <w:sz w:val="24"/>
    </w:rPr>
  </w:style>
  <w:style w:type="paragraph" w:customStyle="1" w:styleId="Platformanadpis">
    <w:name w:val="Platforma_nadpis"/>
    <w:basedOn w:val="Normln"/>
    <w:qFormat/>
    <w:rsid w:val="00613032"/>
    <w:pPr>
      <w:spacing w:before="120" w:after="120" w:line="240" w:lineRule="auto"/>
      <w:jc w:val="both"/>
    </w:pPr>
    <w:rPr>
      <w:rFonts w:ascii="Arial" w:eastAsia="Times New Roman" w:hAnsi="Arial" w:cs="Arial"/>
      <w:b/>
      <w:lang w:eastAsia="cs-CZ"/>
    </w:rPr>
  </w:style>
  <w:style w:type="paragraph" w:styleId="Nadpisobsahu">
    <w:name w:val="TOC Heading"/>
    <w:basedOn w:val="Nadpis1"/>
    <w:next w:val="Normln"/>
    <w:uiPriority w:val="39"/>
    <w:semiHidden/>
    <w:unhideWhenUsed/>
    <w:qFormat/>
    <w:rsid w:val="001309B5"/>
    <w:pPr>
      <w:outlineLvl w:val="9"/>
    </w:pPr>
    <w:rPr>
      <w:lang w:eastAsia="cs-CZ"/>
    </w:rPr>
  </w:style>
  <w:style w:type="paragraph" w:styleId="Obsah1">
    <w:name w:val="toc 1"/>
    <w:basedOn w:val="Normln"/>
    <w:next w:val="Normln"/>
    <w:autoRedefine/>
    <w:uiPriority w:val="39"/>
    <w:unhideWhenUsed/>
    <w:qFormat/>
    <w:rsid w:val="00A92D5B"/>
    <w:pPr>
      <w:tabs>
        <w:tab w:val="right" w:leader="dot" w:pos="9639"/>
      </w:tabs>
      <w:spacing w:after="100"/>
      <w:ind w:left="680" w:right="1418" w:hanging="680"/>
    </w:pPr>
    <w:rPr>
      <w:rFonts w:ascii="Arial" w:hAnsi="Arial"/>
      <w:noProof/>
    </w:rPr>
  </w:style>
  <w:style w:type="paragraph" w:styleId="Obsah2">
    <w:name w:val="toc 2"/>
    <w:basedOn w:val="Normln"/>
    <w:next w:val="Normln"/>
    <w:autoRedefine/>
    <w:uiPriority w:val="39"/>
    <w:unhideWhenUsed/>
    <w:qFormat/>
    <w:rsid w:val="00EB24D3"/>
    <w:pPr>
      <w:tabs>
        <w:tab w:val="right" w:leader="dot" w:pos="9639"/>
      </w:tabs>
      <w:spacing w:after="100"/>
      <w:ind w:left="426" w:right="1416" w:hanging="426"/>
    </w:pPr>
    <w:rPr>
      <w:rFonts w:ascii="Arial" w:eastAsiaTheme="minorEastAsia" w:hAnsi="Arial"/>
      <w:lang w:eastAsia="cs-CZ"/>
    </w:rPr>
  </w:style>
  <w:style w:type="paragraph" w:styleId="Obsah3">
    <w:name w:val="toc 3"/>
    <w:basedOn w:val="Normln"/>
    <w:next w:val="Normln"/>
    <w:autoRedefine/>
    <w:uiPriority w:val="39"/>
    <w:unhideWhenUsed/>
    <w:qFormat/>
    <w:rsid w:val="00956D00"/>
    <w:pPr>
      <w:spacing w:after="100"/>
      <w:ind w:left="440"/>
    </w:pPr>
    <w:rPr>
      <w:rFonts w:ascii="Arial" w:eastAsiaTheme="minorEastAsia" w:hAnsi="Arial"/>
      <w:lang w:eastAsia="cs-CZ"/>
    </w:rPr>
  </w:style>
  <w:style w:type="character" w:customStyle="1" w:styleId="Nadpis2Char">
    <w:name w:val="Nadpis 2 Char"/>
    <w:basedOn w:val="Standardnpsmoodstavce"/>
    <w:link w:val="Nadpis2"/>
    <w:uiPriority w:val="9"/>
    <w:rsid w:val="00514F3C"/>
    <w:rPr>
      <w:rFonts w:asciiTheme="majorHAnsi" w:eastAsiaTheme="majorEastAsia" w:hAnsiTheme="majorHAnsi" w:cstheme="majorBidi"/>
      <w:b/>
      <w:bCs/>
      <w:color w:val="4F81BD" w:themeColor="accent1"/>
      <w:sz w:val="32"/>
      <w:szCs w:val="26"/>
    </w:rPr>
  </w:style>
  <w:style w:type="character" w:customStyle="1" w:styleId="Nadpis3Char">
    <w:name w:val="Nadpis 3 Char"/>
    <w:basedOn w:val="Standardnpsmoodstavce"/>
    <w:link w:val="Nadpis3"/>
    <w:uiPriority w:val="9"/>
    <w:rsid w:val="00514F3C"/>
    <w:rPr>
      <w:rFonts w:asciiTheme="majorHAnsi" w:eastAsiaTheme="majorEastAsia" w:hAnsiTheme="majorHAnsi" w:cstheme="majorBidi"/>
      <w:b/>
      <w:bCs/>
      <w:color w:val="4F81BD" w:themeColor="accent1"/>
      <w:sz w:val="28"/>
    </w:rPr>
  </w:style>
  <w:style w:type="character" w:styleId="Zstupntext">
    <w:name w:val="Placeholder Text"/>
    <w:basedOn w:val="Standardnpsmoodstavce"/>
    <w:uiPriority w:val="99"/>
    <w:semiHidden/>
    <w:rsid w:val="006338C7"/>
    <w:rPr>
      <w:color w:val="808080"/>
    </w:rPr>
  </w:style>
  <w:style w:type="paragraph" w:styleId="Bezmezer">
    <w:name w:val="No Spacing"/>
    <w:uiPriority w:val="1"/>
    <w:qFormat/>
    <w:rsid w:val="006338C7"/>
    <w:pPr>
      <w:spacing w:after="0" w:line="240" w:lineRule="auto"/>
    </w:pPr>
  </w:style>
  <w:style w:type="paragraph" w:styleId="Textvysvtlivek">
    <w:name w:val="endnote text"/>
    <w:basedOn w:val="Normln"/>
    <w:link w:val="TextvysvtlivekChar"/>
    <w:uiPriority w:val="99"/>
    <w:unhideWhenUsed/>
    <w:rsid w:val="006338C7"/>
    <w:pPr>
      <w:spacing w:after="0" w:line="240" w:lineRule="auto"/>
    </w:pPr>
    <w:rPr>
      <w:sz w:val="20"/>
      <w:szCs w:val="20"/>
    </w:rPr>
  </w:style>
  <w:style w:type="character" w:customStyle="1" w:styleId="TextvysvtlivekChar">
    <w:name w:val="Text vysvětlivek Char"/>
    <w:basedOn w:val="Standardnpsmoodstavce"/>
    <w:link w:val="Textvysvtlivek"/>
    <w:uiPriority w:val="99"/>
    <w:rsid w:val="006338C7"/>
    <w:rPr>
      <w:sz w:val="20"/>
      <w:szCs w:val="20"/>
    </w:rPr>
  </w:style>
  <w:style w:type="table" w:styleId="Mkatabulky">
    <w:name w:val="Table Grid"/>
    <w:basedOn w:val="Normlntabulka"/>
    <w:uiPriority w:val="59"/>
    <w:rsid w:val="00D33F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rsid w:val="00AD7092"/>
  </w:style>
  <w:style w:type="paragraph" w:customStyle="1" w:styleId="Default">
    <w:name w:val="Default"/>
    <w:rsid w:val="0058151E"/>
    <w:pPr>
      <w:autoSpaceDE w:val="0"/>
      <w:autoSpaceDN w:val="0"/>
      <w:adjustRightInd w:val="0"/>
      <w:spacing w:after="0" w:line="240" w:lineRule="auto"/>
    </w:pPr>
    <w:rPr>
      <w:rFonts w:ascii="Arial" w:hAnsi="Arial" w:cs="Arial"/>
      <w:color w:val="000000"/>
      <w:sz w:val="24"/>
      <w:szCs w:val="24"/>
    </w:rPr>
  </w:style>
  <w:style w:type="character" w:customStyle="1" w:styleId="xsptextcomputedfield">
    <w:name w:val="xsptextcomputedfield"/>
    <w:basedOn w:val="Standardnpsmoodstavce"/>
    <w:rsid w:val="00085631"/>
  </w:style>
  <w:style w:type="paragraph" w:styleId="Titulek">
    <w:name w:val="caption"/>
    <w:aliases w:val="~Caption"/>
    <w:basedOn w:val="Normln"/>
    <w:next w:val="Normln"/>
    <w:link w:val="TitulekChar"/>
    <w:autoRedefine/>
    <w:uiPriority w:val="35"/>
    <w:unhideWhenUsed/>
    <w:qFormat/>
    <w:rsid w:val="0001527C"/>
    <w:pPr>
      <w:keepNext/>
      <w:spacing w:line="240" w:lineRule="auto"/>
      <w:jc w:val="both"/>
    </w:pPr>
    <w:rPr>
      <w:b/>
      <w:bCs/>
      <w:sz w:val="20"/>
      <w:szCs w:val="20"/>
    </w:rPr>
  </w:style>
  <w:style w:type="character" w:customStyle="1" w:styleId="TitulekChar">
    <w:name w:val="Titulek Char"/>
    <w:aliases w:val="~Caption Char"/>
    <w:basedOn w:val="Standardnpsmoodstavce"/>
    <w:link w:val="Titulek"/>
    <w:uiPriority w:val="35"/>
    <w:qFormat/>
    <w:rsid w:val="0001527C"/>
    <w:rPr>
      <w:b/>
      <w:bCs/>
      <w:sz w:val="20"/>
      <w:szCs w:val="20"/>
    </w:rPr>
  </w:style>
  <w:style w:type="paragraph" w:styleId="Seznamobrzk">
    <w:name w:val="table of figures"/>
    <w:basedOn w:val="Normln"/>
    <w:next w:val="Normln"/>
    <w:uiPriority w:val="99"/>
    <w:unhideWhenUsed/>
    <w:rsid w:val="00DD02F3"/>
    <w:pPr>
      <w:spacing w:after="0"/>
    </w:pPr>
  </w:style>
  <w:style w:type="paragraph" w:styleId="Zkladntext">
    <w:name w:val="Body Text"/>
    <w:basedOn w:val="Normln"/>
    <w:link w:val="ZkladntextChar"/>
    <w:rsid w:val="00DD02F3"/>
    <w:pPr>
      <w:spacing w:after="140" w:line="288" w:lineRule="auto"/>
    </w:pPr>
    <w:rPr>
      <w:color w:val="00000A"/>
    </w:rPr>
  </w:style>
  <w:style w:type="character" w:customStyle="1" w:styleId="ZkladntextChar">
    <w:name w:val="Základní text Char"/>
    <w:basedOn w:val="Standardnpsmoodstavce"/>
    <w:link w:val="Zkladntext"/>
    <w:rsid w:val="00DD02F3"/>
    <w:rPr>
      <w:color w:val="00000A"/>
    </w:rPr>
  </w:style>
  <w:style w:type="table" w:styleId="Svtlstnovn">
    <w:name w:val="Light Shading"/>
    <w:basedOn w:val="Normlntabulka"/>
    <w:uiPriority w:val="60"/>
    <w:rsid w:val="004314A8"/>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Sledovanodkaz">
    <w:name w:val="FollowedHyperlink"/>
    <w:basedOn w:val="Standardnpsmoodstavce"/>
    <w:uiPriority w:val="99"/>
    <w:semiHidden/>
    <w:unhideWhenUsed/>
    <w:rsid w:val="00A747ED"/>
    <w:rPr>
      <w:color w:val="800080" w:themeColor="followedHyperlink"/>
      <w:u w:val="single"/>
    </w:rPr>
  </w:style>
  <w:style w:type="paragraph" w:customStyle="1" w:styleId="Obrzek">
    <w:name w:val="Obrázek"/>
    <w:basedOn w:val="Normln"/>
    <w:qFormat/>
    <w:rsid w:val="009A4B85"/>
    <w:pPr>
      <w:keepNext/>
      <w:spacing w:before="120" w:after="240" w:line="240" w:lineRule="auto"/>
      <w:jc w:val="both"/>
    </w:pPr>
    <w:rPr>
      <w:rFonts w:ascii="Arial" w:eastAsia="Times New Roman" w:hAnsi="Arial" w:cs="Times New Roman"/>
      <w:b/>
      <w:szCs w:val="24"/>
      <w:lang w:eastAsia="cs-CZ"/>
    </w:rPr>
  </w:style>
  <w:style w:type="paragraph" w:customStyle="1" w:styleId="Text">
    <w:name w:val="Text"/>
    <w:basedOn w:val="Normln"/>
    <w:qFormat/>
    <w:rsid w:val="008E7867"/>
    <w:pPr>
      <w:spacing w:after="0" w:line="360" w:lineRule="auto"/>
      <w:ind w:firstLine="405"/>
      <w:jc w:val="both"/>
    </w:pPr>
    <w:rPr>
      <w:rFonts w:ascii="Arial" w:eastAsia="Times New Roman" w:hAnsi="Arial" w:cs="Arial"/>
      <w:lang w:eastAsia="cs-CZ"/>
    </w:rPr>
  </w:style>
  <w:style w:type="paragraph" w:customStyle="1" w:styleId="Zdrojapoznmka">
    <w:name w:val="Zdroj a poznámka"/>
    <w:basedOn w:val="Normln"/>
    <w:qFormat/>
    <w:rsid w:val="008E7867"/>
    <w:pPr>
      <w:spacing w:before="120" w:after="120" w:line="240" w:lineRule="auto"/>
      <w:jc w:val="both"/>
    </w:pPr>
    <w:rPr>
      <w:rFonts w:ascii="Arial" w:eastAsia="Times New Roman" w:hAnsi="Arial" w:cs="Times New Roman"/>
      <w:i/>
      <w:sz w:val="18"/>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350951">
      <w:bodyDiv w:val="1"/>
      <w:marLeft w:val="0"/>
      <w:marRight w:val="0"/>
      <w:marTop w:val="0"/>
      <w:marBottom w:val="0"/>
      <w:divBdr>
        <w:top w:val="none" w:sz="0" w:space="0" w:color="auto"/>
        <w:left w:val="none" w:sz="0" w:space="0" w:color="auto"/>
        <w:bottom w:val="none" w:sz="0" w:space="0" w:color="auto"/>
        <w:right w:val="none" w:sz="0" w:space="0" w:color="auto"/>
      </w:divBdr>
    </w:div>
    <w:div w:id="99376794">
      <w:bodyDiv w:val="1"/>
      <w:marLeft w:val="0"/>
      <w:marRight w:val="0"/>
      <w:marTop w:val="0"/>
      <w:marBottom w:val="0"/>
      <w:divBdr>
        <w:top w:val="none" w:sz="0" w:space="0" w:color="auto"/>
        <w:left w:val="none" w:sz="0" w:space="0" w:color="auto"/>
        <w:bottom w:val="none" w:sz="0" w:space="0" w:color="auto"/>
        <w:right w:val="none" w:sz="0" w:space="0" w:color="auto"/>
      </w:divBdr>
    </w:div>
    <w:div w:id="106121003">
      <w:bodyDiv w:val="1"/>
      <w:marLeft w:val="0"/>
      <w:marRight w:val="0"/>
      <w:marTop w:val="0"/>
      <w:marBottom w:val="0"/>
      <w:divBdr>
        <w:top w:val="none" w:sz="0" w:space="0" w:color="auto"/>
        <w:left w:val="none" w:sz="0" w:space="0" w:color="auto"/>
        <w:bottom w:val="none" w:sz="0" w:space="0" w:color="auto"/>
        <w:right w:val="none" w:sz="0" w:space="0" w:color="auto"/>
      </w:divBdr>
    </w:div>
    <w:div w:id="112596306">
      <w:bodyDiv w:val="1"/>
      <w:marLeft w:val="0"/>
      <w:marRight w:val="0"/>
      <w:marTop w:val="0"/>
      <w:marBottom w:val="0"/>
      <w:divBdr>
        <w:top w:val="none" w:sz="0" w:space="0" w:color="auto"/>
        <w:left w:val="none" w:sz="0" w:space="0" w:color="auto"/>
        <w:bottom w:val="none" w:sz="0" w:space="0" w:color="auto"/>
        <w:right w:val="none" w:sz="0" w:space="0" w:color="auto"/>
      </w:divBdr>
    </w:div>
    <w:div w:id="120459216">
      <w:bodyDiv w:val="1"/>
      <w:marLeft w:val="0"/>
      <w:marRight w:val="0"/>
      <w:marTop w:val="0"/>
      <w:marBottom w:val="0"/>
      <w:divBdr>
        <w:top w:val="none" w:sz="0" w:space="0" w:color="auto"/>
        <w:left w:val="none" w:sz="0" w:space="0" w:color="auto"/>
        <w:bottom w:val="none" w:sz="0" w:space="0" w:color="auto"/>
        <w:right w:val="none" w:sz="0" w:space="0" w:color="auto"/>
      </w:divBdr>
    </w:div>
    <w:div w:id="140656404">
      <w:bodyDiv w:val="1"/>
      <w:marLeft w:val="0"/>
      <w:marRight w:val="0"/>
      <w:marTop w:val="0"/>
      <w:marBottom w:val="0"/>
      <w:divBdr>
        <w:top w:val="none" w:sz="0" w:space="0" w:color="auto"/>
        <w:left w:val="none" w:sz="0" w:space="0" w:color="auto"/>
        <w:bottom w:val="none" w:sz="0" w:space="0" w:color="auto"/>
        <w:right w:val="none" w:sz="0" w:space="0" w:color="auto"/>
      </w:divBdr>
    </w:div>
    <w:div w:id="159976242">
      <w:bodyDiv w:val="1"/>
      <w:marLeft w:val="0"/>
      <w:marRight w:val="0"/>
      <w:marTop w:val="0"/>
      <w:marBottom w:val="0"/>
      <w:divBdr>
        <w:top w:val="none" w:sz="0" w:space="0" w:color="auto"/>
        <w:left w:val="none" w:sz="0" w:space="0" w:color="auto"/>
        <w:bottom w:val="none" w:sz="0" w:space="0" w:color="auto"/>
        <w:right w:val="none" w:sz="0" w:space="0" w:color="auto"/>
      </w:divBdr>
    </w:div>
    <w:div w:id="240648775">
      <w:bodyDiv w:val="1"/>
      <w:marLeft w:val="0"/>
      <w:marRight w:val="0"/>
      <w:marTop w:val="0"/>
      <w:marBottom w:val="0"/>
      <w:divBdr>
        <w:top w:val="none" w:sz="0" w:space="0" w:color="auto"/>
        <w:left w:val="none" w:sz="0" w:space="0" w:color="auto"/>
        <w:bottom w:val="none" w:sz="0" w:space="0" w:color="auto"/>
        <w:right w:val="none" w:sz="0" w:space="0" w:color="auto"/>
      </w:divBdr>
    </w:div>
    <w:div w:id="296180486">
      <w:bodyDiv w:val="1"/>
      <w:marLeft w:val="0"/>
      <w:marRight w:val="0"/>
      <w:marTop w:val="0"/>
      <w:marBottom w:val="0"/>
      <w:divBdr>
        <w:top w:val="none" w:sz="0" w:space="0" w:color="auto"/>
        <w:left w:val="none" w:sz="0" w:space="0" w:color="auto"/>
        <w:bottom w:val="none" w:sz="0" w:space="0" w:color="auto"/>
        <w:right w:val="none" w:sz="0" w:space="0" w:color="auto"/>
      </w:divBdr>
    </w:div>
    <w:div w:id="296423751">
      <w:bodyDiv w:val="1"/>
      <w:marLeft w:val="0"/>
      <w:marRight w:val="0"/>
      <w:marTop w:val="0"/>
      <w:marBottom w:val="0"/>
      <w:divBdr>
        <w:top w:val="none" w:sz="0" w:space="0" w:color="auto"/>
        <w:left w:val="none" w:sz="0" w:space="0" w:color="auto"/>
        <w:bottom w:val="none" w:sz="0" w:space="0" w:color="auto"/>
        <w:right w:val="none" w:sz="0" w:space="0" w:color="auto"/>
      </w:divBdr>
    </w:div>
    <w:div w:id="492113238">
      <w:bodyDiv w:val="1"/>
      <w:marLeft w:val="0"/>
      <w:marRight w:val="0"/>
      <w:marTop w:val="0"/>
      <w:marBottom w:val="0"/>
      <w:divBdr>
        <w:top w:val="none" w:sz="0" w:space="0" w:color="auto"/>
        <w:left w:val="none" w:sz="0" w:space="0" w:color="auto"/>
        <w:bottom w:val="none" w:sz="0" w:space="0" w:color="auto"/>
        <w:right w:val="none" w:sz="0" w:space="0" w:color="auto"/>
      </w:divBdr>
    </w:div>
    <w:div w:id="564604416">
      <w:bodyDiv w:val="1"/>
      <w:marLeft w:val="0"/>
      <w:marRight w:val="0"/>
      <w:marTop w:val="0"/>
      <w:marBottom w:val="0"/>
      <w:divBdr>
        <w:top w:val="none" w:sz="0" w:space="0" w:color="auto"/>
        <w:left w:val="none" w:sz="0" w:space="0" w:color="auto"/>
        <w:bottom w:val="none" w:sz="0" w:space="0" w:color="auto"/>
        <w:right w:val="none" w:sz="0" w:space="0" w:color="auto"/>
      </w:divBdr>
    </w:div>
    <w:div w:id="670332944">
      <w:bodyDiv w:val="1"/>
      <w:marLeft w:val="0"/>
      <w:marRight w:val="0"/>
      <w:marTop w:val="0"/>
      <w:marBottom w:val="0"/>
      <w:divBdr>
        <w:top w:val="none" w:sz="0" w:space="0" w:color="auto"/>
        <w:left w:val="none" w:sz="0" w:space="0" w:color="auto"/>
        <w:bottom w:val="none" w:sz="0" w:space="0" w:color="auto"/>
        <w:right w:val="none" w:sz="0" w:space="0" w:color="auto"/>
      </w:divBdr>
    </w:div>
    <w:div w:id="679937720">
      <w:bodyDiv w:val="1"/>
      <w:marLeft w:val="0"/>
      <w:marRight w:val="0"/>
      <w:marTop w:val="0"/>
      <w:marBottom w:val="0"/>
      <w:divBdr>
        <w:top w:val="none" w:sz="0" w:space="0" w:color="auto"/>
        <w:left w:val="none" w:sz="0" w:space="0" w:color="auto"/>
        <w:bottom w:val="none" w:sz="0" w:space="0" w:color="auto"/>
        <w:right w:val="none" w:sz="0" w:space="0" w:color="auto"/>
      </w:divBdr>
    </w:div>
    <w:div w:id="708997011">
      <w:bodyDiv w:val="1"/>
      <w:marLeft w:val="0"/>
      <w:marRight w:val="0"/>
      <w:marTop w:val="0"/>
      <w:marBottom w:val="0"/>
      <w:divBdr>
        <w:top w:val="none" w:sz="0" w:space="0" w:color="auto"/>
        <w:left w:val="none" w:sz="0" w:space="0" w:color="auto"/>
        <w:bottom w:val="none" w:sz="0" w:space="0" w:color="auto"/>
        <w:right w:val="none" w:sz="0" w:space="0" w:color="auto"/>
      </w:divBdr>
    </w:div>
    <w:div w:id="735010786">
      <w:bodyDiv w:val="1"/>
      <w:marLeft w:val="0"/>
      <w:marRight w:val="0"/>
      <w:marTop w:val="0"/>
      <w:marBottom w:val="0"/>
      <w:divBdr>
        <w:top w:val="none" w:sz="0" w:space="0" w:color="auto"/>
        <w:left w:val="none" w:sz="0" w:space="0" w:color="auto"/>
        <w:bottom w:val="none" w:sz="0" w:space="0" w:color="auto"/>
        <w:right w:val="none" w:sz="0" w:space="0" w:color="auto"/>
      </w:divBdr>
    </w:div>
    <w:div w:id="858857940">
      <w:bodyDiv w:val="1"/>
      <w:marLeft w:val="0"/>
      <w:marRight w:val="0"/>
      <w:marTop w:val="0"/>
      <w:marBottom w:val="0"/>
      <w:divBdr>
        <w:top w:val="none" w:sz="0" w:space="0" w:color="auto"/>
        <w:left w:val="none" w:sz="0" w:space="0" w:color="auto"/>
        <w:bottom w:val="none" w:sz="0" w:space="0" w:color="auto"/>
        <w:right w:val="none" w:sz="0" w:space="0" w:color="auto"/>
      </w:divBdr>
    </w:div>
    <w:div w:id="877355929">
      <w:bodyDiv w:val="1"/>
      <w:marLeft w:val="0"/>
      <w:marRight w:val="0"/>
      <w:marTop w:val="0"/>
      <w:marBottom w:val="0"/>
      <w:divBdr>
        <w:top w:val="none" w:sz="0" w:space="0" w:color="auto"/>
        <w:left w:val="none" w:sz="0" w:space="0" w:color="auto"/>
        <w:bottom w:val="none" w:sz="0" w:space="0" w:color="auto"/>
        <w:right w:val="none" w:sz="0" w:space="0" w:color="auto"/>
      </w:divBdr>
    </w:div>
    <w:div w:id="935019398">
      <w:bodyDiv w:val="1"/>
      <w:marLeft w:val="0"/>
      <w:marRight w:val="0"/>
      <w:marTop w:val="0"/>
      <w:marBottom w:val="0"/>
      <w:divBdr>
        <w:top w:val="none" w:sz="0" w:space="0" w:color="auto"/>
        <w:left w:val="none" w:sz="0" w:space="0" w:color="auto"/>
        <w:bottom w:val="none" w:sz="0" w:space="0" w:color="auto"/>
        <w:right w:val="none" w:sz="0" w:space="0" w:color="auto"/>
      </w:divBdr>
    </w:div>
    <w:div w:id="977956208">
      <w:bodyDiv w:val="1"/>
      <w:marLeft w:val="0"/>
      <w:marRight w:val="0"/>
      <w:marTop w:val="0"/>
      <w:marBottom w:val="0"/>
      <w:divBdr>
        <w:top w:val="none" w:sz="0" w:space="0" w:color="auto"/>
        <w:left w:val="none" w:sz="0" w:space="0" w:color="auto"/>
        <w:bottom w:val="none" w:sz="0" w:space="0" w:color="auto"/>
        <w:right w:val="none" w:sz="0" w:space="0" w:color="auto"/>
      </w:divBdr>
    </w:div>
    <w:div w:id="996952924">
      <w:bodyDiv w:val="1"/>
      <w:marLeft w:val="0"/>
      <w:marRight w:val="0"/>
      <w:marTop w:val="0"/>
      <w:marBottom w:val="0"/>
      <w:divBdr>
        <w:top w:val="none" w:sz="0" w:space="0" w:color="auto"/>
        <w:left w:val="none" w:sz="0" w:space="0" w:color="auto"/>
        <w:bottom w:val="none" w:sz="0" w:space="0" w:color="auto"/>
        <w:right w:val="none" w:sz="0" w:space="0" w:color="auto"/>
      </w:divBdr>
    </w:div>
    <w:div w:id="1023895243">
      <w:bodyDiv w:val="1"/>
      <w:marLeft w:val="0"/>
      <w:marRight w:val="0"/>
      <w:marTop w:val="0"/>
      <w:marBottom w:val="0"/>
      <w:divBdr>
        <w:top w:val="none" w:sz="0" w:space="0" w:color="auto"/>
        <w:left w:val="none" w:sz="0" w:space="0" w:color="auto"/>
        <w:bottom w:val="none" w:sz="0" w:space="0" w:color="auto"/>
        <w:right w:val="none" w:sz="0" w:space="0" w:color="auto"/>
      </w:divBdr>
    </w:div>
    <w:div w:id="1039891816">
      <w:bodyDiv w:val="1"/>
      <w:marLeft w:val="0"/>
      <w:marRight w:val="0"/>
      <w:marTop w:val="0"/>
      <w:marBottom w:val="0"/>
      <w:divBdr>
        <w:top w:val="none" w:sz="0" w:space="0" w:color="auto"/>
        <w:left w:val="none" w:sz="0" w:space="0" w:color="auto"/>
        <w:bottom w:val="none" w:sz="0" w:space="0" w:color="auto"/>
        <w:right w:val="none" w:sz="0" w:space="0" w:color="auto"/>
      </w:divBdr>
    </w:div>
    <w:div w:id="1090153636">
      <w:bodyDiv w:val="1"/>
      <w:marLeft w:val="0"/>
      <w:marRight w:val="0"/>
      <w:marTop w:val="0"/>
      <w:marBottom w:val="0"/>
      <w:divBdr>
        <w:top w:val="none" w:sz="0" w:space="0" w:color="auto"/>
        <w:left w:val="none" w:sz="0" w:space="0" w:color="auto"/>
        <w:bottom w:val="none" w:sz="0" w:space="0" w:color="auto"/>
        <w:right w:val="none" w:sz="0" w:space="0" w:color="auto"/>
      </w:divBdr>
    </w:div>
    <w:div w:id="1099058580">
      <w:bodyDiv w:val="1"/>
      <w:marLeft w:val="0"/>
      <w:marRight w:val="0"/>
      <w:marTop w:val="0"/>
      <w:marBottom w:val="0"/>
      <w:divBdr>
        <w:top w:val="none" w:sz="0" w:space="0" w:color="auto"/>
        <w:left w:val="none" w:sz="0" w:space="0" w:color="auto"/>
        <w:bottom w:val="none" w:sz="0" w:space="0" w:color="auto"/>
        <w:right w:val="none" w:sz="0" w:space="0" w:color="auto"/>
      </w:divBdr>
    </w:div>
    <w:div w:id="1101802817">
      <w:bodyDiv w:val="1"/>
      <w:marLeft w:val="0"/>
      <w:marRight w:val="0"/>
      <w:marTop w:val="0"/>
      <w:marBottom w:val="0"/>
      <w:divBdr>
        <w:top w:val="none" w:sz="0" w:space="0" w:color="auto"/>
        <w:left w:val="none" w:sz="0" w:space="0" w:color="auto"/>
        <w:bottom w:val="none" w:sz="0" w:space="0" w:color="auto"/>
        <w:right w:val="none" w:sz="0" w:space="0" w:color="auto"/>
      </w:divBdr>
    </w:div>
    <w:div w:id="1211721786">
      <w:bodyDiv w:val="1"/>
      <w:marLeft w:val="0"/>
      <w:marRight w:val="0"/>
      <w:marTop w:val="0"/>
      <w:marBottom w:val="0"/>
      <w:divBdr>
        <w:top w:val="none" w:sz="0" w:space="0" w:color="auto"/>
        <w:left w:val="none" w:sz="0" w:space="0" w:color="auto"/>
        <w:bottom w:val="none" w:sz="0" w:space="0" w:color="auto"/>
        <w:right w:val="none" w:sz="0" w:space="0" w:color="auto"/>
      </w:divBdr>
    </w:div>
    <w:div w:id="1213539165">
      <w:bodyDiv w:val="1"/>
      <w:marLeft w:val="0"/>
      <w:marRight w:val="0"/>
      <w:marTop w:val="0"/>
      <w:marBottom w:val="0"/>
      <w:divBdr>
        <w:top w:val="none" w:sz="0" w:space="0" w:color="auto"/>
        <w:left w:val="none" w:sz="0" w:space="0" w:color="auto"/>
        <w:bottom w:val="none" w:sz="0" w:space="0" w:color="auto"/>
        <w:right w:val="none" w:sz="0" w:space="0" w:color="auto"/>
      </w:divBdr>
    </w:div>
    <w:div w:id="1216966586">
      <w:bodyDiv w:val="1"/>
      <w:marLeft w:val="0"/>
      <w:marRight w:val="0"/>
      <w:marTop w:val="0"/>
      <w:marBottom w:val="0"/>
      <w:divBdr>
        <w:top w:val="none" w:sz="0" w:space="0" w:color="auto"/>
        <w:left w:val="none" w:sz="0" w:space="0" w:color="auto"/>
        <w:bottom w:val="none" w:sz="0" w:space="0" w:color="auto"/>
        <w:right w:val="none" w:sz="0" w:space="0" w:color="auto"/>
      </w:divBdr>
    </w:div>
    <w:div w:id="1218052781">
      <w:bodyDiv w:val="1"/>
      <w:marLeft w:val="0"/>
      <w:marRight w:val="0"/>
      <w:marTop w:val="0"/>
      <w:marBottom w:val="0"/>
      <w:divBdr>
        <w:top w:val="none" w:sz="0" w:space="0" w:color="auto"/>
        <w:left w:val="none" w:sz="0" w:space="0" w:color="auto"/>
        <w:bottom w:val="none" w:sz="0" w:space="0" w:color="auto"/>
        <w:right w:val="none" w:sz="0" w:space="0" w:color="auto"/>
      </w:divBdr>
    </w:div>
    <w:div w:id="1237277295">
      <w:bodyDiv w:val="1"/>
      <w:marLeft w:val="0"/>
      <w:marRight w:val="0"/>
      <w:marTop w:val="0"/>
      <w:marBottom w:val="0"/>
      <w:divBdr>
        <w:top w:val="none" w:sz="0" w:space="0" w:color="auto"/>
        <w:left w:val="none" w:sz="0" w:space="0" w:color="auto"/>
        <w:bottom w:val="none" w:sz="0" w:space="0" w:color="auto"/>
        <w:right w:val="none" w:sz="0" w:space="0" w:color="auto"/>
      </w:divBdr>
    </w:div>
    <w:div w:id="1419669760">
      <w:bodyDiv w:val="1"/>
      <w:marLeft w:val="0"/>
      <w:marRight w:val="0"/>
      <w:marTop w:val="0"/>
      <w:marBottom w:val="0"/>
      <w:divBdr>
        <w:top w:val="none" w:sz="0" w:space="0" w:color="auto"/>
        <w:left w:val="none" w:sz="0" w:space="0" w:color="auto"/>
        <w:bottom w:val="none" w:sz="0" w:space="0" w:color="auto"/>
        <w:right w:val="none" w:sz="0" w:space="0" w:color="auto"/>
      </w:divBdr>
    </w:div>
    <w:div w:id="1426537762">
      <w:bodyDiv w:val="1"/>
      <w:marLeft w:val="0"/>
      <w:marRight w:val="0"/>
      <w:marTop w:val="0"/>
      <w:marBottom w:val="0"/>
      <w:divBdr>
        <w:top w:val="none" w:sz="0" w:space="0" w:color="auto"/>
        <w:left w:val="none" w:sz="0" w:space="0" w:color="auto"/>
        <w:bottom w:val="none" w:sz="0" w:space="0" w:color="auto"/>
        <w:right w:val="none" w:sz="0" w:space="0" w:color="auto"/>
      </w:divBdr>
      <w:divsChild>
        <w:div w:id="1287472619">
          <w:marLeft w:val="1800"/>
          <w:marRight w:val="0"/>
          <w:marTop w:val="100"/>
          <w:marBottom w:val="0"/>
          <w:divBdr>
            <w:top w:val="none" w:sz="0" w:space="0" w:color="auto"/>
            <w:left w:val="none" w:sz="0" w:space="0" w:color="auto"/>
            <w:bottom w:val="none" w:sz="0" w:space="0" w:color="auto"/>
            <w:right w:val="none" w:sz="0" w:space="0" w:color="auto"/>
          </w:divBdr>
        </w:div>
      </w:divsChild>
    </w:div>
    <w:div w:id="1448701375">
      <w:bodyDiv w:val="1"/>
      <w:marLeft w:val="0"/>
      <w:marRight w:val="0"/>
      <w:marTop w:val="0"/>
      <w:marBottom w:val="0"/>
      <w:divBdr>
        <w:top w:val="none" w:sz="0" w:space="0" w:color="auto"/>
        <w:left w:val="none" w:sz="0" w:space="0" w:color="auto"/>
        <w:bottom w:val="none" w:sz="0" w:space="0" w:color="auto"/>
        <w:right w:val="none" w:sz="0" w:space="0" w:color="auto"/>
      </w:divBdr>
    </w:div>
    <w:div w:id="1515417047">
      <w:bodyDiv w:val="1"/>
      <w:marLeft w:val="0"/>
      <w:marRight w:val="0"/>
      <w:marTop w:val="0"/>
      <w:marBottom w:val="0"/>
      <w:divBdr>
        <w:top w:val="none" w:sz="0" w:space="0" w:color="auto"/>
        <w:left w:val="none" w:sz="0" w:space="0" w:color="auto"/>
        <w:bottom w:val="none" w:sz="0" w:space="0" w:color="auto"/>
        <w:right w:val="none" w:sz="0" w:space="0" w:color="auto"/>
      </w:divBdr>
    </w:div>
    <w:div w:id="1518615926">
      <w:bodyDiv w:val="1"/>
      <w:marLeft w:val="0"/>
      <w:marRight w:val="0"/>
      <w:marTop w:val="0"/>
      <w:marBottom w:val="0"/>
      <w:divBdr>
        <w:top w:val="none" w:sz="0" w:space="0" w:color="auto"/>
        <w:left w:val="none" w:sz="0" w:space="0" w:color="auto"/>
        <w:bottom w:val="none" w:sz="0" w:space="0" w:color="auto"/>
        <w:right w:val="none" w:sz="0" w:space="0" w:color="auto"/>
      </w:divBdr>
    </w:div>
    <w:div w:id="1538200065">
      <w:bodyDiv w:val="1"/>
      <w:marLeft w:val="0"/>
      <w:marRight w:val="0"/>
      <w:marTop w:val="0"/>
      <w:marBottom w:val="0"/>
      <w:divBdr>
        <w:top w:val="none" w:sz="0" w:space="0" w:color="auto"/>
        <w:left w:val="none" w:sz="0" w:space="0" w:color="auto"/>
        <w:bottom w:val="none" w:sz="0" w:space="0" w:color="auto"/>
        <w:right w:val="none" w:sz="0" w:space="0" w:color="auto"/>
      </w:divBdr>
    </w:div>
    <w:div w:id="1580947548">
      <w:bodyDiv w:val="1"/>
      <w:marLeft w:val="0"/>
      <w:marRight w:val="0"/>
      <w:marTop w:val="0"/>
      <w:marBottom w:val="0"/>
      <w:divBdr>
        <w:top w:val="none" w:sz="0" w:space="0" w:color="auto"/>
        <w:left w:val="none" w:sz="0" w:space="0" w:color="auto"/>
        <w:bottom w:val="none" w:sz="0" w:space="0" w:color="auto"/>
        <w:right w:val="none" w:sz="0" w:space="0" w:color="auto"/>
      </w:divBdr>
    </w:div>
    <w:div w:id="1635673236">
      <w:bodyDiv w:val="1"/>
      <w:marLeft w:val="0"/>
      <w:marRight w:val="0"/>
      <w:marTop w:val="0"/>
      <w:marBottom w:val="0"/>
      <w:divBdr>
        <w:top w:val="none" w:sz="0" w:space="0" w:color="auto"/>
        <w:left w:val="none" w:sz="0" w:space="0" w:color="auto"/>
        <w:bottom w:val="none" w:sz="0" w:space="0" w:color="auto"/>
        <w:right w:val="none" w:sz="0" w:space="0" w:color="auto"/>
      </w:divBdr>
    </w:div>
    <w:div w:id="1717850830">
      <w:bodyDiv w:val="1"/>
      <w:marLeft w:val="0"/>
      <w:marRight w:val="0"/>
      <w:marTop w:val="0"/>
      <w:marBottom w:val="0"/>
      <w:divBdr>
        <w:top w:val="none" w:sz="0" w:space="0" w:color="auto"/>
        <w:left w:val="none" w:sz="0" w:space="0" w:color="auto"/>
        <w:bottom w:val="none" w:sz="0" w:space="0" w:color="auto"/>
        <w:right w:val="none" w:sz="0" w:space="0" w:color="auto"/>
      </w:divBdr>
    </w:div>
    <w:div w:id="1721827437">
      <w:bodyDiv w:val="1"/>
      <w:marLeft w:val="0"/>
      <w:marRight w:val="0"/>
      <w:marTop w:val="0"/>
      <w:marBottom w:val="0"/>
      <w:divBdr>
        <w:top w:val="none" w:sz="0" w:space="0" w:color="auto"/>
        <w:left w:val="none" w:sz="0" w:space="0" w:color="auto"/>
        <w:bottom w:val="none" w:sz="0" w:space="0" w:color="auto"/>
        <w:right w:val="none" w:sz="0" w:space="0" w:color="auto"/>
      </w:divBdr>
    </w:div>
    <w:div w:id="1722097648">
      <w:bodyDiv w:val="1"/>
      <w:marLeft w:val="0"/>
      <w:marRight w:val="0"/>
      <w:marTop w:val="0"/>
      <w:marBottom w:val="0"/>
      <w:divBdr>
        <w:top w:val="none" w:sz="0" w:space="0" w:color="auto"/>
        <w:left w:val="none" w:sz="0" w:space="0" w:color="auto"/>
        <w:bottom w:val="none" w:sz="0" w:space="0" w:color="auto"/>
        <w:right w:val="none" w:sz="0" w:space="0" w:color="auto"/>
      </w:divBdr>
    </w:div>
    <w:div w:id="1741974266">
      <w:bodyDiv w:val="1"/>
      <w:marLeft w:val="0"/>
      <w:marRight w:val="0"/>
      <w:marTop w:val="0"/>
      <w:marBottom w:val="0"/>
      <w:divBdr>
        <w:top w:val="none" w:sz="0" w:space="0" w:color="auto"/>
        <w:left w:val="none" w:sz="0" w:space="0" w:color="auto"/>
        <w:bottom w:val="none" w:sz="0" w:space="0" w:color="auto"/>
        <w:right w:val="none" w:sz="0" w:space="0" w:color="auto"/>
      </w:divBdr>
    </w:div>
    <w:div w:id="1753775779">
      <w:bodyDiv w:val="1"/>
      <w:marLeft w:val="0"/>
      <w:marRight w:val="0"/>
      <w:marTop w:val="0"/>
      <w:marBottom w:val="0"/>
      <w:divBdr>
        <w:top w:val="none" w:sz="0" w:space="0" w:color="auto"/>
        <w:left w:val="none" w:sz="0" w:space="0" w:color="auto"/>
        <w:bottom w:val="none" w:sz="0" w:space="0" w:color="auto"/>
        <w:right w:val="none" w:sz="0" w:space="0" w:color="auto"/>
      </w:divBdr>
    </w:div>
    <w:div w:id="1802379525">
      <w:bodyDiv w:val="1"/>
      <w:marLeft w:val="0"/>
      <w:marRight w:val="0"/>
      <w:marTop w:val="0"/>
      <w:marBottom w:val="0"/>
      <w:divBdr>
        <w:top w:val="none" w:sz="0" w:space="0" w:color="auto"/>
        <w:left w:val="none" w:sz="0" w:space="0" w:color="auto"/>
        <w:bottom w:val="none" w:sz="0" w:space="0" w:color="auto"/>
        <w:right w:val="none" w:sz="0" w:space="0" w:color="auto"/>
      </w:divBdr>
    </w:div>
    <w:div w:id="1861967138">
      <w:bodyDiv w:val="1"/>
      <w:marLeft w:val="0"/>
      <w:marRight w:val="0"/>
      <w:marTop w:val="0"/>
      <w:marBottom w:val="0"/>
      <w:divBdr>
        <w:top w:val="none" w:sz="0" w:space="0" w:color="auto"/>
        <w:left w:val="none" w:sz="0" w:space="0" w:color="auto"/>
        <w:bottom w:val="none" w:sz="0" w:space="0" w:color="auto"/>
        <w:right w:val="none" w:sz="0" w:space="0" w:color="auto"/>
      </w:divBdr>
    </w:div>
    <w:div w:id="1908807474">
      <w:bodyDiv w:val="1"/>
      <w:marLeft w:val="0"/>
      <w:marRight w:val="0"/>
      <w:marTop w:val="0"/>
      <w:marBottom w:val="0"/>
      <w:divBdr>
        <w:top w:val="none" w:sz="0" w:space="0" w:color="auto"/>
        <w:left w:val="none" w:sz="0" w:space="0" w:color="auto"/>
        <w:bottom w:val="none" w:sz="0" w:space="0" w:color="auto"/>
        <w:right w:val="none" w:sz="0" w:space="0" w:color="auto"/>
      </w:divBdr>
    </w:div>
    <w:div w:id="1915358619">
      <w:bodyDiv w:val="1"/>
      <w:marLeft w:val="0"/>
      <w:marRight w:val="0"/>
      <w:marTop w:val="0"/>
      <w:marBottom w:val="0"/>
      <w:divBdr>
        <w:top w:val="none" w:sz="0" w:space="0" w:color="auto"/>
        <w:left w:val="none" w:sz="0" w:space="0" w:color="auto"/>
        <w:bottom w:val="none" w:sz="0" w:space="0" w:color="auto"/>
        <w:right w:val="none" w:sz="0" w:space="0" w:color="auto"/>
      </w:divBdr>
    </w:div>
    <w:div w:id="1952125403">
      <w:bodyDiv w:val="1"/>
      <w:marLeft w:val="0"/>
      <w:marRight w:val="0"/>
      <w:marTop w:val="0"/>
      <w:marBottom w:val="0"/>
      <w:divBdr>
        <w:top w:val="none" w:sz="0" w:space="0" w:color="auto"/>
        <w:left w:val="none" w:sz="0" w:space="0" w:color="auto"/>
        <w:bottom w:val="none" w:sz="0" w:space="0" w:color="auto"/>
        <w:right w:val="none" w:sz="0" w:space="0" w:color="auto"/>
      </w:divBdr>
    </w:div>
    <w:div w:id="1960144872">
      <w:bodyDiv w:val="1"/>
      <w:marLeft w:val="0"/>
      <w:marRight w:val="0"/>
      <w:marTop w:val="0"/>
      <w:marBottom w:val="0"/>
      <w:divBdr>
        <w:top w:val="none" w:sz="0" w:space="0" w:color="auto"/>
        <w:left w:val="none" w:sz="0" w:space="0" w:color="auto"/>
        <w:bottom w:val="none" w:sz="0" w:space="0" w:color="auto"/>
        <w:right w:val="none" w:sz="0" w:space="0" w:color="auto"/>
      </w:divBdr>
    </w:div>
    <w:div w:id="1990553950">
      <w:bodyDiv w:val="1"/>
      <w:marLeft w:val="0"/>
      <w:marRight w:val="0"/>
      <w:marTop w:val="0"/>
      <w:marBottom w:val="0"/>
      <w:divBdr>
        <w:top w:val="none" w:sz="0" w:space="0" w:color="auto"/>
        <w:left w:val="none" w:sz="0" w:space="0" w:color="auto"/>
        <w:bottom w:val="none" w:sz="0" w:space="0" w:color="auto"/>
        <w:right w:val="none" w:sz="0" w:space="0" w:color="auto"/>
      </w:divBdr>
    </w:div>
    <w:div w:id="1994554101">
      <w:bodyDiv w:val="1"/>
      <w:marLeft w:val="0"/>
      <w:marRight w:val="0"/>
      <w:marTop w:val="0"/>
      <w:marBottom w:val="0"/>
      <w:divBdr>
        <w:top w:val="none" w:sz="0" w:space="0" w:color="auto"/>
        <w:left w:val="none" w:sz="0" w:space="0" w:color="auto"/>
        <w:bottom w:val="none" w:sz="0" w:space="0" w:color="auto"/>
        <w:right w:val="none" w:sz="0" w:space="0" w:color="auto"/>
      </w:divBdr>
    </w:div>
    <w:div w:id="2045327215">
      <w:bodyDiv w:val="1"/>
      <w:marLeft w:val="0"/>
      <w:marRight w:val="0"/>
      <w:marTop w:val="0"/>
      <w:marBottom w:val="0"/>
      <w:divBdr>
        <w:top w:val="none" w:sz="0" w:space="0" w:color="auto"/>
        <w:left w:val="none" w:sz="0" w:space="0" w:color="auto"/>
        <w:bottom w:val="none" w:sz="0" w:space="0" w:color="auto"/>
        <w:right w:val="none" w:sz="0" w:space="0" w:color="auto"/>
      </w:divBdr>
    </w:div>
    <w:div w:id="2045864376">
      <w:bodyDiv w:val="1"/>
      <w:marLeft w:val="0"/>
      <w:marRight w:val="0"/>
      <w:marTop w:val="0"/>
      <w:marBottom w:val="0"/>
      <w:divBdr>
        <w:top w:val="none" w:sz="0" w:space="0" w:color="auto"/>
        <w:left w:val="none" w:sz="0" w:space="0" w:color="auto"/>
        <w:bottom w:val="none" w:sz="0" w:space="0" w:color="auto"/>
        <w:right w:val="none" w:sz="0" w:space="0" w:color="auto"/>
      </w:divBdr>
    </w:div>
    <w:div w:id="2054883633">
      <w:bodyDiv w:val="1"/>
      <w:marLeft w:val="0"/>
      <w:marRight w:val="0"/>
      <w:marTop w:val="0"/>
      <w:marBottom w:val="0"/>
      <w:divBdr>
        <w:top w:val="none" w:sz="0" w:space="0" w:color="auto"/>
        <w:left w:val="none" w:sz="0" w:space="0" w:color="auto"/>
        <w:bottom w:val="none" w:sz="0" w:space="0" w:color="auto"/>
        <w:right w:val="none" w:sz="0" w:space="0" w:color="auto"/>
      </w:divBdr>
    </w:div>
    <w:div w:id="2102137863">
      <w:bodyDiv w:val="1"/>
      <w:marLeft w:val="0"/>
      <w:marRight w:val="0"/>
      <w:marTop w:val="0"/>
      <w:marBottom w:val="0"/>
      <w:divBdr>
        <w:top w:val="none" w:sz="0" w:space="0" w:color="auto"/>
        <w:left w:val="none" w:sz="0" w:space="0" w:color="auto"/>
        <w:bottom w:val="none" w:sz="0" w:space="0" w:color="auto"/>
        <w:right w:val="none" w:sz="0" w:space="0" w:color="auto"/>
      </w:divBdr>
    </w:div>
    <w:div w:id="21226485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3.PNG"/><Relationship Id="rId26" Type="http://schemas.openxmlformats.org/officeDocument/2006/relationships/diagramData" Target="diagrams/data1.xml"/><Relationship Id="rId39" Type="http://schemas.openxmlformats.org/officeDocument/2006/relationships/diagramColors" Target="diagrams/colors3.xml"/><Relationship Id="rId21" Type="http://schemas.openxmlformats.org/officeDocument/2006/relationships/image" Target="media/image6.png"/><Relationship Id="rId34" Type="http://schemas.openxmlformats.org/officeDocument/2006/relationships/diagramColors" Target="diagrams/colors2.xml"/><Relationship Id="rId42" Type="http://schemas.openxmlformats.org/officeDocument/2006/relationships/image" Target="media/image12.png"/><Relationship Id="rId47" Type="http://schemas.openxmlformats.org/officeDocument/2006/relationships/image" Target="media/image17.png"/><Relationship Id="rId50" Type="http://schemas.openxmlformats.org/officeDocument/2006/relationships/image" Target="media/image18.png"/><Relationship Id="rId55" Type="http://schemas.openxmlformats.org/officeDocument/2006/relationships/image" Target="media/image23.png"/><Relationship Id="rId63" Type="http://schemas.openxmlformats.org/officeDocument/2006/relationships/chart" Target="charts/chart3.xml"/><Relationship Id="rId68" Type="http://schemas.openxmlformats.org/officeDocument/2006/relationships/image" Target="media/image30.png"/><Relationship Id="rId76" Type="http://schemas.openxmlformats.org/officeDocument/2006/relationships/image" Target="media/image33.png"/><Relationship Id="rId84" Type="http://schemas.openxmlformats.org/officeDocument/2006/relationships/header" Target="header5.xml"/><Relationship Id="rId7" Type="http://schemas.openxmlformats.org/officeDocument/2006/relationships/footnotes" Target="footnotes.xml"/><Relationship Id="rId71" Type="http://schemas.openxmlformats.org/officeDocument/2006/relationships/chart" Target="charts/chart9.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diagramColors" Target="diagrams/colors1.xml"/><Relationship Id="rId11" Type="http://schemas.openxmlformats.org/officeDocument/2006/relationships/header" Target="header2.xml"/><Relationship Id="rId24" Type="http://schemas.openxmlformats.org/officeDocument/2006/relationships/image" Target="media/image9.png"/><Relationship Id="rId32" Type="http://schemas.openxmlformats.org/officeDocument/2006/relationships/diagramLayout" Target="diagrams/layout2.xml"/><Relationship Id="rId37" Type="http://schemas.openxmlformats.org/officeDocument/2006/relationships/diagramLayout" Target="diagrams/layout3.xml"/><Relationship Id="rId40" Type="http://schemas.microsoft.com/office/2007/relationships/diagramDrawing" Target="diagrams/drawing3.xml"/><Relationship Id="rId45" Type="http://schemas.openxmlformats.org/officeDocument/2006/relationships/image" Target="media/image15.emf"/><Relationship Id="rId53" Type="http://schemas.openxmlformats.org/officeDocument/2006/relationships/image" Target="media/image21.png"/><Relationship Id="rId58" Type="http://schemas.openxmlformats.org/officeDocument/2006/relationships/image" Target="media/image26.png"/><Relationship Id="rId66" Type="http://schemas.openxmlformats.org/officeDocument/2006/relationships/chart" Target="charts/chart6.xml"/><Relationship Id="rId74" Type="http://schemas.openxmlformats.org/officeDocument/2006/relationships/chart" Target="charts/chart12.xml"/><Relationship Id="rId79" Type="http://schemas.openxmlformats.org/officeDocument/2006/relationships/image" Target="media/image35.png"/><Relationship Id="rId5" Type="http://schemas.openxmlformats.org/officeDocument/2006/relationships/settings" Target="settings.xml"/><Relationship Id="rId61" Type="http://schemas.openxmlformats.org/officeDocument/2006/relationships/chart" Target="charts/chart1.xml"/><Relationship Id="rId82" Type="http://schemas.openxmlformats.org/officeDocument/2006/relationships/chart" Target="charts/chart14.xml"/><Relationship Id="rId19"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4.xml"/><Relationship Id="rId22" Type="http://schemas.openxmlformats.org/officeDocument/2006/relationships/image" Target="media/image7.png"/><Relationship Id="rId27" Type="http://schemas.openxmlformats.org/officeDocument/2006/relationships/diagramLayout" Target="diagrams/layout1.xml"/><Relationship Id="rId30" Type="http://schemas.microsoft.com/office/2007/relationships/diagramDrawing" Target="diagrams/drawing1.xml"/><Relationship Id="rId35" Type="http://schemas.microsoft.com/office/2007/relationships/diagramDrawing" Target="diagrams/drawing2.xml"/><Relationship Id="rId43" Type="http://schemas.openxmlformats.org/officeDocument/2006/relationships/image" Target="media/image13.png"/><Relationship Id="rId48" Type="http://schemas.openxmlformats.org/officeDocument/2006/relationships/header" Target="header4.xml"/><Relationship Id="rId56" Type="http://schemas.openxmlformats.org/officeDocument/2006/relationships/image" Target="media/image24.png"/><Relationship Id="rId64" Type="http://schemas.openxmlformats.org/officeDocument/2006/relationships/chart" Target="charts/chart4.xml"/><Relationship Id="rId69" Type="http://schemas.openxmlformats.org/officeDocument/2006/relationships/chart" Target="charts/chart7.xml"/><Relationship Id="rId77" Type="http://schemas.openxmlformats.org/officeDocument/2006/relationships/image" Target="media/image34.png"/><Relationship Id="rId8" Type="http://schemas.openxmlformats.org/officeDocument/2006/relationships/endnotes" Target="endnotes.xml"/><Relationship Id="rId51" Type="http://schemas.openxmlformats.org/officeDocument/2006/relationships/image" Target="media/image19.PNG"/><Relationship Id="rId72" Type="http://schemas.openxmlformats.org/officeDocument/2006/relationships/chart" Target="charts/chart10.xml"/><Relationship Id="rId80" Type="http://schemas.openxmlformats.org/officeDocument/2006/relationships/image" Target="media/image36.png"/><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5.xml"/><Relationship Id="rId25" Type="http://schemas.openxmlformats.org/officeDocument/2006/relationships/image" Target="media/image10.png"/><Relationship Id="rId33" Type="http://schemas.openxmlformats.org/officeDocument/2006/relationships/diagramQuickStyle" Target="diagrams/quickStyle2.xml"/><Relationship Id="rId38" Type="http://schemas.openxmlformats.org/officeDocument/2006/relationships/diagramQuickStyle" Target="diagrams/quickStyle3.xml"/><Relationship Id="rId46" Type="http://schemas.openxmlformats.org/officeDocument/2006/relationships/image" Target="media/image16.PNG"/><Relationship Id="rId59" Type="http://schemas.openxmlformats.org/officeDocument/2006/relationships/image" Target="media/image27.png"/><Relationship Id="rId67" Type="http://schemas.openxmlformats.org/officeDocument/2006/relationships/image" Target="media/image29.png"/><Relationship Id="rId20" Type="http://schemas.openxmlformats.org/officeDocument/2006/relationships/image" Target="media/image5.png"/><Relationship Id="rId41" Type="http://schemas.openxmlformats.org/officeDocument/2006/relationships/image" Target="media/image11.png"/><Relationship Id="rId54" Type="http://schemas.openxmlformats.org/officeDocument/2006/relationships/image" Target="media/image22.png"/><Relationship Id="rId62" Type="http://schemas.openxmlformats.org/officeDocument/2006/relationships/chart" Target="charts/chart2.xml"/><Relationship Id="rId70" Type="http://schemas.openxmlformats.org/officeDocument/2006/relationships/chart" Target="charts/chart8.xml"/><Relationship Id="rId75" Type="http://schemas.openxmlformats.org/officeDocument/2006/relationships/chart" Target="charts/chart13.xml"/><Relationship Id="rId83" Type="http://schemas.openxmlformats.org/officeDocument/2006/relationships/chart" Target="charts/chart15.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8.PNG"/><Relationship Id="rId28" Type="http://schemas.openxmlformats.org/officeDocument/2006/relationships/diagramQuickStyle" Target="diagrams/quickStyle1.xml"/><Relationship Id="rId36" Type="http://schemas.openxmlformats.org/officeDocument/2006/relationships/diagramData" Target="diagrams/data3.xml"/><Relationship Id="rId49" Type="http://schemas.openxmlformats.org/officeDocument/2006/relationships/footer" Target="footer6.xml"/><Relationship Id="rId57" Type="http://schemas.openxmlformats.org/officeDocument/2006/relationships/image" Target="media/image25.png"/><Relationship Id="rId10" Type="http://schemas.openxmlformats.org/officeDocument/2006/relationships/footer" Target="footer1.xml"/><Relationship Id="rId31" Type="http://schemas.openxmlformats.org/officeDocument/2006/relationships/diagramData" Target="diagrams/data2.xml"/><Relationship Id="rId44" Type="http://schemas.openxmlformats.org/officeDocument/2006/relationships/image" Target="media/image14.emf"/><Relationship Id="rId52" Type="http://schemas.openxmlformats.org/officeDocument/2006/relationships/image" Target="media/image20.png"/><Relationship Id="rId60" Type="http://schemas.openxmlformats.org/officeDocument/2006/relationships/image" Target="media/image28.png"/><Relationship Id="rId65" Type="http://schemas.openxmlformats.org/officeDocument/2006/relationships/chart" Target="charts/chart5.xml"/><Relationship Id="rId73" Type="http://schemas.openxmlformats.org/officeDocument/2006/relationships/chart" Target="charts/chart11.xml"/><Relationship Id="rId78" Type="http://schemas.openxmlformats.org/officeDocument/2006/relationships/hyperlink" Target="http://publications.jrc.ec.europa.eu/repository/bitstream/JRC108942/jrc108942_ioi_2017_report_final.pdf" TargetMode="External"/><Relationship Id="rId81" Type="http://schemas.openxmlformats.org/officeDocument/2006/relationships/image" Target="media/image37.png"/><Relationship Id="rId86"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7\Kapitola_06_V&#253;sledky\_kap_06_g9.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7\Kapitola_06_V&#253;sledky\_kap_06_g9.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7\Kapitola_06_V&#253;sledky\_kap_06_g9.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7\Kapitola_06_V&#253;sledky\_kap_06_g9.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7\Kapitola_06_V&#253;sledky\_kap_06_g9.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7\Kapitola_06_V&#253;sledky\_kap_06_g9.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kurekova\AppData\Local\Temp\notes0F30CA\obr1_new_gerd.xlsx"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KubecovaJ\Desktop\grafika%20inovace\obr2_new_GERD_procent_GDP.xls"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Jana\Desktop\new_srovnani_gerd_vs_vydaje.xls" TargetMode="External"/></Relationships>
</file>

<file path=word/charts/_rels/chart10.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Jana\Desktop\EIS2018_database_version26062018.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E:\inovace%20pc\EIS2018_database_version26062018.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E:\inovace%20pc\EIS2018_database_version26062018.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C:\Users\Jana\Desktop\EIS2018_database_version26062018.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E:\inovace%20pc\&#269;s&#250;%20inovace.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E:\inovace%20pc\&#269;s&#250;%20inovac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obr_6.9!$B$1</c:f>
          <c:strCache>
            <c:ptCount val="1"/>
            <c:pt idx="0">
              <c:v>NATURAL SCIENCES</c:v>
            </c:pt>
          </c:strCache>
        </c:strRef>
      </c:tx>
      <c:layout/>
      <c:overlay val="0"/>
      <c:txPr>
        <a:bodyPr/>
        <a:lstStyle/>
        <a:p>
          <a:pPr>
            <a:defRPr/>
          </a:pPr>
          <a:endParaRPr lang="cs-CZ"/>
        </a:p>
      </c:txPr>
    </c:title>
    <c:autoTitleDeleted val="0"/>
    <c:plotArea>
      <c:layout>
        <c:manualLayout>
          <c:layoutTarget val="inner"/>
          <c:xMode val="edge"/>
          <c:yMode val="edge"/>
          <c:x val="8.607174103237096E-2"/>
          <c:y val="0.11540054754426497"/>
          <c:w val="0.86264604984078486"/>
          <c:h val="0.66867155171921444"/>
        </c:manualLayout>
      </c:layout>
      <c:barChart>
        <c:barDir val="col"/>
        <c:grouping val="stacked"/>
        <c:varyColors val="0"/>
        <c:ser>
          <c:idx val="3"/>
          <c:order val="0"/>
          <c:tx>
            <c:strRef>
              <c:f>obr_6.9!$A$6</c:f>
              <c:strCache>
                <c:ptCount val="1"/>
                <c:pt idx="0">
                  <c:v>Q4</c:v>
                </c:pt>
              </c:strCache>
            </c:strRef>
          </c:tx>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obr_6.9!$B$6:$M$6</c:f>
              <c:numCache>
                <c:formatCode>#,##0</c:formatCode>
                <c:ptCount val="12"/>
                <c:pt idx="0">
                  <c:v>5893</c:v>
                </c:pt>
                <c:pt idx="1">
                  <c:v>2797.6125482851457</c:v>
                </c:pt>
                <c:pt idx="2">
                  <c:v>2480.7851573003495</c:v>
                </c:pt>
                <c:pt idx="3">
                  <c:v>2392.7506645401381</c:v>
                </c:pt>
                <c:pt idx="4">
                  <c:v>4337.6486692015205</c:v>
                </c:pt>
                <c:pt idx="5">
                  <c:v>3173.3848407176856</c:v>
                </c:pt>
                <c:pt idx="6">
                  <c:v>1959.4343504192234</c:v>
                </c:pt>
                <c:pt idx="7">
                  <c:v>1631.3666607365237</c:v>
                </c:pt>
                <c:pt idx="8">
                  <c:v>5153.434674150295</c:v>
                </c:pt>
                <c:pt idx="9">
                  <c:v>5452.3565891472863</c:v>
                </c:pt>
                <c:pt idx="10">
                  <c:v>2410.6646039603957</c:v>
                </c:pt>
                <c:pt idx="11">
                  <c:v>2817.8509042787823</c:v>
                </c:pt>
              </c:numCache>
            </c:numRef>
          </c:val>
        </c:ser>
        <c:ser>
          <c:idx val="2"/>
          <c:order val="1"/>
          <c:tx>
            <c:strRef>
              <c:f>obr_6.9!$A$5</c:f>
              <c:strCache>
                <c:ptCount val="1"/>
                <c:pt idx="0">
                  <c:v>Q3</c:v>
                </c:pt>
              </c:strCache>
            </c:strRef>
          </c:tx>
          <c:spPr>
            <a:solidFill>
              <a:srgbClr val="ECB418"/>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obr_6.9!$B$5:$M$5</c:f>
              <c:numCache>
                <c:formatCode>#,##0</c:formatCode>
                <c:ptCount val="12"/>
                <c:pt idx="0">
                  <c:v>7913</c:v>
                </c:pt>
                <c:pt idx="1">
                  <c:v>7447.9812712162002</c:v>
                </c:pt>
                <c:pt idx="2">
                  <c:v>7082.971766603926</c:v>
                </c:pt>
                <c:pt idx="3">
                  <c:v>8230.09250398724</c:v>
                </c:pt>
                <c:pt idx="4">
                  <c:v>8691.3034220532318</c:v>
                </c:pt>
                <c:pt idx="5">
                  <c:v>9055.8037348956423</c:v>
                </c:pt>
                <c:pt idx="6">
                  <c:v>4670.5180099527061</c:v>
                </c:pt>
                <c:pt idx="7">
                  <c:v>5332.834015299768</c:v>
                </c:pt>
                <c:pt idx="8">
                  <c:v>4880.5173058933578</c:v>
                </c:pt>
                <c:pt idx="9">
                  <c:v>5149.339977851605</c:v>
                </c:pt>
                <c:pt idx="10">
                  <c:v>8030.8452970297021</c:v>
                </c:pt>
                <c:pt idx="11">
                  <c:v>8335.1751213056887</c:v>
                </c:pt>
              </c:numCache>
            </c:numRef>
          </c:val>
        </c:ser>
        <c:ser>
          <c:idx val="0"/>
          <c:order val="2"/>
          <c:tx>
            <c:strRef>
              <c:f>obr_6.9!$A$4</c:f>
              <c:strCache>
                <c:ptCount val="1"/>
                <c:pt idx="0">
                  <c:v>Q2</c:v>
                </c:pt>
              </c:strCache>
            </c:strRef>
          </c:tx>
          <c:spPr>
            <a:solidFill>
              <a:srgbClr val="0937FB"/>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obr_6.9!$B$4:$M$4</c:f>
              <c:numCache>
                <c:formatCode>#,##0</c:formatCode>
                <c:ptCount val="12"/>
                <c:pt idx="0">
                  <c:v>10530</c:v>
                </c:pt>
                <c:pt idx="1">
                  <c:v>13321.612548285146</c:v>
                </c:pt>
                <c:pt idx="2">
                  <c:v>14259.326700726</c:v>
                </c:pt>
                <c:pt idx="3">
                  <c:v>19729.46943115364</c:v>
                </c:pt>
                <c:pt idx="4">
                  <c:v>10379.945247148289</c:v>
                </c:pt>
                <c:pt idx="5">
                  <c:v>17466.140607835958</c:v>
                </c:pt>
                <c:pt idx="6">
                  <c:v>9871.1151229270326</c:v>
                </c:pt>
                <c:pt idx="7">
                  <c:v>12054.264365771216</c:v>
                </c:pt>
                <c:pt idx="8">
                  <c:v>5495.5385095104448</c:v>
                </c:pt>
                <c:pt idx="9">
                  <c:v>4850.2081949058684</c:v>
                </c:pt>
                <c:pt idx="10">
                  <c:v>17014.668316831681</c:v>
                </c:pt>
                <c:pt idx="11">
                  <c:v>15974.01146890163</c:v>
                </c:pt>
              </c:numCache>
            </c:numRef>
          </c:val>
        </c:ser>
        <c:ser>
          <c:idx val="1"/>
          <c:order val="3"/>
          <c:tx>
            <c:strRef>
              <c:f>obr_6.9!$A$3</c:f>
              <c:strCache>
                <c:ptCount val="1"/>
                <c:pt idx="0">
                  <c:v>Q1</c:v>
                </c:pt>
              </c:strCache>
            </c:strRef>
          </c:tx>
          <c:spPr>
            <a:solidFill>
              <a:srgbClr val="81C35D"/>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obr_6.9!$B$3:$M$3</c:f>
              <c:numCache>
                <c:formatCode>#,##0</c:formatCode>
                <c:ptCount val="12"/>
                <c:pt idx="0">
                  <c:v>12436</c:v>
                </c:pt>
                <c:pt idx="1">
                  <c:v>23658.365913613485</c:v>
                </c:pt>
                <c:pt idx="2">
                  <c:v>23362.77063726808</c:v>
                </c:pt>
                <c:pt idx="3">
                  <c:v>40542.483785220626</c:v>
                </c:pt>
                <c:pt idx="4">
                  <c:v>19551.431178707222</c:v>
                </c:pt>
                <c:pt idx="5">
                  <c:v>29866.811424386669</c:v>
                </c:pt>
                <c:pt idx="6">
                  <c:v>20230.7243248583</c:v>
                </c:pt>
                <c:pt idx="7">
                  <c:v>28656.883828500264</c:v>
                </c:pt>
                <c:pt idx="8">
                  <c:v>4911.6922357343301</c:v>
                </c:pt>
                <c:pt idx="9">
                  <c:v>5071.6434108527128</c:v>
                </c:pt>
                <c:pt idx="10">
                  <c:v>35428.412128712866</c:v>
                </c:pt>
                <c:pt idx="11">
                  <c:v>20887.842082046758</c:v>
                </c:pt>
              </c:numCache>
            </c:numRef>
          </c:val>
        </c:ser>
        <c:dLbls>
          <c:showLegendKey val="0"/>
          <c:showVal val="0"/>
          <c:showCatName val="0"/>
          <c:showSerName val="0"/>
          <c:showPercent val="0"/>
          <c:showBubbleSize val="0"/>
        </c:dLbls>
        <c:gapWidth val="76"/>
        <c:overlap val="100"/>
        <c:axId val="83810944"/>
        <c:axId val="95699712"/>
      </c:barChart>
      <c:scatterChart>
        <c:scatterStyle val="lineMarker"/>
        <c:varyColors val="0"/>
        <c:ser>
          <c:idx val="4"/>
          <c:order val="4"/>
          <c:tx>
            <c:v>TOP10</c:v>
          </c:tx>
          <c:spPr>
            <a:ln w="28575">
              <a:noFill/>
            </a:ln>
          </c:spPr>
          <c:marker>
            <c:symbol val="triangle"/>
            <c:size val="7"/>
          </c:marker>
          <c:dLbls>
            <c:dLbl>
              <c:idx val="7"/>
              <c:layout/>
              <c:dLblPos val="b"/>
              <c:showLegendKey val="0"/>
              <c:showVal val="1"/>
              <c:showCatName val="0"/>
              <c:showSerName val="0"/>
              <c:showPercent val="0"/>
              <c:showBubbleSize val="0"/>
            </c:dLbl>
            <c:txPr>
              <a:bodyPr/>
              <a:lstStyle/>
              <a:p>
                <a:pPr>
                  <a:defRPr sz="850"/>
                </a:pPr>
                <a:endParaRPr lang="cs-CZ"/>
              </a:p>
            </c:txPr>
            <c:dLblPos val="t"/>
            <c:showLegendKey val="0"/>
            <c:showVal val="1"/>
            <c:showCatName val="0"/>
            <c:showSerName val="0"/>
            <c:showPercent val="0"/>
            <c:showBubbleSize val="0"/>
            <c:showLeaderLines val="0"/>
          </c:dLbls>
          <c:yVal>
            <c:numRef>
              <c:f>obr_6.9!$B$7:$M$7</c:f>
              <c:numCache>
                <c:formatCode>0.00%</c:formatCode>
                <c:ptCount val="12"/>
                <c:pt idx="0">
                  <c:v>0.11234091156314588</c:v>
                </c:pt>
                <c:pt idx="1">
                  <c:v>0.21079403171953257</c:v>
                </c:pt>
                <c:pt idx="2">
                  <c:v>0.20020390212697906</c:v>
                </c:pt>
                <c:pt idx="3">
                  <c:v>0.2520913347714</c:v>
                </c:pt>
                <c:pt idx="4">
                  <c:v>0.16672876304023845</c:v>
                </c:pt>
                <c:pt idx="5">
                  <c:v>0.20929705948953514</c:v>
                </c:pt>
                <c:pt idx="6">
                  <c:v>0.24250143284722664</c:v>
                </c:pt>
                <c:pt idx="7">
                  <c:v>0.27286888679442872</c:v>
                </c:pt>
                <c:pt idx="8">
                  <c:v>7.5452514414908564E-2</c:v>
                </c:pt>
                <c:pt idx="9">
                  <c:v>6.4546659095211054E-2</c:v>
                </c:pt>
                <c:pt idx="10">
                  <c:v>0.24019193261646271</c:v>
                </c:pt>
                <c:pt idx="11">
                  <c:v>0.16793966934158369</c:v>
                </c:pt>
              </c:numCache>
            </c:numRef>
          </c:yVal>
          <c:smooth val="0"/>
        </c:ser>
        <c:dLbls>
          <c:showLegendKey val="0"/>
          <c:showVal val="0"/>
          <c:showCatName val="0"/>
          <c:showSerName val="0"/>
          <c:showPercent val="0"/>
          <c:showBubbleSize val="0"/>
        </c:dLbls>
        <c:axId val="95716096"/>
        <c:axId val="95702016"/>
      </c:scatterChart>
      <c:catAx>
        <c:axId val="83810944"/>
        <c:scaling>
          <c:orientation val="minMax"/>
        </c:scaling>
        <c:delete val="0"/>
        <c:axPos val="b"/>
        <c:majorTickMark val="none"/>
        <c:minorTickMark val="none"/>
        <c:tickLblPos val="nextTo"/>
        <c:txPr>
          <a:bodyPr rot="-5400000" vert="horz" anchor="ctr" anchorCtr="0"/>
          <a:lstStyle/>
          <a:p>
            <a:pPr>
              <a:defRPr/>
            </a:pPr>
            <a:endParaRPr lang="cs-CZ"/>
          </a:p>
        </c:txPr>
        <c:crossAx val="95699712"/>
        <c:crosses val="autoZero"/>
        <c:auto val="1"/>
        <c:lblAlgn val="ctr"/>
        <c:lblOffset val="100"/>
        <c:tickLblSkip val="1"/>
        <c:tickMarkSkip val="1"/>
        <c:noMultiLvlLbl val="0"/>
      </c:catAx>
      <c:valAx>
        <c:axId val="95699712"/>
        <c:scaling>
          <c:orientation val="minMax"/>
        </c:scaling>
        <c:delete val="0"/>
        <c:axPos val="l"/>
        <c:majorGridlines>
          <c:spPr>
            <a:ln>
              <a:solidFill>
                <a:schemeClr val="tx1">
                  <a:lumMod val="50000"/>
                  <a:lumOff val="50000"/>
                </a:schemeClr>
              </a:solidFill>
              <a:prstDash val="sysDash"/>
            </a:ln>
          </c:spPr>
        </c:majorGridlines>
        <c:numFmt formatCode="#,##0" sourceLinked="1"/>
        <c:majorTickMark val="out"/>
        <c:minorTickMark val="none"/>
        <c:tickLblPos val="nextTo"/>
        <c:txPr>
          <a:bodyPr/>
          <a:lstStyle/>
          <a:p>
            <a:pPr>
              <a:defRPr sz="800"/>
            </a:pPr>
            <a:endParaRPr lang="cs-CZ"/>
          </a:p>
        </c:txPr>
        <c:crossAx val="83810944"/>
        <c:crosses val="autoZero"/>
        <c:crossBetween val="between"/>
        <c:majorUnit val="10000"/>
      </c:valAx>
      <c:valAx>
        <c:axId val="95702016"/>
        <c:scaling>
          <c:orientation val="minMax"/>
        </c:scaling>
        <c:delete val="0"/>
        <c:axPos val="r"/>
        <c:numFmt formatCode="0%" sourceLinked="0"/>
        <c:majorTickMark val="out"/>
        <c:minorTickMark val="none"/>
        <c:tickLblPos val="nextTo"/>
        <c:txPr>
          <a:bodyPr/>
          <a:lstStyle/>
          <a:p>
            <a:pPr>
              <a:defRPr sz="800"/>
            </a:pPr>
            <a:endParaRPr lang="cs-CZ"/>
          </a:p>
        </c:txPr>
        <c:crossAx val="95716096"/>
        <c:crosses val="max"/>
        <c:crossBetween val="midCat"/>
      </c:valAx>
      <c:valAx>
        <c:axId val="95716096"/>
        <c:scaling>
          <c:orientation val="minMax"/>
        </c:scaling>
        <c:delete val="1"/>
        <c:axPos val="b"/>
        <c:majorTickMark val="out"/>
        <c:minorTickMark val="none"/>
        <c:tickLblPos val="nextTo"/>
        <c:crossAx val="95702016"/>
        <c:crosses val="autoZero"/>
        <c:crossBetween val="midCat"/>
      </c:valAx>
    </c:plotArea>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obr_6.9!$B$8</c:f>
          <c:strCache>
            <c:ptCount val="1"/>
            <c:pt idx="0">
              <c:v>ENGINEERING AND TECHNOLOGY
</c:v>
            </c:pt>
          </c:strCache>
        </c:strRef>
      </c:tx>
      <c:layout/>
      <c:overlay val="0"/>
      <c:txPr>
        <a:bodyPr/>
        <a:lstStyle/>
        <a:p>
          <a:pPr>
            <a:defRPr/>
          </a:pPr>
          <a:endParaRPr lang="cs-CZ"/>
        </a:p>
      </c:txPr>
    </c:title>
    <c:autoTitleDeleted val="0"/>
    <c:plotArea>
      <c:layout>
        <c:manualLayout>
          <c:layoutTarget val="inner"/>
          <c:xMode val="edge"/>
          <c:yMode val="edge"/>
          <c:x val="8.607174103237096E-2"/>
          <c:y val="0.11540054754426497"/>
          <c:w val="0.86264604984078486"/>
          <c:h val="0.66867155171921444"/>
        </c:manualLayout>
      </c:layout>
      <c:barChart>
        <c:barDir val="col"/>
        <c:grouping val="stacked"/>
        <c:varyColors val="0"/>
        <c:ser>
          <c:idx val="3"/>
          <c:order val="0"/>
          <c:tx>
            <c:strRef>
              <c:f>obr_6.9!$A$6</c:f>
              <c:strCache>
                <c:ptCount val="1"/>
                <c:pt idx="0">
                  <c:v>Q4</c:v>
                </c:pt>
              </c:strCache>
            </c:strRef>
          </c:tx>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obr_6.9!$B$13:$M$13</c:f>
              <c:numCache>
                <c:formatCode>#,##0</c:formatCode>
                <c:ptCount val="12"/>
                <c:pt idx="0">
                  <c:v>2357</c:v>
                </c:pt>
                <c:pt idx="1">
                  <c:v>1350.1467868430293</c:v>
                </c:pt>
                <c:pt idx="2">
                  <c:v>997.97364883033072</c:v>
                </c:pt>
                <c:pt idx="3">
                  <c:v>990.2966507177033</c:v>
                </c:pt>
                <c:pt idx="4">
                  <c:v>1352.5140684410646</c:v>
                </c:pt>
                <c:pt idx="5">
                  <c:v>1375.7114610032954</c:v>
                </c:pt>
                <c:pt idx="6">
                  <c:v>1150.4756800810046</c:v>
                </c:pt>
                <c:pt idx="7">
                  <c:v>517.36915139654855</c:v>
                </c:pt>
                <c:pt idx="8">
                  <c:v>2550.8749610227624</c:v>
                </c:pt>
                <c:pt idx="9">
                  <c:v>2408.5935769656699</c:v>
                </c:pt>
                <c:pt idx="10">
                  <c:v>982.28341584158409</c:v>
                </c:pt>
                <c:pt idx="11">
                  <c:v>668.48522276135861</c:v>
                </c:pt>
              </c:numCache>
            </c:numRef>
          </c:val>
        </c:ser>
        <c:ser>
          <c:idx val="2"/>
          <c:order val="1"/>
          <c:tx>
            <c:strRef>
              <c:f>obr_6.9!$A$5</c:f>
              <c:strCache>
                <c:ptCount val="1"/>
                <c:pt idx="0">
                  <c:v>Q3</c:v>
                </c:pt>
              </c:strCache>
            </c:strRef>
          </c:tx>
          <c:spPr>
            <a:solidFill>
              <a:srgbClr val="ECB418"/>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obr_6.9!$B$12:$M$12</c:f>
              <c:numCache>
                <c:formatCode>#,##0</c:formatCode>
                <c:ptCount val="12"/>
                <c:pt idx="0">
                  <c:v>2994</c:v>
                </c:pt>
                <c:pt idx="1">
                  <c:v>2609.134027859066</c:v>
                </c:pt>
                <c:pt idx="2">
                  <c:v>2712.8281796181768</c:v>
                </c:pt>
                <c:pt idx="3">
                  <c:v>2527.0281765018603</c:v>
                </c:pt>
                <c:pt idx="4">
                  <c:v>2488.946007604563</c:v>
                </c:pt>
                <c:pt idx="5">
                  <c:v>4119.4273160014645</c:v>
                </c:pt>
                <c:pt idx="6">
                  <c:v>1743.0622723287599</c:v>
                </c:pt>
                <c:pt idx="7">
                  <c:v>1926.5603985056039</c:v>
                </c:pt>
                <c:pt idx="8">
                  <c:v>1798.0277517929526</c:v>
                </c:pt>
                <c:pt idx="9">
                  <c:v>2072.555924695459</c:v>
                </c:pt>
                <c:pt idx="10">
                  <c:v>3772.8366336633662</c:v>
                </c:pt>
                <c:pt idx="11">
                  <c:v>2434.8645787384207</c:v>
                </c:pt>
              </c:numCache>
            </c:numRef>
          </c:val>
        </c:ser>
        <c:ser>
          <c:idx val="0"/>
          <c:order val="2"/>
          <c:tx>
            <c:strRef>
              <c:f>obr_6.9!$A$4</c:f>
              <c:strCache>
                <c:ptCount val="1"/>
                <c:pt idx="0">
                  <c:v>Q2</c:v>
                </c:pt>
              </c:strCache>
            </c:strRef>
          </c:tx>
          <c:spPr>
            <a:solidFill>
              <a:srgbClr val="0937FB"/>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obr_6.9!$B$11:$M$11</c:f>
              <c:numCache>
                <c:formatCode>#,##0</c:formatCode>
                <c:ptCount val="12"/>
                <c:pt idx="0">
                  <c:v>4504</c:v>
                </c:pt>
                <c:pt idx="1">
                  <c:v>5083.9925084864799</c:v>
                </c:pt>
                <c:pt idx="2">
                  <c:v>6047.2675450389888</c:v>
                </c:pt>
                <c:pt idx="3">
                  <c:v>7955.9425837320578</c:v>
                </c:pt>
                <c:pt idx="4">
                  <c:v>4857.8463878326993</c:v>
                </c:pt>
                <c:pt idx="5">
                  <c:v>8117.4683266202846</c:v>
                </c:pt>
                <c:pt idx="6">
                  <c:v>3737.1941271624905</c:v>
                </c:pt>
                <c:pt idx="7">
                  <c:v>5173.0674257249593</c:v>
                </c:pt>
                <c:pt idx="8">
                  <c:v>2728.6267539756777</c:v>
                </c:pt>
                <c:pt idx="9">
                  <c:v>2414.4208194905864</c:v>
                </c:pt>
                <c:pt idx="10">
                  <c:v>7774.6918316831679</c:v>
                </c:pt>
                <c:pt idx="11">
                  <c:v>5835.3189236876933</c:v>
                </c:pt>
              </c:numCache>
            </c:numRef>
          </c:val>
        </c:ser>
        <c:ser>
          <c:idx val="1"/>
          <c:order val="3"/>
          <c:tx>
            <c:strRef>
              <c:f>obr_6.9!$A$10</c:f>
              <c:strCache>
                <c:ptCount val="1"/>
                <c:pt idx="0">
                  <c:v>Q1</c:v>
                </c:pt>
              </c:strCache>
            </c:strRef>
          </c:tx>
          <c:spPr>
            <a:solidFill>
              <a:srgbClr val="81C35D"/>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obr_6.9!$B$10:$M$10</c:f>
              <c:numCache>
                <c:formatCode>#,##0</c:formatCode>
                <c:ptCount val="12"/>
                <c:pt idx="0">
                  <c:v>3846</c:v>
                </c:pt>
                <c:pt idx="1">
                  <c:v>7709.1410511529912</c:v>
                </c:pt>
                <c:pt idx="2">
                  <c:v>10053.311105135788</c:v>
                </c:pt>
                <c:pt idx="3">
                  <c:v>15180.81871345029</c:v>
                </c:pt>
                <c:pt idx="4">
                  <c:v>3929.4935361216731</c:v>
                </c:pt>
                <c:pt idx="5">
                  <c:v>12198.36030757964</c:v>
                </c:pt>
                <c:pt idx="6">
                  <c:v>6209.6837113962174</c:v>
                </c:pt>
                <c:pt idx="7">
                  <c:v>10357.992528019924</c:v>
                </c:pt>
                <c:pt idx="8">
                  <c:v>1943.2372934206421</c:v>
                </c:pt>
                <c:pt idx="9">
                  <c:v>1303.359911406423</c:v>
                </c:pt>
                <c:pt idx="10">
                  <c:v>14193.72400990099</c:v>
                </c:pt>
                <c:pt idx="11">
                  <c:v>6807.8720776356413</c:v>
                </c:pt>
              </c:numCache>
            </c:numRef>
          </c:val>
        </c:ser>
        <c:dLbls>
          <c:showLegendKey val="0"/>
          <c:showVal val="0"/>
          <c:showCatName val="0"/>
          <c:showSerName val="0"/>
          <c:showPercent val="0"/>
          <c:showBubbleSize val="0"/>
        </c:dLbls>
        <c:gapWidth val="76"/>
        <c:overlap val="100"/>
        <c:axId val="95795072"/>
        <c:axId val="97161216"/>
      </c:barChart>
      <c:scatterChart>
        <c:scatterStyle val="lineMarker"/>
        <c:varyColors val="0"/>
        <c:ser>
          <c:idx val="4"/>
          <c:order val="4"/>
          <c:tx>
            <c:v>TOP10</c:v>
          </c:tx>
          <c:spPr>
            <a:ln w="28575">
              <a:noFill/>
            </a:ln>
          </c:spPr>
          <c:marker>
            <c:symbol val="triangle"/>
            <c:size val="7"/>
          </c:marker>
          <c:dLbls>
            <c:dLbl>
              <c:idx val="0"/>
              <c:layout>
                <c:manualLayout>
                  <c:x val="-5.6816032324317672E-2"/>
                  <c:y val="-6.0909497135658047E-2"/>
                </c:manualLayout>
              </c:layout>
              <c:dLblPos val="r"/>
              <c:showLegendKey val="0"/>
              <c:showVal val="1"/>
              <c:showCatName val="0"/>
              <c:showSerName val="0"/>
              <c:showPercent val="0"/>
              <c:showBubbleSize val="0"/>
            </c:dLbl>
            <c:dLbl>
              <c:idx val="3"/>
              <c:layout/>
              <c:dLblPos val="t"/>
              <c:showLegendKey val="0"/>
              <c:showVal val="1"/>
              <c:showCatName val="0"/>
              <c:showSerName val="0"/>
              <c:showPercent val="0"/>
              <c:showBubbleSize val="0"/>
            </c:dLbl>
            <c:dLbl>
              <c:idx val="4"/>
              <c:layout/>
              <c:dLblPos val="t"/>
              <c:showLegendKey val="0"/>
              <c:showVal val="1"/>
              <c:showCatName val="0"/>
              <c:showSerName val="0"/>
              <c:showPercent val="0"/>
              <c:showBubbleSize val="0"/>
            </c:dLbl>
            <c:dLbl>
              <c:idx val="8"/>
              <c:layout/>
              <c:dLblPos val="t"/>
              <c:showLegendKey val="0"/>
              <c:showVal val="1"/>
              <c:showCatName val="0"/>
              <c:showSerName val="0"/>
              <c:showPercent val="0"/>
              <c:showBubbleSize val="0"/>
            </c:dLbl>
            <c:dLbl>
              <c:idx val="9"/>
              <c:layout>
                <c:manualLayout>
                  <c:x val="-5.4612651030561475E-2"/>
                  <c:y val="-5.2035399961498995E-2"/>
                </c:manualLayout>
              </c:layout>
              <c:dLblPos val="r"/>
              <c:showLegendKey val="0"/>
              <c:showVal val="1"/>
              <c:showCatName val="0"/>
              <c:showSerName val="0"/>
              <c:showPercent val="0"/>
              <c:showBubbleSize val="0"/>
            </c:dLbl>
            <c:txPr>
              <a:bodyPr/>
              <a:lstStyle/>
              <a:p>
                <a:pPr>
                  <a:defRPr sz="850"/>
                </a:pPr>
                <a:endParaRPr lang="cs-CZ"/>
              </a:p>
            </c:txPr>
            <c:dLblPos val="b"/>
            <c:showLegendKey val="0"/>
            <c:showVal val="1"/>
            <c:showCatName val="0"/>
            <c:showSerName val="0"/>
            <c:showPercent val="0"/>
            <c:showBubbleSize val="0"/>
            <c:showLeaderLines val="0"/>
          </c:dLbls>
          <c:yVal>
            <c:numRef>
              <c:f>obr_6.9!$B$14:$M$14</c:f>
              <c:numCache>
                <c:formatCode>0.00%</c:formatCode>
                <c:ptCount val="12"/>
                <c:pt idx="0">
                  <c:v>0.10605065323699001</c:v>
                </c:pt>
                <c:pt idx="1">
                  <c:v>0.19354364291492021</c:v>
                </c:pt>
                <c:pt idx="2">
                  <c:v>0.20863686140075227</c:v>
                </c:pt>
                <c:pt idx="3">
                  <c:v>0.26070528967254408</c:v>
                </c:pt>
                <c:pt idx="4">
                  <c:v>0.12864385297845374</c:v>
                </c:pt>
                <c:pt idx="5">
                  <c:v>0.19991042102120035</c:v>
                </c:pt>
                <c:pt idx="6">
                  <c:v>0.22594324346206784</c:v>
                </c:pt>
                <c:pt idx="7">
                  <c:v>0.26341920699951393</c:v>
                </c:pt>
                <c:pt idx="8">
                  <c:v>6.4783096371297783E-2</c:v>
                </c:pt>
                <c:pt idx="9">
                  <c:v>4.6434494195688222E-2</c:v>
                </c:pt>
                <c:pt idx="10">
                  <c:v>0.24328824986799885</c:v>
                </c:pt>
                <c:pt idx="11">
                  <c:v>0.13752948113207547</c:v>
                </c:pt>
              </c:numCache>
            </c:numRef>
          </c:yVal>
          <c:smooth val="0"/>
        </c:ser>
        <c:dLbls>
          <c:showLegendKey val="0"/>
          <c:showVal val="0"/>
          <c:showCatName val="0"/>
          <c:showSerName val="0"/>
          <c:showPercent val="0"/>
          <c:showBubbleSize val="0"/>
        </c:dLbls>
        <c:axId val="115197056"/>
        <c:axId val="97163136"/>
      </c:scatterChart>
      <c:catAx>
        <c:axId val="95795072"/>
        <c:scaling>
          <c:orientation val="minMax"/>
        </c:scaling>
        <c:delete val="0"/>
        <c:axPos val="b"/>
        <c:majorTickMark val="none"/>
        <c:minorTickMark val="none"/>
        <c:tickLblPos val="nextTo"/>
        <c:txPr>
          <a:bodyPr rot="-5400000" vert="horz" anchor="ctr" anchorCtr="0"/>
          <a:lstStyle/>
          <a:p>
            <a:pPr>
              <a:defRPr/>
            </a:pPr>
            <a:endParaRPr lang="cs-CZ"/>
          </a:p>
        </c:txPr>
        <c:crossAx val="97161216"/>
        <c:crosses val="autoZero"/>
        <c:auto val="1"/>
        <c:lblAlgn val="ctr"/>
        <c:lblOffset val="100"/>
        <c:tickLblSkip val="1"/>
        <c:tickMarkSkip val="1"/>
        <c:noMultiLvlLbl val="0"/>
      </c:catAx>
      <c:valAx>
        <c:axId val="97161216"/>
        <c:scaling>
          <c:orientation val="minMax"/>
          <c:max val="50000"/>
        </c:scaling>
        <c:delete val="0"/>
        <c:axPos val="l"/>
        <c:majorGridlines>
          <c:spPr>
            <a:ln>
              <a:solidFill>
                <a:schemeClr val="tx1">
                  <a:lumMod val="50000"/>
                  <a:lumOff val="50000"/>
                </a:schemeClr>
              </a:solidFill>
              <a:prstDash val="sysDash"/>
            </a:ln>
          </c:spPr>
        </c:majorGridlines>
        <c:numFmt formatCode="#,##0" sourceLinked="1"/>
        <c:majorTickMark val="out"/>
        <c:minorTickMark val="none"/>
        <c:tickLblPos val="nextTo"/>
        <c:txPr>
          <a:bodyPr/>
          <a:lstStyle/>
          <a:p>
            <a:pPr>
              <a:defRPr sz="800"/>
            </a:pPr>
            <a:endParaRPr lang="cs-CZ"/>
          </a:p>
        </c:txPr>
        <c:crossAx val="95795072"/>
        <c:crosses val="autoZero"/>
        <c:crossBetween val="between"/>
        <c:majorUnit val="10000"/>
      </c:valAx>
      <c:valAx>
        <c:axId val="97163136"/>
        <c:scaling>
          <c:orientation val="minMax"/>
        </c:scaling>
        <c:delete val="0"/>
        <c:axPos val="r"/>
        <c:numFmt formatCode="0%" sourceLinked="0"/>
        <c:majorTickMark val="out"/>
        <c:minorTickMark val="none"/>
        <c:tickLblPos val="nextTo"/>
        <c:txPr>
          <a:bodyPr/>
          <a:lstStyle/>
          <a:p>
            <a:pPr>
              <a:defRPr sz="800"/>
            </a:pPr>
            <a:endParaRPr lang="cs-CZ"/>
          </a:p>
        </c:txPr>
        <c:crossAx val="115197056"/>
        <c:crosses val="max"/>
        <c:crossBetween val="midCat"/>
      </c:valAx>
      <c:valAx>
        <c:axId val="115197056"/>
        <c:scaling>
          <c:orientation val="minMax"/>
        </c:scaling>
        <c:delete val="1"/>
        <c:axPos val="b"/>
        <c:majorTickMark val="out"/>
        <c:minorTickMark val="none"/>
        <c:tickLblPos val="nextTo"/>
        <c:crossAx val="97163136"/>
        <c:crosses val="autoZero"/>
        <c:crossBetween val="midCat"/>
      </c:valAx>
    </c:plotArea>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obr_6.9!$B$15</c:f>
          <c:strCache>
            <c:ptCount val="1"/>
            <c:pt idx="0">
              <c:v>MEDICAL AND HEALTH SCIENCES
</c:v>
            </c:pt>
          </c:strCache>
        </c:strRef>
      </c:tx>
      <c:layout/>
      <c:overlay val="0"/>
      <c:txPr>
        <a:bodyPr/>
        <a:lstStyle/>
        <a:p>
          <a:pPr>
            <a:defRPr/>
          </a:pPr>
          <a:endParaRPr lang="cs-CZ"/>
        </a:p>
      </c:txPr>
    </c:title>
    <c:autoTitleDeleted val="0"/>
    <c:plotArea>
      <c:layout>
        <c:manualLayout>
          <c:layoutTarget val="inner"/>
          <c:xMode val="edge"/>
          <c:yMode val="edge"/>
          <c:x val="8.607174103237096E-2"/>
          <c:y val="0.11540054754426497"/>
          <c:w val="0.86264604984078486"/>
          <c:h val="0.66867155171921444"/>
        </c:manualLayout>
      </c:layout>
      <c:barChart>
        <c:barDir val="col"/>
        <c:grouping val="stacked"/>
        <c:varyColors val="0"/>
        <c:ser>
          <c:idx val="3"/>
          <c:order val="0"/>
          <c:tx>
            <c:strRef>
              <c:f>obr_6.9!$A$6</c:f>
              <c:strCache>
                <c:ptCount val="1"/>
                <c:pt idx="0">
                  <c:v>Q4</c:v>
                </c:pt>
              </c:strCache>
            </c:strRef>
          </c:tx>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obr_6.9!$B$20:$M$20</c:f>
              <c:numCache>
                <c:formatCode>#,##0</c:formatCode>
                <c:ptCount val="12"/>
                <c:pt idx="0">
                  <c:v>3079</c:v>
                </c:pt>
                <c:pt idx="1">
                  <c:v>3746.164579187639</c:v>
                </c:pt>
                <c:pt idx="2">
                  <c:v>3317.4606076902387</c:v>
                </c:pt>
                <c:pt idx="3">
                  <c:v>2075.7065390749603</c:v>
                </c:pt>
                <c:pt idx="4">
                  <c:v>1296.4927756653992</c:v>
                </c:pt>
                <c:pt idx="5">
                  <c:v>1820.7945807396557</c:v>
                </c:pt>
                <c:pt idx="6">
                  <c:v>3798.5320375881352</c:v>
                </c:pt>
                <c:pt idx="7">
                  <c:v>1542.7461305817469</c:v>
                </c:pt>
                <c:pt idx="8">
                  <c:v>3006.739943872778</c:v>
                </c:pt>
                <c:pt idx="9">
                  <c:v>2041.4772978959022</c:v>
                </c:pt>
                <c:pt idx="10">
                  <c:v>2673.3304455445541</c:v>
                </c:pt>
                <c:pt idx="11">
                  <c:v>2372.1940891045433</c:v>
                </c:pt>
              </c:numCache>
            </c:numRef>
          </c:val>
        </c:ser>
        <c:ser>
          <c:idx val="2"/>
          <c:order val="1"/>
          <c:tx>
            <c:strRef>
              <c:f>obr_6.9!$A$5</c:f>
              <c:strCache>
                <c:ptCount val="1"/>
                <c:pt idx="0">
                  <c:v>Q3</c:v>
                </c:pt>
              </c:strCache>
            </c:strRef>
          </c:tx>
          <c:spPr>
            <a:solidFill>
              <a:srgbClr val="ECB418"/>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obr_6.9!$B$19:$M$19</c:f>
              <c:numCache>
                <c:formatCode>#,##0</c:formatCode>
                <c:ptCount val="12"/>
                <c:pt idx="0">
                  <c:v>3101</c:v>
                </c:pt>
                <c:pt idx="1">
                  <c:v>4806.8182137422446</c:v>
                </c:pt>
                <c:pt idx="2">
                  <c:v>5351.138478085506</c:v>
                </c:pt>
                <c:pt idx="3">
                  <c:v>10770.17543859649</c:v>
                </c:pt>
                <c:pt idx="4">
                  <c:v>2224.8456273764255</c:v>
                </c:pt>
                <c:pt idx="5">
                  <c:v>6489.3504210911751</c:v>
                </c:pt>
                <c:pt idx="6">
                  <c:v>3182.5538693305998</c:v>
                </c:pt>
                <c:pt idx="7">
                  <c:v>6698.3390855719617</c:v>
                </c:pt>
                <c:pt idx="8">
                  <c:v>2142.3193015279071</c:v>
                </c:pt>
                <c:pt idx="9">
                  <c:v>1882.1993355481725</c:v>
                </c:pt>
                <c:pt idx="10">
                  <c:v>8991.4207920792069</c:v>
                </c:pt>
                <c:pt idx="11">
                  <c:v>7573.8447287163654</c:v>
                </c:pt>
              </c:numCache>
            </c:numRef>
          </c:val>
        </c:ser>
        <c:ser>
          <c:idx val="0"/>
          <c:order val="2"/>
          <c:tx>
            <c:strRef>
              <c:f>obr_6.9!$A$4</c:f>
              <c:strCache>
                <c:ptCount val="1"/>
                <c:pt idx="0">
                  <c:v>Q2</c:v>
                </c:pt>
              </c:strCache>
            </c:strRef>
          </c:tx>
          <c:spPr>
            <a:solidFill>
              <a:srgbClr val="0937FB"/>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obr_6.9!$B$18:$M$18</c:f>
              <c:numCache>
                <c:formatCode>#,##0</c:formatCode>
                <c:ptCount val="12"/>
                <c:pt idx="0">
                  <c:v>3209.9999999999995</c:v>
                </c:pt>
                <c:pt idx="1">
                  <c:v>8477.8377619103358</c:v>
                </c:pt>
                <c:pt idx="2">
                  <c:v>10544.751815004032</c:v>
                </c:pt>
                <c:pt idx="3">
                  <c:v>19886.126528442317</c:v>
                </c:pt>
                <c:pt idx="4">
                  <c:v>4241.61216730038</c:v>
                </c:pt>
                <c:pt idx="5">
                  <c:v>11423.800073233248</c:v>
                </c:pt>
                <c:pt idx="6">
                  <c:v>5404.2337774594662</c:v>
                </c:pt>
                <c:pt idx="7">
                  <c:v>15573.497954100691</c:v>
                </c:pt>
                <c:pt idx="8">
                  <c:v>1928.1967570938568</c:v>
                </c:pt>
                <c:pt idx="9">
                  <c:v>1522.8527131782944</c:v>
                </c:pt>
                <c:pt idx="10">
                  <c:v>16155.034653465345</c:v>
                </c:pt>
                <c:pt idx="11">
                  <c:v>10895.380679311866</c:v>
                </c:pt>
              </c:numCache>
            </c:numRef>
          </c:val>
        </c:ser>
        <c:ser>
          <c:idx val="1"/>
          <c:order val="3"/>
          <c:tx>
            <c:strRef>
              <c:f>obr_6.9!$A$3</c:f>
              <c:strCache>
                <c:ptCount val="1"/>
                <c:pt idx="0">
                  <c:v>Q1</c:v>
                </c:pt>
              </c:strCache>
            </c:strRef>
          </c:tx>
          <c:spPr>
            <a:solidFill>
              <a:srgbClr val="81C35D"/>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obr_6.9!$B$17:$M$17</c:f>
              <c:numCache>
                <c:formatCode>#,##0</c:formatCode>
                <c:ptCount val="12"/>
                <c:pt idx="0">
                  <c:v>4130</c:v>
                </c:pt>
                <c:pt idx="1">
                  <c:v>15146.035350579421</c:v>
                </c:pt>
                <c:pt idx="2">
                  <c:v>19338.805055122342</c:v>
                </c:pt>
                <c:pt idx="3">
                  <c:v>35242.251993620412</c:v>
                </c:pt>
                <c:pt idx="4">
                  <c:v>6986.6555133079846</c:v>
                </c:pt>
                <c:pt idx="5">
                  <c:v>18932.41010618821</c:v>
                </c:pt>
                <c:pt idx="6">
                  <c:v>10176.635096254768</c:v>
                </c:pt>
                <c:pt idx="7">
                  <c:v>31783.565913538518</c:v>
                </c:pt>
                <c:pt idx="8">
                  <c:v>1912.882756470221</c:v>
                </c:pt>
                <c:pt idx="9">
                  <c:v>1602.4916943521594</c:v>
                </c:pt>
                <c:pt idx="10">
                  <c:v>28677.248762376239</c:v>
                </c:pt>
                <c:pt idx="11">
                  <c:v>15305.526246140273</c:v>
                </c:pt>
              </c:numCache>
            </c:numRef>
          </c:val>
        </c:ser>
        <c:dLbls>
          <c:showLegendKey val="0"/>
          <c:showVal val="0"/>
          <c:showCatName val="0"/>
          <c:showSerName val="0"/>
          <c:showPercent val="0"/>
          <c:showBubbleSize val="0"/>
        </c:dLbls>
        <c:gapWidth val="76"/>
        <c:overlap val="100"/>
        <c:axId val="39041280"/>
        <c:axId val="39051264"/>
      </c:barChart>
      <c:scatterChart>
        <c:scatterStyle val="lineMarker"/>
        <c:varyColors val="0"/>
        <c:ser>
          <c:idx val="4"/>
          <c:order val="4"/>
          <c:tx>
            <c:v>TOP10</c:v>
          </c:tx>
          <c:spPr>
            <a:ln w="28575">
              <a:noFill/>
            </a:ln>
          </c:spPr>
          <c:marker>
            <c:symbol val="triangle"/>
            <c:size val="7"/>
          </c:marker>
          <c:dLbls>
            <c:dLbl>
              <c:idx val="3"/>
              <c:layout/>
              <c:dLblPos val="t"/>
              <c:showLegendKey val="0"/>
              <c:showVal val="1"/>
              <c:showCatName val="0"/>
              <c:showSerName val="0"/>
              <c:showPercent val="0"/>
              <c:showBubbleSize val="0"/>
            </c:dLbl>
            <c:dLbl>
              <c:idx val="4"/>
              <c:layout/>
              <c:dLblPos val="t"/>
              <c:showLegendKey val="0"/>
              <c:showVal val="1"/>
              <c:showCatName val="0"/>
              <c:showSerName val="0"/>
              <c:showPercent val="0"/>
              <c:showBubbleSize val="0"/>
            </c:dLbl>
            <c:dLbl>
              <c:idx val="8"/>
              <c:layout/>
              <c:dLblPos val="t"/>
              <c:showLegendKey val="0"/>
              <c:showVal val="1"/>
              <c:showCatName val="0"/>
              <c:showSerName val="0"/>
              <c:showPercent val="0"/>
              <c:showBubbleSize val="0"/>
            </c:dLbl>
            <c:txPr>
              <a:bodyPr/>
              <a:lstStyle/>
              <a:p>
                <a:pPr>
                  <a:defRPr sz="850"/>
                </a:pPr>
                <a:endParaRPr lang="cs-CZ"/>
              </a:p>
            </c:txPr>
            <c:dLblPos val="b"/>
            <c:showLegendKey val="0"/>
            <c:showVal val="1"/>
            <c:showCatName val="0"/>
            <c:showSerName val="0"/>
            <c:showPercent val="0"/>
            <c:showBubbleSize val="0"/>
            <c:showLeaderLines val="0"/>
          </c:dLbls>
          <c:yVal>
            <c:numRef>
              <c:f>obr_6.9!$B$21:$M$21</c:f>
              <c:numCache>
                <c:formatCode>0.00%</c:formatCode>
                <c:ptCount val="12"/>
                <c:pt idx="0">
                  <c:v>0.13350591715976332</c:v>
                </c:pt>
                <c:pt idx="1">
                  <c:v>0.21722817764165389</c:v>
                </c:pt>
                <c:pt idx="2">
                  <c:v>0.23001639304152088</c:v>
                </c:pt>
                <c:pt idx="3">
                  <c:v>0.23233099209833186</c:v>
                </c:pt>
                <c:pt idx="4">
                  <c:v>0.21323928377645143</c:v>
                </c:pt>
                <c:pt idx="5">
                  <c:v>0.21900538170221248</c:v>
                </c:pt>
                <c:pt idx="6">
                  <c:v>0.21130540963966454</c:v>
                </c:pt>
                <c:pt idx="7">
                  <c:v>0.2678729781000595</c:v>
                </c:pt>
                <c:pt idx="8">
                  <c:v>8.6053231939163505E-2</c:v>
                </c:pt>
                <c:pt idx="9">
                  <c:v>9.2587489666574818E-2</c:v>
                </c:pt>
                <c:pt idx="10">
                  <c:v>0.23484208099592715</c:v>
                </c:pt>
                <c:pt idx="11">
                  <c:v>0.16682720092467732</c:v>
                </c:pt>
              </c:numCache>
            </c:numRef>
          </c:yVal>
          <c:smooth val="0"/>
        </c:ser>
        <c:dLbls>
          <c:showLegendKey val="0"/>
          <c:showVal val="0"/>
          <c:showCatName val="0"/>
          <c:showSerName val="0"/>
          <c:showPercent val="0"/>
          <c:showBubbleSize val="0"/>
        </c:dLbls>
        <c:axId val="39054336"/>
        <c:axId val="39052800"/>
      </c:scatterChart>
      <c:catAx>
        <c:axId val="39041280"/>
        <c:scaling>
          <c:orientation val="minMax"/>
        </c:scaling>
        <c:delete val="0"/>
        <c:axPos val="b"/>
        <c:majorTickMark val="none"/>
        <c:minorTickMark val="none"/>
        <c:tickLblPos val="nextTo"/>
        <c:txPr>
          <a:bodyPr rot="-5400000" vert="horz" anchor="ctr" anchorCtr="0"/>
          <a:lstStyle/>
          <a:p>
            <a:pPr>
              <a:defRPr/>
            </a:pPr>
            <a:endParaRPr lang="cs-CZ"/>
          </a:p>
        </c:txPr>
        <c:crossAx val="39051264"/>
        <c:crosses val="autoZero"/>
        <c:auto val="1"/>
        <c:lblAlgn val="ctr"/>
        <c:lblOffset val="100"/>
        <c:tickLblSkip val="1"/>
        <c:tickMarkSkip val="1"/>
        <c:noMultiLvlLbl val="0"/>
      </c:catAx>
      <c:valAx>
        <c:axId val="39051264"/>
        <c:scaling>
          <c:orientation val="minMax"/>
        </c:scaling>
        <c:delete val="0"/>
        <c:axPos val="l"/>
        <c:majorGridlines>
          <c:spPr>
            <a:ln>
              <a:solidFill>
                <a:schemeClr val="tx1">
                  <a:lumMod val="50000"/>
                  <a:lumOff val="50000"/>
                </a:schemeClr>
              </a:solidFill>
              <a:prstDash val="sysDash"/>
            </a:ln>
          </c:spPr>
        </c:majorGridlines>
        <c:numFmt formatCode="#,##0" sourceLinked="1"/>
        <c:majorTickMark val="out"/>
        <c:minorTickMark val="none"/>
        <c:tickLblPos val="nextTo"/>
        <c:txPr>
          <a:bodyPr/>
          <a:lstStyle/>
          <a:p>
            <a:pPr>
              <a:defRPr sz="800"/>
            </a:pPr>
            <a:endParaRPr lang="cs-CZ"/>
          </a:p>
        </c:txPr>
        <c:crossAx val="39041280"/>
        <c:crosses val="autoZero"/>
        <c:crossBetween val="between"/>
      </c:valAx>
      <c:valAx>
        <c:axId val="39052800"/>
        <c:scaling>
          <c:orientation val="minMax"/>
        </c:scaling>
        <c:delete val="0"/>
        <c:axPos val="r"/>
        <c:numFmt formatCode="0%" sourceLinked="0"/>
        <c:majorTickMark val="out"/>
        <c:minorTickMark val="none"/>
        <c:tickLblPos val="nextTo"/>
        <c:txPr>
          <a:bodyPr/>
          <a:lstStyle/>
          <a:p>
            <a:pPr>
              <a:defRPr sz="800"/>
            </a:pPr>
            <a:endParaRPr lang="cs-CZ"/>
          </a:p>
        </c:txPr>
        <c:crossAx val="39054336"/>
        <c:crosses val="max"/>
        <c:crossBetween val="midCat"/>
      </c:valAx>
      <c:valAx>
        <c:axId val="39054336"/>
        <c:scaling>
          <c:orientation val="minMax"/>
        </c:scaling>
        <c:delete val="1"/>
        <c:axPos val="b"/>
        <c:majorTickMark val="out"/>
        <c:minorTickMark val="none"/>
        <c:tickLblPos val="nextTo"/>
        <c:crossAx val="39052800"/>
        <c:crosses val="autoZero"/>
        <c:crossBetween val="midCat"/>
      </c:valAx>
    </c:plotArea>
    <c:plotVisOnly val="1"/>
    <c:dispBlanksAs val="gap"/>
    <c:showDLblsOverMax val="0"/>
  </c:chart>
  <c:spPr>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obr_6.9!$B$22</c:f>
          <c:strCache>
            <c:ptCount val="1"/>
            <c:pt idx="0">
              <c:v>AGRICULTURAL SCIENCES
</c:v>
            </c:pt>
          </c:strCache>
        </c:strRef>
      </c:tx>
      <c:layout>
        <c:manualLayout>
          <c:xMode val="edge"/>
          <c:yMode val="edge"/>
          <c:x val="0.28594813740895397"/>
          <c:y val="0"/>
        </c:manualLayout>
      </c:layout>
      <c:overlay val="0"/>
      <c:txPr>
        <a:bodyPr/>
        <a:lstStyle/>
        <a:p>
          <a:pPr>
            <a:defRPr/>
          </a:pPr>
          <a:endParaRPr lang="cs-CZ"/>
        </a:p>
      </c:txPr>
    </c:title>
    <c:autoTitleDeleted val="0"/>
    <c:plotArea>
      <c:layout>
        <c:manualLayout>
          <c:layoutTarget val="inner"/>
          <c:xMode val="edge"/>
          <c:yMode val="edge"/>
          <c:x val="8.607174103237096E-2"/>
          <c:y val="0.11540054754426497"/>
          <c:w val="0.86264604984078486"/>
          <c:h val="0.66867155171921444"/>
        </c:manualLayout>
      </c:layout>
      <c:barChart>
        <c:barDir val="col"/>
        <c:grouping val="stacked"/>
        <c:varyColors val="0"/>
        <c:ser>
          <c:idx val="3"/>
          <c:order val="0"/>
          <c:tx>
            <c:strRef>
              <c:f>obr_6.9!$A$6</c:f>
              <c:strCache>
                <c:ptCount val="1"/>
                <c:pt idx="0">
                  <c:v>Q4</c:v>
                </c:pt>
              </c:strCache>
            </c:strRef>
          </c:tx>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obr_6.9!$B$27:$M$27</c:f>
              <c:numCache>
                <c:formatCode>#,##0</c:formatCode>
                <c:ptCount val="12"/>
                <c:pt idx="0">
                  <c:v>698</c:v>
                </c:pt>
                <c:pt idx="1">
                  <c:v>517.39201685590547</c:v>
                </c:pt>
                <c:pt idx="2">
                  <c:v>356.55391234202739</c:v>
                </c:pt>
                <c:pt idx="3">
                  <c:v>186.49654439128122</c:v>
                </c:pt>
                <c:pt idx="4">
                  <c:v>96.036501901140682</c:v>
                </c:pt>
                <c:pt idx="5">
                  <c:v>98.265104357378249</c:v>
                </c:pt>
                <c:pt idx="6">
                  <c:v>316.56599533235362</c:v>
                </c:pt>
                <c:pt idx="7">
                  <c:v>152.27753068848958</c:v>
                </c:pt>
                <c:pt idx="8">
                  <c:v>678.73838478328651</c:v>
                </c:pt>
                <c:pt idx="9">
                  <c:v>466.17940199335544</c:v>
                </c:pt>
                <c:pt idx="10">
                  <c:v>66.209158415841586</c:v>
                </c:pt>
                <c:pt idx="11">
                  <c:v>141.58888398764887</c:v>
                </c:pt>
              </c:numCache>
            </c:numRef>
          </c:val>
        </c:ser>
        <c:ser>
          <c:idx val="2"/>
          <c:order val="1"/>
          <c:tx>
            <c:strRef>
              <c:f>obr_6.9!$A$5</c:f>
              <c:strCache>
                <c:ptCount val="1"/>
                <c:pt idx="0">
                  <c:v>Q3</c:v>
                </c:pt>
              </c:strCache>
            </c:strRef>
          </c:tx>
          <c:spPr>
            <a:solidFill>
              <a:srgbClr val="ECB418"/>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obr_6.9!$B$26:$M$26</c:f>
              <c:numCache>
                <c:formatCode>#,##0</c:formatCode>
                <c:ptCount val="12"/>
                <c:pt idx="0">
                  <c:v>922</c:v>
                </c:pt>
                <c:pt idx="1">
                  <c:v>475.50790120566546</c:v>
                </c:pt>
                <c:pt idx="2">
                  <c:v>554.63941919870922</c:v>
                </c:pt>
                <c:pt idx="3">
                  <c:v>557.62466772993093</c:v>
                </c:pt>
                <c:pt idx="4">
                  <c:v>944.35893536121671</c:v>
                </c:pt>
                <c:pt idx="5">
                  <c:v>485.54522153057485</c:v>
                </c:pt>
                <c:pt idx="6">
                  <c:v>251.9792549053505</c:v>
                </c:pt>
                <c:pt idx="7">
                  <c:v>249.63529621063864</c:v>
                </c:pt>
                <c:pt idx="8">
                  <c:v>564.97723729342056</c:v>
                </c:pt>
                <c:pt idx="9">
                  <c:v>487.54595791805093</c:v>
                </c:pt>
                <c:pt idx="10">
                  <c:v>397.25495049504946</c:v>
                </c:pt>
                <c:pt idx="11">
                  <c:v>642.95280105866777</c:v>
                </c:pt>
              </c:numCache>
            </c:numRef>
          </c:val>
        </c:ser>
        <c:ser>
          <c:idx val="0"/>
          <c:order val="2"/>
          <c:tx>
            <c:strRef>
              <c:f>obr_6.9!$A$4</c:f>
              <c:strCache>
                <c:ptCount val="1"/>
                <c:pt idx="0">
                  <c:v>Q2</c:v>
                </c:pt>
              </c:strCache>
            </c:strRef>
          </c:tx>
          <c:spPr>
            <a:solidFill>
              <a:srgbClr val="0937FB"/>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obr_6.9!$B$25:$M$25</c:f>
              <c:numCache>
                <c:formatCode>#,##0</c:formatCode>
                <c:ptCount val="12"/>
                <c:pt idx="0">
                  <c:v>811.00000000000011</c:v>
                </c:pt>
                <c:pt idx="1">
                  <c:v>1132.1030083108978</c:v>
                </c:pt>
                <c:pt idx="2">
                  <c:v>1497.9037375638611</c:v>
                </c:pt>
                <c:pt idx="3">
                  <c:v>2493.4587985114304</c:v>
                </c:pt>
                <c:pt idx="4">
                  <c:v>752.28593155893532</c:v>
                </c:pt>
                <c:pt idx="5">
                  <c:v>1703.2618088612228</c:v>
                </c:pt>
                <c:pt idx="6">
                  <c:v>516.30406381586261</c:v>
                </c:pt>
                <c:pt idx="7">
                  <c:v>1110.8770681373419</c:v>
                </c:pt>
                <c:pt idx="8">
                  <c:v>517.12098534455868</c:v>
                </c:pt>
                <c:pt idx="9">
                  <c:v>508.91251384274631</c:v>
                </c:pt>
                <c:pt idx="10">
                  <c:v>1545.6039603960396</c:v>
                </c:pt>
                <c:pt idx="11">
                  <c:v>3813.6153506837227</c:v>
                </c:pt>
              </c:numCache>
            </c:numRef>
          </c:val>
        </c:ser>
        <c:ser>
          <c:idx val="1"/>
          <c:order val="3"/>
          <c:tx>
            <c:strRef>
              <c:f>obr_6.9!$A$3</c:f>
              <c:strCache>
                <c:ptCount val="1"/>
                <c:pt idx="0">
                  <c:v>Q1</c:v>
                </c:pt>
              </c:strCache>
            </c:strRef>
          </c:tx>
          <c:spPr>
            <a:solidFill>
              <a:srgbClr val="81C35D"/>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obr_6.9!$B$24:$M$24</c:f>
              <c:numCache>
                <c:formatCode>#,##0</c:formatCode>
                <c:ptCount val="12"/>
                <c:pt idx="0">
                  <c:v>1217</c:v>
                </c:pt>
                <c:pt idx="1">
                  <c:v>1849.0605173826525</c:v>
                </c:pt>
                <c:pt idx="2">
                  <c:v>3280.6732992739981</c:v>
                </c:pt>
                <c:pt idx="3">
                  <c:v>5781.3928761297184</c:v>
                </c:pt>
                <c:pt idx="4">
                  <c:v>2376.9034220532317</c:v>
                </c:pt>
                <c:pt idx="5">
                  <c:v>3562.5917246429881</c:v>
                </c:pt>
                <c:pt idx="6">
                  <c:v>1143.588160478125</c:v>
                </c:pt>
                <c:pt idx="7">
                  <c:v>2653.623198719089</c:v>
                </c:pt>
                <c:pt idx="8">
                  <c:v>585.21359526036781</c:v>
                </c:pt>
                <c:pt idx="9">
                  <c:v>510.85492801771869</c:v>
                </c:pt>
                <c:pt idx="10">
                  <c:v>2766.6745049504952</c:v>
                </c:pt>
                <c:pt idx="11">
                  <c:v>5561.4256726951917</c:v>
                </c:pt>
              </c:numCache>
            </c:numRef>
          </c:val>
        </c:ser>
        <c:dLbls>
          <c:showLegendKey val="0"/>
          <c:showVal val="0"/>
          <c:showCatName val="0"/>
          <c:showSerName val="0"/>
          <c:showPercent val="0"/>
          <c:showBubbleSize val="0"/>
        </c:dLbls>
        <c:gapWidth val="76"/>
        <c:overlap val="100"/>
        <c:axId val="39091584"/>
        <c:axId val="39093376"/>
      </c:barChart>
      <c:scatterChart>
        <c:scatterStyle val="lineMarker"/>
        <c:varyColors val="0"/>
        <c:ser>
          <c:idx val="4"/>
          <c:order val="4"/>
          <c:tx>
            <c:v>TOP10</c:v>
          </c:tx>
          <c:spPr>
            <a:ln w="28575">
              <a:noFill/>
            </a:ln>
          </c:spPr>
          <c:marker>
            <c:symbol val="triangle"/>
            <c:size val="7"/>
          </c:marker>
          <c:dLbls>
            <c:dLbl>
              <c:idx val="0"/>
              <c:layout>
                <c:manualLayout>
                  <c:x val="-4.9271827067772979E-2"/>
                  <c:y val="-5.1068611177497017E-2"/>
                </c:manualLayout>
              </c:layout>
              <c:dLblPos val="r"/>
              <c:showLegendKey val="0"/>
              <c:showVal val="1"/>
              <c:showCatName val="0"/>
              <c:showSerName val="0"/>
              <c:showPercent val="0"/>
              <c:showBubbleSize val="0"/>
            </c:dLbl>
            <c:dLbl>
              <c:idx val="3"/>
              <c:layout/>
              <c:dLblPos val="t"/>
              <c:showLegendKey val="0"/>
              <c:showVal val="1"/>
              <c:showCatName val="0"/>
              <c:showSerName val="0"/>
              <c:showPercent val="0"/>
              <c:showBubbleSize val="0"/>
            </c:dLbl>
            <c:dLbl>
              <c:idx val="4"/>
              <c:layout>
                <c:manualLayout>
                  <c:x val="-4.9271827067772979E-2"/>
                  <c:y val="5.1068611177497017E-2"/>
                </c:manualLayout>
              </c:layout>
              <c:dLblPos val="r"/>
              <c:showLegendKey val="0"/>
              <c:showVal val="1"/>
              <c:showCatName val="0"/>
              <c:showSerName val="0"/>
              <c:showPercent val="0"/>
              <c:showBubbleSize val="0"/>
            </c:dLbl>
            <c:dLbl>
              <c:idx val="8"/>
              <c:layout/>
              <c:dLblPos val="t"/>
              <c:showLegendKey val="0"/>
              <c:showVal val="1"/>
              <c:showCatName val="0"/>
              <c:showSerName val="0"/>
              <c:showPercent val="0"/>
              <c:showBubbleSize val="0"/>
            </c:dLbl>
            <c:txPr>
              <a:bodyPr/>
              <a:lstStyle/>
              <a:p>
                <a:pPr>
                  <a:defRPr sz="850"/>
                </a:pPr>
                <a:endParaRPr lang="cs-CZ"/>
              </a:p>
            </c:txPr>
            <c:dLblPos val="b"/>
            <c:showLegendKey val="0"/>
            <c:showVal val="1"/>
            <c:showCatName val="0"/>
            <c:showSerName val="0"/>
            <c:showPercent val="0"/>
            <c:showBubbleSize val="0"/>
            <c:showLeaderLines val="0"/>
          </c:dLbls>
          <c:yVal>
            <c:numRef>
              <c:f>obr_6.9!$B$28:$M$28</c:f>
              <c:numCache>
                <c:formatCode>0.00%</c:formatCode>
                <c:ptCount val="12"/>
                <c:pt idx="0">
                  <c:v>0.13815789473684212</c:v>
                </c:pt>
                <c:pt idx="1">
                  <c:v>0.20520768753874769</c:v>
                </c:pt>
                <c:pt idx="2">
                  <c:v>0.25646551724137934</c:v>
                </c:pt>
                <c:pt idx="3">
                  <c:v>0.26013234077750208</c:v>
                </c:pt>
                <c:pt idx="4">
                  <c:v>0.31861804222648754</c:v>
                </c:pt>
                <c:pt idx="5">
                  <c:v>0.29084321475625824</c:v>
                </c:pt>
                <c:pt idx="6">
                  <c:v>0.23518777700023327</c:v>
                </c:pt>
                <c:pt idx="7">
                  <c:v>0.29014379868184542</c:v>
                </c:pt>
                <c:pt idx="8">
                  <c:v>9.4066907564984259E-2</c:v>
                </c:pt>
                <c:pt idx="9">
                  <c:v>9.6456692913385822E-2</c:v>
                </c:pt>
                <c:pt idx="10">
                  <c:v>0.27613636363636362</c:v>
                </c:pt>
                <c:pt idx="11">
                  <c:v>0.20859035869316883</c:v>
                </c:pt>
              </c:numCache>
            </c:numRef>
          </c:yVal>
          <c:smooth val="0"/>
        </c:ser>
        <c:dLbls>
          <c:showLegendKey val="0"/>
          <c:showVal val="0"/>
          <c:showCatName val="0"/>
          <c:showSerName val="0"/>
          <c:showPercent val="0"/>
          <c:showBubbleSize val="0"/>
        </c:dLbls>
        <c:axId val="39096704"/>
        <c:axId val="39094912"/>
      </c:scatterChart>
      <c:catAx>
        <c:axId val="39091584"/>
        <c:scaling>
          <c:orientation val="minMax"/>
        </c:scaling>
        <c:delete val="0"/>
        <c:axPos val="b"/>
        <c:majorTickMark val="none"/>
        <c:minorTickMark val="none"/>
        <c:tickLblPos val="nextTo"/>
        <c:txPr>
          <a:bodyPr rot="-5400000" vert="horz" anchor="ctr" anchorCtr="0"/>
          <a:lstStyle/>
          <a:p>
            <a:pPr>
              <a:defRPr/>
            </a:pPr>
            <a:endParaRPr lang="cs-CZ"/>
          </a:p>
        </c:txPr>
        <c:crossAx val="39093376"/>
        <c:crosses val="autoZero"/>
        <c:auto val="1"/>
        <c:lblAlgn val="ctr"/>
        <c:lblOffset val="100"/>
        <c:tickLblSkip val="1"/>
        <c:tickMarkSkip val="1"/>
        <c:noMultiLvlLbl val="0"/>
      </c:catAx>
      <c:valAx>
        <c:axId val="39093376"/>
        <c:scaling>
          <c:orientation val="minMax"/>
        </c:scaling>
        <c:delete val="0"/>
        <c:axPos val="l"/>
        <c:majorGridlines>
          <c:spPr>
            <a:ln>
              <a:solidFill>
                <a:schemeClr val="tx1">
                  <a:lumMod val="50000"/>
                  <a:lumOff val="50000"/>
                </a:schemeClr>
              </a:solidFill>
              <a:prstDash val="sysDash"/>
            </a:ln>
          </c:spPr>
        </c:majorGridlines>
        <c:numFmt formatCode="#,##0" sourceLinked="1"/>
        <c:majorTickMark val="out"/>
        <c:minorTickMark val="none"/>
        <c:tickLblPos val="nextTo"/>
        <c:txPr>
          <a:bodyPr/>
          <a:lstStyle/>
          <a:p>
            <a:pPr>
              <a:defRPr sz="800"/>
            </a:pPr>
            <a:endParaRPr lang="cs-CZ"/>
          </a:p>
        </c:txPr>
        <c:crossAx val="39091584"/>
        <c:crosses val="autoZero"/>
        <c:crossBetween val="between"/>
      </c:valAx>
      <c:valAx>
        <c:axId val="39094912"/>
        <c:scaling>
          <c:orientation val="minMax"/>
        </c:scaling>
        <c:delete val="0"/>
        <c:axPos val="r"/>
        <c:numFmt formatCode="0%" sourceLinked="0"/>
        <c:majorTickMark val="out"/>
        <c:minorTickMark val="none"/>
        <c:tickLblPos val="nextTo"/>
        <c:txPr>
          <a:bodyPr/>
          <a:lstStyle/>
          <a:p>
            <a:pPr>
              <a:defRPr sz="800"/>
            </a:pPr>
            <a:endParaRPr lang="cs-CZ"/>
          </a:p>
        </c:txPr>
        <c:crossAx val="39096704"/>
        <c:crosses val="max"/>
        <c:crossBetween val="midCat"/>
      </c:valAx>
      <c:valAx>
        <c:axId val="39096704"/>
        <c:scaling>
          <c:orientation val="minMax"/>
        </c:scaling>
        <c:delete val="1"/>
        <c:axPos val="b"/>
        <c:majorTickMark val="out"/>
        <c:minorTickMark val="none"/>
        <c:tickLblPos val="nextTo"/>
        <c:crossAx val="39094912"/>
        <c:crosses val="autoZero"/>
        <c:crossBetween val="midCat"/>
      </c:valAx>
    </c:plotArea>
    <c:plotVisOnly val="1"/>
    <c:dispBlanksAs val="gap"/>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obr_6.9!$B$29</c:f>
          <c:strCache>
            <c:ptCount val="1"/>
            <c:pt idx="0">
              <c:v>SOCIAL SCIENCES
</c:v>
            </c:pt>
          </c:strCache>
        </c:strRef>
      </c:tx>
      <c:layout>
        <c:manualLayout>
          <c:xMode val="edge"/>
          <c:yMode val="edge"/>
          <c:x val="0.35261790192892561"/>
          <c:y val="0"/>
        </c:manualLayout>
      </c:layout>
      <c:overlay val="0"/>
      <c:txPr>
        <a:bodyPr/>
        <a:lstStyle/>
        <a:p>
          <a:pPr>
            <a:defRPr/>
          </a:pPr>
          <a:endParaRPr lang="cs-CZ"/>
        </a:p>
      </c:txPr>
    </c:title>
    <c:autoTitleDeleted val="0"/>
    <c:plotArea>
      <c:layout>
        <c:manualLayout>
          <c:layoutTarget val="inner"/>
          <c:xMode val="edge"/>
          <c:yMode val="edge"/>
          <c:x val="8.607174103237096E-2"/>
          <c:y val="0.11540054754426497"/>
          <c:w val="0.86264604984078486"/>
          <c:h val="0.66867155171921444"/>
        </c:manualLayout>
      </c:layout>
      <c:barChart>
        <c:barDir val="col"/>
        <c:grouping val="stacked"/>
        <c:varyColors val="0"/>
        <c:ser>
          <c:idx val="3"/>
          <c:order val="0"/>
          <c:tx>
            <c:strRef>
              <c:f>obr_6.9!$A$6</c:f>
              <c:strCache>
                <c:ptCount val="1"/>
                <c:pt idx="0">
                  <c:v>Q4</c:v>
                </c:pt>
              </c:strCache>
            </c:strRef>
          </c:tx>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obr_6.9!$B$34:$M$34</c:f>
              <c:numCache>
                <c:formatCode>#,##0</c:formatCode>
                <c:ptCount val="12"/>
                <c:pt idx="0">
                  <c:v>1627</c:v>
                </c:pt>
                <c:pt idx="1">
                  <c:v>1017.5376331499473</c:v>
                </c:pt>
                <c:pt idx="2">
                  <c:v>1126.2575961279913</c:v>
                </c:pt>
                <c:pt idx="3">
                  <c:v>1247.6618819776713</c:v>
                </c:pt>
                <c:pt idx="4">
                  <c:v>2032.7726235741445</c:v>
                </c:pt>
                <c:pt idx="5">
                  <c:v>1552.9740021969974</c:v>
                </c:pt>
                <c:pt idx="6">
                  <c:v>724.09923070273999</c:v>
                </c:pt>
                <c:pt idx="7">
                  <c:v>1135.2165095178793</c:v>
                </c:pt>
                <c:pt idx="8">
                  <c:v>328.70408481446827</c:v>
                </c:pt>
                <c:pt idx="9">
                  <c:v>1153.7940199335546</c:v>
                </c:pt>
                <c:pt idx="10">
                  <c:v>1343.720297029703</c:v>
                </c:pt>
                <c:pt idx="11">
                  <c:v>2335.0560211733564</c:v>
                </c:pt>
              </c:numCache>
            </c:numRef>
          </c:val>
        </c:ser>
        <c:ser>
          <c:idx val="2"/>
          <c:order val="1"/>
          <c:tx>
            <c:strRef>
              <c:f>obr_6.9!$A$5</c:f>
              <c:strCache>
                <c:ptCount val="1"/>
                <c:pt idx="0">
                  <c:v>Q3</c:v>
                </c:pt>
              </c:strCache>
            </c:strRef>
          </c:tx>
          <c:spPr>
            <a:solidFill>
              <a:srgbClr val="ECB418"/>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obr_6.9!$B$33:$M$33</c:f>
              <c:numCache>
                <c:formatCode>#,##0</c:formatCode>
                <c:ptCount val="12"/>
                <c:pt idx="0">
                  <c:v>535</c:v>
                </c:pt>
                <c:pt idx="1">
                  <c:v>1144.421865855086</c:v>
                </c:pt>
                <c:pt idx="2">
                  <c:v>2030.8480774401719</c:v>
                </c:pt>
                <c:pt idx="3">
                  <c:v>2795.5832004253057</c:v>
                </c:pt>
                <c:pt idx="4">
                  <c:v>1800.6844106463877</c:v>
                </c:pt>
                <c:pt idx="5">
                  <c:v>3466.2533870377151</c:v>
                </c:pt>
                <c:pt idx="6">
                  <c:v>845.3455663534321</c:v>
                </c:pt>
                <c:pt idx="7">
                  <c:v>2962.5468777797541</c:v>
                </c:pt>
                <c:pt idx="8">
                  <c:v>237.09354536950417</c:v>
                </c:pt>
                <c:pt idx="9">
                  <c:v>268.05315614617939</c:v>
                </c:pt>
                <c:pt idx="10">
                  <c:v>3214.9430693069303</c:v>
                </c:pt>
                <c:pt idx="11">
                  <c:v>4577.2668725187468</c:v>
                </c:pt>
              </c:numCache>
            </c:numRef>
          </c:val>
        </c:ser>
        <c:ser>
          <c:idx val="0"/>
          <c:order val="2"/>
          <c:tx>
            <c:strRef>
              <c:f>obr_6.9!$A$4</c:f>
              <c:strCache>
                <c:ptCount val="1"/>
                <c:pt idx="0">
                  <c:v>Q2</c:v>
                </c:pt>
              </c:strCache>
            </c:strRef>
          </c:tx>
          <c:spPr>
            <a:solidFill>
              <a:srgbClr val="0937FB"/>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obr_6.9!$B$32:$M$32</c:f>
              <c:numCache>
                <c:formatCode>#,##0</c:formatCode>
                <c:ptCount val="12"/>
                <c:pt idx="0">
                  <c:v>664</c:v>
                </c:pt>
                <c:pt idx="1">
                  <c:v>2304.8582465176169</c:v>
                </c:pt>
                <c:pt idx="2">
                  <c:v>3709.8585641301424</c:v>
                </c:pt>
                <c:pt idx="3">
                  <c:v>4861.9649122807014</c:v>
                </c:pt>
                <c:pt idx="4">
                  <c:v>1888.7178707224334</c:v>
                </c:pt>
                <c:pt idx="5">
                  <c:v>4782.2350787257419</c:v>
                </c:pt>
                <c:pt idx="6">
                  <c:v>1507.4571206302555</c:v>
                </c:pt>
                <c:pt idx="7">
                  <c:v>5576.8525173456674</c:v>
                </c:pt>
                <c:pt idx="8">
                  <c:v>383.94387277829742</c:v>
                </c:pt>
                <c:pt idx="9">
                  <c:v>273.88039867109632</c:v>
                </c:pt>
                <c:pt idx="10">
                  <c:v>4704.1064356435645</c:v>
                </c:pt>
                <c:pt idx="11">
                  <c:v>5364.1296868107629</c:v>
                </c:pt>
              </c:numCache>
            </c:numRef>
          </c:val>
        </c:ser>
        <c:ser>
          <c:idx val="1"/>
          <c:order val="3"/>
          <c:tx>
            <c:strRef>
              <c:f>obr_6.9!$A$3</c:f>
              <c:strCache>
                <c:ptCount val="1"/>
                <c:pt idx="0">
                  <c:v>Q1</c:v>
                </c:pt>
              </c:strCache>
            </c:strRef>
          </c:tx>
          <c:spPr>
            <a:solidFill>
              <a:srgbClr val="81C35D"/>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obr_6.9!$B$31:$M$31</c:f>
              <c:numCache>
                <c:formatCode>#,##0</c:formatCode>
                <c:ptCount val="12"/>
                <c:pt idx="0">
                  <c:v>564</c:v>
                </c:pt>
                <c:pt idx="1">
                  <c:v>3151.1637598033476</c:v>
                </c:pt>
                <c:pt idx="2">
                  <c:v>4759.7117504705557</c:v>
                </c:pt>
                <c:pt idx="3">
                  <c:v>5885.8309409888361</c:v>
                </c:pt>
                <c:pt idx="4">
                  <c:v>1872.7117870722434</c:v>
                </c:pt>
                <c:pt idx="5">
                  <c:v>4177.2303185646288</c:v>
                </c:pt>
                <c:pt idx="6">
                  <c:v>2550.721410666436</c:v>
                </c:pt>
                <c:pt idx="7">
                  <c:v>8656.1038961038957</c:v>
                </c:pt>
                <c:pt idx="8">
                  <c:v>275.37854692859366</c:v>
                </c:pt>
                <c:pt idx="9">
                  <c:v>213.66555924695456</c:v>
                </c:pt>
                <c:pt idx="10">
                  <c:v>4991.7363861386139</c:v>
                </c:pt>
                <c:pt idx="11">
                  <c:v>4110.7198941332153</c:v>
                </c:pt>
              </c:numCache>
            </c:numRef>
          </c:val>
        </c:ser>
        <c:dLbls>
          <c:showLegendKey val="0"/>
          <c:showVal val="0"/>
          <c:showCatName val="0"/>
          <c:showSerName val="0"/>
          <c:showPercent val="0"/>
          <c:showBubbleSize val="0"/>
        </c:dLbls>
        <c:gapWidth val="76"/>
        <c:overlap val="100"/>
        <c:axId val="42300160"/>
        <c:axId val="42301696"/>
      </c:barChart>
      <c:scatterChart>
        <c:scatterStyle val="lineMarker"/>
        <c:varyColors val="0"/>
        <c:ser>
          <c:idx val="4"/>
          <c:order val="4"/>
          <c:tx>
            <c:v>TOP10</c:v>
          </c:tx>
          <c:spPr>
            <a:ln w="28575">
              <a:noFill/>
            </a:ln>
          </c:spPr>
          <c:marker>
            <c:symbol val="triangle"/>
            <c:size val="7"/>
          </c:marker>
          <c:dLbls>
            <c:dLbl>
              <c:idx val="3"/>
              <c:layout/>
              <c:dLblPos val="t"/>
              <c:showLegendKey val="0"/>
              <c:showVal val="1"/>
              <c:showCatName val="0"/>
              <c:showSerName val="0"/>
              <c:showPercent val="0"/>
              <c:showBubbleSize val="0"/>
            </c:dLbl>
            <c:dLbl>
              <c:idx val="4"/>
              <c:layout/>
              <c:dLblPos val="t"/>
              <c:showLegendKey val="0"/>
              <c:showVal val="1"/>
              <c:showCatName val="0"/>
              <c:showSerName val="0"/>
              <c:showPercent val="0"/>
              <c:showBubbleSize val="0"/>
            </c:dLbl>
            <c:dLbl>
              <c:idx val="5"/>
              <c:layout>
                <c:manualLayout>
                  <c:x val="-5.1769722814498986E-2"/>
                  <c:y val="-4.2408626246668885E-2"/>
                </c:manualLayout>
              </c:layout>
              <c:dLblPos val="r"/>
              <c:showLegendKey val="0"/>
              <c:showVal val="1"/>
              <c:showCatName val="0"/>
              <c:showSerName val="0"/>
              <c:showPercent val="0"/>
              <c:showBubbleSize val="0"/>
            </c:dLbl>
            <c:dLbl>
              <c:idx val="8"/>
              <c:layout/>
              <c:dLblPos val="t"/>
              <c:showLegendKey val="0"/>
              <c:showVal val="1"/>
              <c:showCatName val="0"/>
              <c:showSerName val="0"/>
              <c:showPercent val="0"/>
              <c:showBubbleSize val="0"/>
            </c:dLbl>
            <c:dLbl>
              <c:idx val="11"/>
              <c:layout>
                <c:manualLayout>
                  <c:x val="-5.1769722814498931E-2"/>
                  <c:y val="-9.0365021285155819E-2"/>
                </c:manualLayout>
              </c:layout>
              <c:dLblPos val="r"/>
              <c:showLegendKey val="0"/>
              <c:showVal val="1"/>
              <c:showCatName val="0"/>
              <c:showSerName val="0"/>
              <c:showPercent val="0"/>
              <c:showBubbleSize val="0"/>
            </c:dLbl>
            <c:txPr>
              <a:bodyPr/>
              <a:lstStyle/>
              <a:p>
                <a:pPr>
                  <a:defRPr sz="850"/>
                </a:pPr>
                <a:endParaRPr lang="cs-CZ"/>
              </a:p>
            </c:txPr>
            <c:dLblPos val="b"/>
            <c:showLegendKey val="0"/>
            <c:showVal val="1"/>
            <c:showCatName val="0"/>
            <c:showSerName val="0"/>
            <c:showPercent val="0"/>
            <c:showBubbleSize val="0"/>
            <c:showLeaderLines val="0"/>
          </c:dLbls>
          <c:yVal>
            <c:numRef>
              <c:f>obr_6.9!$B$35:$M$35</c:f>
              <c:numCache>
                <c:formatCode>0.00%</c:formatCode>
                <c:ptCount val="12"/>
                <c:pt idx="0">
                  <c:v>4.3952802359882005E-2</c:v>
                </c:pt>
                <c:pt idx="1">
                  <c:v>0.1258085381630013</c:v>
                </c:pt>
                <c:pt idx="2">
                  <c:v>0.12404673048839851</c:v>
                </c:pt>
                <c:pt idx="3">
                  <c:v>0.1337788425167066</c:v>
                </c:pt>
                <c:pt idx="4">
                  <c:v>6.0063224446786093E-2</c:v>
                </c:pt>
                <c:pt idx="5">
                  <c:v>8.3115093039283258E-2</c:v>
                </c:pt>
                <c:pt idx="6">
                  <c:v>0.14700381018358158</c:v>
                </c:pt>
                <c:pt idx="7">
                  <c:v>0.15650960098052566</c:v>
                </c:pt>
                <c:pt idx="8">
                  <c:v>4.0625000000000001E-2</c:v>
                </c:pt>
                <c:pt idx="9">
                  <c:v>2.2380467955239063E-2</c:v>
                </c:pt>
                <c:pt idx="10">
                  <c:v>0.10781999543135612</c:v>
                </c:pt>
                <c:pt idx="11">
                  <c:v>7.6203966005665716E-2</c:v>
                </c:pt>
              </c:numCache>
            </c:numRef>
          </c:yVal>
          <c:smooth val="0"/>
        </c:ser>
        <c:dLbls>
          <c:showLegendKey val="0"/>
          <c:showVal val="0"/>
          <c:showCatName val="0"/>
          <c:showSerName val="0"/>
          <c:showPercent val="0"/>
          <c:showBubbleSize val="0"/>
        </c:dLbls>
        <c:axId val="50148864"/>
        <c:axId val="50147328"/>
      </c:scatterChart>
      <c:catAx>
        <c:axId val="42300160"/>
        <c:scaling>
          <c:orientation val="minMax"/>
        </c:scaling>
        <c:delete val="0"/>
        <c:axPos val="b"/>
        <c:majorTickMark val="none"/>
        <c:minorTickMark val="none"/>
        <c:tickLblPos val="nextTo"/>
        <c:txPr>
          <a:bodyPr rot="-5400000" vert="horz" anchor="ctr" anchorCtr="0"/>
          <a:lstStyle/>
          <a:p>
            <a:pPr>
              <a:defRPr/>
            </a:pPr>
            <a:endParaRPr lang="cs-CZ"/>
          </a:p>
        </c:txPr>
        <c:crossAx val="42301696"/>
        <c:crosses val="autoZero"/>
        <c:auto val="1"/>
        <c:lblAlgn val="ctr"/>
        <c:lblOffset val="100"/>
        <c:tickLblSkip val="1"/>
        <c:tickMarkSkip val="1"/>
        <c:noMultiLvlLbl val="0"/>
      </c:catAx>
      <c:valAx>
        <c:axId val="42301696"/>
        <c:scaling>
          <c:orientation val="minMax"/>
          <c:max val="25000"/>
        </c:scaling>
        <c:delete val="0"/>
        <c:axPos val="l"/>
        <c:majorGridlines>
          <c:spPr>
            <a:ln>
              <a:solidFill>
                <a:schemeClr val="tx1">
                  <a:lumMod val="50000"/>
                  <a:lumOff val="50000"/>
                </a:schemeClr>
              </a:solidFill>
              <a:prstDash val="sysDash"/>
            </a:ln>
          </c:spPr>
        </c:majorGridlines>
        <c:numFmt formatCode="#,##0" sourceLinked="0"/>
        <c:majorTickMark val="out"/>
        <c:minorTickMark val="none"/>
        <c:tickLblPos val="nextTo"/>
        <c:txPr>
          <a:bodyPr/>
          <a:lstStyle/>
          <a:p>
            <a:pPr>
              <a:defRPr sz="800"/>
            </a:pPr>
            <a:endParaRPr lang="cs-CZ"/>
          </a:p>
        </c:txPr>
        <c:crossAx val="42300160"/>
        <c:crosses val="autoZero"/>
        <c:crossBetween val="between"/>
        <c:majorUnit val="5000"/>
      </c:valAx>
      <c:valAx>
        <c:axId val="50147328"/>
        <c:scaling>
          <c:orientation val="minMax"/>
          <c:max val="0.2"/>
        </c:scaling>
        <c:delete val="0"/>
        <c:axPos val="r"/>
        <c:numFmt formatCode="0%" sourceLinked="0"/>
        <c:majorTickMark val="out"/>
        <c:minorTickMark val="none"/>
        <c:tickLblPos val="nextTo"/>
        <c:txPr>
          <a:bodyPr/>
          <a:lstStyle/>
          <a:p>
            <a:pPr>
              <a:defRPr sz="800"/>
            </a:pPr>
            <a:endParaRPr lang="cs-CZ"/>
          </a:p>
        </c:txPr>
        <c:crossAx val="50148864"/>
        <c:crosses val="max"/>
        <c:crossBetween val="midCat"/>
        <c:majorUnit val="5.000000000000001E-2"/>
      </c:valAx>
      <c:valAx>
        <c:axId val="50148864"/>
        <c:scaling>
          <c:orientation val="minMax"/>
        </c:scaling>
        <c:delete val="1"/>
        <c:axPos val="b"/>
        <c:majorTickMark val="out"/>
        <c:minorTickMark val="none"/>
        <c:tickLblPos val="nextTo"/>
        <c:crossAx val="50147328"/>
        <c:crosses val="autoZero"/>
        <c:crossBetween val="midCat"/>
      </c:valAx>
    </c:plotArea>
    <c:plotVisOnly val="1"/>
    <c:dispBlanksAs val="gap"/>
    <c:showDLblsOverMax val="0"/>
  </c:chart>
  <c:spPr>
    <a:ln>
      <a:noFill/>
    </a:ln>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obr_6.9!$B$36</c:f>
          <c:strCache>
            <c:ptCount val="1"/>
            <c:pt idx="0">
              <c:v>HUMANITIES
</c:v>
            </c:pt>
          </c:strCache>
        </c:strRef>
      </c:tx>
      <c:layout>
        <c:manualLayout>
          <c:xMode val="edge"/>
          <c:yMode val="edge"/>
          <c:x val="0.38622134038800704"/>
          <c:y val="1.5120967741935484E-2"/>
        </c:manualLayout>
      </c:layout>
      <c:overlay val="0"/>
      <c:txPr>
        <a:bodyPr/>
        <a:lstStyle/>
        <a:p>
          <a:pPr>
            <a:defRPr/>
          </a:pPr>
          <a:endParaRPr lang="cs-CZ"/>
        </a:p>
      </c:txPr>
    </c:title>
    <c:autoTitleDeleted val="0"/>
    <c:plotArea>
      <c:layout>
        <c:manualLayout>
          <c:layoutTarget val="inner"/>
          <c:xMode val="edge"/>
          <c:yMode val="edge"/>
          <c:x val="8.607174103237096E-2"/>
          <c:y val="0.11540054754426497"/>
          <c:w val="0.86264604984078486"/>
          <c:h val="0.66867155171921444"/>
        </c:manualLayout>
      </c:layout>
      <c:barChart>
        <c:barDir val="col"/>
        <c:grouping val="stacked"/>
        <c:varyColors val="0"/>
        <c:ser>
          <c:idx val="3"/>
          <c:order val="0"/>
          <c:tx>
            <c:strRef>
              <c:f>obr_6.9!$A$6</c:f>
              <c:strCache>
                <c:ptCount val="1"/>
                <c:pt idx="0">
                  <c:v>Q4</c:v>
                </c:pt>
              </c:strCache>
            </c:strRef>
          </c:tx>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obr_6.9!$B$41:$M$41</c:f>
              <c:numCache>
                <c:formatCode>#,##0</c:formatCode>
                <c:ptCount val="12"/>
                <c:pt idx="0">
                  <c:v>114</c:v>
                </c:pt>
                <c:pt idx="1">
                  <c:v>202.0292637246869</c:v>
                </c:pt>
                <c:pt idx="2">
                  <c:v>271.66012368916375</c:v>
                </c:pt>
                <c:pt idx="3">
                  <c:v>251.77033492822963</c:v>
                </c:pt>
                <c:pt idx="4">
                  <c:v>656.24942965779462</c:v>
                </c:pt>
                <c:pt idx="5">
                  <c:v>250.47967777370926</c:v>
                </c:pt>
                <c:pt idx="6">
                  <c:v>87.588456836620026</c:v>
                </c:pt>
                <c:pt idx="7">
                  <c:v>260.2447962995908</c:v>
                </c:pt>
                <c:pt idx="8">
                  <c:v>42.660430308699716</c:v>
                </c:pt>
                <c:pt idx="9">
                  <c:v>25.251384274640085</c:v>
                </c:pt>
                <c:pt idx="10">
                  <c:v>211.65222772277227</c:v>
                </c:pt>
                <c:pt idx="11">
                  <c:v>218.18614909572122</c:v>
                </c:pt>
              </c:numCache>
            </c:numRef>
          </c:val>
        </c:ser>
        <c:ser>
          <c:idx val="2"/>
          <c:order val="1"/>
          <c:tx>
            <c:strRef>
              <c:f>obr_6.9!$A$5</c:f>
              <c:strCache>
                <c:ptCount val="1"/>
                <c:pt idx="0">
                  <c:v>Q3</c:v>
                </c:pt>
              </c:strCache>
            </c:strRef>
          </c:tx>
          <c:spPr>
            <a:solidFill>
              <a:srgbClr val="ECB418"/>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obr_6.9!$B$40:$M$40</c:f>
              <c:numCache>
                <c:formatCode>#,##0</c:formatCode>
                <c:ptCount val="12"/>
                <c:pt idx="0">
                  <c:v>53</c:v>
                </c:pt>
                <c:pt idx="1">
                  <c:v>153.98571930235281</c:v>
                </c:pt>
                <c:pt idx="2">
                  <c:v>392.39795643990317</c:v>
                </c:pt>
                <c:pt idx="3">
                  <c:v>535.24508240297712</c:v>
                </c:pt>
                <c:pt idx="4">
                  <c:v>600.22813688212932</c:v>
                </c:pt>
                <c:pt idx="5">
                  <c:v>433.5225192237275</c:v>
                </c:pt>
                <c:pt idx="6">
                  <c:v>117.73759924922513</c:v>
                </c:pt>
                <c:pt idx="7">
                  <c:v>376.94929727806436</c:v>
                </c:pt>
                <c:pt idx="8">
                  <c:v>40.199251637043957</c:v>
                </c:pt>
                <c:pt idx="9">
                  <c:v>23.308970099667771</c:v>
                </c:pt>
                <c:pt idx="10">
                  <c:v>464.54950495049508</c:v>
                </c:pt>
                <c:pt idx="11">
                  <c:v>459.58359064843404</c:v>
                </c:pt>
              </c:numCache>
            </c:numRef>
          </c:val>
        </c:ser>
        <c:ser>
          <c:idx val="0"/>
          <c:order val="2"/>
          <c:tx>
            <c:strRef>
              <c:f>obr_6.9!$A$4</c:f>
              <c:strCache>
                <c:ptCount val="1"/>
                <c:pt idx="0">
                  <c:v>Q2</c:v>
                </c:pt>
              </c:strCache>
            </c:strRef>
          </c:tx>
          <c:spPr>
            <a:solidFill>
              <a:srgbClr val="0937FB"/>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obr_6.9!$B$39:$M$39</c:f>
              <c:numCache>
                <c:formatCode>#,##0</c:formatCode>
                <c:ptCount val="12"/>
                <c:pt idx="0">
                  <c:v>77</c:v>
                </c:pt>
                <c:pt idx="1">
                  <c:v>206.95680674236218</c:v>
                </c:pt>
                <c:pt idx="2">
                  <c:v>373.53267007260013</c:v>
                </c:pt>
                <c:pt idx="3">
                  <c:v>432.67198298777242</c:v>
                </c:pt>
                <c:pt idx="4">
                  <c:v>272.10342205323195</c:v>
                </c:pt>
                <c:pt idx="5">
                  <c:v>547.20175759794949</c:v>
                </c:pt>
                <c:pt idx="6">
                  <c:v>133.20203005569067</c:v>
                </c:pt>
                <c:pt idx="7">
                  <c:v>537.96406333392633</c:v>
                </c:pt>
                <c:pt idx="8">
                  <c:v>41.840037418147794</c:v>
                </c:pt>
                <c:pt idx="9">
                  <c:v>23.308970099667771</c:v>
                </c:pt>
                <c:pt idx="10">
                  <c:v>455.86633663366337</c:v>
                </c:pt>
                <c:pt idx="11">
                  <c:v>596.53021614468457</c:v>
                </c:pt>
              </c:numCache>
            </c:numRef>
          </c:val>
        </c:ser>
        <c:ser>
          <c:idx val="1"/>
          <c:order val="3"/>
          <c:tx>
            <c:strRef>
              <c:f>obr_6.9!$A$3</c:f>
              <c:strCache>
                <c:ptCount val="1"/>
                <c:pt idx="0">
                  <c:v>Q1</c:v>
                </c:pt>
              </c:strCache>
            </c:strRef>
          </c:tx>
          <c:spPr>
            <a:solidFill>
              <a:srgbClr val="81C35D"/>
            </a:solidFill>
          </c:spPr>
          <c:invertIfNegative val="0"/>
          <c:cat>
            <c:strRef>
              <c:f>obr_6.9!$B$2:$M$2</c:f>
              <c:strCache>
                <c:ptCount val="12"/>
                <c:pt idx="0">
                  <c:v>CZE</c:v>
                </c:pt>
                <c:pt idx="1">
                  <c:v>AUT</c:v>
                </c:pt>
                <c:pt idx="2">
                  <c:v>BEL</c:v>
                </c:pt>
                <c:pt idx="3">
                  <c:v>DNK</c:v>
                </c:pt>
                <c:pt idx="4">
                  <c:v>EST</c:v>
                </c:pt>
                <c:pt idx="5">
                  <c:v>FIN</c:v>
                </c:pt>
                <c:pt idx="6">
                  <c:v>DEU</c:v>
                </c:pt>
                <c:pt idx="7">
                  <c:v>NLD</c:v>
                </c:pt>
                <c:pt idx="8">
                  <c:v>POL</c:v>
                </c:pt>
                <c:pt idx="9">
                  <c:v>SVK</c:v>
                </c:pt>
                <c:pt idx="10">
                  <c:v>SWE</c:v>
                </c:pt>
                <c:pt idx="11">
                  <c:v>NZL</c:v>
                </c:pt>
              </c:strCache>
            </c:strRef>
          </c:cat>
          <c:val>
            <c:numRef>
              <c:f>obr_6.9!$B$38:$M$38</c:f>
              <c:numCache>
                <c:formatCode>#,##0</c:formatCode>
                <c:ptCount val="12"/>
                <c:pt idx="0">
                  <c:v>50</c:v>
                </c:pt>
                <c:pt idx="1">
                  <c:v>165.0726910921222</c:v>
                </c:pt>
                <c:pt idx="2">
                  <c:v>414.09303576230172</c:v>
                </c:pt>
                <c:pt idx="3">
                  <c:v>471.83625730994146</c:v>
                </c:pt>
                <c:pt idx="4">
                  <c:v>152.05779467680608</c:v>
                </c:pt>
                <c:pt idx="5">
                  <c:v>383.4265836689857</c:v>
                </c:pt>
                <c:pt idx="6">
                  <c:v>167.24976846992575</c:v>
                </c:pt>
                <c:pt idx="7">
                  <c:v>580.40206368973497</c:v>
                </c:pt>
                <c:pt idx="8">
                  <c:v>31.721858434674147</c:v>
                </c:pt>
                <c:pt idx="9">
                  <c:v>29.136212624584715</c:v>
                </c:pt>
                <c:pt idx="10">
                  <c:v>400.51113861386136</c:v>
                </c:pt>
                <c:pt idx="11">
                  <c:v>561.71327745919723</c:v>
                </c:pt>
              </c:numCache>
            </c:numRef>
          </c:val>
        </c:ser>
        <c:dLbls>
          <c:showLegendKey val="0"/>
          <c:showVal val="0"/>
          <c:showCatName val="0"/>
          <c:showSerName val="0"/>
          <c:showPercent val="0"/>
          <c:showBubbleSize val="0"/>
        </c:dLbls>
        <c:gapWidth val="76"/>
        <c:overlap val="100"/>
        <c:axId val="50354432"/>
        <c:axId val="50405376"/>
      </c:barChart>
      <c:scatterChart>
        <c:scatterStyle val="lineMarker"/>
        <c:varyColors val="0"/>
        <c:ser>
          <c:idx val="4"/>
          <c:order val="4"/>
          <c:tx>
            <c:strRef>
              <c:f>obr_6.9!$A$42</c:f>
              <c:strCache>
                <c:ptCount val="1"/>
                <c:pt idx="0">
                  <c:v>TOP10</c:v>
                </c:pt>
              </c:strCache>
            </c:strRef>
          </c:tx>
          <c:spPr>
            <a:ln w="28575">
              <a:noFill/>
            </a:ln>
          </c:spPr>
          <c:marker>
            <c:symbol val="triangle"/>
            <c:size val="7"/>
          </c:marker>
          <c:dLbls>
            <c:dLbl>
              <c:idx val="0"/>
              <c:layout>
                <c:manualLayout>
                  <c:x val="-4.641877616537602E-2"/>
                  <c:y val="-4.6219081272084808E-2"/>
                </c:manualLayout>
              </c:layout>
              <c:dLblPos val="r"/>
              <c:showLegendKey val="0"/>
              <c:showVal val="1"/>
              <c:showCatName val="0"/>
              <c:showSerName val="0"/>
              <c:showPercent val="0"/>
              <c:showBubbleSize val="0"/>
            </c:dLbl>
            <c:dLbl>
              <c:idx val="3"/>
              <c:layout/>
              <c:dLblPos val="t"/>
              <c:showLegendKey val="0"/>
              <c:showVal val="1"/>
              <c:showCatName val="0"/>
              <c:showSerName val="0"/>
              <c:showPercent val="0"/>
              <c:showBubbleSize val="0"/>
            </c:dLbl>
            <c:dLbl>
              <c:idx val="4"/>
              <c:layout/>
              <c:dLblPos val="t"/>
              <c:showLegendKey val="0"/>
              <c:showVal val="1"/>
              <c:showCatName val="0"/>
              <c:showSerName val="0"/>
              <c:showPercent val="0"/>
              <c:showBubbleSize val="0"/>
            </c:dLbl>
            <c:dLbl>
              <c:idx val="5"/>
              <c:layout>
                <c:manualLayout>
                  <c:x val="-5.1769722814498986E-2"/>
                  <c:y val="-4.2408626246668885E-2"/>
                </c:manualLayout>
              </c:layout>
              <c:dLblPos val="r"/>
              <c:showLegendKey val="0"/>
              <c:showVal val="1"/>
              <c:showCatName val="0"/>
              <c:showSerName val="0"/>
              <c:showPercent val="0"/>
              <c:showBubbleSize val="0"/>
            </c:dLbl>
            <c:dLbl>
              <c:idx val="8"/>
              <c:layout/>
              <c:dLblPos val="t"/>
              <c:showLegendKey val="0"/>
              <c:showVal val="1"/>
              <c:showCatName val="0"/>
              <c:showSerName val="0"/>
              <c:showPercent val="0"/>
              <c:showBubbleSize val="0"/>
            </c:dLbl>
            <c:dLbl>
              <c:idx val="11"/>
              <c:layout>
                <c:manualLayout>
                  <c:x val="-5.1769722814498931E-2"/>
                  <c:y val="-9.0365021285155819E-2"/>
                </c:manualLayout>
              </c:layout>
              <c:dLblPos val="r"/>
              <c:showLegendKey val="0"/>
              <c:showVal val="1"/>
              <c:showCatName val="0"/>
              <c:showSerName val="0"/>
              <c:showPercent val="0"/>
              <c:showBubbleSize val="0"/>
            </c:dLbl>
            <c:txPr>
              <a:bodyPr/>
              <a:lstStyle/>
              <a:p>
                <a:pPr>
                  <a:defRPr sz="850"/>
                </a:pPr>
                <a:endParaRPr lang="cs-CZ"/>
              </a:p>
            </c:txPr>
            <c:dLblPos val="b"/>
            <c:showLegendKey val="0"/>
            <c:showVal val="1"/>
            <c:showCatName val="0"/>
            <c:showSerName val="0"/>
            <c:showPercent val="0"/>
            <c:showBubbleSize val="0"/>
            <c:showLeaderLines val="0"/>
          </c:dLbls>
          <c:yVal>
            <c:numRef>
              <c:f>obr_6.9!$B$42:$M$42</c:f>
              <c:numCache>
                <c:formatCode>0.00%</c:formatCode>
                <c:ptCount val="12"/>
                <c:pt idx="0">
                  <c:v>3.0612244897959183E-2</c:v>
                </c:pt>
                <c:pt idx="1">
                  <c:v>6.5989847715736044E-2</c:v>
                </c:pt>
                <c:pt idx="2">
                  <c:v>8.9018843404808312E-2</c:v>
                </c:pt>
                <c:pt idx="3">
                  <c:v>8.7100330760749731E-2</c:v>
                </c:pt>
                <c:pt idx="4">
                  <c:v>1.9047619047619049E-2</c:v>
                </c:pt>
                <c:pt idx="5">
                  <c:v>7.3985680190930783E-2</c:v>
                </c:pt>
                <c:pt idx="6">
                  <c:v>0.12769784172661872</c:v>
                </c:pt>
                <c:pt idx="7">
                  <c:v>0.14468538926413083</c:v>
                </c:pt>
                <c:pt idx="8">
                  <c:v>6.6433566433566432E-2</c:v>
                </c:pt>
                <c:pt idx="9">
                  <c:v>3.8461538461538464E-2</c:v>
                </c:pt>
                <c:pt idx="10">
                  <c:v>0.10694050991501416</c:v>
                </c:pt>
                <c:pt idx="11">
                  <c:v>7.7117572692793929E-2</c:v>
                </c:pt>
              </c:numCache>
            </c:numRef>
          </c:yVal>
          <c:smooth val="0"/>
        </c:ser>
        <c:dLbls>
          <c:showLegendKey val="0"/>
          <c:showVal val="0"/>
          <c:showCatName val="0"/>
          <c:showSerName val="0"/>
          <c:showPercent val="0"/>
          <c:showBubbleSize val="0"/>
        </c:dLbls>
        <c:axId val="50408448"/>
        <c:axId val="50406912"/>
      </c:scatterChart>
      <c:catAx>
        <c:axId val="50354432"/>
        <c:scaling>
          <c:orientation val="minMax"/>
        </c:scaling>
        <c:delete val="0"/>
        <c:axPos val="b"/>
        <c:majorTickMark val="none"/>
        <c:minorTickMark val="none"/>
        <c:tickLblPos val="nextTo"/>
        <c:txPr>
          <a:bodyPr rot="-5400000" vert="horz" anchor="ctr" anchorCtr="0"/>
          <a:lstStyle/>
          <a:p>
            <a:pPr>
              <a:defRPr/>
            </a:pPr>
            <a:endParaRPr lang="cs-CZ"/>
          </a:p>
        </c:txPr>
        <c:crossAx val="50405376"/>
        <c:crosses val="autoZero"/>
        <c:auto val="1"/>
        <c:lblAlgn val="ctr"/>
        <c:lblOffset val="100"/>
        <c:tickLblSkip val="1"/>
        <c:tickMarkSkip val="1"/>
        <c:noMultiLvlLbl val="0"/>
      </c:catAx>
      <c:valAx>
        <c:axId val="50405376"/>
        <c:scaling>
          <c:orientation val="minMax"/>
          <c:max val="3000"/>
        </c:scaling>
        <c:delete val="0"/>
        <c:axPos val="l"/>
        <c:majorGridlines>
          <c:spPr>
            <a:ln>
              <a:solidFill>
                <a:schemeClr val="tx1">
                  <a:lumMod val="50000"/>
                  <a:lumOff val="50000"/>
                </a:schemeClr>
              </a:solidFill>
              <a:prstDash val="sysDash"/>
            </a:ln>
          </c:spPr>
        </c:majorGridlines>
        <c:numFmt formatCode="#,##0" sourceLinked="0"/>
        <c:majorTickMark val="out"/>
        <c:minorTickMark val="none"/>
        <c:tickLblPos val="nextTo"/>
        <c:txPr>
          <a:bodyPr/>
          <a:lstStyle/>
          <a:p>
            <a:pPr>
              <a:defRPr sz="800"/>
            </a:pPr>
            <a:endParaRPr lang="cs-CZ"/>
          </a:p>
        </c:txPr>
        <c:crossAx val="50354432"/>
        <c:crosses val="autoZero"/>
        <c:crossBetween val="between"/>
        <c:majorUnit val="500"/>
      </c:valAx>
      <c:valAx>
        <c:axId val="50406912"/>
        <c:scaling>
          <c:orientation val="minMax"/>
          <c:max val="0.15000000000000002"/>
        </c:scaling>
        <c:delete val="0"/>
        <c:axPos val="r"/>
        <c:numFmt formatCode="0%" sourceLinked="0"/>
        <c:majorTickMark val="out"/>
        <c:minorTickMark val="none"/>
        <c:tickLblPos val="nextTo"/>
        <c:txPr>
          <a:bodyPr/>
          <a:lstStyle/>
          <a:p>
            <a:pPr>
              <a:defRPr sz="800"/>
            </a:pPr>
            <a:endParaRPr lang="cs-CZ"/>
          </a:p>
        </c:txPr>
        <c:crossAx val="50408448"/>
        <c:crosses val="max"/>
        <c:crossBetween val="midCat"/>
        <c:majorUnit val="5.000000000000001E-2"/>
      </c:valAx>
      <c:valAx>
        <c:axId val="50408448"/>
        <c:scaling>
          <c:orientation val="minMax"/>
        </c:scaling>
        <c:delete val="1"/>
        <c:axPos val="b"/>
        <c:majorTickMark val="out"/>
        <c:minorTickMark val="none"/>
        <c:tickLblPos val="nextTo"/>
        <c:crossAx val="50406912"/>
        <c:crosses val="autoZero"/>
        <c:crossBetween val="midCat"/>
      </c:valAx>
    </c:plotArea>
    <c:legend>
      <c:legendPos val="l"/>
      <c:layout>
        <c:manualLayout>
          <c:xMode val="edge"/>
          <c:yMode val="edge"/>
          <c:x val="2.5586353944562899E-2"/>
          <c:y val="0.87828162541317834"/>
          <c:w val="0.49974290527116944"/>
          <c:h val="0.12163976545831041"/>
        </c:manualLayout>
      </c:layout>
      <c:overlay val="1"/>
    </c:legend>
    <c:plotVisOnly val="1"/>
    <c:dispBlanksAs val="gap"/>
    <c:showDLblsOverMax val="0"/>
  </c:chart>
  <c:spPr>
    <a:ln>
      <a:noFill/>
    </a:ln>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List1!$A$5</c:f>
              <c:strCache>
                <c:ptCount val="1"/>
                <c:pt idx="0">
                  <c:v>GERD</c:v>
                </c:pt>
              </c:strCache>
            </c:strRef>
          </c:tx>
          <c:invertIfNegative val="0"/>
          <c:dLbls>
            <c:numFmt formatCode="#,##0.0" sourceLinked="0"/>
            <c:dLblPos val="ctr"/>
            <c:showLegendKey val="0"/>
            <c:showVal val="1"/>
            <c:showCatName val="0"/>
            <c:showSerName val="0"/>
            <c:showPercent val="0"/>
            <c:showBubbleSize val="0"/>
            <c:showLeaderLines val="0"/>
          </c:dLbls>
          <c:cat>
            <c:numRef>
              <c:f>List1!$B$4:$I$4</c:f>
              <c:numCache>
                <c:formatCode>General</c:formatCode>
                <c:ptCount val="8"/>
                <c:pt idx="0">
                  <c:v>2010</c:v>
                </c:pt>
                <c:pt idx="1">
                  <c:v>2011</c:v>
                </c:pt>
                <c:pt idx="2">
                  <c:v>2012</c:v>
                </c:pt>
                <c:pt idx="3">
                  <c:v>2013</c:v>
                </c:pt>
                <c:pt idx="4">
                  <c:v>2014</c:v>
                </c:pt>
                <c:pt idx="5">
                  <c:v>2015</c:v>
                </c:pt>
                <c:pt idx="6">
                  <c:v>2016</c:v>
                </c:pt>
                <c:pt idx="7">
                  <c:v>2017</c:v>
                </c:pt>
              </c:numCache>
            </c:numRef>
          </c:cat>
          <c:val>
            <c:numRef>
              <c:f>List1!$B$5:$I$5</c:f>
              <c:numCache>
                <c:formatCode>General</c:formatCode>
                <c:ptCount val="8"/>
                <c:pt idx="0">
                  <c:v>53</c:v>
                </c:pt>
                <c:pt idx="1">
                  <c:v>62.8</c:v>
                </c:pt>
                <c:pt idx="2">
                  <c:v>72.400000000000006</c:v>
                </c:pt>
                <c:pt idx="3">
                  <c:v>77.900000000000006</c:v>
                </c:pt>
                <c:pt idx="4">
                  <c:v>85.1</c:v>
                </c:pt>
                <c:pt idx="5">
                  <c:v>88.7</c:v>
                </c:pt>
                <c:pt idx="6">
                  <c:v>80.099999999999994</c:v>
                </c:pt>
                <c:pt idx="7" formatCode="0.0">
                  <c:v>90.386024781976914</c:v>
                </c:pt>
              </c:numCache>
            </c:numRef>
          </c:val>
        </c:ser>
        <c:dLbls>
          <c:showLegendKey val="0"/>
          <c:showVal val="0"/>
          <c:showCatName val="0"/>
          <c:showSerName val="0"/>
          <c:showPercent val="0"/>
          <c:showBubbleSize val="0"/>
        </c:dLbls>
        <c:gapWidth val="100"/>
        <c:axId val="128223488"/>
        <c:axId val="128229376"/>
      </c:barChart>
      <c:lineChart>
        <c:grouping val="stacked"/>
        <c:varyColors val="0"/>
        <c:ser>
          <c:idx val="1"/>
          <c:order val="1"/>
          <c:tx>
            <c:strRef>
              <c:f>List1!$A$6</c:f>
              <c:strCache>
                <c:ptCount val="1"/>
                <c:pt idx="0">
                  <c:v>znalostní intenzita</c:v>
                </c:pt>
              </c:strCache>
            </c:strRef>
          </c:tx>
          <c:marker>
            <c:symbol val="none"/>
          </c:marker>
          <c:dLbls>
            <c:numFmt formatCode="0.0%" sourceLinked="0"/>
            <c:dLblPos val="t"/>
            <c:showLegendKey val="0"/>
            <c:showVal val="1"/>
            <c:showCatName val="0"/>
            <c:showSerName val="0"/>
            <c:showPercent val="0"/>
            <c:showBubbleSize val="0"/>
            <c:showLeaderLines val="0"/>
          </c:dLbls>
          <c:cat>
            <c:numRef>
              <c:f>List1!$B$4:$I$4</c:f>
              <c:numCache>
                <c:formatCode>General</c:formatCode>
                <c:ptCount val="8"/>
                <c:pt idx="0">
                  <c:v>2010</c:v>
                </c:pt>
                <c:pt idx="1">
                  <c:v>2011</c:v>
                </c:pt>
                <c:pt idx="2">
                  <c:v>2012</c:v>
                </c:pt>
                <c:pt idx="3">
                  <c:v>2013</c:v>
                </c:pt>
                <c:pt idx="4">
                  <c:v>2014</c:v>
                </c:pt>
                <c:pt idx="5">
                  <c:v>2015</c:v>
                </c:pt>
                <c:pt idx="6">
                  <c:v>2016</c:v>
                </c:pt>
                <c:pt idx="7">
                  <c:v>2017</c:v>
                </c:pt>
              </c:numCache>
            </c:numRef>
          </c:cat>
          <c:val>
            <c:numRef>
              <c:f>List1!$B$6:$I$6</c:f>
              <c:numCache>
                <c:formatCode>0.0%</c:formatCode>
                <c:ptCount val="8"/>
                <c:pt idx="0">
                  <c:v>1.34E-2</c:v>
                </c:pt>
                <c:pt idx="1">
                  <c:v>1.5600000000000001E-2</c:v>
                </c:pt>
                <c:pt idx="2">
                  <c:v>1.78E-2</c:v>
                </c:pt>
                <c:pt idx="3">
                  <c:v>1.9E-2</c:v>
                </c:pt>
                <c:pt idx="4">
                  <c:v>1.9699999999999999E-2</c:v>
                </c:pt>
                <c:pt idx="5">
                  <c:v>1.9299999999999998E-2</c:v>
                </c:pt>
                <c:pt idx="6">
                  <c:v>1.6799999999999999E-2</c:v>
                </c:pt>
                <c:pt idx="7">
                  <c:v>1.7915293698069708E-2</c:v>
                </c:pt>
              </c:numCache>
            </c:numRef>
          </c:val>
          <c:smooth val="0"/>
        </c:ser>
        <c:dLbls>
          <c:showLegendKey val="0"/>
          <c:showVal val="0"/>
          <c:showCatName val="0"/>
          <c:showSerName val="0"/>
          <c:showPercent val="0"/>
          <c:showBubbleSize val="0"/>
        </c:dLbls>
        <c:marker val="1"/>
        <c:smooth val="0"/>
        <c:axId val="177504640"/>
        <c:axId val="128232064"/>
      </c:lineChart>
      <c:catAx>
        <c:axId val="128223488"/>
        <c:scaling>
          <c:orientation val="minMax"/>
        </c:scaling>
        <c:delete val="0"/>
        <c:axPos val="b"/>
        <c:numFmt formatCode="General" sourceLinked="1"/>
        <c:majorTickMark val="out"/>
        <c:minorTickMark val="none"/>
        <c:tickLblPos val="nextTo"/>
        <c:crossAx val="128229376"/>
        <c:crosses val="autoZero"/>
        <c:auto val="1"/>
        <c:lblAlgn val="ctr"/>
        <c:lblOffset val="100"/>
        <c:noMultiLvlLbl val="0"/>
      </c:catAx>
      <c:valAx>
        <c:axId val="128229376"/>
        <c:scaling>
          <c:orientation val="minMax"/>
        </c:scaling>
        <c:delete val="0"/>
        <c:axPos val="l"/>
        <c:majorGridlines/>
        <c:title>
          <c:tx>
            <c:rich>
              <a:bodyPr rot="-5400000" vert="horz"/>
              <a:lstStyle/>
              <a:p>
                <a:pPr>
                  <a:defRPr b="0"/>
                </a:pPr>
                <a:r>
                  <a:rPr lang="en-US" b="0"/>
                  <a:t>GERD (mld. Kč)</a:t>
                </a:r>
              </a:p>
            </c:rich>
          </c:tx>
          <c:layout/>
          <c:overlay val="0"/>
        </c:title>
        <c:numFmt formatCode="General" sourceLinked="1"/>
        <c:majorTickMark val="out"/>
        <c:minorTickMark val="none"/>
        <c:tickLblPos val="nextTo"/>
        <c:crossAx val="128223488"/>
        <c:crosses val="autoZero"/>
        <c:crossBetween val="between"/>
      </c:valAx>
      <c:valAx>
        <c:axId val="128232064"/>
        <c:scaling>
          <c:orientation val="minMax"/>
          <c:max val="2.0000000000000004E-2"/>
          <c:min val="0"/>
        </c:scaling>
        <c:delete val="0"/>
        <c:axPos val="r"/>
        <c:title>
          <c:tx>
            <c:rich>
              <a:bodyPr rot="-5400000" vert="horz"/>
              <a:lstStyle/>
              <a:p>
                <a:pPr>
                  <a:defRPr b="0"/>
                </a:pPr>
                <a:r>
                  <a:rPr lang="en-US" b="0"/>
                  <a:t>Znalostní intenzita </a:t>
                </a:r>
              </a:p>
            </c:rich>
          </c:tx>
          <c:layout/>
          <c:overlay val="0"/>
        </c:title>
        <c:numFmt formatCode="0%" sourceLinked="0"/>
        <c:majorTickMark val="out"/>
        <c:minorTickMark val="none"/>
        <c:tickLblPos val="nextTo"/>
        <c:crossAx val="177504640"/>
        <c:crosses val="max"/>
        <c:crossBetween val="between"/>
        <c:majorUnit val="1.0000000000000002E-2"/>
      </c:valAx>
      <c:catAx>
        <c:axId val="177504640"/>
        <c:scaling>
          <c:orientation val="minMax"/>
        </c:scaling>
        <c:delete val="1"/>
        <c:axPos val="b"/>
        <c:numFmt formatCode="General" sourceLinked="1"/>
        <c:majorTickMark val="out"/>
        <c:minorTickMark val="none"/>
        <c:tickLblPos val="nextTo"/>
        <c:crossAx val="128232064"/>
        <c:crosses val="autoZero"/>
        <c:auto val="1"/>
        <c:lblAlgn val="ctr"/>
        <c:lblOffset val="100"/>
        <c:noMultiLvlLbl val="0"/>
      </c:catAx>
    </c:plotArea>
    <c:legend>
      <c:legendPos val="b"/>
      <c:layout/>
      <c:overlay val="0"/>
    </c:legend>
    <c:plotVisOnly val="1"/>
    <c:dispBlanksAs val="gap"/>
    <c:showDLblsOverMax val="0"/>
  </c:chart>
  <c:spPr>
    <a:ln>
      <a:noFill/>
    </a:ln>
  </c:sp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serazeno_graf!$C$3</c:f>
              <c:strCache>
                <c:ptCount val="1"/>
                <c:pt idx="0">
                  <c:v>2010</c:v>
                </c:pt>
              </c:strCache>
            </c:strRef>
          </c:tx>
          <c:spPr>
            <a:solidFill>
              <a:schemeClr val="accent3">
                <a:lumMod val="60000"/>
                <a:lumOff val="40000"/>
              </a:schemeClr>
            </a:solidFill>
          </c:spPr>
          <c:invertIfNegative val="0"/>
          <c:cat>
            <c:strRef>
              <c:f>serazeno_graf!$A$4:$A$38</c:f>
              <c:strCache>
                <c:ptCount val="35"/>
                <c:pt idx="0">
                  <c:v>KOR</c:v>
                </c:pt>
                <c:pt idx="1">
                  <c:v>CHE</c:v>
                </c:pt>
                <c:pt idx="2">
                  <c:v>JPN</c:v>
                </c:pt>
                <c:pt idx="3">
                  <c:v>SWE</c:v>
                </c:pt>
                <c:pt idx="4">
                  <c:v>AUT</c:v>
                </c:pt>
                <c:pt idx="5">
                  <c:v>DEU</c:v>
                </c:pt>
                <c:pt idx="6">
                  <c:v>DNK</c:v>
                </c:pt>
                <c:pt idx="7">
                  <c:v>USA</c:v>
                </c:pt>
                <c:pt idx="8">
                  <c:v>FIN</c:v>
                </c:pt>
                <c:pt idx="9">
                  <c:v>BEL</c:v>
                </c:pt>
                <c:pt idx="10">
                  <c:v>FRA</c:v>
                </c:pt>
                <c:pt idx="11">
                  <c:v>EU28</c:v>
                </c:pt>
                <c:pt idx="12">
                  <c:v>NLD</c:v>
                </c:pt>
                <c:pt idx="13">
                  <c:v>NOR</c:v>
                </c:pt>
                <c:pt idx="14">
                  <c:v>SVN</c:v>
                </c:pt>
                <c:pt idx="15">
                  <c:v>GBR</c:v>
                </c:pt>
                <c:pt idx="16">
                  <c:v>CZE</c:v>
                </c:pt>
                <c:pt idx="17">
                  <c:v>ITA</c:v>
                </c:pt>
                <c:pt idx="18">
                  <c:v>EST</c:v>
                </c:pt>
                <c:pt idx="19">
                  <c:v>PRT</c:v>
                </c:pt>
                <c:pt idx="20">
                  <c:v>LUX</c:v>
                </c:pt>
                <c:pt idx="21">
                  <c:v>HUN</c:v>
                </c:pt>
                <c:pt idx="22">
                  <c:v>ESP</c:v>
                </c:pt>
                <c:pt idx="23">
                  <c:v>IRL</c:v>
                </c:pt>
                <c:pt idx="24">
                  <c:v>RUS</c:v>
                </c:pt>
                <c:pt idx="25">
                  <c:v>GRC</c:v>
                </c:pt>
                <c:pt idx="26">
                  <c:v>POL</c:v>
                </c:pt>
                <c:pt idx="27">
                  <c:v>LTU</c:v>
                </c:pt>
                <c:pt idx="28">
                  <c:v>HRV</c:v>
                </c:pt>
                <c:pt idx="29">
                  <c:v>SVK</c:v>
                </c:pt>
                <c:pt idx="30">
                  <c:v>BGR</c:v>
                </c:pt>
                <c:pt idx="31">
                  <c:v>MLT</c:v>
                </c:pt>
                <c:pt idx="32">
                  <c:v>CYP</c:v>
                </c:pt>
                <c:pt idx="33">
                  <c:v>ROM</c:v>
                </c:pt>
                <c:pt idx="34">
                  <c:v>LVA</c:v>
                </c:pt>
              </c:strCache>
            </c:strRef>
          </c:cat>
          <c:val>
            <c:numRef>
              <c:f>serazeno_graf!$C$4:$C$38</c:f>
              <c:numCache>
                <c:formatCode>0.0%</c:formatCode>
                <c:ptCount val="35"/>
                <c:pt idx="0">
                  <c:v>3.4700000000000002E-2</c:v>
                </c:pt>
                <c:pt idx="1">
                  <c:v>2.7099999999999999E-2</c:v>
                </c:pt>
                <c:pt idx="2">
                  <c:v>3.1400000000000004E-2</c:v>
                </c:pt>
                <c:pt idx="3">
                  <c:v>3.2199999999999999E-2</c:v>
                </c:pt>
                <c:pt idx="4">
                  <c:v>2.7300000000000001E-2</c:v>
                </c:pt>
                <c:pt idx="5">
                  <c:v>2.7099999999999999E-2</c:v>
                </c:pt>
                <c:pt idx="6">
                  <c:v>2.92E-2</c:v>
                </c:pt>
                <c:pt idx="7">
                  <c:v>2.7400000000000001E-2</c:v>
                </c:pt>
                <c:pt idx="8">
                  <c:v>3.73E-2</c:v>
                </c:pt>
                <c:pt idx="9">
                  <c:v>2.0499999999999997E-2</c:v>
                </c:pt>
                <c:pt idx="10">
                  <c:v>2.18E-2</c:v>
                </c:pt>
                <c:pt idx="11">
                  <c:v>1.9299999999999998E-2</c:v>
                </c:pt>
                <c:pt idx="12">
                  <c:v>1.72E-2</c:v>
                </c:pt>
                <c:pt idx="13">
                  <c:v>1.6500000000000001E-2</c:v>
                </c:pt>
                <c:pt idx="14">
                  <c:v>2.06E-2</c:v>
                </c:pt>
                <c:pt idx="15">
                  <c:v>1.67E-2</c:v>
                </c:pt>
                <c:pt idx="16">
                  <c:v>1.34E-2</c:v>
                </c:pt>
                <c:pt idx="17">
                  <c:v>1.2199999999999999E-2</c:v>
                </c:pt>
                <c:pt idx="18">
                  <c:v>1.5800000000000002E-2</c:v>
                </c:pt>
                <c:pt idx="19">
                  <c:v>1.5300000000000001E-2</c:v>
                </c:pt>
                <c:pt idx="20">
                  <c:v>1.4999999999999999E-2</c:v>
                </c:pt>
                <c:pt idx="21">
                  <c:v>1.1399999999999999E-2</c:v>
                </c:pt>
                <c:pt idx="22">
                  <c:v>1.3500000000000002E-2</c:v>
                </c:pt>
                <c:pt idx="23">
                  <c:v>1.5900000000000001E-2</c:v>
                </c:pt>
                <c:pt idx="24">
                  <c:v>1.06E-2</c:v>
                </c:pt>
                <c:pt idx="25">
                  <c:v>6.0000000000000001E-3</c:v>
                </c:pt>
                <c:pt idx="26">
                  <c:v>7.1999999999999998E-3</c:v>
                </c:pt>
                <c:pt idx="27">
                  <c:v>7.8000000000000005E-3</c:v>
                </c:pt>
                <c:pt idx="28">
                  <c:v>7.4000000000000003E-3</c:v>
                </c:pt>
                <c:pt idx="29">
                  <c:v>6.1999999999999998E-3</c:v>
                </c:pt>
                <c:pt idx="30">
                  <c:v>5.6000000000000008E-3</c:v>
                </c:pt>
                <c:pt idx="31">
                  <c:v>6.0999999999999995E-3</c:v>
                </c:pt>
                <c:pt idx="32">
                  <c:v>4.5000000000000005E-3</c:v>
                </c:pt>
                <c:pt idx="33">
                  <c:v>4.5999999999999999E-3</c:v>
                </c:pt>
                <c:pt idx="34">
                  <c:v>6.0999999999999995E-3</c:v>
                </c:pt>
              </c:numCache>
            </c:numRef>
          </c:val>
        </c:ser>
        <c:ser>
          <c:idx val="1"/>
          <c:order val="1"/>
          <c:tx>
            <c:strRef>
              <c:f>serazeno_graf!$D$3</c:f>
              <c:strCache>
                <c:ptCount val="1"/>
                <c:pt idx="0">
                  <c:v>2016</c:v>
                </c:pt>
              </c:strCache>
            </c:strRef>
          </c:tx>
          <c:spPr>
            <a:solidFill>
              <a:schemeClr val="accent4"/>
            </a:solidFill>
          </c:spPr>
          <c:invertIfNegative val="0"/>
          <c:cat>
            <c:strRef>
              <c:f>serazeno_graf!$A$4:$A$38</c:f>
              <c:strCache>
                <c:ptCount val="35"/>
                <c:pt idx="0">
                  <c:v>KOR</c:v>
                </c:pt>
                <c:pt idx="1">
                  <c:v>CHE</c:v>
                </c:pt>
                <c:pt idx="2">
                  <c:v>JPN</c:v>
                </c:pt>
                <c:pt idx="3">
                  <c:v>SWE</c:v>
                </c:pt>
                <c:pt idx="4">
                  <c:v>AUT</c:v>
                </c:pt>
                <c:pt idx="5">
                  <c:v>DEU</c:v>
                </c:pt>
                <c:pt idx="6">
                  <c:v>DNK</c:v>
                </c:pt>
                <c:pt idx="7">
                  <c:v>USA</c:v>
                </c:pt>
                <c:pt idx="8">
                  <c:v>FIN</c:v>
                </c:pt>
                <c:pt idx="9">
                  <c:v>BEL</c:v>
                </c:pt>
                <c:pt idx="10">
                  <c:v>FRA</c:v>
                </c:pt>
                <c:pt idx="11">
                  <c:v>EU28</c:v>
                </c:pt>
                <c:pt idx="12">
                  <c:v>NLD</c:v>
                </c:pt>
                <c:pt idx="13">
                  <c:v>NOR</c:v>
                </c:pt>
                <c:pt idx="14">
                  <c:v>SVN</c:v>
                </c:pt>
                <c:pt idx="15">
                  <c:v>GBR</c:v>
                </c:pt>
                <c:pt idx="16">
                  <c:v>CZE</c:v>
                </c:pt>
                <c:pt idx="17">
                  <c:v>ITA</c:v>
                </c:pt>
                <c:pt idx="18">
                  <c:v>EST</c:v>
                </c:pt>
                <c:pt idx="19">
                  <c:v>PRT</c:v>
                </c:pt>
                <c:pt idx="20">
                  <c:v>LUX</c:v>
                </c:pt>
                <c:pt idx="21">
                  <c:v>HUN</c:v>
                </c:pt>
                <c:pt idx="22">
                  <c:v>ESP</c:v>
                </c:pt>
                <c:pt idx="23">
                  <c:v>IRL</c:v>
                </c:pt>
                <c:pt idx="24">
                  <c:v>RUS</c:v>
                </c:pt>
                <c:pt idx="25">
                  <c:v>GRC</c:v>
                </c:pt>
                <c:pt idx="26">
                  <c:v>POL</c:v>
                </c:pt>
                <c:pt idx="27">
                  <c:v>LTU</c:v>
                </c:pt>
                <c:pt idx="28">
                  <c:v>HRV</c:v>
                </c:pt>
                <c:pt idx="29">
                  <c:v>SVK</c:v>
                </c:pt>
                <c:pt idx="30">
                  <c:v>BGR</c:v>
                </c:pt>
                <c:pt idx="31">
                  <c:v>MLT</c:v>
                </c:pt>
                <c:pt idx="32">
                  <c:v>CYP</c:v>
                </c:pt>
                <c:pt idx="33">
                  <c:v>ROM</c:v>
                </c:pt>
                <c:pt idx="34">
                  <c:v>LVA</c:v>
                </c:pt>
              </c:strCache>
            </c:strRef>
          </c:cat>
          <c:val>
            <c:numRef>
              <c:f>serazeno_graf!$D$4:$D$38</c:f>
              <c:numCache>
                <c:formatCode>0.0%</c:formatCode>
                <c:ptCount val="35"/>
                <c:pt idx="0">
                  <c:v>4.2300000000000004E-2</c:v>
                </c:pt>
                <c:pt idx="1">
                  <c:v>3.3700000000000001E-2</c:v>
                </c:pt>
                <c:pt idx="2">
                  <c:v>3.2899999999999999E-2</c:v>
                </c:pt>
                <c:pt idx="3">
                  <c:v>3.2500000000000001E-2</c:v>
                </c:pt>
                <c:pt idx="4">
                  <c:v>3.0899999999999997E-2</c:v>
                </c:pt>
                <c:pt idx="5">
                  <c:v>2.9399999999999999E-2</c:v>
                </c:pt>
                <c:pt idx="6">
                  <c:v>2.87E-2</c:v>
                </c:pt>
                <c:pt idx="7">
                  <c:v>2.7900000000000001E-2</c:v>
                </c:pt>
                <c:pt idx="8">
                  <c:v>2.75E-2</c:v>
                </c:pt>
                <c:pt idx="9">
                  <c:v>2.4900000000000002E-2</c:v>
                </c:pt>
                <c:pt idx="10">
                  <c:v>2.2499999999999999E-2</c:v>
                </c:pt>
                <c:pt idx="11">
                  <c:v>2.0299999999999999E-2</c:v>
                </c:pt>
                <c:pt idx="12">
                  <c:v>2.0299999999999999E-2</c:v>
                </c:pt>
                <c:pt idx="13">
                  <c:v>2.0299999999999999E-2</c:v>
                </c:pt>
                <c:pt idx="14">
                  <c:v>0.02</c:v>
                </c:pt>
                <c:pt idx="15">
                  <c:v>1.6899999999999998E-2</c:v>
                </c:pt>
                <c:pt idx="16">
                  <c:v>1.6799999999999999E-2</c:v>
                </c:pt>
                <c:pt idx="17">
                  <c:v>1.29E-2</c:v>
                </c:pt>
                <c:pt idx="18">
                  <c:v>1.2800000000000001E-2</c:v>
                </c:pt>
                <c:pt idx="19">
                  <c:v>1.2699999999999999E-2</c:v>
                </c:pt>
                <c:pt idx="20">
                  <c:v>1.24E-2</c:v>
                </c:pt>
                <c:pt idx="21">
                  <c:v>1.21E-2</c:v>
                </c:pt>
                <c:pt idx="22">
                  <c:v>1.1899999999999999E-2</c:v>
                </c:pt>
                <c:pt idx="23">
                  <c:v>1.18E-2</c:v>
                </c:pt>
                <c:pt idx="24">
                  <c:v>1.1000000000000001E-2</c:v>
                </c:pt>
                <c:pt idx="25">
                  <c:v>1.01E-2</c:v>
                </c:pt>
                <c:pt idx="26">
                  <c:v>9.7000000000000003E-3</c:v>
                </c:pt>
                <c:pt idx="27">
                  <c:v>8.5000000000000006E-3</c:v>
                </c:pt>
                <c:pt idx="28">
                  <c:v>8.5000000000000006E-3</c:v>
                </c:pt>
                <c:pt idx="29">
                  <c:v>7.9000000000000008E-3</c:v>
                </c:pt>
                <c:pt idx="30">
                  <c:v>7.8000000000000005E-3</c:v>
                </c:pt>
                <c:pt idx="31">
                  <c:v>6.0999999999999995E-3</c:v>
                </c:pt>
                <c:pt idx="32">
                  <c:v>5.0000000000000001E-3</c:v>
                </c:pt>
                <c:pt idx="33">
                  <c:v>4.7999999999999996E-3</c:v>
                </c:pt>
                <c:pt idx="34">
                  <c:v>4.4000000000000003E-3</c:v>
                </c:pt>
              </c:numCache>
            </c:numRef>
          </c:val>
        </c:ser>
        <c:dLbls>
          <c:showLegendKey val="0"/>
          <c:showVal val="0"/>
          <c:showCatName val="0"/>
          <c:showSerName val="0"/>
          <c:showPercent val="0"/>
          <c:showBubbleSize val="0"/>
        </c:dLbls>
        <c:gapWidth val="150"/>
        <c:axId val="94025600"/>
        <c:axId val="94027136"/>
      </c:barChart>
      <c:catAx>
        <c:axId val="94025600"/>
        <c:scaling>
          <c:orientation val="minMax"/>
        </c:scaling>
        <c:delete val="0"/>
        <c:axPos val="b"/>
        <c:numFmt formatCode="0.00" sourceLinked="1"/>
        <c:majorTickMark val="out"/>
        <c:minorTickMark val="none"/>
        <c:tickLblPos val="nextTo"/>
        <c:txPr>
          <a:bodyPr rot="-2700000" vert="horz"/>
          <a:lstStyle/>
          <a:p>
            <a:pPr>
              <a:defRPr/>
            </a:pPr>
            <a:endParaRPr lang="cs-CZ"/>
          </a:p>
        </c:txPr>
        <c:crossAx val="94027136"/>
        <c:crosses val="autoZero"/>
        <c:auto val="1"/>
        <c:lblAlgn val="ctr"/>
        <c:lblOffset val="100"/>
        <c:noMultiLvlLbl val="0"/>
      </c:catAx>
      <c:valAx>
        <c:axId val="94027136"/>
        <c:scaling>
          <c:orientation val="minMax"/>
        </c:scaling>
        <c:delete val="0"/>
        <c:axPos val="l"/>
        <c:majorGridlines/>
        <c:title>
          <c:tx>
            <c:rich>
              <a:bodyPr rot="-5400000" vert="horz"/>
              <a:lstStyle/>
              <a:p>
                <a:pPr>
                  <a:defRPr sz="800"/>
                </a:pPr>
                <a:r>
                  <a:rPr lang="cs-CZ" sz="800"/>
                  <a:t>GERD na HDP</a:t>
                </a:r>
              </a:p>
            </c:rich>
          </c:tx>
          <c:layout/>
          <c:overlay val="0"/>
        </c:title>
        <c:numFmt formatCode="0.0%" sourceLinked="1"/>
        <c:majorTickMark val="out"/>
        <c:minorTickMark val="none"/>
        <c:tickLblPos val="nextTo"/>
        <c:txPr>
          <a:bodyPr rot="0" vert="horz"/>
          <a:lstStyle/>
          <a:p>
            <a:pPr>
              <a:defRPr/>
            </a:pPr>
            <a:endParaRPr lang="cs-CZ"/>
          </a:p>
        </c:txPr>
        <c:crossAx val="94025600"/>
        <c:crosses val="autoZero"/>
        <c:crossBetween val="between"/>
      </c:valAx>
      <c:spPr>
        <a:ln>
          <a:noFill/>
        </a:ln>
      </c:spPr>
    </c:plotArea>
    <c:legend>
      <c:legendPos val="r"/>
      <c:layout>
        <c:manualLayout>
          <c:xMode val="edge"/>
          <c:yMode val="edge"/>
          <c:x val="0.73456314710390347"/>
          <c:y val="4.3821219878379399E-2"/>
          <c:w val="0.12732939632545931"/>
          <c:h val="9.392350647527084E-2"/>
        </c:manualLayout>
      </c:layout>
      <c:overlay val="1"/>
      <c:txPr>
        <a:bodyPr/>
        <a:lstStyle/>
        <a:p>
          <a:pPr>
            <a:defRPr sz="800"/>
          </a:pPr>
          <a:endParaRPr lang="cs-CZ"/>
        </a:p>
      </c:txPr>
    </c:legend>
    <c:plotVisOnly val="1"/>
    <c:dispBlanksAs val="gap"/>
    <c:showDLblsOverMax val="0"/>
  </c:chart>
  <c:spPr>
    <a:ln>
      <a:noFill/>
    </a:ln>
  </c:spPr>
  <c:txPr>
    <a:bodyPr/>
    <a:lstStyle/>
    <a:p>
      <a:pPr>
        <a:defRPr sz="700" b="0" i="0" u="none" strike="noStrike" baseline="0">
          <a:solidFill>
            <a:srgbClr val="000000"/>
          </a:solidFill>
          <a:latin typeface="Arial" panose="020B0604020202020204" pitchFamily="34" charset="0"/>
          <a:ea typeface="Calibri"/>
          <a:cs typeface="Arial" panose="020B0604020202020204" pitchFamily="34" charset="0"/>
        </a:defRPr>
      </a:pPr>
      <a:endParaRPr lang="cs-CZ"/>
    </a:p>
  </c:tx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lineMarker"/>
        <c:varyColors val="0"/>
        <c:ser>
          <c:idx val="0"/>
          <c:order val="0"/>
          <c:tx>
            <c:strRef>
              <c:f>graf!$B$4</c:f>
              <c:strCache>
                <c:ptCount val="1"/>
                <c:pt idx="0">
                  <c:v>ROM</c:v>
                </c:pt>
              </c:strCache>
            </c:strRef>
          </c:tx>
          <c:spPr>
            <a:ln w="28575">
              <a:noFill/>
            </a:ln>
          </c:spPr>
          <c:marker>
            <c:symbol val="circle"/>
            <c:size val="7"/>
            <c:spPr>
              <a:solidFill>
                <a:schemeClr val="accent1"/>
              </a:solidFill>
              <a:ln>
                <a:solidFill>
                  <a:schemeClr val="accent1"/>
                </a:solidFill>
              </a:ln>
            </c:spPr>
          </c:marker>
          <c:dLbls>
            <c:dLbl>
              <c:idx val="0"/>
              <c:layout>
                <c:manualLayout>
                  <c:x val="-1.3094467079493431E-2"/>
                  <c:y val="1.4154281670205236E-2"/>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graf!$C$4</c:f>
              <c:numCache>
                <c:formatCode>General</c:formatCode>
                <c:ptCount val="1"/>
                <c:pt idx="0">
                  <c:v>0.48</c:v>
                </c:pt>
              </c:numCache>
            </c:numRef>
          </c:xVal>
          <c:yVal>
            <c:numRef>
              <c:f>graf!$D$4</c:f>
              <c:numCache>
                <c:formatCode>#\ #,#00</c:formatCode>
                <c:ptCount val="1"/>
                <c:pt idx="0">
                  <c:v>59</c:v>
                </c:pt>
              </c:numCache>
            </c:numRef>
          </c:yVal>
          <c:smooth val="0"/>
        </c:ser>
        <c:ser>
          <c:idx val="1"/>
          <c:order val="1"/>
          <c:tx>
            <c:strRef>
              <c:f>graf!$B$5</c:f>
              <c:strCache>
                <c:ptCount val="1"/>
                <c:pt idx="0">
                  <c:v>CYP</c:v>
                </c:pt>
              </c:strCache>
            </c:strRef>
          </c:tx>
          <c:spPr>
            <a:ln>
              <a:noFill/>
            </a:ln>
          </c:spPr>
          <c:marker>
            <c:symbol val="circle"/>
            <c:size val="7"/>
            <c:spPr>
              <a:solidFill>
                <a:schemeClr val="accent1"/>
              </a:solidFill>
              <a:ln>
                <a:solidFill>
                  <a:schemeClr val="accent1"/>
                </a:solidFill>
              </a:ln>
            </c:spPr>
          </c:marker>
          <c:dLbls>
            <c:dLbl>
              <c:idx val="0"/>
              <c:layout>
                <c:manualLayout>
                  <c:x val="-4.8636592009547029E-2"/>
                  <c:y val="-1.6985138004246284E-2"/>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graf!$C$5</c:f>
              <c:numCache>
                <c:formatCode>General</c:formatCode>
                <c:ptCount val="1"/>
                <c:pt idx="0">
                  <c:v>0.5</c:v>
                </c:pt>
              </c:numCache>
            </c:numRef>
          </c:xVal>
          <c:yVal>
            <c:numRef>
              <c:f>graf!$D$5</c:f>
              <c:numCache>
                <c:formatCode>#\ #,#00</c:formatCode>
                <c:ptCount val="1"/>
                <c:pt idx="0">
                  <c:v>111.2</c:v>
                </c:pt>
              </c:numCache>
            </c:numRef>
          </c:yVal>
          <c:smooth val="0"/>
        </c:ser>
        <c:ser>
          <c:idx val="2"/>
          <c:order val="2"/>
          <c:tx>
            <c:strRef>
              <c:f>graf!$B$6</c:f>
              <c:strCache>
                <c:ptCount val="1"/>
                <c:pt idx="0">
                  <c:v>LVA</c:v>
                </c:pt>
              </c:strCache>
            </c:strRef>
          </c:tx>
          <c:spPr>
            <a:ln w="28575">
              <a:noFill/>
            </a:ln>
          </c:spPr>
          <c:marker>
            <c:symbol val="circle"/>
            <c:size val="7"/>
            <c:spPr>
              <a:solidFill>
                <a:schemeClr val="accent1"/>
              </a:solidFill>
              <a:ln>
                <a:solidFill>
                  <a:schemeClr val="accent1"/>
                </a:solidFill>
              </a:ln>
            </c:spPr>
          </c:marker>
          <c:dLbls>
            <c:dLbl>
              <c:idx val="0"/>
              <c:layout>
                <c:manualLayout>
                  <c:x val="-5.832322527690869E-2"/>
                  <c:y val="-2.6154745072315255E-7"/>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graf!$C$6</c:f>
              <c:numCache>
                <c:formatCode>General</c:formatCode>
                <c:ptCount val="1"/>
                <c:pt idx="0">
                  <c:v>0.44</c:v>
                </c:pt>
              </c:numCache>
            </c:numRef>
          </c:xVal>
          <c:yVal>
            <c:numRef>
              <c:f>graf!$D$6</c:f>
              <c:numCache>
                <c:formatCode>#\ #,#00</c:formatCode>
                <c:ptCount val="1"/>
                <c:pt idx="0">
                  <c:v>70.2</c:v>
                </c:pt>
              </c:numCache>
            </c:numRef>
          </c:yVal>
          <c:smooth val="0"/>
        </c:ser>
        <c:ser>
          <c:idx val="3"/>
          <c:order val="3"/>
          <c:tx>
            <c:strRef>
              <c:f>graf!$B$7</c:f>
              <c:strCache>
                <c:ptCount val="1"/>
                <c:pt idx="0">
                  <c:v>BGR</c:v>
                </c:pt>
              </c:strCache>
            </c:strRef>
          </c:tx>
          <c:spPr>
            <a:ln w="28575">
              <a:noFill/>
            </a:ln>
          </c:spPr>
          <c:marker>
            <c:symbol val="circle"/>
            <c:size val="7"/>
            <c:spPr>
              <a:solidFill>
                <a:schemeClr val="accent1"/>
              </a:solidFill>
              <a:ln>
                <a:solidFill>
                  <a:schemeClr val="accent1"/>
                </a:solidFill>
              </a:ln>
            </c:spPr>
          </c:marker>
          <c:dLbls>
            <c:dLbl>
              <c:idx val="0"/>
              <c:layout>
                <c:manualLayout>
                  <c:x val="-2.248419651768881E-2"/>
                  <c:y val="2.2646850672328484E-2"/>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graf!$C$7</c:f>
              <c:numCache>
                <c:formatCode>General</c:formatCode>
                <c:ptCount val="1"/>
                <c:pt idx="0">
                  <c:v>0.78</c:v>
                </c:pt>
              </c:numCache>
            </c:numRef>
          </c:xVal>
          <c:yVal>
            <c:numRef>
              <c:f>graf!$D$7</c:f>
              <c:numCache>
                <c:formatCode>#\ #,#00</c:formatCode>
                <c:ptCount val="1"/>
                <c:pt idx="0">
                  <c:v>96.6</c:v>
                </c:pt>
              </c:numCache>
            </c:numRef>
          </c:yVal>
          <c:smooth val="0"/>
        </c:ser>
        <c:ser>
          <c:idx val="4"/>
          <c:order val="4"/>
          <c:tx>
            <c:strRef>
              <c:f>graf!$B$8</c:f>
              <c:strCache>
                <c:ptCount val="1"/>
                <c:pt idx="0">
                  <c:v>GRC</c:v>
                </c:pt>
              </c:strCache>
            </c:strRef>
          </c:tx>
          <c:spPr>
            <a:ln w="28575">
              <a:noFill/>
            </a:ln>
          </c:spPr>
          <c:marker>
            <c:symbol val="circle"/>
            <c:size val="7"/>
            <c:spPr>
              <a:solidFill>
                <a:schemeClr val="accent1"/>
              </a:solidFill>
              <a:ln>
                <a:solidFill>
                  <a:schemeClr val="accent1"/>
                </a:solidFill>
              </a:ln>
            </c:spPr>
          </c:marker>
          <c:dLbls>
            <c:dLbl>
              <c:idx val="0"/>
              <c:layout>
                <c:manualLayout>
                  <c:x val="-1.50581408464391E-2"/>
                  <c:y val="1.3663500373228213E-2"/>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graf!$C$8</c:f>
              <c:numCache>
                <c:formatCode>General</c:formatCode>
                <c:ptCount val="1"/>
                <c:pt idx="0">
                  <c:v>1.01</c:v>
                </c:pt>
              </c:numCache>
            </c:numRef>
          </c:xVal>
          <c:yVal>
            <c:numRef>
              <c:f>graf!$D$8</c:f>
              <c:numCache>
                <c:formatCode>#\ #,#00</c:formatCode>
                <c:ptCount val="1"/>
                <c:pt idx="0">
                  <c:v>179.2</c:v>
                </c:pt>
              </c:numCache>
            </c:numRef>
          </c:yVal>
          <c:smooth val="0"/>
        </c:ser>
        <c:ser>
          <c:idx val="5"/>
          <c:order val="5"/>
          <c:tx>
            <c:strRef>
              <c:f>graf!$B$9</c:f>
              <c:strCache>
                <c:ptCount val="1"/>
                <c:pt idx="0">
                  <c:v>HRV</c:v>
                </c:pt>
              </c:strCache>
            </c:strRef>
          </c:tx>
          <c:spPr>
            <a:ln w="28575">
              <a:noFill/>
            </a:ln>
          </c:spPr>
          <c:marker>
            <c:symbol val="circle"/>
            <c:size val="7"/>
            <c:spPr>
              <a:solidFill>
                <a:schemeClr val="accent1"/>
              </a:solidFill>
              <a:ln>
                <a:solidFill>
                  <a:schemeClr val="accent1"/>
                </a:solidFill>
              </a:ln>
            </c:spPr>
          </c:marker>
          <c:dLbls>
            <c:dLbl>
              <c:idx val="0"/>
              <c:layout>
                <c:manualLayout>
                  <c:x val="-1.1267605633802818E-2"/>
                  <c:y val="5.661712668082095E-3"/>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graf!$C$9</c:f>
              <c:numCache>
                <c:formatCode>General</c:formatCode>
                <c:ptCount val="1"/>
                <c:pt idx="0">
                  <c:v>0.85</c:v>
                </c:pt>
              </c:numCache>
            </c:numRef>
          </c:xVal>
          <c:yVal>
            <c:numRef>
              <c:f>graf!$D$9</c:f>
              <c:numCache>
                <c:formatCode>#\ #,#00</c:formatCode>
                <c:ptCount val="1"/>
                <c:pt idx="0">
                  <c:v>118.7</c:v>
                </c:pt>
              </c:numCache>
            </c:numRef>
          </c:yVal>
          <c:smooth val="0"/>
        </c:ser>
        <c:ser>
          <c:idx val="6"/>
          <c:order val="6"/>
          <c:tx>
            <c:strRef>
              <c:f>graf!$B$10</c:f>
              <c:strCache>
                <c:ptCount val="1"/>
                <c:pt idx="0">
                  <c:v>SVK</c:v>
                </c:pt>
              </c:strCache>
            </c:strRef>
          </c:tx>
          <c:spPr>
            <a:ln w="28575">
              <a:noFill/>
            </a:ln>
          </c:spPr>
          <c:marker>
            <c:symbol val="circle"/>
            <c:size val="7"/>
            <c:spPr>
              <a:solidFill>
                <a:schemeClr val="accent1"/>
              </a:solidFill>
              <a:ln>
                <a:solidFill>
                  <a:schemeClr val="accent1"/>
                </a:solidFill>
              </a:ln>
            </c:spPr>
          </c:marker>
          <c:dLbls>
            <c:dLbl>
              <c:idx val="0"/>
              <c:layout>
                <c:manualLayout>
                  <c:x val="-4.8586347095907666E-2"/>
                  <c:y val="-1.9816142604039653E-2"/>
                </c:manualLayout>
              </c:layout>
              <c:spPr/>
              <c:txPr>
                <a:bodyPr/>
                <a:lstStyle/>
                <a:p>
                  <a:pPr>
                    <a:defRPr/>
                  </a:pPr>
                  <a:endParaRPr lang="cs-CZ"/>
                </a:p>
              </c:txPr>
              <c:dLblPos val="r"/>
              <c:showLegendKey val="0"/>
              <c:showVal val="0"/>
              <c:showCatName val="0"/>
              <c:showSerName val="1"/>
              <c:showPercent val="0"/>
              <c:showBubbleSize val="0"/>
            </c:dLbl>
            <c:showLegendKey val="0"/>
            <c:showVal val="1"/>
            <c:showCatName val="0"/>
            <c:showSerName val="0"/>
            <c:showPercent val="0"/>
            <c:showBubbleSize val="0"/>
            <c:showLeaderLines val="0"/>
          </c:dLbls>
          <c:xVal>
            <c:numRef>
              <c:f>graf!$C$10</c:f>
              <c:numCache>
                <c:formatCode>General</c:formatCode>
                <c:ptCount val="1"/>
                <c:pt idx="0">
                  <c:v>0.79</c:v>
                </c:pt>
              </c:numCache>
            </c:numRef>
          </c:xVal>
          <c:yVal>
            <c:numRef>
              <c:f>graf!$D$10</c:f>
              <c:numCache>
                <c:formatCode>#\ #,#00</c:formatCode>
                <c:ptCount val="1"/>
                <c:pt idx="0">
                  <c:v>162.80000000000001</c:v>
                </c:pt>
              </c:numCache>
            </c:numRef>
          </c:yVal>
          <c:smooth val="0"/>
        </c:ser>
        <c:ser>
          <c:idx val="7"/>
          <c:order val="7"/>
          <c:tx>
            <c:strRef>
              <c:f>graf!$B$11</c:f>
              <c:strCache>
                <c:ptCount val="1"/>
                <c:pt idx="0">
                  <c:v>MLT</c:v>
                </c:pt>
              </c:strCache>
            </c:strRef>
          </c:tx>
          <c:spPr>
            <a:ln w="28575">
              <a:noFill/>
            </a:ln>
          </c:spPr>
          <c:marker>
            <c:symbol val="circle"/>
            <c:size val="7"/>
            <c:spPr>
              <a:solidFill>
                <a:schemeClr val="accent1"/>
              </a:solidFill>
              <a:ln>
                <a:solidFill>
                  <a:schemeClr val="accent1"/>
                </a:solidFill>
              </a:ln>
            </c:spPr>
          </c:marker>
          <c:dLbls>
            <c:dLbl>
              <c:idx val="0"/>
              <c:layout>
                <c:manualLayout>
                  <c:x val="-5.0507311638754548E-2"/>
                  <c:y val="-1.9819542720899055E-2"/>
                </c:manualLayout>
              </c:layout>
              <c:spPr/>
              <c:txPr>
                <a:bodyPr/>
                <a:lstStyle/>
                <a:p>
                  <a:pPr>
                    <a:defRPr/>
                  </a:pPr>
                  <a:endParaRPr lang="cs-CZ"/>
                </a:p>
              </c:txPr>
              <c:dLblPos val="r"/>
              <c:showLegendKey val="0"/>
              <c:showVal val="0"/>
              <c:showCatName val="0"/>
              <c:showSerName val="1"/>
              <c:showPercent val="0"/>
              <c:showBubbleSize val="0"/>
            </c:dLbl>
            <c:showLegendKey val="0"/>
            <c:showVal val="1"/>
            <c:showCatName val="0"/>
            <c:showSerName val="0"/>
            <c:showPercent val="0"/>
            <c:showBubbleSize val="0"/>
            <c:showLeaderLines val="0"/>
          </c:dLbls>
          <c:xVal>
            <c:numRef>
              <c:f>graf!$C$11</c:f>
              <c:numCache>
                <c:formatCode>General</c:formatCode>
                <c:ptCount val="1"/>
                <c:pt idx="0">
                  <c:v>0.61</c:v>
                </c:pt>
              </c:numCache>
            </c:numRef>
          </c:xVal>
          <c:yVal>
            <c:numRef>
              <c:f>graf!$D$11</c:f>
              <c:numCache>
                <c:formatCode>#\ #,#00</c:formatCode>
                <c:ptCount val="1"/>
                <c:pt idx="0">
                  <c:v>158.69999999999999</c:v>
                </c:pt>
              </c:numCache>
            </c:numRef>
          </c:yVal>
          <c:smooth val="0"/>
        </c:ser>
        <c:ser>
          <c:idx val="8"/>
          <c:order val="8"/>
          <c:tx>
            <c:strRef>
              <c:f>graf!$B$12</c:f>
              <c:strCache>
                <c:ptCount val="1"/>
                <c:pt idx="0">
                  <c:v>POL</c:v>
                </c:pt>
              </c:strCache>
            </c:strRef>
          </c:tx>
          <c:spPr>
            <a:ln w="28575">
              <a:noFill/>
            </a:ln>
          </c:spPr>
          <c:marker>
            <c:symbol val="circle"/>
            <c:size val="7"/>
            <c:spPr>
              <a:solidFill>
                <a:schemeClr val="accent1"/>
              </a:solidFill>
              <a:ln>
                <a:solidFill>
                  <a:schemeClr val="accent1"/>
                </a:solidFill>
              </a:ln>
            </c:spPr>
          </c:marker>
          <c:dLbls>
            <c:dLbl>
              <c:idx val="0"/>
              <c:layout>
                <c:manualLayout>
                  <c:x val="-2.786578583414458E-2"/>
                  <c:y val="1.6231373244428124E-2"/>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graf!$C$12</c:f>
              <c:numCache>
                <c:formatCode>General</c:formatCode>
                <c:ptCount val="1"/>
                <c:pt idx="0">
                  <c:v>0.97</c:v>
                </c:pt>
              </c:numCache>
            </c:numRef>
          </c:xVal>
          <c:yVal>
            <c:numRef>
              <c:f>graf!$D$12</c:f>
              <c:numCache>
                <c:formatCode>#\ #,#00</c:formatCode>
                <c:ptCount val="1"/>
                <c:pt idx="0">
                  <c:v>172.7</c:v>
                </c:pt>
              </c:numCache>
            </c:numRef>
          </c:yVal>
          <c:smooth val="0"/>
        </c:ser>
        <c:ser>
          <c:idx val="9"/>
          <c:order val="9"/>
          <c:tx>
            <c:strRef>
              <c:f>graf!$B$13</c:f>
              <c:strCache>
                <c:ptCount val="1"/>
                <c:pt idx="0">
                  <c:v>LTU</c:v>
                </c:pt>
              </c:strCache>
            </c:strRef>
          </c:tx>
          <c:spPr>
            <a:ln w="28575">
              <a:noFill/>
            </a:ln>
          </c:spPr>
          <c:marker>
            <c:symbol val="circle"/>
            <c:size val="7"/>
            <c:spPr>
              <a:solidFill>
                <a:schemeClr val="accent1"/>
              </a:solidFill>
              <a:ln>
                <a:solidFill>
                  <a:schemeClr val="accent1"/>
                </a:solidFill>
              </a:ln>
            </c:spPr>
          </c:marker>
          <c:dLbls>
            <c:dLbl>
              <c:idx val="0"/>
              <c:layout>
                <c:manualLayout>
                  <c:x val="-3.2979855033985629E-2"/>
                  <c:y val="-2.0911764875118938E-2"/>
                </c:manualLayout>
              </c:layout>
              <c:spPr/>
              <c:txPr>
                <a:bodyPr/>
                <a:lstStyle/>
                <a:p>
                  <a:pPr>
                    <a:defRPr/>
                  </a:pPr>
                  <a:endParaRPr lang="cs-CZ"/>
                </a:p>
              </c:txPr>
              <c:dLblPos val="r"/>
              <c:showLegendKey val="0"/>
              <c:showVal val="0"/>
              <c:showCatName val="0"/>
              <c:showSerName val="1"/>
              <c:showPercent val="0"/>
              <c:showBubbleSize val="0"/>
            </c:dLbl>
            <c:showLegendKey val="0"/>
            <c:showVal val="1"/>
            <c:showCatName val="0"/>
            <c:showSerName val="0"/>
            <c:showPercent val="0"/>
            <c:showBubbleSize val="0"/>
            <c:showLeaderLines val="0"/>
          </c:dLbls>
          <c:xVal>
            <c:numRef>
              <c:f>graf!$C$13</c:f>
              <c:numCache>
                <c:formatCode>General</c:formatCode>
                <c:ptCount val="1"/>
                <c:pt idx="0">
                  <c:v>0.85</c:v>
                </c:pt>
              </c:numCache>
            </c:numRef>
          </c:xVal>
          <c:yVal>
            <c:numRef>
              <c:f>graf!$D$13</c:f>
              <c:numCache>
                <c:formatCode>#\ #,#00</c:formatCode>
                <c:ptCount val="1"/>
                <c:pt idx="0">
                  <c:v>157.19999999999999</c:v>
                </c:pt>
              </c:numCache>
            </c:numRef>
          </c:yVal>
          <c:smooth val="0"/>
        </c:ser>
        <c:ser>
          <c:idx val="10"/>
          <c:order val="10"/>
          <c:tx>
            <c:strRef>
              <c:f>graf!$B$14</c:f>
              <c:strCache>
                <c:ptCount val="1"/>
                <c:pt idx="0">
                  <c:v>RUS</c:v>
                </c:pt>
              </c:strCache>
            </c:strRef>
          </c:tx>
          <c:spPr>
            <a:ln w="28575">
              <a:noFill/>
            </a:ln>
          </c:spPr>
          <c:dPt>
            <c:idx val="0"/>
            <c:marker>
              <c:symbol val="circle"/>
              <c:size val="7"/>
              <c:spPr>
                <a:solidFill>
                  <a:schemeClr val="accent1"/>
                </a:solidFill>
                <a:ln>
                  <a:solidFill>
                    <a:schemeClr val="accent1"/>
                  </a:solidFill>
                </a:ln>
              </c:spPr>
            </c:marker>
            <c:bubble3D val="0"/>
          </c:dPt>
          <c:dLbls>
            <c:dLbl>
              <c:idx val="0"/>
              <c:layout>
                <c:manualLayout>
                  <c:x val="-3.2242010297202889E-2"/>
                  <c:y val="-2.0316744424723768E-2"/>
                </c:manualLayout>
              </c:layout>
              <c:spPr/>
              <c:txPr>
                <a:bodyPr/>
                <a:lstStyle/>
                <a:p>
                  <a:pPr>
                    <a:defRPr/>
                  </a:pPr>
                  <a:endParaRPr lang="cs-CZ"/>
                </a:p>
              </c:txPr>
              <c:dLblPos val="r"/>
              <c:showLegendKey val="0"/>
              <c:showVal val="0"/>
              <c:showCatName val="0"/>
              <c:showSerName val="1"/>
              <c:showPercent val="0"/>
              <c:showBubbleSize val="0"/>
            </c:dLbl>
            <c:showLegendKey val="0"/>
            <c:showVal val="1"/>
            <c:showCatName val="0"/>
            <c:showSerName val="0"/>
            <c:showPercent val="0"/>
            <c:showBubbleSize val="0"/>
            <c:showLeaderLines val="0"/>
          </c:dLbls>
          <c:xVal>
            <c:numRef>
              <c:f>graf!$C$14</c:f>
              <c:numCache>
                <c:formatCode>General</c:formatCode>
                <c:ptCount val="1"/>
                <c:pt idx="0">
                  <c:v>1.1000000000000001</c:v>
                </c:pt>
              </c:numCache>
            </c:numRef>
          </c:xVal>
          <c:yVal>
            <c:numRef>
              <c:f>graf!$D$14</c:f>
              <c:numCache>
                <c:formatCode>#\ #,#00</c:formatCode>
                <c:ptCount val="1"/>
                <c:pt idx="0">
                  <c:v>205.1</c:v>
                </c:pt>
              </c:numCache>
            </c:numRef>
          </c:yVal>
          <c:smooth val="0"/>
        </c:ser>
        <c:ser>
          <c:idx val="11"/>
          <c:order val="11"/>
          <c:tx>
            <c:strRef>
              <c:f>graf!$B$15</c:f>
              <c:strCache>
                <c:ptCount val="1"/>
                <c:pt idx="0">
                  <c:v>LUX</c:v>
                </c:pt>
              </c:strCache>
            </c:strRef>
          </c:tx>
          <c:spPr>
            <a:ln w="28575">
              <a:noFill/>
            </a:ln>
          </c:spPr>
          <c:marker>
            <c:symbol val="circle"/>
            <c:size val="7"/>
            <c:spPr>
              <a:solidFill>
                <a:schemeClr val="accent1"/>
              </a:solidFill>
              <a:ln>
                <a:solidFill>
                  <a:schemeClr val="accent1"/>
                </a:solidFill>
              </a:ln>
            </c:spPr>
          </c:marker>
          <c:dLbls>
            <c:dLbl>
              <c:idx val="0"/>
              <c:layout>
                <c:manualLayout>
                  <c:x val="-1.1267605633802783E-2"/>
                  <c:y val="0"/>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graf!$C$15</c:f>
              <c:numCache>
                <c:formatCode>General</c:formatCode>
                <c:ptCount val="1"/>
                <c:pt idx="0">
                  <c:v>1.24</c:v>
                </c:pt>
              </c:numCache>
            </c:numRef>
          </c:xVal>
          <c:yVal>
            <c:numRef>
              <c:f>graf!$D$15</c:f>
              <c:numCache>
                <c:formatCode>#\ #,#00</c:formatCode>
                <c:ptCount val="1"/>
                <c:pt idx="0">
                  <c:v>780.1</c:v>
                </c:pt>
              </c:numCache>
            </c:numRef>
          </c:yVal>
          <c:smooth val="0"/>
        </c:ser>
        <c:ser>
          <c:idx val="12"/>
          <c:order val="12"/>
          <c:tx>
            <c:strRef>
              <c:f>graf!$B$16</c:f>
              <c:strCache>
                <c:ptCount val="1"/>
                <c:pt idx="0">
                  <c:v>ESP</c:v>
                </c:pt>
              </c:strCache>
            </c:strRef>
          </c:tx>
          <c:spPr>
            <a:ln w="28575">
              <a:noFill/>
            </a:ln>
          </c:spPr>
          <c:marker>
            <c:symbol val="circle"/>
            <c:size val="7"/>
            <c:spPr>
              <a:solidFill>
                <a:schemeClr val="accent1"/>
              </a:solidFill>
              <a:ln>
                <a:solidFill>
                  <a:schemeClr val="accent1"/>
                </a:solidFill>
              </a:ln>
            </c:spPr>
          </c:marker>
          <c:dLbls>
            <c:dLbl>
              <c:idx val="0"/>
              <c:layout>
                <c:manualLayout>
                  <c:x val="-4.8174563097698485E-2"/>
                  <c:y val="-2.1298332007287757E-2"/>
                </c:manualLayout>
              </c:layout>
              <c:spPr/>
              <c:txPr>
                <a:bodyPr/>
                <a:lstStyle/>
                <a:p>
                  <a:pPr>
                    <a:defRPr/>
                  </a:pPr>
                  <a:endParaRPr lang="cs-CZ"/>
                </a:p>
              </c:txPr>
              <c:dLblPos val="r"/>
              <c:showLegendKey val="0"/>
              <c:showVal val="0"/>
              <c:showCatName val="0"/>
              <c:showSerName val="1"/>
              <c:showPercent val="0"/>
              <c:showBubbleSize val="0"/>
            </c:dLbl>
            <c:showLegendKey val="0"/>
            <c:showVal val="1"/>
            <c:showCatName val="0"/>
            <c:showSerName val="0"/>
            <c:showPercent val="0"/>
            <c:showBubbleSize val="0"/>
            <c:showLeaderLines val="0"/>
          </c:dLbls>
          <c:xVal>
            <c:numRef>
              <c:f>graf!$C$16</c:f>
              <c:numCache>
                <c:formatCode>General</c:formatCode>
                <c:ptCount val="1"/>
                <c:pt idx="0">
                  <c:v>1.19</c:v>
                </c:pt>
              </c:numCache>
            </c:numRef>
          </c:xVal>
          <c:yVal>
            <c:numRef>
              <c:f>graf!$D$16</c:f>
              <c:numCache>
                <c:formatCode>#\ #,#00</c:formatCode>
                <c:ptCount val="1"/>
                <c:pt idx="0">
                  <c:v>282.89999999999998</c:v>
                </c:pt>
              </c:numCache>
            </c:numRef>
          </c:yVal>
          <c:smooth val="0"/>
        </c:ser>
        <c:ser>
          <c:idx val="13"/>
          <c:order val="13"/>
          <c:tx>
            <c:strRef>
              <c:f>graf!$B$17</c:f>
              <c:strCache>
                <c:ptCount val="1"/>
                <c:pt idx="0">
                  <c:v>ITA</c:v>
                </c:pt>
              </c:strCache>
            </c:strRef>
          </c:tx>
          <c:spPr>
            <a:ln w="28575">
              <a:noFill/>
            </a:ln>
          </c:spPr>
          <c:marker>
            <c:symbol val="circle"/>
            <c:size val="7"/>
            <c:spPr>
              <a:solidFill>
                <a:schemeClr val="accent1"/>
              </a:solidFill>
              <a:ln>
                <a:solidFill>
                  <a:schemeClr val="accent1"/>
                </a:solidFill>
              </a:ln>
            </c:spPr>
          </c:marker>
          <c:dLbls>
            <c:dLbl>
              <c:idx val="0"/>
              <c:layout>
                <c:manualLayout>
                  <c:x val="-2.0657276995305163E-2"/>
                  <c:y val="-2.264685067232838E-2"/>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graf!$C$17</c:f>
              <c:numCache>
                <c:formatCode>General</c:formatCode>
                <c:ptCount val="1"/>
                <c:pt idx="0">
                  <c:v>1.29</c:v>
                </c:pt>
              </c:numCache>
            </c:numRef>
          </c:xVal>
          <c:yVal>
            <c:numRef>
              <c:f>graf!$D$17</c:f>
              <c:numCache>
                <c:formatCode>#\ #,#00</c:formatCode>
                <c:ptCount val="1"/>
                <c:pt idx="0">
                  <c:v>302.89999999999998</c:v>
                </c:pt>
              </c:numCache>
            </c:numRef>
          </c:yVal>
          <c:smooth val="0"/>
        </c:ser>
        <c:ser>
          <c:idx val="14"/>
          <c:order val="14"/>
          <c:tx>
            <c:strRef>
              <c:f>graf!$B$18</c:f>
              <c:strCache>
                <c:ptCount val="1"/>
                <c:pt idx="0">
                  <c:v>PRT</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5.661712668082095E-3"/>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graf!$C$18</c:f>
              <c:numCache>
                <c:formatCode>General</c:formatCode>
                <c:ptCount val="1"/>
                <c:pt idx="0">
                  <c:v>1.27</c:v>
                </c:pt>
              </c:numCache>
            </c:numRef>
          </c:xVal>
          <c:yVal>
            <c:numRef>
              <c:f>graf!$D$18</c:f>
              <c:numCache>
                <c:formatCode>#\ #,#00</c:formatCode>
                <c:ptCount val="1"/>
                <c:pt idx="0">
                  <c:v>249.3</c:v>
                </c:pt>
              </c:numCache>
            </c:numRef>
          </c:yVal>
          <c:smooth val="0"/>
        </c:ser>
        <c:ser>
          <c:idx val="15"/>
          <c:order val="15"/>
          <c:tx>
            <c:strRef>
              <c:f>graf!$B$19</c:f>
              <c:strCache>
                <c:ptCount val="1"/>
                <c:pt idx="0">
                  <c:v>HUN</c:v>
                </c:pt>
              </c:strCache>
            </c:strRef>
          </c:tx>
          <c:spPr>
            <a:ln w="28575">
              <a:noFill/>
            </a:ln>
          </c:spPr>
          <c:marker>
            <c:symbol val="circle"/>
            <c:size val="7"/>
            <c:spPr>
              <a:solidFill>
                <a:schemeClr val="accent1"/>
              </a:solidFill>
              <a:ln>
                <a:solidFill>
                  <a:schemeClr val="accent1"/>
                </a:solidFill>
              </a:ln>
            </c:spPr>
          </c:marker>
          <c:dLbls>
            <c:dLbl>
              <c:idx val="0"/>
              <c:layout>
                <c:manualLayout>
                  <c:x val="-2.4469543717855934E-2"/>
                  <c:y val="1.6984915102172739E-2"/>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graf!$C$19</c:f>
              <c:numCache>
                <c:formatCode>General</c:formatCode>
                <c:ptCount val="1"/>
                <c:pt idx="0">
                  <c:v>1.21</c:v>
                </c:pt>
              </c:numCache>
            </c:numRef>
          </c:xVal>
          <c:yVal>
            <c:numRef>
              <c:f>graf!$D$19</c:f>
              <c:numCache>
                <c:formatCode>#\ #,#00</c:formatCode>
                <c:ptCount val="1"/>
                <c:pt idx="0">
                  <c:v>199.8</c:v>
                </c:pt>
              </c:numCache>
            </c:numRef>
          </c:yVal>
          <c:smooth val="0"/>
        </c:ser>
        <c:ser>
          <c:idx val="16"/>
          <c:order val="16"/>
          <c:tx>
            <c:strRef>
              <c:f>graf!$B$20</c:f>
              <c:strCache>
                <c:ptCount val="1"/>
                <c:pt idx="0">
                  <c:v>IRL</c:v>
                </c:pt>
              </c:strCache>
            </c:strRef>
          </c:tx>
          <c:spPr>
            <a:ln w="28575">
              <a:noFill/>
            </a:ln>
          </c:spPr>
          <c:marker>
            <c:symbol val="circle"/>
            <c:size val="7"/>
            <c:spPr>
              <a:solidFill>
                <a:schemeClr val="accent1"/>
              </a:solidFill>
              <a:ln>
                <a:solidFill>
                  <a:schemeClr val="accent1"/>
                </a:solidFill>
              </a:ln>
            </c:spPr>
          </c:marker>
          <c:dLbls>
            <c:dLbl>
              <c:idx val="0"/>
              <c:layout>
                <c:manualLayout>
                  <c:x val="-7.5117370892019125E-3"/>
                  <c:y val="0"/>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graf!$C$20</c:f>
              <c:numCache>
                <c:formatCode>General</c:formatCode>
                <c:ptCount val="1"/>
                <c:pt idx="0">
                  <c:v>1.18</c:v>
                </c:pt>
              </c:numCache>
            </c:numRef>
          </c:xVal>
          <c:yVal>
            <c:numRef>
              <c:f>graf!$D$20</c:f>
              <c:numCache>
                <c:formatCode>#\ #,#00</c:formatCode>
                <c:ptCount val="1"/>
                <c:pt idx="0">
                  <c:v>552.1</c:v>
                </c:pt>
              </c:numCache>
            </c:numRef>
          </c:yVal>
          <c:smooth val="0"/>
        </c:ser>
        <c:ser>
          <c:idx val="17"/>
          <c:order val="17"/>
          <c:tx>
            <c:strRef>
              <c:f>graf!$B$21</c:f>
              <c:strCache>
                <c:ptCount val="1"/>
                <c:pt idx="0">
                  <c:v>GBR</c:v>
                </c:pt>
              </c:strCache>
            </c:strRef>
          </c:tx>
          <c:spPr>
            <a:ln w="28575">
              <a:noFill/>
            </a:ln>
          </c:spPr>
          <c:marker>
            <c:symbol val="circle"/>
            <c:size val="7"/>
            <c:spPr>
              <a:solidFill>
                <a:schemeClr val="accent1"/>
              </a:solidFill>
              <a:ln>
                <a:solidFill>
                  <a:schemeClr val="accent1"/>
                </a:solidFill>
              </a:ln>
            </c:spPr>
          </c:marker>
          <c:dLbls>
            <c:dLbl>
              <c:idx val="0"/>
              <c:layout>
                <c:manualLayout>
                  <c:x val="-3.7558685446009391E-2"/>
                  <c:y val="-2.5477707006369428E-2"/>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graf!$C$21</c:f>
              <c:numCache>
                <c:formatCode>General</c:formatCode>
                <c:ptCount val="1"/>
                <c:pt idx="0">
                  <c:v>1.69</c:v>
                </c:pt>
              </c:numCache>
            </c:numRef>
          </c:xVal>
          <c:yVal>
            <c:numRef>
              <c:f>graf!$D$21</c:f>
              <c:numCache>
                <c:formatCode>#\ #,#00</c:formatCode>
                <c:ptCount val="1"/>
                <c:pt idx="0">
                  <c:v>494</c:v>
                </c:pt>
              </c:numCache>
            </c:numRef>
          </c:yVal>
          <c:smooth val="0"/>
        </c:ser>
        <c:ser>
          <c:idx val="18"/>
          <c:order val="18"/>
          <c:tx>
            <c:strRef>
              <c:f>graf!$B$22</c:f>
              <c:strCache>
                <c:ptCount val="1"/>
                <c:pt idx="0">
                  <c:v>NOR</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1.1267605633802818E-2"/>
                  <c:y val="0"/>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graf!$C$22</c:f>
              <c:numCache>
                <c:formatCode>General</c:formatCode>
                <c:ptCount val="1"/>
                <c:pt idx="0">
                  <c:v>2.0299999999999998</c:v>
                </c:pt>
              </c:numCache>
            </c:numRef>
          </c:xVal>
          <c:yVal>
            <c:numRef>
              <c:f>graf!$D$22</c:f>
              <c:numCache>
                <c:formatCode>#\ #,#00</c:formatCode>
                <c:ptCount val="1"/>
                <c:pt idx="0">
                  <c:v>845.9</c:v>
                </c:pt>
              </c:numCache>
            </c:numRef>
          </c:yVal>
          <c:smooth val="0"/>
        </c:ser>
        <c:ser>
          <c:idx val="19"/>
          <c:order val="19"/>
          <c:tx>
            <c:strRef>
              <c:f>graf!$B$23</c:f>
              <c:strCache>
                <c:ptCount val="1"/>
                <c:pt idx="0">
                  <c:v>EST</c:v>
                </c:pt>
              </c:strCache>
            </c:strRef>
          </c:tx>
          <c:spPr>
            <a:ln w="28575">
              <a:noFill/>
            </a:ln>
          </c:spPr>
          <c:marker>
            <c:symbol val="circle"/>
            <c:size val="7"/>
            <c:spPr>
              <a:solidFill>
                <a:schemeClr val="accent1"/>
              </a:solidFill>
              <a:ln>
                <a:solidFill>
                  <a:schemeClr val="accent1"/>
                </a:solidFill>
              </a:ln>
            </c:spPr>
          </c:marker>
          <c:dLbls>
            <c:dLbl>
              <c:idx val="0"/>
              <c:layout>
                <c:manualLayout>
                  <c:x val="-1.1293635562087354E-2"/>
                  <c:y val="1.037968665112458E-16"/>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graf!$C$23</c:f>
              <c:numCache>
                <c:formatCode>General</c:formatCode>
                <c:ptCount val="1"/>
                <c:pt idx="0">
                  <c:v>1.28</c:v>
                </c:pt>
              </c:numCache>
            </c:numRef>
          </c:xVal>
          <c:yVal>
            <c:numRef>
              <c:f>graf!$D$23</c:f>
              <c:numCache>
                <c:formatCode>#\ #,#00</c:formatCode>
                <c:ptCount val="1"/>
                <c:pt idx="0">
                  <c:v>221.7</c:v>
                </c:pt>
              </c:numCache>
            </c:numRef>
          </c:yVal>
          <c:smooth val="0"/>
        </c:ser>
        <c:ser>
          <c:idx val="20"/>
          <c:order val="20"/>
          <c:tx>
            <c:strRef>
              <c:f>graf!$B$24</c:f>
              <c:strCache>
                <c:ptCount val="1"/>
                <c:pt idx="0">
                  <c:v>CZE</c:v>
                </c:pt>
              </c:strCache>
            </c:strRef>
          </c:tx>
          <c:spPr>
            <a:ln w="28575">
              <a:noFill/>
            </a:ln>
          </c:spPr>
          <c:marker>
            <c:symbol val="circle"/>
            <c:size val="7"/>
            <c:spPr>
              <a:solidFill>
                <a:schemeClr val="accent1"/>
              </a:solidFill>
              <a:ln>
                <a:solidFill>
                  <a:schemeClr val="accent1"/>
                </a:solidFill>
              </a:ln>
            </c:spPr>
          </c:marker>
          <c:dPt>
            <c:idx val="0"/>
            <c:marker>
              <c:spPr>
                <a:solidFill>
                  <a:schemeClr val="accent2"/>
                </a:solidFill>
                <a:ln>
                  <a:solidFill>
                    <a:schemeClr val="accent2"/>
                  </a:solidFill>
                </a:ln>
              </c:spPr>
            </c:marker>
            <c:bubble3D val="0"/>
          </c:dPt>
          <c:dLbls>
            <c:dLbl>
              <c:idx val="0"/>
              <c:layout>
                <c:manualLayout>
                  <c:x val="-1.9322270666579901E-2"/>
                  <c:y val="2.0936634790975319E-2"/>
                </c:manualLayout>
              </c:layout>
              <c:spPr/>
              <c:txPr>
                <a:bodyPr/>
                <a:lstStyle/>
                <a:p>
                  <a:pPr>
                    <a:defRPr/>
                  </a:pPr>
                  <a:endParaRPr lang="cs-CZ"/>
                </a:p>
              </c:txPr>
              <c:dLblPos val="r"/>
              <c:showLegendKey val="0"/>
              <c:showVal val="0"/>
              <c:showCatName val="0"/>
              <c:showSerName val="1"/>
              <c:showPercent val="0"/>
              <c:showBubbleSize val="0"/>
            </c:dLbl>
            <c:showLegendKey val="0"/>
            <c:showVal val="1"/>
            <c:showCatName val="0"/>
            <c:showSerName val="0"/>
            <c:showPercent val="0"/>
            <c:showBubbleSize val="0"/>
            <c:showLeaderLines val="0"/>
          </c:dLbls>
          <c:xVal>
            <c:numRef>
              <c:f>graf!$C$24</c:f>
              <c:numCache>
                <c:formatCode>General</c:formatCode>
                <c:ptCount val="1"/>
                <c:pt idx="0">
                  <c:v>1.68</c:v>
                </c:pt>
              </c:numCache>
            </c:numRef>
          </c:xVal>
          <c:yVal>
            <c:numRef>
              <c:f>graf!$D$24</c:f>
              <c:numCache>
                <c:formatCode>#\ #,#00</c:formatCode>
                <c:ptCount val="1"/>
                <c:pt idx="0">
                  <c:v>381.1</c:v>
                </c:pt>
              </c:numCache>
            </c:numRef>
          </c:yVal>
          <c:smooth val="0"/>
        </c:ser>
        <c:ser>
          <c:idx val="21"/>
          <c:order val="21"/>
          <c:tx>
            <c:strRef>
              <c:f>graf!$B$25</c:f>
              <c:strCache>
                <c:ptCount val="1"/>
                <c:pt idx="0">
                  <c:v>NLD</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7.5117370892018778E-3"/>
                  <c:y val="0"/>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graf!$C$25</c:f>
              <c:numCache>
                <c:formatCode>General</c:formatCode>
                <c:ptCount val="1"/>
                <c:pt idx="0">
                  <c:v>2.0299999999999998</c:v>
                </c:pt>
              </c:numCache>
            </c:numRef>
          </c:xVal>
          <c:yVal>
            <c:numRef>
              <c:f>graf!$D$25</c:f>
              <c:numCache>
                <c:formatCode>#\ #,#00</c:formatCode>
                <c:ptCount val="1"/>
                <c:pt idx="0">
                  <c:v>701.5</c:v>
                </c:pt>
              </c:numCache>
            </c:numRef>
          </c:yVal>
          <c:smooth val="0"/>
        </c:ser>
        <c:ser>
          <c:idx val="22"/>
          <c:order val="22"/>
          <c:tx>
            <c:strRef>
              <c:f>graf!$B$26</c:f>
              <c:strCache>
                <c:ptCount val="1"/>
                <c:pt idx="0">
                  <c:v>FRA</c:v>
                </c:pt>
              </c:strCache>
            </c:strRef>
          </c:tx>
          <c:spPr>
            <a:ln w="28575">
              <a:noFill/>
            </a:ln>
          </c:spPr>
          <c:marker>
            <c:symbol val="circle"/>
            <c:size val="7"/>
            <c:spPr>
              <a:solidFill>
                <a:schemeClr val="accent1"/>
              </a:solidFill>
              <a:ln>
                <a:solidFill>
                  <a:schemeClr val="accent1"/>
                </a:solidFill>
              </a:ln>
            </c:spPr>
          </c:marker>
          <c:dLbls>
            <c:dLbl>
              <c:idx val="0"/>
              <c:layout>
                <c:manualLayout>
                  <c:x val="-1.3145539906103286E-2"/>
                  <c:y val="0"/>
                </c:manualLayout>
              </c:layout>
              <c:spPr/>
              <c:txPr>
                <a:bodyPr/>
                <a:lstStyle/>
                <a:p>
                  <a:pPr>
                    <a:defRPr/>
                  </a:pPr>
                  <a:endParaRPr lang="cs-CZ"/>
                </a:p>
              </c:txPr>
              <c:dLblPos val="r"/>
              <c:showLegendKey val="0"/>
              <c:showVal val="0"/>
              <c:showCatName val="0"/>
              <c:showSerName val="1"/>
              <c:showPercent val="0"/>
              <c:showBubbleSize val="0"/>
            </c:dLbl>
            <c:showLegendKey val="0"/>
            <c:showVal val="1"/>
            <c:showCatName val="0"/>
            <c:showSerName val="0"/>
            <c:showPercent val="0"/>
            <c:showBubbleSize val="0"/>
            <c:showLeaderLines val="0"/>
          </c:dLbls>
          <c:xVal>
            <c:numRef>
              <c:f>graf!$C$26</c:f>
              <c:numCache>
                <c:formatCode>General</c:formatCode>
                <c:ptCount val="1"/>
                <c:pt idx="0">
                  <c:v>2.25</c:v>
                </c:pt>
              </c:numCache>
            </c:numRef>
          </c:xVal>
          <c:yVal>
            <c:numRef>
              <c:f>graf!$D$26</c:f>
              <c:numCache>
                <c:formatCode>#\ #,#00</c:formatCode>
                <c:ptCount val="1"/>
                <c:pt idx="0">
                  <c:v>610.4</c:v>
                </c:pt>
              </c:numCache>
            </c:numRef>
          </c:yVal>
          <c:smooth val="0"/>
        </c:ser>
        <c:ser>
          <c:idx val="23"/>
          <c:order val="23"/>
          <c:tx>
            <c:strRef>
              <c:f>graf!$B$27</c:f>
              <c:strCache>
                <c:ptCount val="1"/>
                <c:pt idx="0">
                  <c:v>BEL</c:v>
                </c:pt>
              </c:strCache>
            </c:strRef>
          </c:tx>
          <c:spPr>
            <a:ln w="28575">
              <a:solidFill>
                <a:schemeClr val="accent1"/>
              </a:solidFill>
            </a:ln>
          </c:spPr>
          <c:marker>
            <c:symbol val="circle"/>
            <c:size val="7"/>
            <c:spPr>
              <a:solidFill>
                <a:schemeClr val="accent1"/>
              </a:solidFill>
              <a:ln>
                <a:noFill/>
              </a:ln>
            </c:spPr>
          </c:marker>
          <c:dLbls>
            <c:dLbl>
              <c:idx val="0"/>
              <c:layout>
                <c:manualLayout>
                  <c:x val="-2.4413145539906103E-2"/>
                  <c:y val="-3.113941967445152E-2"/>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graf!$C$27</c:f>
              <c:numCache>
                <c:formatCode>General</c:formatCode>
                <c:ptCount val="1"/>
                <c:pt idx="0">
                  <c:v>2.4900000000000002</c:v>
                </c:pt>
              </c:numCache>
            </c:numRef>
          </c:xVal>
          <c:yVal>
            <c:numRef>
              <c:f>graf!$D$27</c:f>
              <c:numCache>
                <c:formatCode>#\ #,#00</c:formatCode>
                <c:ptCount val="1"/>
                <c:pt idx="0">
                  <c:v>746.7</c:v>
                </c:pt>
              </c:numCache>
            </c:numRef>
          </c:yVal>
          <c:smooth val="0"/>
        </c:ser>
        <c:ser>
          <c:idx val="24"/>
          <c:order val="24"/>
          <c:tx>
            <c:strRef>
              <c:f>graf!$B$28</c:f>
              <c:strCache>
                <c:ptCount val="1"/>
                <c:pt idx="0">
                  <c:v>SVN</c:v>
                </c:pt>
              </c:strCache>
            </c:strRef>
          </c:tx>
          <c:spPr>
            <a:ln w="28575">
              <a:noFill/>
            </a:ln>
          </c:spPr>
          <c:dPt>
            <c:idx val="0"/>
            <c:marker>
              <c:symbol val="circle"/>
              <c:size val="7"/>
              <c:spPr>
                <a:solidFill>
                  <a:schemeClr val="accent1"/>
                </a:solidFill>
                <a:ln>
                  <a:solidFill>
                    <a:schemeClr val="accent1"/>
                  </a:solidFill>
                </a:ln>
              </c:spPr>
            </c:marker>
            <c:bubble3D val="0"/>
          </c:dPt>
          <c:dLbls>
            <c:dLbl>
              <c:idx val="0"/>
              <c:layout>
                <c:manualLayout>
                  <c:x val="-1.1267605633802818E-2"/>
                  <c:y val="5.661712668082095E-3"/>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graf!$C$28</c:f>
              <c:numCache>
                <c:formatCode>General</c:formatCode>
                <c:ptCount val="1"/>
                <c:pt idx="0">
                  <c:v>2</c:v>
                </c:pt>
              </c:numCache>
            </c:numRef>
          </c:xVal>
          <c:yVal>
            <c:numRef>
              <c:f>graf!$D$28</c:f>
              <c:numCache>
                <c:formatCode>#\ #,#00</c:formatCode>
                <c:ptCount val="1"/>
                <c:pt idx="0">
                  <c:v>452.6</c:v>
                </c:pt>
              </c:numCache>
            </c:numRef>
          </c:yVal>
          <c:smooth val="0"/>
        </c:ser>
        <c:ser>
          <c:idx val="25"/>
          <c:order val="25"/>
          <c:tx>
            <c:strRef>
              <c:f>graf!$B$29</c:f>
              <c:strCache>
                <c:ptCount val="1"/>
                <c:pt idx="0">
                  <c:v>AUT</c:v>
                </c:pt>
              </c:strCache>
            </c:strRef>
          </c:tx>
          <c:spPr>
            <a:ln w="28575">
              <a:noFill/>
            </a:ln>
          </c:spPr>
          <c:marker>
            <c:symbol val="circle"/>
            <c:size val="7"/>
            <c:spPr>
              <a:solidFill>
                <a:schemeClr val="accent1"/>
              </a:solidFill>
              <a:ln>
                <a:solidFill>
                  <a:schemeClr val="accent1"/>
                </a:solidFill>
              </a:ln>
            </c:spPr>
          </c:marker>
          <c:dLbls>
            <c:dLbl>
              <c:idx val="0"/>
              <c:layout>
                <c:manualLayout>
                  <c:x val="-6.2949610637513281E-2"/>
                  <c:y val="-1.1323397542888186E-2"/>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graf!$C$29</c:f>
              <c:numCache>
                <c:formatCode>General</c:formatCode>
                <c:ptCount val="1"/>
                <c:pt idx="0">
                  <c:v>3.09</c:v>
                </c:pt>
              </c:numCache>
            </c:numRef>
          </c:xVal>
          <c:yVal>
            <c:numRef>
              <c:f>graf!$D$29</c:f>
              <c:numCache>
                <c:formatCode>#\ #,#00</c:formatCode>
                <c:ptCount val="1"/>
                <c:pt idx="0">
                  <c:v>994.6</c:v>
                </c:pt>
              </c:numCache>
            </c:numRef>
          </c:yVal>
          <c:smooth val="0"/>
        </c:ser>
        <c:ser>
          <c:idx val="26"/>
          <c:order val="26"/>
          <c:tx>
            <c:strRef>
              <c:f>graf!$B$30</c:f>
              <c:strCache>
                <c:ptCount val="1"/>
                <c:pt idx="0">
                  <c:v>USA</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2.594921662781145E-17"/>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graf!$C$30</c:f>
              <c:numCache>
                <c:formatCode>General</c:formatCode>
                <c:ptCount val="1"/>
                <c:pt idx="0">
                  <c:v>2.79</c:v>
                </c:pt>
              </c:numCache>
            </c:numRef>
          </c:xVal>
          <c:yVal>
            <c:numRef>
              <c:f>graf!$D$30</c:f>
              <c:numCache>
                <c:formatCode>#\ #,#00</c:formatCode>
                <c:ptCount val="1"/>
                <c:pt idx="0">
                  <c:v>1113.2</c:v>
                </c:pt>
              </c:numCache>
            </c:numRef>
          </c:yVal>
          <c:smooth val="0"/>
        </c:ser>
        <c:ser>
          <c:idx val="27"/>
          <c:order val="27"/>
          <c:tx>
            <c:strRef>
              <c:f>graf!$B$31</c:f>
              <c:strCache>
                <c:ptCount val="1"/>
                <c:pt idx="0">
                  <c:v>DEU</c:v>
                </c:pt>
              </c:strCache>
            </c:strRef>
          </c:tx>
          <c:spPr>
            <a:ln w="28575">
              <a:noFill/>
            </a:ln>
          </c:spPr>
          <c:marker>
            <c:symbol val="circle"/>
            <c:size val="7"/>
            <c:spPr>
              <a:solidFill>
                <a:schemeClr val="accent1"/>
              </a:solidFill>
              <a:ln>
                <a:solidFill>
                  <a:schemeClr val="accent1"/>
                </a:solidFill>
              </a:ln>
            </c:spPr>
          </c:marker>
          <c:dLbls>
            <c:dLbl>
              <c:idx val="0"/>
              <c:layout>
                <c:manualLayout>
                  <c:x val="-6.9235287737793111E-2"/>
                  <c:y val="0"/>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graf!$C$31</c:f>
              <c:numCache>
                <c:formatCode>General</c:formatCode>
                <c:ptCount val="1"/>
                <c:pt idx="0">
                  <c:v>2.94</c:v>
                </c:pt>
              </c:numCache>
            </c:numRef>
          </c:xVal>
          <c:yVal>
            <c:numRef>
              <c:f>graf!$D$31</c:f>
              <c:numCache>
                <c:formatCode>#\ #,#00</c:formatCode>
                <c:ptCount val="1"/>
                <c:pt idx="0">
                  <c:v>943.1</c:v>
                </c:pt>
              </c:numCache>
            </c:numRef>
          </c:yVal>
          <c:smooth val="0"/>
        </c:ser>
        <c:ser>
          <c:idx val="28"/>
          <c:order val="28"/>
          <c:tx>
            <c:strRef>
              <c:f>graf!$B$32</c:f>
              <c:strCache>
                <c:ptCount val="1"/>
                <c:pt idx="0">
                  <c:v>CHE</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0"/>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graf!$C$32</c:f>
              <c:numCache>
                <c:formatCode>General</c:formatCode>
                <c:ptCount val="1"/>
                <c:pt idx="0">
                  <c:v>3.37</c:v>
                </c:pt>
              </c:numCache>
            </c:numRef>
          </c:xVal>
          <c:yVal>
            <c:numRef>
              <c:f>graf!$D$32</c:f>
              <c:numCache>
                <c:formatCode>#\ #,#00</c:formatCode>
                <c:ptCount val="1"/>
                <c:pt idx="0">
                  <c:v>1269.4000000000001</c:v>
                </c:pt>
              </c:numCache>
            </c:numRef>
          </c:yVal>
          <c:smooth val="0"/>
        </c:ser>
        <c:ser>
          <c:idx val="29"/>
          <c:order val="29"/>
          <c:tx>
            <c:strRef>
              <c:f>graf!$B$33</c:f>
              <c:strCache>
                <c:ptCount val="1"/>
                <c:pt idx="0">
                  <c:v>DNK</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0"/>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graf!$C$33</c:f>
              <c:numCache>
                <c:formatCode>General</c:formatCode>
                <c:ptCount val="1"/>
                <c:pt idx="0">
                  <c:v>2.87</c:v>
                </c:pt>
              </c:numCache>
            </c:numRef>
          </c:xVal>
          <c:yVal>
            <c:numRef>
              <c:f>graf!$D$33</c:f>
              <c:numCache>
                <c:formatCode>#\ #,#00</c:formatCode>
                <c:ptCount val="1"/>
                <c:pt idx="0">
                  <c:v>863.1</c:v>
                </c:pt>
              </c:numCache>
            </c:numRef>
          </c:yVal>
          <c:smooth val="0"/>
        </c:ser>
        <c:ser>
          <c:idx val="30"/>
          <c:order val="30"/>
          <c:tx>
            <c:strRef>
              <c:f>graf!$B$34</c:f>
              <c:strCache>
                <c:ptCount val="1"/>
                <c:pt idx="0">
                  <c:v>SWE</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0"/>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graf!$C$34</c:f>
              <c:numCache>
                <c:formatCode>General</c:formatCode>
                <c:ptCount val="1"/>
                <c:pt idx="0">
                  <c:v>3.25</c:v>
                </c:pt>
              </c:numCache>
            </c:numRef>
          </c:xVal>
          <c:yVal>
            <c:numRef>
              <c:f>graf!$D$34</c:f>
              <c:numCache>
                <c:formatCode>#\ #,#00</c:formatCode>
                <c:ptCount val="1"/>
                <c:pt idx="0">
                  <c:v>1069.0999999999999</c:v>
                </c:pt>
              </c:numCache>
            </c:numRef>
          </c:yVal>
          <c:smooth val="0"/>
        </c:ser>
        <c:ser>
          <c:idx val="31"/>
          <c:order val="31"/>
          <c:tx>
            <c:strRef>
              <c:f>graf!$B$35</c:f>
              <c:strCache>
                <c:ptCount val="1"/>
                <c:pt idx="0">
                  <c:v>FIN</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9.3898192303426865E-3"/>
                  <c:y val="8.4925690021231421E-3"/>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graf!$C$35</c:f>
              <c:numCache>
                <c:formatCode>General</c:formatCode>
                <c:ptCount val="1"/>
                <c:pt idx="0">
                  <c:v>2.75</c:v>
                </c:pt>
              </c:numCache>
            </c:numRef>
          </c:xVal>
          <c:yVal>
            <c:numRef>
              <c:f>graf!$D$35</c:f>
              <c:numCache>
                <c:formatCode>#\ #,#00</c:formatCode>
                <c:ptCount val="1"/>
                <c:pt idx="0">
                  <c:v>758.2</c:v>
                </c:pt>
              </c:numCache>
            </c:numRef>
          </c:yVal>
          <c:smooth val="0"/>
        </c:ser>
        <c:ser>
          <c:idx val="32"/>
          <c:order val="32"/>
          <c:tx>
            <c:strRef>
              <c:f>graf!$B$36</c:f>
              <c:strCache>
                <c:ptCount val="1"/>
                <c:pt idx="0">
                  <c:v>JPN</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0"/>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graf!$C$36</c:f>
              <c:numCache>
                <c:formatCode>General</c:formatCode>
                <c:ptCount val="1"/>
                <c:pt idx="0">
                  <c:v>3.29</c:v>
                </c:pt>
              </c:numCache>
            </c:numRef>
          </c:xVal>
          <c:yVal>
            <c:numRef>
              <c:f>graf!$D$36</c:f>
              <c:numCache>
                <c:formatCode>#\ #,#00</c:formatCode>
                <c:ptCount val="1"/>
                <c:pt idx="0">
                  <c:v>954</c:v>
                </c:pt>
              </c:numCache>
            </c:numRef>
          </c:yVal>
          <c:smooth val="0"/>
        </c:ser>
        <c:ser>
          <c:idx val="33"/>
          <c:order val="33"/>
          <c:tx>
            <c:strRef>
              <c:f>graf!$B$37</c:f>
              <c:strCache>
                <c:ptCount val="1"/>
                <c:pt idx="0">
                  <c:v>KOR</c:v>
                </c:pt>
              </c:strCache>
            </c:strRef>
          </c:tx>
          <c:spPr>
            <a:ln w="28575">
              <a:noFill/>
            </a:ln>
          </c:spPr>
          <c:marker>
            <c:symbol val="circle"/>
            <c:size val="7"/>
            <c:spPr>
              <a:solidFill>
                <a:schemeClr val="accent1"/>
              </a:solidFill>
            </c:spPr>
          </c:marker>
          <c:dLbls>
            <c:dLbl>
              <c:idx val="0"/>
              <c:layout>
                <c:manualLayout>
                  <c:x val="-1.1267605633802818E-2"/>
                  <c:y val="2.594921662781145E-17"/>
                </c:manualLayout>
              </c:layout>
              <c:spPr/>
              <c:txPr>
                <a:bodyPr/>
                <a:lstStyle/>
                <a:p>
                  <a:pPr>
                    <a:defRPr/>
                  </a:pPr>
                  <a:endParaRPr lang="cs-CZ"/>
                </a:p>
              </c:txPr>
              <c:dLblPos val="r"/>
              <c:showLegendKey val="0"/>
              <c:showVal val="0"/>
              <c:showCatName val="0"/>
              <c:showSerName val="1"/>
              <c:showPercent val="0"/>
              <c:showBubbleSize val="0"/>
            </c:dLbl>
            <c:showLegendKey val="0"/>
            <c:showVal val="0"/>
            <c:showCatName val="0"/>
            <c:showSerName val="1"/>
            <c:showPercent val="0"/>
            <c:showBubbleSize val="0"/>
            <c:showLeaderLines val="0"/>
          </c:dLbls>
          <c:xVal>
            <c:numRef>
              <c:f>graf!$C$37</c:f>
              <c:numCache>
                <c:formatCode>General</c:formatCode>
                <c:ptCount val="1"/>
                <c:pt idx="0">
                  <c:v>4.2300000000000004</c:v>
                </c:pt>
              </c:numCache>
            </c:numRef>
          </c:xVal>
          <c:yVal>
            <c:numRef>
              <c:f>graf!$D$37</c:f>
              <c:numCache>
                <c:formatCode>#\ #,#00</c:formatCode>
                <c:ptCount val="1"/>
                <c:pt idx="0">
                  <c:v>1084.5</c:v>
                </c:pt>
              </c:numCache>
            </c:numRef>
          </c:yVal>
          <c:smooth val="0"/>
        </c:ser>
        <c:ser>
          <c:idx val="34"/>
          <c:order val="34"/>
          <c:tx>
            <c:strRef>
              <c:f>graf!$B$38</c:f>
              <c:strCache>
                <c:ptCount val="1"/>
                <c:pt idx="0">
                  <c:v>EU28</c:v>
                </c:pt>
              </c:strCache>
            </c:strRef>
          </c:tx>
          <c:spPr>
            <a:ln w="28575">
              <a:noFill/>
            </a:ln>
          </c:spPr>
          <c:marker>
            <c:symbol val="circle"/>
            <c:size val="7"/>
          </c:marker>
          <c:dLbls>
            <c:dLbl>
              <c:idx val="0"/>
              <c:layout>
                <c:manualLayout>
                  <c:x val="-9.3896444762586496E-3"/>
                  <c:y val="-1.7973439105647953E-2"/>
                </c:manualLayout>
              </c:layout>
              <c:spPr>
                <a:noFill/>
              </c:spPr>
              <c:txPr>
                <a:bodyPr/>
                <a:lstStyle/>
                <a:p>
                  <a:pPr>
                    <a:defRPr/>
                  </a:pPr>
                  <a:endParaRPr lang="cs-CZ"/>
                </a:p>
              </c:txPr>
              <c:dLblPos val="r"/>
              <c:showLegendKey val="0"/>
              <c:showVal val="0"/>
              <c:showCatName val="0"/>
              <c:showSerName val="1"/>
              <c:showPercent val="0"/>
              <c:showBubbleSize val="0"/>
            </c:dLbl>
            <c:showLegendKey val="0"/>
            <c:showVal val="1"/>
            <c:showCatName val="0"/>
            <c:showSerName val="0"/>
            <c:showPercent val="0"/>
            <c:showBubbleSize val="0"/>
            <c:showLeaderLines val="0"/>
          </c:dLbls>
          <c:xVal>
            <c:numRef>
              <c:f>graf!$C$38</c:f>
              <c:numCache>
                <c:formatCode>General</c:formatCode>
                <c:ptCount val="1"/>
                <c:pt idx="0">
                  <c:v>2.0299999999999998</c:v>
                </c:pt>
              </c:numCache>
            </c:numRef>
          </c:xVal>
          <c:yVal>
            <c:numRef>
              <c:f>graf!$D$38</c:f>
              <c:numCache>
                <c:formatCode>#\ #,#00</c:formatCode>
                <c:ptCount val="1"/>
                <c:pt idx="0">
                  <c:v>501.7</c:v>
                </c:pt>
              </c:numCache>
            </c:numRef>
          </c:yVal>
          <c:smooth val="0"/>
        </c:ser>
        <c:dLbls>
          <c:showLegendKey val="0"/>
          <c:showVal val="0"/>
          <c:showCatName val="0"/>
          <c:showSerName val="0"/>
          <c:showPercent val="0"/>
          <c:showBubbleSize val="0"/>
        </c:dLbls>
        <c:axId val="174826240"/>
        <c:axId val="174828160"/>
      </c:scatterChart>
      <c:valAx>
        <c:axId val="174826240"/>
        <c:scaling>
          <c:orientation val="minMax"/>
        </c:scaling>
        <c:delete val="0"/>
        <c:axPos val="b"/>
        <c:title>
          <c:tx>
            <c:rich>
              <a:bodyPr/>
              <a:lstStyle/>
              <a:p>
                <a:pPr>
                  <a:defRPr/>
                </a:pPr>
                <a:r>
                  <a:rPr lang="cs-CZ"/>
                  <a:t>GERD na HDP (%)</a:t>
                </a:r>
              </a:p>
            </c:rich>
          </c:tx>
          <c:layout>
            <c:manualLayout>
              <c:xMode val="edge"/>
              <c:yMode val="edge"/>
              <c:x val="0.83101637647406745"/>
              <c:y val="0.65971680291555912"/>
            </c:manualLayout>
          </c:layout>
          <c:overlay val="0"/>
        </c:title>
        <c:numFmt formatCode="General" sourceLinked="1"/>
        <c:majorTickMark val="out"/>
        <c:minorTickMark val="none"/>
        <c:tickLblPos val="nextTo"/>
        <c:txPr>
          <a:bodyPr rot="0" vert="horz"/>
          <a:lstStyle/>
          <a:p>
            <a:pPr>
              <a:defRPr/>
            </a:pPr>
            <a:endParaRPr lang="cs-CZ"/>
          </a:p>
        </c:txPr>
        <c:crossAx val="174828160"/>
        <c:crossesAt val="501.7"/>
        <c:crossBetween val="midCat"/>
      </c:valAx>
      <c:valAx>
        <c:axId val="174828160"/>
        <c:scaling>
          <c:orientation val="minMax"/>
        </c:scaling>
        <c:delete val="0"/>
        <c:axPos val="l"/>
        <c:title>
          <c:tx>
            <c:rich>
              <a:bodyPr rot="-5400000" vert="horz"/>
              <a:lstStyle/>
              <a:p>
                <a:pPr>
                  <a:defRPr/>
                </a:pPr>
                <a:r>
                  <a:rPr lang="en-US"/>
                  <a:t>GERD na obyvatele v PPS</a:t>
                </a:r>
                <a:endParaRPr lang="cs-CZ"/>
              </a:p>
            </c:rich>
          </c:tx>
          <c:layout>
            <c:manualLayout>
              <c:xMode val="edge"/>
              <c:yMode val="edge"/>
              <c:x val="0.35868544600938967"/>
              <c:y val="1.8248324055034522E-2"/>
            </c:manualLayout>
          </c:layout>
          <c:overlay val="0"/>
        </c:title>
        <c:numFmt formatCode="#,##0" sourceLinked="0"/>
        <c:majorTickMark val="out"/>
        <c:minorTickMark val="none"/>
        <c:tickLblPos val="nextTo"/>
        <c:crossAx val="174826240"/>
        <c:crossesAt val="2.0299999999999998"/>
        <c:crossBetween val="midCat"/>
      </c:valAx>
    </c:plotArea>
    <c:plotVisOnly val="1"/>
    <c:dispBlanksAs val="gap"/>
    <c:showDLblsOverMax val="0"/>
  </c:chart>
  <c:spPr>
    <a:ln>
      <a:noFill/>
    </a:ln>
  </c:spPr>
  <c:txPr>
    <a:bodyPr/>
    <a:lstStyle/>
    <a:p>
      <a:pPr>
        <a:defRPr sz="700">
          <a:latin typeface="Arial" pitchFamily="34" charset="0"/>
          <a:cs typeface="Arial" pitchFamily="34" charset="0"/>
        </a:defRPr>
      </a:pPr>
      <a:endParaRPr lang="cs-CZ"/>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2046460055992482E-2"/>
          <c:y val="3.4712741168531125E-2"/>
          <c:w val="0.92587706491130506"/>
          <c:h val="0.9101621651911006"/>
        </c:manualLayout>
      </c:layout>
      <c:scatterChart>
        <c:scatterStyle val="lineMarker"/>
        <c:varyColors val="0"/>
        <c:ser>
          <c:idx val="0"/>
          <c:order val="0"/>
          <c:tx>
            <c:strRef>
              <c:f>graf!$C$8</c:f>
              <c:strCache>
                <c:ptCount val="1"/>
                <c:pt idx="0">
                  <c:v>EU28</c:v>
                </c:pt>
              </c:strCache>
            </c:strRef>
          </c:tx>
          <c:spPr>
            <a:ln w="28575">
              <a:noFill/>
            </a:ln>
          </c:spPr>
          <c:marker>
            <c:symbol val="circle"/>
            <c:size val="7"/>
            <c:spPr>
              <a:solidFill>
                <a:schemeClr val="tx1"/>
              </a:solidFill>
              <a:ln>
                <a:solidFill>
                  <a:schemeClr val="tx1"/>
                </a:solidFill>
              </a:ln>
            </c:spPr>
          </c:marker>
          <c:dLbls>
            <c:dLbl>
              <c:idx val="0"/>
              <c:layout>
                <c:manualLayout>
                  <c:x val="-5.6492027334851938E-2"/>
                  <c:y val="-2.2677167603910232E-2"/>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graf!$D$8</c:f>
              <c:numCache>
                <c:formatCode>General</c:formatCode>
                <c:ptCount val="1"/>
                <c:pt idx="0">
                  <c:v>0.50438487813855226</c:v>
                </c:pt>
              </c:numCache>
            </c:numRef>
          </c:xVal>
          <c:yVal>
            <c:numRef>
              <c:f>graf!$F$8</c:f>
              <c:numCache>
                <c:formatCode>General</c:formatCode>
                <c:ptCount val="1"/>
                <c:pt idx="0">
                  <c:v>-20.666354620767308</c:v>
                </c:pt>
              </c:numCache>
            </c:numRef>
          </c:yVal>
          <c:smooth val="0"/>
        </c:ser>
        <c:ser>
          <c:idx val="1"/>
          <c:order val="1"/>
          <c:tx>
            <c:strRef>
              <c:f>graf!$C$9</c:f>
              <c:strCache>
                <c:ptCount val="1"/>
                <c:pt idx="0">
                  <c:v>BEL</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5.1138617366879698E-2"/>
                  <c:y val="-4.2275674536196677E-3"/>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graf!$D$9</c:f>
              <c:numCache>
                <c:formatCode>General</c:formatCode>
                <c:ptCount val="1"/>
                <c:pt idx="0">
                  <c:v>0.59284367617084532</c:v>
                </c:pt>
              </c:numCache>
            </c:numRef>
          </c:xVal>
          <c:yVal>
            <c:numRef>
              <c:f>graf!$F$9</c:f>
              <c:numCache>
                <c:formatCode>General</c:formatCode>
                <c:ptCount val="1"/>
                <c:pt idx="0">
                  <c:v>4.7804332664596672</c:v>
                </c:pt>
              </c:numCache>
            </c:numRef>
          </c:yVal>
          <c:smooth val="0"/>
        </c:ser>
        <c:ser>
          <c:idx val="2"/>
          <c:order val="2"/>
          <c:tx>
            <c:strRef>
              <c:f>graf!$C$10</c:f>
              <c:strCache>
                <c:ptCount val="1"/>
                <c:pt idx="0">
                  <c:v>BGR</c:v>
                </c:pt>
              </c:strCache>
            </c:strRef>
          </c:tx>
          <c:spPr>
            <a:ln w="28575">
              <a:noFill/>
            </a:ln>
          </c:spPr>
          <c:marker>
            <c:symbol val="circle"/>
            <c:size val="7"/>
            <c:spPr>
              <a:solidFill>
                <a:schemeClr val="accent6"/>
              </a:solidFill>
              <a:ln>
                <a:solidFill>
                  <a:schemeClr val="accent6"/>
                </a:solidFill>
              </a:ln>
            </c:spPr>
          </c:marker>
          <c:dLbls>
            <c:dLbl>
              <c:idx val="0"/>
              <c:layout>
                <c:manualLayout>
                  <c:x val="-3.826879271070615E-2"/>
                  <c:y val="2.7716538182556951E-2"/>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graf!$D$10</c:f>
              <c:numCache>
                <c:formatCode>General</c:formatCode>
                <c:ptCount val="1"/>
                <c:pt idx="0">
                  <c:v>0.22890865438866184</c:v>
                </c:pt>
              </c:numCache>
            </c:numRef>
          </c:xVal>
          <c:yVal>
            <c:numRef>
              <c:f>graf!$F$10</c:f>
              <c:numCache>
                <c:formatCode>General</c:formatCode>
                <c:ptCount val="1"/>
                <c:pt idx="0">
                  <c:v>27.305376232177991</c:v>
                </c:pt>
              </c:numCache>
            </c:numRef>
          </c:yVal>
          <c:smooth val="0"/>
        </c:ser>
        <c:ser>
          <c:idx val="3"/>
          <c:order val="3"/>
          <c:tx>
            <c:strRef>
              <c:f>graf!$C$11</c:f>
              <c:strCache>
                <c:ptCount val="1"/>
                <c:pt idx="0">
                  <c:v>CZE</c:v>
                </c:pt>
              </c:strCache>
            </c:strRef>
          </c:tx>
          <c:spPr>
            <a:ln w="41275">
              <a:solidFill>
                <a:srgbClr val="FF0000"/>
              </a:solidFill>
            </a:ln>
          </c:spPr>
          <c:marker>
            <c:symbol val="circle"/>
            <c:size val="7"/>
            <c:spPr>
              <a:solidFill>
                <a:srgbClr val="FFFF00"/>
              </a:solidFill>
              <a:ln w="19050">
                <a:solidFill>
                  <a:schemeClr val="accent1"/>
                </a:solidFill>
              </a:ln>
            </c:spPr>
          </c:marker>
          <c:dPt>
            <c:idx val="0"/>
            <c:marker>
              <c:spPr>
                <a:solidFill>
                  <a:srgbClr val="FFFF00"/>
                </a:solidFill>
                <a:ln w="19050">
                  <a:solidFill>
                    <a:srgbClr val="FF0000"/>
                  </a:solidFill>
                </a:ln>
              </c:spPr>
            </c:marker>
            <c:bubble3D val="0"/>
          </c:dPt>
          <c:dLbls>
            <c:dLbl>
              <c:idx val="0"/>
              <c:layout>
                <c:manualLayout>
                  <c:x val="-1.4578587699316695E-2"/>
                  <c:y val="1.5118111735940156E-2"/>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graf!$D$11</c:f>
              <c:numCache>
                <c:formatCode>General</c:formatCode>
                <c:ptCount val="1"/>
                <c:pt idx="0">
                  <c:v>0.41509488832957248</c:v>
                </c:pt>
              </c:numCache>
            </c:numRef>
          </c:xVal>
          <c:yVal>
            <c:numRef>
              <c:f>graf!$F$11</c:f>
              <c:numCache>
                <c:formatCode>General</c:formatCode>
                <c:ptCount val="1"/>
                <c:pt idx="0">
                  <c:v>-31.500521975070257</c:v>
                </c:pt>
              </c:numCache>
            </c:numRef>
          </c:yVal>
          <c:smooth val="0"/>
        </c:ser>
        <c:ser>
          <c:idx val="4"/>
          <c:order val="4"/>
          <c:tx>
            <c:strRef>
              <c:f>graf!$C$12</c:f>
              <c:strCache>
                <c:ptCount val="1"/>
                <c:pt idx="0">
                  <c:v>DNK</c:v>
                </c:pt>
              </c:strCache>
            </c:strRef>
          </c:tx>
          <c:spPr>
            <a:ln w="28575">
              <a:noFill/>
            </a:ln>
          </c:spPr>
          <c:marker>
            <c:symbol val="circle"/>
            <c:size val="7"/>
            <c:spPr>
              <a:solidFill>
                <a:schemeClr val="accent1"/>
              </a:solidFill>
              <a:ln>
                <a:solidFill>
                  <a:schemeClr val="accent1"/>
                </a:solidFill>
              </a:ln>
            </c:spPr>
          </c:marker>
          <c:dPt>
            <c:idx val="0"/>
            <c:marker>
              <c:spPr>
                <a:solidFill>
                  <a:srgbClr val="00B050"/>
                </a:solidFill>
                <a:ln>
                  <a:solidFill>
                    <a:srgbClr val="00B050"/>
                  </a:solidFill>
                </a:ln>
              </c:spPr>
            </c:marker>
            <c:bubble3D val="0"/>
          </c:dPt>
          <c:dLbls>
            <c:dLbl>
              <c:idx val="0"/>
              <c:layout>
                <c:manualLayout>
                  <c:x val="-1.0933940774487472E-2"/>
                  <c:y val="7.559055867970078E-3"/>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graf!$D$12</c:f>
              <c:numCache>
                <c:formatCode>General</c:formatCode>
                <c:ptCount val="1"/>
                <c:pt idx="0">
                  <c:v>0.66803938081560554</c:v>
                </c:pt>
              </c:numCache>
            </c:numRef>
          </c:xVal>
          <c:yVal>
            <c:numRef>
              <c:f>graf!$F$12</c:f>
              <c:numCache>
                <c:formatCode>General</c:formatCode>
                <c:ptCount val="1"/>
                <c:pt idx="0">
                  <c:v>3.3724881539593667</c:v>
                </c:pt>
              </c:numCache>
            </c:numRef>
          </c:yVal>
          <c:smooth val="0"/>
        </c:ser>
        <c:ser>
          <c:idx val="5"/>
          <c:order val="5"/>
          <c:tx>
            <c:strRef>
              <c:f>graf!$C$13</c:f>
              <c:strCache>
                <c:ptCount val="1"/>
                <c:pt idx="0">
                  <c:v>DEU</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5.3455085983515433E-3"/>
                  <c:y val="1.9159784895425845E-3"/>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graf!$D$13</c:f>
              <c:numCache>
                <c:formatCode>General</c:formatCode>
                <c:ptCount val="1"/>
                <c:pt idx="0">
                  <c:v>0.60327036499462339</c:v>
                </c:pt>
              </c:numCache>
            </c:numRef>
          </c:xVal>
          <c:yVal>
            <c:numRef>
              <c:f>graf!$F$13</c:f>
              <c:numCache>
                <c:formatCode>General</c:formatCode>
                <c:ptCount val="1"/>
                <c:pt idx="0">
                  <c:v>-24.385164491955166</c:v>
                </c:pt>
              </c:numCache>
            </c:numRef>
          </c:yVal>
          <c:smooth val="0"/>
        </c:ser>
        <c:ser>
          <c:idx val="6"/>
          <c:order val="6"/>
          <c:tx>
            <c:strRef>
              <c:f>graf!$C$14</c:f>
              <c:strCache>
                <c:ptCount val="1"/>
                <c:pt idx="0">
                  <c:v>EST</c:v>
                </c:pt>
              </c:strCache>
            </c:strRef>
          </c:tx>
          <c:spPr>
            <a:ln w="28575">
              <a:solidFill>
                <a:srgbClr val="FFFF00"/>
              </a:solidFill>
            </a:ln>
          </c:spPr>
          <c:marker>
            <c:symbol val="circle"/>
            <c:size val="7"/>
            <c:spPr>
              <a:solidFill>
                <a:srgbClr val="FFFF00"/>
              </a:solidFill>
              <a:ln>
                <a:solidFill>
                  <a:srgbClr val="FFFF00"/>
                </a:solidFill>
              </a:ln>
            </c:spPr>
          </c:marker>
          <c:dLbls>
            <c:dLbl>
              <c:idx val="0"/>
              <c:layout>
                <c:manualLayout>
                  <c:x val="-4.9246870644477692E-2"/>
                  <c:y val="1.1720999294020193E-2"/>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graf!$D$14</c:f>
              <c:numCache>
                <c:formatCode>General</c:formatCode>
                <c:ptCount val="1"/>
                <c:pt idx="0">
                  <c:v>0.39669832868613786</c:v>
                </c:pt>
              </c:numCache>
            </c:numRef>
          </c:xVal>
          <c:yVal>
            <c:numRef>
              <c:f>graf!$F$14</c:f>
              <c:numCache>
                <c:formatCode>General</c:formatCode>
                <c:ptCount val="1"/>
                <c:pt idx="0">
                  <c:v>-9.6613546791441536</c:v>
                </c:pt>
              </c:numCache>
            </c:numRef>
          </c:yVal>
          <c:smooth val="0"/>
        </c:ser>
        <c:ser>
          <c:idx val="7"/>
          <c:order val="7"/>
          <c:tx>
            <c:strRef>
              <c:f>graf!$C$15</c:f>
              <c:strCache>
                <c:ptCount val="1"/>
                <c:pt idx="0">
                  <c:v>IRL</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7.2893560749767274E-3"/>
                  <c:y val="1.1833475048067468E-2"/>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graf!$D$15</c:f>
              <c:numCache>
                <c:formatCode>General</c:formatCode>
                <c:ptCount val="1"/>
                <c:pt idx="0">
                  <c:v>0.58480579307371983</c:v>
                </c:pt>
              </c:numCache>
            </c:numRef>
          </c:xVal>
          <c:yVal>
            <c:numRef>
              <c:f>graf!$F$15</c:f>
              <c:numCache>
                <c:formatCode>General</c:formatCode>
                <c:ptCount val="1"/>
                <c:pt idx="0">
                  <c:v>-8.3146219560735233</c:v>
                </c:pt>
              </c:numCache>
            </c:numRef>
          </c:yVal>
          <c:smooth val="0"/>
        </c:ser>
        <c:ser>
          <c:idx val="8"/>
          <c:order val="8"/>
          <c:tx>
            <c:strRef>
              <c:f>graf!$C$16</c:f>
              <c:strCache>
                <c:ptCount val="1"/>
                <c:pt idx="0">
                  <c:v>GRC</c:v>
                </c:pt>
              </c:strCache>
            </c:strRef>
          </c:tx>
          <c:spPr>
            <a:ln w="28575">
              <a:noFill/>
            </a:ln>
          </c:spPr>
          <c:marker>
            <c:symbol val="circle"/>
            <c:size val="7"/>
            <c:spPr>
              <a:solidFill>
                <a:srgbClr val="FFFF00"/>
              </a:solidFill>
              <a:ln>
                <a:solidFill>
                  <a:srgbClr val="FFFF00"/>
                </a:solidFill>
              </a:ln>
            </c:spPr>
          </c:marker>
          <c:dLbls>
            <c:dLbl>
              <c:idx val="0"/>
              <c:layout>
                <c:manualLayout>
                  <c:x val="-2.1867881548974944E-2"/>
                  <c:y val="-2.2677167603910232E-2"/>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graf!$D$16</c:f>
              <c:numCache>
                <c:formatCode>General</c:formatCode>
                <c:ptCount val="1"/>
                <c:pt idx="0">
                  <c:v>0.32779782244755162</c:v>
                </c:pt>
              </c:numCache>
            </c:numRef>
          </c:xVal>
          <c:yVal>
            <c:numRef>
              <c:f>graf!$F$16</c:f>
              <c:numCache>
                <c:formatCode>General</c:formatCode>
                <c:ptCount val="1"/>
                <c:pt idx="0">
                  <c:v>-35.774807442070383</c:v>
                </c:pt>
              </c:numCache>
            </c:numRef>
          </c:yVal>
          <c:smooth val="0"/>
        </c:ser>
        <c:ser>
          <c:idx val="9"/>
          <c:order val="9"/>
          <c:tx>
            <c:strRef>
              <c:f>graf!$C$17</c:f>
              <c:strCache>
                <c:ptCount val="1"/>
                <c:pt idx="0">
                  <c:v>ESP</c:v>
                </c:pt>
              </c:strCache>
            </c:strRef>
          </c:tx>
          <c:spPr>
            <a:ln w="28575">
              <a:noFill/>
            </a:ln>
          </c:spPr>
          <c:marker>
            <c:symbol val="circle"/>
            <c:size val="7"/>
            <c:spPr>
              <a:solidFill>
                <a:srgbClr val="FFFF00"/>
              </a:solidFill>
              <a:ln>
                <a:solidFill>
                  <a:srgbClr val="FFFF00"/>
                </a:solidFill>
              </a:ln>
            </c:spPr>
          </c:marker>
          <c:dLbls>
            <c:dLbl>
              <c:idx val="0"/>
              <c:layout>
                <c:manualLayout>
                  <c:x val="-7.1568013936519981E-3"/>
                  <c:y val="2.5197398485326513E-3"/>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graf!$D$17</c:f>
              <c:numCache>
                <c:formatCode>General</c:formatCode>
                <c:ptCount val="1"/>
                <c:pt idx="0">
                  <c:v>0.40018318686829674</c:v>
                </c:pt>
              </c:numCache>
            </c:numRef>
          </c:xVal>
          <c:yVal>
            <c:numRef>
              <c:f>graf!$F$17</c:f>
              <c:numCache>
                <c:formatCode>General</c:formatCode>
                <c:ptCount val="1"/>
                <c:pt idx="0">
                  <c:v>-23.946807034347586</c:v>
                </c:pt>
              </c:numCache>
            </c:numRef>
          </c:yVal>
          <c:smooth val="0"/>
        </c:ser>
        <c:ser>
          <c:idx val="10"/>
          <c:order val="10"/>
          <c:tx>
            <c:strRef>
              <c:f>graf!$C$18</c:f>
              <c:strCache>
                <c:ptCount val="1"/>
                <c:pt idx="0">
                  <c:v>FRA</c:v>
                </c:pt>
              </c:strCache>
            </c:strRef>
          </c:tx>
          <c:spPr>
            <a:ln w="28575">
              <a:noFill/>
            </a:ln>
          </c:spPr>
          <c:marker>
            <c:symbol val="circle"/>
            <c:size val="7"/>
            <c:spPr>
              <a:solidFill>
                <a:srgbClr val="00B0F0"/>
              </a:solidFill>
              <a:ln>
                <a:solidFill>
                  <a:srgbClr val="00B0F0"/>
                </a:solidFill>
              </a:ln>
            </c:spPr>
          </c:marker>
          <c:dLbls>
            <c:dLbl>
              <c:idx val="0"/>
              <c:layout>
                <c:manualLayout>
                  <c:x val="-2.7334851936218679E-2"/>
                  <c:y val="-2.0157482314586875E-2"/>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graf!$D$18</c:f>
              <c:numCache>
                <c:formatCode>General</c:formatCode>
                <c:ptCount val="1"/>
                <c:pt idx="0">
                  <c:v>0.550796360989945</c:v>
                </c:pt>
              </c:numCache>
            </c:numRef>
          </c:xVal>
          <c:yVal>
            <c:numRef>
              <c:f>graf!$F$18</c:f>
              <c:numCache>
                <c:formatCode>General</c:formatCode>
                <c:ptCount val="1"/>
                <c:pt idx="0">
                  <c:v>-8.1419534952863017</c:v>
                </c:pt>
              </c:numCache>
            </c:numRef>
          </c:yVal>
          <c:smooth val="0"/>
        </c:ser>
        <c:ser>
          <c:idx val="11"/>
          <c:order val="11"/>
          <c:tx>
            <c:strRef>
              <c:f>graf!$C$19</c:f>
              <c:strCache>
                <c:ptCount val="1"/>
                <c:pt idx="0">
                  <c:v>HRV</c:v>
                </c:pt>
              </c:strCache>
            </c:strRef>
          </c:tx>
          <c:spPr>
            <a:ln w="28575">
              <a:noFill/>
            </a:ln>
          </c:spPr>
          <c:marker>
            <c:symbol val="circle"/>
            <c:size val="7"/>
            <c:spPr>
              <a:solidFill>
                <a:srgbClr val="FFFF00"/>
              </a:solidFill>
              <a:ln>
                <a:solidFill>
                  <a:srgbClr val="FFFF00"/>
                </a:solidFill>
              </a:ln>
            </c:spPr>
          </c:marker>
          <c:dLbls>
            <c:dLbl>
              <c:idx val="0"/>
              <c:layout>
                <c:manualLayout>
                  <c:x val="-2.5512528473804134E-2"/>
                  <c:y val="2.0157482314586875E-2"/>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graf!$D$19</c:f>
              <c:numCache>
                <c:formatCode>General</c:formatCode>
                <c:ptCount val="1"/>
                <c:pt idx="0">
                  <c:v>0.25831795734743168</c:v>
                </c:pt>
              </c:numCache>
            </c:numRef>
          </c:xVal>
          <c:yVal>
            <c:numRef>
              <c:f>graf!$F$19</c:f>
              <c:numCache>
                <c:formatCode>General</c:formatCode>
                <c:ptCount val="1"/>
                <c:pt idx="0">
                  <c:v>-7.5203716481796192</c:v>
                </c:pt>
              </c:numCache>
            </c:numRef>
          </c:yVal>
          <c:smooth val="0"/>
        </c:ser>
        <c:ser>
          <c:idx val="12"/>
          <c:order val="12"/>
          <c:tx>
            <c:strRef>
              <c:f>graf!$C$20</c:f>
              <c:strCache>
                <c:ptCount val="1"/>
                <c:pt idx="0">
                  <c:v>ITA</c:v>
                </c:pt>
              </c:strCache>
            </c:strRef>
          </c:tx>
          <c:spPr>
            <a:ln w="28575">
              <a:noFill/>
            </a:ln>
          </c:spPr>
          <c:marker>
            <c:symbol val="circle"/>
            <c:size val="7"/>
            <c:spPr>
              <a:solidFill>
                <a:srgbClr val="FFFF00"/>
              </a:solidFill>
              <a:ln>
                <a:solidFill>
                  <a:srgbClr val="FFFF00"/>
                </a:solidFill>
              </a:ln>
            </c:spPr>
          </c:marker>
          <c:dLbls>
            <c:dLbl>
              <c:idx val="0"/>
              <c:layout>
                <c:manualLayout>
                  <c:x val="-2.7373477204336857E-2"/>
                  <c:y val="1.8571586219385726E-2"/>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graf!$D$20</c:f>
              <c:numCache>
                <c:formatCode>General</c:formatCode>
                <c:ptCount val="1"/>
                <c:pt idx="0">
                  <c:v>0.37140512995025776</c:v>
                </c:pt>
              </c:numCache>
            </c:numRef>
          </c:xVal>
          <c:yVal>
            <c:numRef>
              <c:f>graf!$F$20</c:f>
              <c:numCache>
                <c:formatCode>General</c:formatCode>
                <c:ptCount val="1"/>
                <c:pt idx="0">
                  <c:v>-34.510574700723055</c:v>
                </c:pt>
              </c:numCache>
            </c:numRef>
          </c:yVal>
          <c:smooth val="0"/>
        </c:ser>
        <c:ser>
          <c:idx val="13"/>
          <c:order val="13"/>
          <c:tx>
            <c:strRef>
              <c:f>graf!$C$21</c:f>
              <c:strCache>
                <c:ptCount val="1"/>
                <c:pt idx="0">
                  <c:v>CYP</c:v>
                </c:pt>
              </c:strCache>
            </c:strRef>
          </c:tx>
          <c:spPr>
            <a:ln w="28575">
              <a:noFill/>
            </a:ln>
          </c:spPr>
          <c:marker>
            <c:symbol val="circle"/>
            <c:size val="7"/>
            <c:spPr>
              <a:solidFill>
                <a:srgbClr val="FFFF00"/>
              </a:solidFill>
              <a:ln>
                <a:solidFill>
                  <a:srgbClr val="FFFF00"/>
                </a:solidFill>
              </a:ln>
            </c:spPr>
          </c:marker>
          <c:dLbls>
            <c:dLbl>
              <c:idx val="0"/>
              <c:layout>
                <c:manualLayout>
                  <c:x val="-4.7507396292153399E-2"/>
                  <c:y val="-1.5721846752846203E-2"/>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graf!$D$21</c:f>
              <c:numCache>
                <c:formatCode>General</c:formatCode>
                <c:ptCount val="1"/>
                <c:pt idx="0">
                  <c:v>0.38593472366638876</c:v>
                </c:pt>
              </c:numCache>
            </c:numRef>
          </c:xVal>
          <c:yVal>
            <c:numRef>
              <c:f>graf!$F$21</c:f>
              <c:numCache>
                <c:formatCode>General</c:formatCode>
                <c:ptCount val="1"/>
                <c:pt idx="0">
                  <c:v>-30.739320591082603</c:v>
                </c:pt>
              </c:numCache>
            </c:numRef>
          </c:yVal>
          <c:smooth val="0"/>
        </c:ser>
        <c:ser>
          <c:idx val="14"/>
          <c:order val="14"/>
          <c:tx>
            <c:strRef>
              <c:f>graf!$C$22</c:f>
              <c:strCache>
                <c:ptCount val="1"/>
                <c:pt idx="0">
                  <c:v>LVA</c:v>
                </c:pt>
              </c:strCache>
            </c:strRef>
          </c:tx>
          <c:spPr>
            <a:ln w="28575">
              <a:noFill/>
            </a:ln>
          </c:spPr>
          <c:marker>
            <c:symbol val="circle"/>
            <c:size val="7"/>
            <c:spPr>
              <a:solidFill>
                <a:srgbClr val="FFFF00"/>
              </a:solidFill>
              <a:ln>
                <a:solidFill>
                  <a:srgbClr val="FFFF00"/>
                </a:solidFill>
              </a:ln>
            </c:spPr>
          </c:marker>
          <c:dLbls>
            <c:dLbl>
              <c:idx val="0"/>
              <c:layout>
                <c:manualLayout>
                  <c:x val="-9.1116173120728925E-3"/>
                  <c:y val="0"/>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graf!$D$22</c:f>
              <c:numCache>
                <c:formatCode>General</c:formatCode>
                <c:ptCount val="1"/>
                <c:pt idx="0">
                  <c:v>0.28505852949184995</c:v>
                </c:pt>
              </c:numCache>
            </c:numRef>
          </c:xVal>
          <c:yVal>
            <c:numRef>
              <c:f>graf!$F$22</c:f>
              <c:numCache>
                <c:formatCode>General</c:formatCode>
                <c:ptCount val="1"/>
                <c:pt idx="0">
                  <c:v>36.438953199128264</c:v>
                </c:pt>
              </c:numCache>
            </c:numRef>
          </c:yVal>
          <c:smooth val="0"/>
        </c:ser>
        <c:ser>
          <c:idx val="15"/>
          <c:order val="15"/>
          <c:tx>
            <c:strRef>
              <c:f>graf!$C$23</c:f>
              <c:strCache>
                <c:ptCount val="1"/>
                <c:pt idx="0">
                  <c:v>LTU</c:v>
                </c:pt>
              </c:strCache>
            </c:strRef>
          </c:tx>
          <c:spPr>
            <a:ln w="28575">
              <a:noFill/>
            </a:ln>
          </c:spPr>
          <c:marker>
            <c:symbol val="circle"/>
            <c:size val="7"/>
            <c:spPr>
              <a:solidFill>
                <a:srgbClr val="FFFF00"/>
              </a:solidFill>
              <a:ln>
                <a:solidFill>
                  <a:srgbClr val="FFFF00"/>
                </a:solidFill>
              </a:ln>
            </c:spPr>
          </c:marker>
          <c:dLbls>
            <c:dLbl>
              <c:idx val="0"/>
              <c:layout>
                <c:manualLayout>
                  <c:x val="-5.466970387243736E-3"/>
                  <c:y val="0"/>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graf!$D$23</c:f>
              <c:numCache>
                <c:formatCode>General</c:formatCode>
                <c:ptCount val="1"/>
                <c:pt idx="0">
                  <c:v>0.35877240699648932</c:v>
                </c:pt>
              </c:numCache>
            </c:numRef>
          </c:xVal>
          <c:yVal>
            <c:numRef>
              <c:f>graf!$F$23</c:f>
              <c:numCache>
                <c:formatCode>General</c:formatCode>
                <c:ptCount val="1"/>
                <c:pt idx="0">
                  <c:v>144.84115655305146</c:v>
                </c:pt>
              </c:numCache>
            </c:numRef>
          </c:yVal>
          <c:smooth val="0"/>
        </c:ser>
        <c:ser>
          <c:idx val="16"/>
          <c:order val="16"/>
          <c:tx>
            <c:strRef>
              <c:f>graf!$C$24</c:f>
              <c:strCache>
                <c:ptCount val="1"/>
                <c:pt idx="0">
                  <c:v>LUX</c:v>
                </c:pt>
              </c:strCache>
            </c:strRef>
          </c:tx>
          <c:spPr>
            <a:ln w="28575">
              <a:noFill/>
            </a:ln>
          </c:spPr>
          <c:marker>
            <c:symbol val="circle"/>
            <c:size val="7"/>
            <c:spPr>
              <a:solidFill>
                <a:srgbClr val="00B0F0"/>
              </a:solidFill>
              <a:ln>
                <a:solidFill>
                  <a:srgbClr val="00B0F0"/>
                </a:solidFill>
              </a:ln>
            </c:spPr>
          </c:marker>
          <c:dPt>
            <c:idx val="0"/>
            <c:marker>
              <c:spPr>
                <a:solidFill>
                  <a:srgbClr val="00B050"/>
                </a:solidFill>
                <a:ln>
                  <a:solidFill>
                    <a:srgbClr val="00B0F0"/>
                  </a:solidFill>
                </a:ln>
              </c:spPr>
            </c:marker>
            <c:bubble3D val="0"/>
          </c:dPt>
          <c:dLbls>
            <c:dLbl>
              <c:idx val="0"/>
              <c:layout>
                <c:manualLayout>
                  <c:x val="-1.0950513494671042E-2"/>
                  <c:y val="-4.2181944741157213E-3"/>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graf!$D$24</c:f>
              <c:numCache>
                <c:formatCode>General</c:formatCode>
                <c:ptCount val="1"/>
                <c:pt idx="0">
                  <c:v>0.61089826835872307</c:v>
                </c:pt>
              </c:numCache>
            </c:numRef>
          </c:xVal>
          <c:yVal>
            <c:numRef>
              <c:f>graf!$F$24</c:f>
              <c:numCache>
                <c:formatCode>General</c:formatCode>
                <c:ptCount val="1"/>
                <c:pt idx="0">
                  <c:v>-2.6553215629276821</c:v>
                </c:pt>
              </c:numCache>
            </c:numRef>
          </c:yVal>
          <c:smooth val="0"/>
        </c:ser>
        <c:ser>
          <c:idx val="17"/>
          <c:order val="17"/>
          <c:tx>
            <c:strRef>
              <c:f>graf!$C$25</c:f>
              <c:strCache>
                <c:ptCount val="1"/>
                <c:pt idx="0">
                  <c:v>HUN</c:v>
                </c:pt>
              </c:strCache>
            </c:strRef>
          </c:tx>
          <c:spPr>
            <a:ln w="28575">
              <a:noFill/>
            </a:ln>
          </c:spPr>
          <c:marker>
            <c:symbol val="circle"/>
            <c:size val="7"/>
            <c:spPr>
              <a:solidFill>
                <a:srgbClr val="FFFF00"/>
              </a:solidFill>
              <a:ln>
                <a:solidFill>
                  <a:srgbClr val="FFFF00"/>
                </a:solidFill>
              </a:ln>
            </c:spPr>
          </c:marker>
          <c:dLbls>
            <c:dLbl>
              <c:idx val="0"/>
              <c:layout>
                <c:manualLayout>
                  <c:x val="-5.4007756967540364E-3"/>
                  <c:y val="6.9552813379380012E-3"/>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graf!$D$25</c:f>
              <c:numCache>
                <c:formatCode>General</c:formatCode>
                <c:ptCount val="1"/>
                <c:pt idx="0">
                  <c:v>0.33162302523495552</c:v>
                </c:pt>
              </c:numCache>
            </c:numRef>
          </c:xVal>
          <c:yVal>
            <c:numRef>
              <c:f>graf!$F$25</c:f>
              <c:numCache>
                <c:formatCode>General</c:formatCode>
                <c:ptCount val="1"/>
                <c:pt idx="0">
                  <c:v>-48.389256743269648</c:v>
                </c:pt>
              </c:numCache>
            </c:numRef>
          </c:yVal>
          <c:smooth val="0"/>
        </c:ser>
        <c:ser>
          <c:idx val="18"/>
          <c:order val="18"/>
          <c:tx>
            <c:strRef>
              <c:f>graf!$C$26</c:f>
              <c:strCache>
                <c:ptCount val="1"/>
                <c:pt idx="0">
                  <c:v>MLT</c:v>
                </c:pt>
              </c:strCache>
            </c:strRef>
          </c:tx>
          <c:spPr>
            <a:ln w="28575">
              <a:noFill/>
            </a:ln>
          </c:spPr>
          <c:marker>
            <c:symbol val="circle"/>
            <c:size val="7"/>
            <c:spPr>
              <a:solidFill>
                <a:srgbClr val="FFFF00"/>
              </a:solidFill>
              <a:ln>
                <a:solidFill>
                  <a:srgbClr val="FFFF00"/>
                </a:solidFill>
              </a:ln>
            </c:spPr>
          </c:marker>
          <c:dLbls>
            <c:dLbl>
              <c:idx val="0"/>
              <c:layout>
                <c:manualLayout>
                  <c:x val="-5.466970387243736E-3"/>
                  <c:y val="0"/>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graf!$D$26</c:f>
              <c:numCache>
                <c:formatCode>General</c:formatCode>
                <c:ptCount val="1"/>
                <c:pt idx="0">
                  <c:v>0.40295013469428231</c:v>
                </c:pt>
              </c:numCache>
            </c:numRef>
          </c:xVal>
          <c:yVal>
            <c:numRef>
              <c:f>graf!$F$26</c:f>
              <c:numCache>
                <c:formatCode>General</c:formatCode>
                <c:ptCount val="1"/>
                <c:pt idx="0">
                  <c:v>31.138430529082882</c:v>
                </c:pt>
              </c:numCache>
            </c:numRef>
          </c:yVal>
          <c:smooth val="0"/>
        </c:ser>
        <c:ser>
          <c:idx val="19"/>
          <c:order val="19"/>
          <c:tx>
            <c:strRef>
              <c:f>graf!$C$27</c:f>
              <c:strCache>
                <c:ptCount val="1"/>
                <c:pt idx="0">
                  <c:v>NLD</c:v>
                </c:pt>
              </c:strCache>
            </c:strRef>
          </c:tx>
          <c:spPr>
            <a:ln w="28575">
              <a:noFill/>
            </a:ln>
          </c:spPr>
          <c:marker>
            <c:symbol val="circle"/>
            <c:size val="7"/>
            <c:spPr>
              <a:solidFill>
                <a:srgbClr val="00B050"/>
              </a:solidFill>
              <a:ln>
                <a:solidFill>
                  <a:srgbClr val="00B050"/>
                </a:solidFill>
              </a:ln>
            </c:spPr>
          </c:marker>
          <c:dLbls>
            <c:dLbl>
              <c:idx val="0"/>
              <c:layout>
                <c:manualLayout>
                  <c:x val="-5.466970387243736E-3"/>
                  <c:y val="0"/>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graf!$D$27</c:f>
              <c:numCache>
                <c:formatCode>General</c:formatCode>
                <c:ptCount val="1"/>
                <c:pt idx="0">
                  <c:v>0.64797697383976571</c:v>
                </c:pt>
              </c:numCache>
            </c:numRef>
          </c:xVal>
          <c:yVal>
            <c:numRef>
              <c:f>graf!$F$27</c:f>
              <c:numCache>
                <c:formatCode>General</c:formatCode>
                <c:ptCount val="1"/>
                <c:pt idx="0">
                  <c:v>17.381777239109937</c:v>
                </c:pt>
              </c:numCache>
            </c:numRef>
          </c:yVal>
          <c:smooth val="0"/>
        </c:ser>
        <c:ser>
          <c:idx val="20"/>
          <c:order val="20"/>
          <c:tx>
            <c:strRef>
              <c:f>graf!$C$28</c:f>
              <c:strCache>
                <c:ptCount val="1"/>
                <c:pt idx="0">
                  <c:v>AUT</c:v>
                </c:pt>
              </c:strCache>
            </c:strRef>
          </c:tx>
          <c:spPr>
            <a:ln w="28575">
              <a:noFill/>
            </a:ln>
          </c:spPr>
          <c:marker>
            <c:symbol val="circle"/>
            <c:size val="7"/>
            <c:spPr>
              <a:solidFill>
                <a:srgbClr val="00B0F0"/>
              </a:solidFill>
              <a:ln>
                <a:solidFill>
                  <a:srgbClr val="00B0F0"/>
                </a:solidFill>
              </a:ln>
            </c:spPr>
          </c:marker>
          <c:dLbls>
            <c:dLbl>
              <c:idx val="0"/>
              <c:layout>
                <c:manualLayout>
                  <c:x val="-5.6492027334851938E-2"/>
                  <c:y val="-1.0078741157293484E-2"/>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graf!$D$28</c:f>
              <c:numCache>
                <c:formatCode>General</c:formatCode>
                <c:ptCount val="1"/>
                <c:pt idx="0">
                  <c:v>0.57851082836933287</c:v>
                </c:pt>
              </c:numCache>
            </c:numRef>
          </c:xVal>
          <c:yVal>
            <c:numRef>
              <c:f>graf!$F$28</c:f>
              <c:numCache>
                <c:formatCode>General</c:formatCode>
                <c:ptCount val="1"/>
                <c:pt idx="0">
                  <c:v>20.544488338634622</c:v>
                </c:pt>
              </c:numCache>
            </c:numRef>
          </c:yVal>
          <c:smooth val="0"/>
        </c:ser>
        <c:ser>
          <c:idx val="21"/>
          <c:order val="21"/>
          <c:tx>
            <c:strRef>
              <c:f>graf!$C$29</c:f>
              <c:strCache>
                <c:ptCount val="1"/>
                <c:pt idx="0">
                  <c:v>POL</c:v>
                </c:pt>
              </c:strCache>
            </c:strRef>
          </c:tx>
          <c:spPr>
            <a:ln w="28575">
              <a:noFill/>
            </a:ln>
          </c:spPr>
          <c:marker>
            <c:spPr>
              <a:solidFill>
                <a:srgbClr val="FFFF00"/>
              </a:solidFill>
              <a:ln>
                <a:solidFill>
                  <a:srgbClr val="FFFF00"/>
                </a:solidFill>
              </a:ln>
            </c:spPr>
          </c:marker>
          <c:dPt>
            <c:idx val="0"/>
            <c:marker>
              <c:symbol val="circle"/>
              <c:size val="7"/>
            </c:marker>
            <c:bubble3D val="0"/>
          </c:dPt>
          <c:dLbls>
            <c:dLbl>
              <c:idx val="0"/>
              <c:layout>
                <c:manualLayout>
                  <c:x val="-3.6490677419187698E-2"/>
                  <c:y val="1.7476716104122839E-2"/>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graf!$D$29</c:f>
              <c:numCache>
                <c:formatCode>General</c:formatCode>
                <c:ptCount val="1"/>
                <c:pt idx="0">
                  <c:v>0.27044234973880116</c:v>
                </c:pt>
              </c:numCache>
            </c:numRef>
          </c:xVal>
          <c:yVal>
            <c:numRef>
              <c:f>graf!$F$29</c:f>
              <c:numCache>
                <c:formatCode>General</c:formatCode>
                <c:ptCount val="1"/>
                <c:pt idx="0">
                  <c:v>-26.928533433509941</c:v>
                </c:pt>
              </c:numCache>
            </c:numRef>
          </c:yVal>
          <c:smooth val="0"/>
        </c:ser>
        <c:ser>
          <c:idx val="22"/>
          <c:order val="22"/>
          <c:tx>
            <c:strRef>
              <c:f>graf!$C$30</c:f>
              <c:strCache>
                <c:ptCount val="1"/>
                <c:pt idx="0">
                  <c:v>PRT</c:v>
                </c:pt>
              </c:strCache>
            </c:strRef>
          </c:tx>
          <c:spPr>
            <a:ln w="28575">
              <a:noFill/>
            </a:ln>
          </c:spPr>
          <c:marker>
            <c:symbol val="circle"/>
            <c:size val="7"/>
            <c:spPr>
              <a:solidFill>
                <a:srgbClr val="FFFF00"/>
              </a:solidFill>
              <a:ln>
                <a:solidFill>
                  <a:srgbClr val="FFFF00"/>
                </a:solidFill>
              </a:ln>
            </c:spPr>
          </c:marker>
          <c:dLbls>
            <c:dLbl>
              <c:idx val="0"/>
              <c:layout>
                <c:manualLayout>
                  <c:x val="-1.0933940774487472E-2"/>
                  <c:y val="-1.7637797025263514E-2"/>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graf!$D$30</c:f>
              <c:numCache>
                <c:formatCode>General</c:formatCode>
                <c:ptCount val="1"/>
                <c:pt idx="0">
                  <c:v>0.40602541492533545</c:v>
                </c:pt>
              </c:numCache>
            </c:numRef>
          </c:xVal>
          <c:yVal>
            <c:numRef>
              <c:f>graf!$F$30</c:f>
              <c:numCache>
                <c:formatCode>General</c:formatCode>
                <c:ptCount val="1"/>
                <c:pt idx="0">
                  <c:v>-7.2100913317873108</c:v>
                </c:pt>
              </c:numCache>
            </c:numRef>
          </c:yVal>
          <c:smooth val="0"/>
        </c:ser>
        <c:ser>
          <c:idx val="23"/>
          <c:order val="23"/>
          <c:tx>
            <c:strRef>
              <c:f>graf!$C$31</c:f>
              <c:strCache>
                <c:ptCount val="1"/>
                <c:pt idx="0">
                  <c:v>ROM</c:v>
                </c:pt>
              </c:strCache>
            </c:strRef>
          </c:tx>
          <c:spPr>
            <a:ln w="28575">
              <a:solidFill>
                <a:schemeClr val="accent1"/>
              </a:solidFill>
            </a:ln>
          </c:spPr>
          <c:marker>
            <c:symbol val="circle"/>
            <c:size val="7"/>
            <c:spPr>
              <a:solidFill>
                <a:schemeClr val="accent6"/>
              </a:solidFill>
              <a:ln>
                <a:solidFill>
                  <a:schemeClr val="accent6"/>
                </a:solidFill>
              </a:ln>
            </c:spPr>
          </c:marker>
          <c:dLbls>
            <c:dLbl>
              <c:idx val="0"/>
              <c:layout>
                <c:manualLayout>
                  <c:x val="-7.2892938496583147E-3"/>
                  <c:y val="0"/>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graf!$D$31</c:f>
              <c:numCache>
                <c:formatCode>General</c:formatCode>
                <c:ptCount val="1"/>
                <c:pt idx="0">
                  <c:v>0.1569697637090979</c:v>
                </c:pt>
              </c:numCache>
            </c:numRef>
          </c:xVal>
          <c:yVal>
            <c:numRef>
              <c:f>graf!$F$31</c:f>
              <c:numCache>
                <c:formatCode>General</c:formatCode>
                <c:ptCount val="1"/>
                <c:pt idx="0">
                  <c:v>-69.184699810608194</c:v>
                </c:pt>
              </c:numCache>
            </c:numRef>
          </c:yVal>
          <c:smooth val="0"/>
        </c:ser>
        <c:ser>
          <c:idx val="24"/>
          <c:order val="24"/>
          <c:tx>
            <c:strRef>
              <c:f>graf!$C$32</c:f>
              <c:strCache>
                <c:ptCount val="1"/>
                <c:pt idx="0">
                  <c:v>SVN</c:v>
                </c:pt>
              </c:strCache>
            </c:strRef>
          </c:tx>
          <c:spPr>
            <a:ln w="28575">
              <a:noFill/>
            </a:ln>
          </c:spPr>
          <c:marker>
            <c:spPr>
              <a:solidFill>
                <a:srgbClr val="00B0F0"/>
              </a:solidFill>
              <a:ln>
                <a:solidFill>
                  <a:srgbClr val="00B0F0"/>
                </a:solidFill>
              </a:ln>
            </c:spPr>
          </c:marker>
          <c:dPt>
            <c:idx val="0"/>
            <c:marker>
              <c:symbol val="circle"/>
              <c:size val="7"/>
            </c:marker>
            <c:bubble3D val="0"/>
          </c:dPt>
          <c:dLbls>
            <c:dLbl>
              <c:idx val="0"/>
              <c:layout>
                <c:manualLayout>
                  <c:x val="-6.3105827049396601E-2"/>
                  <c:y val="0"/>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graf!$D$32</c:f>
              <c:numCache>
                <c:formatCode>General</c:formatCode>
                <c:ptCount val="1"/>
                <c:pt idx="0">
                  <c:v>0.46528049247987702</c:v>
                </c:pt>
              </c:numCache>
            </c:numRef>
          </c:xVal>
          <c:yVal>
            <c:numRef>
              <c:f>graf!$F$32</c:f>
              <c:numCache>
                <c:formatCode>General</c:formatCode>
                <c:ptCount val="1"/>
                <c:pt idx="0">
                  <c:v>6.643620056724501</c:v>
                </c:pt>
              </c:numCache>
            </c:numRef>
          </c:yVal>
          <c:smooth val="0"/>
        </c:ser>
        <c:ser>
          <c:idx val="25"/>
          <c:order val="25"/>
          <c:tx>
            <c:strRef>
              <c:f>graf!$C$34</c:f>
              <c:strCache>
                <c:ptCount val="1"/>
                <c:pt idx="0">
                  <c:v>FIN</c:v>
                </c:pt>
              </c:strCache>
            </c:strRef>
          </c:tx>
          <c:spPr>
            <a:ln w="28575">
              <a:solidFill>
                <a:srgbClr val="00B050"/>
              </a:solidFill>
            </a:ln>
          </c:spPr>
          <c:marker>
            <c:symbol val="circle"/>
            <c:size val="7"/>
            <c:spPr>
              <a:solidFill>
                <a:srgbClr val="00B050"/>
              </a:solidFill>
              <a:ln>
                <a:solidFill>
                  <a:srgbClr val="00B050"/>
                </a:solidFill>
              </a:ln>
            </c:spPr>
          </c:marker>
          <c:dPt>
            <c:idx val="0"/>
            <c:bubble3D val="0"/>
          </c:dPt>
          <c:dLbls>
            <c:dLbl>
              <c:idx val="0"/>
              <c:layout>
                <c:manualLayout>
                  <c:x val="-1.4595119569791695E-2"/>
                  <c:y val="-2.0213802967945116E-2"/>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graf!$D$34</c:f>
              <c:numCache>
                <c:formatCode>General</c:formatCode>
                <c:ptCount val="1"/>
                <c:pt idx="0">
                  <c:v>0.64899594040488651</c:v>
                </c:pt>
              </c:numCache>
            </c:numRef>
          </c:xVal>
          <c:yVal>
            <c:numRef>
              <c:f>graf!$F$34</c:f>
              <c:numCache>
                <c:formatCode>General</c:formatCode>
                <c:ptCount val="1"/>
                <c:pt idx="0">
                  <c:v>25.995060625614698</c:v>
                </c:pt>
              </c:numCache>
            </c:numRef>
          </c:yVal>
          <c:smooth val="0"/>
        </c:ser>
        <c:ser>
          <c:idx val="26"/>
          <c:order val="26"/>
          <c:tx>
            <c:strRef>
              <c:f>graf!$C$35</c:f>
              <c:strCache>
                <c:ptCount val="1"/>
                <c:pt idx="0">
                  <c:v>SWE</c:v>
                </c:pt>
              </c:strCache>
            </c:strRef>
          </c:tx>
          <c:spPr>
            <a:ln w="28575">
              <a:noFill/>
            </a:ln>
          </c:spPr>
          <c:marker>
            <c:symbol val="circle"/>
            <c:size val="7"/>
            <c:spPr>
              <a:solidFill>
                <a:srgbClr val="00B050"/>
              </a:solidFill>
              <a:ln>
                <a:solidFill>
                  <a:srgbClr val="00B050"/>
                </a:solidFill>
              </a:ln>
            </c:spPr>
          </c:marker>
          <c:dLbls>
            <c:dLbl>
              <c:idx val="0"/>
              <c:layout>
                <c:manualLayout>
                  <c:x val="-2.9676560820578242E-2"/>
                  <c:y val="1.3951591567289505E-2"/>
                </c:manualLayout>
              </c:layout>
              <c:dLblPos val="r"/>
              <c:showLegendKey val="0"/>
              <c:showVal val="0"/>
              <c:showCatName val="0"/>
              <c:showSerName val="1"/>
              <c:showPercent val="0"/>
              <c:showBubbleSize val="0"/>
            </c:dLbl>
            <c:dLblPos val="b"/>
            <c:showLegendKey val="0"/>
            <c:showVal val="0"/>
            <c:showCatName val="0"/>
            <c:showSerName val="1"/>
            <c:showPercent val="0"/>
            <c:showBubbleSize val="0"/>
            <c:showLeaderLines val="0"/>
          </c:dLbls>
          <c:xVal>
            <c:numRef>
              <c:f>graf!$D$35</c:f>
              <c:numCache>
                <c:formatCode>General</c:formatCode>
                <c:ptCount val="1"/>
                <c:pt idx="0">
                  <c:v>0.71034388587489539</c:v>
                </c:pt>
              </c:numCache>
            </c:numRef>
          </c:xVal>
          <c:yVal>
            <c:numRef>
              <c:f>graf!$F$35</c:f>
              <c:numCache>
                <c:formatCode>General</c:formatCode>
                <c:ptCount val="1"/>
                <c:pt idx="0">
                  <c:v>27.715150916138981</c:v>
                </c:pt>
              </c:numCache>
            </c:numRef>
          </c:yVal>
          <c:smooth val="0"/>
        </c:ser>
        <c:ser>
          <c:idx val="27"/>
          <c:order val="27"/>
          <c:tx>
            <c:strRef>
              <c:f>graf!$C$36</c:f>
              <c:strCache>
                <c:ptCount val="1"/>
                <c:pt idx="0">
                  <c:v>GBR</c:v>
                </c:pt>
              </c:strCache>
            </c:strRef>
          </c:tx>
          <c:spPr>
            <a:ln w="28575">
              <a:noFill/>
            </a:ln>
          </c:spPr>
          <c:marker>
            <c:symbol val="circle"/>
            <c:size val="7"/>
            <c:spPr>
              <a:solidFill>
                <a:srgbClr val="00B050"/>
              </a:solidFill>
              <a:ln>
                <a:solidFill>
                  <a:srgbClr val="00B050"/>
                </a:solidFill>
              </a:ln>
            </c:spPr>
          </c:marker>
          <c:dLbls>
            <c:dLbl>
              <c:idx val="0"/>
              <c:layout>
                <c:manualLayout>
                  <c:x val="-3.1029165484085089E-2"/>
                  <c:y val="-1.7637825242388785E-2"/>
                </c:manualLayout>
              </c:layout>
              <c:showLegendKey val="0"/>
              <c:showVal val="0"/>
              <c:showCatName val="0"/>
              <c:showSerName val="1"/>
              <c:showPercent val="0"/>
              <c:showBubbleSize val="0"/>
            </c:dLbl>
            <c:showLegendKey val="0"/>
            <c:showVal val="0"/>
            <c:showCatName val="0"/>
            <c:showSerName val="1"/>
            <c:showPercent val="0"/>
            <c:showBubbleSize val="0"/>
            <c:showLeaderLines val="0"/>
          </c:dLbls>
          <c:xVal>
            <c:numRef>
              <c:f>graf!$D$36</c:f>
              <c:numCache>
                <c:formatCode>General</c:formatCode>
                <c:ptCount val="1"/>
                <c:pt idx="0">
                  <c:v>0.61257971909345565</c:v>
                </c:pt>
              </c:numCache>
            </c:numRef>
          </c:xVal>
          <c:yVal>
            <c:numRef>
              <c:f>graf!$F$36</c:f>
              <c:numCache>
                <c:formatCode>General</c:formatCode>
                <c:ptCount val="1"/>
                <c:pt idx="0">
                  <c:v>20.382362072516202</c:v>
                </c:pt>
              </c:numCache>
            </c:numRef>
          </c:yVal>
          <c:smooth val="0"/>
        </c:ser>
        <c:ser>
          <c:idx val="28"/>
          <c:order val="28"/>
          <c:tx>
            <c:strRef>
              <c:f>graf!$C$33</c:f>
              <c:strCache>
                <c:ptCount val="1"/>
                <c:pt idx="0">
                  <c:v>SVK</c:v>
                </c:pt>
              </c:strCache>
            </c:strRef>
          </c:tx>
          <c:spPr>
            <a:ln w="28575">
              <a:noFill/>
            </a:ln>
          </c:spPr>
          <c:marker>
            <c:spPr>
              <a:ln>
                <a:noFill/>
              </a:ln>
            </c:spPr>
          </c:marker>
          <c:dPt>
            <c:idx val="0"/>
            <c:marker>
              <c:symbol val="circle"/>
              <c:size val="7"/>
              <c:spPr>
                <a:solidFill>
                  <a:srgbClr val="FFFF00"/>
                </a:solidFill>
                <a:ln>
                  <a:noFill/>
                </a:ln>
              </c:spPr>
            </c:marker>
            <c:bubble3D val="0"/>
          </c:dPt>
          <c:dLbls>
            <c:dLbl>
              <c:idx val="0"/>
              <c:layout>
                <c:manualLayout>
                  <c:x val="-5.8641330990650962E-2"/>
                  <c:y val="0"/>
                </c:manualLayout>
              </c:layout>
              <c:dLblPos val="r"/>
              <c:showLegendKey val="0"/>
              <c:showVal val="0"/>
              <c:showCatName val="0"/>
              <c:showSerName val="1"/>
              <c:showPercent val="0"/>
              <c:showBubbleSize val="0"/>
            </c:dLbl>
            <c:dLblPos val="l"/>
            <c:showLegendKey val="0"/>
            <c:showVal val="0"/>
            <c:showCatName val="0"/>
            <c:showSerName val="1"/>
            <c:showPercent val="0"/>
            <c:showBubbleSize val="0"/>
            <c:showLeaderLines val="0"/>
          </c:dLbls>
          <c:xVal>
            <c:numRef>
              <c:f>graf!$D$33</c:f>
              <c:numCache>
                <c:formatCode>General</c:formatCode>
                <c:ptCount val="1"/>
                <c:pt idx="0">
                  <c:v>0.32305171888270257</c:v>
                </c:pt>
              </c:numCache>
            </c:numRef>
          </c:xVal>
          <c:yVal>
            <c:numRef>
              <c:f>graf!$F$33</c:f>
              <c:numCache>
                <c:formatCode>General</c:formatCode>
                <c:ptCount val="1"/>
                <c:pt idx="0">
                  <c:v>-52.821240393674024</c:v>
                </c:pt>
              </c:numCache>
            </c:numRef>
          </c:yVal>
          <c:smooth val="0"/>
        </c:ser>
        <c:dLbls>
          <c:showLegendKey val="0"/>
          <c:showVal val="0"/>
          <c:showCatName val="0"/>
          <c:showSerName val="0"/>
          <c:showPercent val="0"/>
          <c:showBubbleSize val="0"/>
        </c:dLbls>
        <c:axId val="184235904"/>
        <c:axId val="184254464"/>
      </c:scatterChart>
      <c:valAx>
        <c:axId val="184235904"/>
        <c:scaling>
          <c:orientation val="minMax"/>
          <c:max val="0.8"/>
          <c:min val="0.1"/>
        </c:scaling>
        <c:delete val="0"/>
        <c:axPos val="b"/>
        <c:title>
          <c:tx>
            <c:rich>
              <a:bodyPr/>
              <a:lstStyle/>
              <a:p>
                <a:pPr>
                  <a:defRPr/>
                </a:pPr>
                <a:r>
                  <a:rPr lang="cs-CZ"/>
                  <a:t>hodnota </a:t>
                </a:r>
                <a:r>
                  <a:rPr lang="en-US"/>
                  <a:t>SII v roce 201</a:t>
                </a:r>
                <a:r>
                  <a:rPr lang="cs-CZ"/>
                  <a:t>7</a:t>
                </a:r>
                <a:endParaRPr lang="en-US"/>
              </a:p>
            </c:rich>
          </c:tx>
          <c:layout>
            <c:manualLayout>
              <c:xMode val="edge"/>
              <c:yMode val="edge"/>
              <c:x val="2.7130100476736294E-2"/>
              <c:y val="0.69644438675247833"/>
            </c:manualLayout>
          </c:layout>
          <c:overlay val="0"/>
        </c:title>
        <c:numFmt formatCode="General" sourceLinked="0"/>
        <c:majorTickMark val="out"/>
        <c:minorTickMark val="none"/>
        <c:tickLblPos val="nextTo"/>
        <c:crossAx val="184254464"/>
        <c:crossesAt val="-20.666354620000003"/>
        <c:crossBetween val="midCat"/>
        <c:majorUnit val="0.1"/>
      </c:valAx>
      <c:valAx>
        <c:axId val="184254464"/>
        <c:scaling>
          <c:orientation val="minMax"/>
          <c:max val="150"/>
        </c:scaling>
        <c:delete val="0"/>
        <c:axPos val="l"/>
        <c:title>
          <c:tx>
            <c:rich>
              <a:bodyPr rot="-5400000" vert="horz"/>
              <a:lstStyle/>
              <a:p>
                <a:pPr>
                  <a:defRPr/>
                </a:pPr>
                <a:r>
                  <a:rPr lang="en-US"/>
                  <a:t>změna SII 201</a:t>
                </a:r>
                <a:r>
                  <a:rPr lang="cs-CZ"/>
                  <a:t>7</a:t>
                </a:r>
                <a:r>
                  <a:rPr lang="en-US"/>
                  <a:t>/2010 (%)</a:t>
                </a:r>
              </a:p>
            </c:rich>
          </c:tx>
          <c:layout>
            <c:manualLayout>
              <c:xMode val="edge"/>
              <c:yMode val="edge"/>
              <c:x val="0.49873331840354079"/>
              <c:y val="3.936120845647896E-2"/>
            </c:manualLayout>
          </c:layout>
          <c:overlay val="0"/>
        </c:title>
        <c:numFmt formatCode="0" sourceLinked="0"/>
        <c:majorTickMark val="out"/>
        <c:minorTickMark val="none"/>
        <c:tickLblPos val="nextTo"/>
        <c:crossAx val="184235904"/>
        <c:crossesAt val="0.50438487799999998"/>
        <c:crossBetween val="midCat"/>
      </c:valAx>
    </c:plotArea>
    <c:plotVisOnly val="1"/>
    <c:dispBlanksAs val="gap"/>
    <c:showDLblsOverMax val="0"/>
  </c:chart>
  <c:spPr>
    <a:ln>
      <a:noFill/>
    </a:ln>
  </c:spPr>
  <c:txPr>
    <a:bodyPr/>
    <a:lstStyle/>
    <a:p>
      <a:pPr>
        <a:defRPr sz="900">
          <a:latin typeface="Arial" pitchFamily="34" charset="0"/>
          <a:cs typeface="Arial" pitchFamily="34" charset="0"/>
        </a:defRPr>
      </a:pPr>
      <a:endParaRPr lang="cs-CZ"/>
    </a:p>
  </c:txPr>
  <c:externalData r:id="rId1">
    <c:autoUpdate val="0"/>
  </c:externalData>
  <c:userShapes r:id="rId2"/>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'CZE vs AUT'!$B$5</c:f>
              <c:strCache>
                <c:ptCount val="1"/>
                <c:pt idx="0">
                  <c:v>CZE</c:v>
                </c:pt>
              </c:strCache>
            </c:strRef>
          </c:tx>
          <c:spPr>
            <a:ln>
              <a:solidFill>
                <a:schemeClr val="accent2"/>
              </a:solidFill>
            </a:ln>
          </c:spPr>
          <c:marker>
            <c:symbol val="diamond"/>
            <c:size val="5"/>
            <c:spPr>
              <a:solidFill>
                <a:schemeClr val="accent2"/>
              </a:solidFill>
              <a:ln>
                <a:solidFill>
                  <a:schemeClr val="accent2"/>
                </a:solidFill>
              </a:ln>
            </c:spPr>
          </c:marker>
          <c:cat>
            <c:numRef>
              <c:f>'CZE vs AUT'!$C$4:$J$4</c:f>
              <c:numCache>
                <c:formatCode>General</c:formatCode>
                <c:ptCount val="8"/>
                <c:pt idx="0">
                  <c:v>2010</c:v>
                </c:pt>
                <c:pt idx="1">
                  <c:v>2011</c:v>
                </c:pt>
                <c:pt idx="2">
                  <c:v>2012</c:v>
                </c:pt>
                <c:pt idx="3">
                  <c:v>2013</c:v>
                </c:pt>
                <c:pt idx="4">
                  <c:v>2014</c:v>
                </c:pt>
                <c:pt idx="5">
                  <c:v>2015</c:v>
                </c:pt>
                <c:pt idx="6">
                  <c:v>2016</c:v>
                </c:pt>
                <c:pt idx="7">
                  <c:v>2017</c:v>
                </c:pt>
              </c:numCache>
            </c:numRef>
          </c:cat>
          <c:val>
            <c:numRef>
              <c:f>'CZE vs AUT'!$C$5:$J$5</c:f>
              <c:numCache>
                <c:formatCode>0.000</c:formatCode>
                <c:ptCount val="8"/>
                <c:pt idx="0">
                  <c:v>0.42914615954363022</c:v>
                </c:pt>
                <c:pt idx="1">
                  <c:v>0.42205632389872227</c:v>
                </c:pt>
                <c:pt idx="2">
                  <c:v>0.39417844545906849</c:v>
                </c:pt>
                <c:pt idx="3">
                  <c:v>0.40148803975197106</c:v>
                </c:pt>
                <c:pt idx="4">
                  <c:v>0.39949382567833075</c:v>
                </c:pt>
                <c:pt idx="5">
                  <c:v>0.4075235826002902</c:v>
                </c:pt>
                <c:pt idx="6">
                  <c:v>0.40264192909778457</c:v>
                </c:pt>
                <c:pt idx="7">
                  <c:v>0.41509488832957248</c:v>
                </c:pt>
              </c:numCache>
            </c:numRef>
          </c:val>
          <c:smooth val="0"/>
        </c:ser>
        <c:ser>
          <c:idx val="1"/>
          <c:order val="1"/>
          <c:tx>
            <c:strRef>
              <c:f>'CZE vs AUT'!$B$6</c:f>
              <c:strCache>
                <c:ptCount val="1"/>
                <c:pt idx="0">
                  <c:v>AUT</c:v>
                </c:pt>
              </c:strCache>
            </c:strRef>
          </c:tx>
          <c:spPr>
            <a:ln>
              <a:solidFill>
                <a:schemeClr val="tx2"/>
              </a:solidFill>
            </a:ln>
          </c:spPr>
          <c:marker>
            <c:symbol val="x"/>
            <c:size val="4"/>
            <c:spPr>
              <a:solidFill>
                <a:schemeClr val="tx2"/>
              </a:solidFill>
              <a:ln>
                <a:solidFill>
                  <a:schemeClr val="tx2"/>
                </a:solidFill>
              </a:ln>
            </c:spPr>
          </c:marker>
          <c:cat>
            <c:numRef>
              <c:f>'CZE vs AUT'!$C$4:$J$4</c:f>
              <c:numCache>
                <c:formatCode>General</c:formatCode>
                <c:ptCount val="8"/>
                <c:pt idx="0">
                  <c:v>2010</c:v>
                </c:pt>
                <c:pt idx="1">
                  <c:v>2011</c:v>
                </c:pt>
                <c:pt idx="2">
                  <c:v>2012</c:v>
                </c:pt>
                <c:pt idx="3">
                  <c:v>2013</c:v>
                </c:pt>
                <c:pt idx="4">
                  <c:v>2014</c:v>
                </c:pt>
                <c:pt idx="5">
                  <c:v>2015</c:v>
                </c:pt>
                <c:pt idx="6">
                  <c:v>2016</c:v>
                </c:pt>
                <c:pt idx="7">
                  <c:v>2017</c:v>
                </c:pt>
              </c:numCache>
            </c:numRef>
          </c:cat>
          <c:val>
            <c:numRef>
              <c:f>'CZE vs AUT'!$C$6:$J$6</c:f>
              <c:numCache>
                <c:formatCode>0.000</c:formatCode>
                <c:ptCount val="8"/>
                <c:pt idx="0">
                  <c:v>0.53580738382006543</c:v>
                </c:pt>
                <c:pt idx="1">
                  <c:v>0.54070089885212957</c:v>
                </c:pt>
                <c:pt idx="2">
                  <c:v>0.55558539370935511</c:v>
                </c:pt>
                <c:pt idx="3">
                  <c:v>0.56581589762235662</c:v>
                </c:pt>
                <c:pt idx="4">
                  <c:v>0.54991783185264342</c:v>
                </c:pt>
                <c:pt idx="5">
                  <c:v>0.55579496300421372</c:v>
                </c:pt>
                <c:pt idx="6">
                  <c:v>0.5819653708983602</c:v>
                </c:pt>
                <c:pt idx="7">
                  <c:v>0.57851082836933287</c:v>
                </c:pt>
              </c:numCache>
            </c:numRef>
          </c:val>
          <c:smooth val="0"/>
        </c:ser>
        <c:ser>
          <c:idx val="2"/>
          <c:order val="2"/>
          <c:tx>
            <c:strRef>
              <c:f>'CZE vs AUT'!$B$7</c:f>
              <c:strCache>
                <c:ptCount val="1"/>
                <c:pt idx="0">
                  <c:v>EU</c:v>
                </c:pt>
              </c:strCache>
            </c:strRef>
          </c:tx>
          <c:spPr>
            <a:ln>
              <a:solidFill>
                <a:srgbClr val="00B0F0"/>
              </a:solidFill>
            </a:ln>
          </c:spPr>
          <c:marker>
            <c:symbol val="triangle"/>
            <c:size val="6"/>
            <c:spPr>
              <a:solidFill>
                <a:srgbClr val="00B0F0"/>
              </a:solidFill>
              <a:ln>
                <a:solidFill>
                  <a:srgbClr val="00B0F0"/>
                </a:solidFill>
              </a:ln>
            </c:spPr>
          </c:marker>
          <c:cat>
            <c:numRef>
              <c:f>'CZE vs AUT'!$C$4:$J$4</c:f>
              <c:numCache>
                <c:formatCode>General</c:formatCode>
                <c:ptCount val="8"/>
                <c:pt idx="0">
                  <c:v>2010</c:v>
                </c:pt>
                <c:pt idx="1">
                  <c:v>2011</c:v>
                </c:pt>
                <c:pt idx="2">
                  <c:v>2012</c:v>
                </c:pt>
                <c:pt idx="3">
                  <c:v>2013</c:v>
                </c:pt>
                <c:pt idx="4">
                  <c:v>2014</c:v>
                </c:pt>
                <c:pt idx="5">
                  <c:v>2015</c:v>
                </c:pt>
                <c:pt idx="6">
                  <c:v>2016</c:v>
                </c:pt>
                <c:pt idx="7">
                  <c:v>2017</c:v>
                </c:pt>
              </c:numCache>
            </c:numRef>
          </c:cat>
          <c:val>
            <c:numRef>
              <c:f>'CZE vs AUT'!$C$7:$J$7</c:f>
              <c:numCache>
                <c:formatCode>0.000</c:formatCode>
                <c:ptCount val="8"/>
                <c:pt idx="0">
                  <c:v>0.47674814563618795</c:v>
                </c:pt>
                <c:pt idx="1">
                  <c:v>0.4782354977991754</c:v>
                </c:pt>
                <c:pt idx="2">
                  <c:v>0.4711315176058688</c:v>
                </c:pt>
                <c:pt idx="3">
                  <c:v>0.47610124056046849</c:v>
                </c:pt>
                <c:pt idx="4">
                  <c:v>0.47562743477854758</c:v>
                </c:pt>
                <c:pt idx="5">
                  <c:v>0.48543996405416129</c:v>
                </c:pt>
                <c:pt idx="6">
                  <c:v>0.4984757526050605</c:v>
                </c:pt>
                <c:pt idx="7">
                  <c:v>0.50438487813855226</c:v>
                </c:pt>
              </c:numCache>
            </c:numRef>
          </c:val>
          <c:smooth val="0"/>
        </c:ser>
        <c:dLbls>
          <c:showLegendKey val="0"/>
          <c:showVal val="0"/>
          <c:showCatName val="0"/>
          <c:showSerName val="0"/>
          <c:showPercent val="0"/>
          <c:showBubbleSize val="0"/>
        </c:dLbls>
        <c:marker val="1"/>
        <c:smooth val="0"/>
        <c:axId val="181111040"/>
        <c:axId val="183193984"/>
      </c:lineChart>
      <c:catAx>
        <c:axId val="181111040"/>
        <c:scaling>
          <c:orientation val="minMax"/>
        </c:scaling>
        <c:delete val="0"/>
        <c:axPos val="b"/>
        <c:numFmt formatCode="General" sourceLinked="1"/>
        <c:majorTickMark val="out"/>
        <c:minorTickMark val="none"/>
        <c:tickLblPos val="nextTo"/>
        <c:crossAx val="183193984"/>
        <c:crosses val="autoZero"/>
        <c:auto val="1"/>
        <c:lblAlgn val="ctr"/>
        <c:lblOffset val="100"/>
        <c:noMultiLvlLbl val="0"/>
      </c:catAx>
      <c:valAx>
        <c:axId val="183193984"/>
        <c:scaling>
          <c:orientation val="minMax"/>
          <c:max val="0.60000000000000009"/>
          <c:min val="0.35000000000000003"/>
        </c:scaling>
        <c:delete val="0"/>
        <c:axPos val="l"/>
        <c:majorGridlines/>
        <c:title>
          <c:tx>
            <c:rich>
              <a:bodyPr rot="-5400000" vert="horz"/>
              <a:lstStyle/>
              <a:p>
                <a:pPr>
                  <a:defRPr/>
                </a:pPr>
                <a:r>
                  <a:rPr lang="en-US"/>
                  <a:t>SII</a:t>
                </a:r>
                <a:r>
                  <a:rPr lang="cs-CZ"/>
                  <a:t> 2017</a:t>
                </a:r>
                <a:endParaRPr lang="en-US"/>
              </a:p>
            </c:rich>
          </c:tx>
          <c:layout/>
          <c:overlay val="0"/>
        </c:title>
        <c:numFmt formatCode="General" sourceLinked="0"/>
        <c:majorTickMark val="out"/>
        <c:minorTickMark val="none"/>
        <c:tickLblPos val="nextTo"/>
        <c:crossAx val="181111040"/>
        <c:crosses val="autoZero"/>
        <c:crossBetween val="between"/>
      </c:valAx>
    </c:plotArea>
    <c:legend>
      <c:legendPos val="b"/>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6167403764430019E-2"/>
          <c:y val="4.061277763552306E-2"/>
          <c:w val="0.91714697062135497"/>
          <c:h val="0.68042267307699866"/>
        </c:manualLayout>
      </c:layout>
      <c:barChart>
        <c:barDir val="col"/>
        <c:grouping val="clustered"/>
        <c:varyColors val="0"/>
        <c:ser>
          <c:idx val="0"/>
          <c:order val="0"/>
          <c:tx>
            <c:strRef>
              <c:f>'CZE vs AUT'!$B$29</c:f>
              <c:strCache>
                <c:ptCount val="1"/>
                <c:pt idx="0">
                  <c:v>CZE</c:v>
                </c:pt>
              </c:strCache>
            </c:strRef>
          </c:tx>
          <c:spPr>
            <a:solidFill>
              <a:schemeClr val="accent2"/>
            </a:solidFill>
            <a:ln>
              <a:solidFill>
                <a:schemeClr val="accent2"/>
              </a:solidFill>
            </a:ln>
          </c:spPr>
          <c:invertIfNegative val="0"/>
          <c:cat>
            <c:strRef>
              <c:f>'CZE vs AUT'!$C$28:$M$28</c:f>
              <c:strCache>
                <c:ptCount val="11"/>
                <c:pt idx="0">
                  <c:v>SII 2017</c:v>
                </c:pt>
                <c:pt idx="1">
                  <c:v>Human resources</c:v>
                </c:pt>
                <c:pt idx="2">
                  <c:v>Research systems</c:v>
                </c:pt>
                <c:pt idx="3">
                  <c:v>Innovation-friendly environment</c:v>
                </c:pt>
                <c:pt idx="4">
                  <c:v>Finance and support</c:v>
                </c:pt>
                <c:pt idx="5">
                  <c:v>Firm investments</c:v>
                </c:pt>
                <c:pt idx="6">
                  <c:v>Innovators</c:v>
                </c:pt>
                <c:pt idx="7">
                  <c:v>Linkages</c:v>
                </c:pt>
                <c:pt idx="8">
                  <c:v>Intellectual assets</c:v>
                </c:pt>
                <c:pt idx="9">
                  <c:v>Employment impacts</c:v>
                </c:pt>
                <c:pt idx="10">
                  <c:v>Sales impacts</c:v>
                </c:pt>
              </c:strCache>
            </c:strRef>
          </c:cat>
          <c:val>
            <c:numRef>
              <c:f>'CZE vs AUT'!$C$29:$M$29</c:f>
              <c:numCache>
                <c:formatCode>0.000</c:formatCode>
                <c:ptCount val="11"/>
                <c:pt idx="0">
                  <c:v>0.41509488832957248</c:v>
                </c:pt>
                <c:pt idx="1">
                  <c:v>0.37081766723009713</c:v>
                </c:pt>
                <c:pt idx="2">
                  <c:v>0.32451984375265402</c:v>
                </c:pt>
                <c:pt idx="3">
                  <c:v>0.40051193774780114</c:v>
                </c:pt>
                <c:pt idx="4">
                  <c:v>0.28270166166025845</c:v>
                </c:pt>
                <c:pt idx="5">
                  <c:v>0.47642215334954024</c:v>
                </c:pt>
                <c:pt idx="6">
                  <c:v>0.42454043653361584</c:v>
                </c:pt>
                <c:pt idx="7">
                  <c:v>0.36858108242607668</c:v>
                </c:pt>
                <c:pt idx="8">
                  <c:v>0.27032681097148892</c:v>
                </c:pt>
                <c:pt idx="9">
                  <c:v>0.62199779567012858</c:v>
                </c:pt>
                <c:pt idx="10">
                  <c:v>0.63050507065055339</c:v>
                </c:pt>
              </c:numCache>
            </c:numRef>
          </c:val>
        </c:ser>
        <c:ser>
          <c:idx val="1"/>
          <c:order val="1"/>
          <c:tx>
            <c:strRef>
              <c:f>'CZE vs AUT'!$B$30</c:f>
              <c:strCache>
                <c:ptCount val="1"/>
                <c:pt idx="0">
                  <c:v>AUT</c:v>
                </c:pt>
              </c:strCache>
            </c:strRef>
          </c:tx>
          <c:spPr>
            <a:solidFill>
              <a:schemeClr val="tx2"/>
            </a:solidFill>
            <a:ln>
              <a:solidFill>
                <a:schemeClr val="tx2"/>
              </a:solidFill>
            </a:ln>
          </c:spPr>
          <c:invertIfNegative val="0"/>
          <c:cat>
            <c:strRef>
              <c:f>'CZE vs AUT'!$C$28:$M$28</c:f>
              <c:strCache>
                <c:ptCount val="11"/>
                <c:pt idx="0">
                  <c:v>SII 2017</c:v>
                </c:pt>
                <c:pt idx="1">
                  <c:v>Human resources</c:v>
                </c:pt>
                <c:pt idx="2">
                  <c:v>Research systems</c:v>
                </c:pt>
                <c:pt idx="3">
                  <c:v>Innovation-friendly environment</c:v>
                </c:pt>
                <c:pt idx="4">
                  <c:v>Finance and support</c:v>
                </c:pt>
                <c:pt idx="5">
                  <c:v>Firm investments</c:v>
                </c:pt>
                <c:pt idx="6">
                  <c:v>Innovators</c:v>
                </c:pt>
                <c:pt idx="7">
                  <c:v>Linkages</c:v>
                </c:pt>
                <c:pt idx="8">
                  <c:v>Intellectual assets</c:v>
                </c:pt>
                <c:pt idx="9">
                  <c:v>Employment impacts</c:v>
                </c:pt>
                <c:pt idx="10">
                  <c:v>Sales impacts</c:v>
                </c:pt>
              </c:strCache>
            </c:strRef>
          </c:cat>
          <c:val>
            <c:numRef>
              <c:f>'CZE vs AUT'!$C$30:$M$30</c:f>
              <c:numCache>
                <c:formatCode>0.000</c:formatCode>
                <c:ptCount val="11"/>
                <c:pt idx="0">
                  <c:v>0.57851082836933287</c:v>
                </c:pt>
                <c:pt idx="1">
                  <c:v>0.53352630201901785</c:v>
                </c:pt>
                <c:pt idx="2">
                  <c:v>0.61995954995168712</c:v>
                </c:pt>
                <c:pt idx="3">
                  <c:v>0.43842807249334198</c:v>
                </c:pt>
                <c:pt idx="4">
                  <c:v>0.54893371943553471</c:v>
                </c:pt>
                <c:pt idx="5">
                  <c:v>0.61789245470357046</c:v>
                </c:pt>
                <c:pt idx="6">
                  <c:v>0.69954777214221986</c:v>
                </c:pt>
                <c:pt idx="7">
                  <c:v>0.68119423366194631</c:v>
                </c:pt>
                <c:pt idx="8">
                  <c:v>0.63046411297517368</c:v>
                </c:pt>
                <c:pt idx="9">
                  <c:v>0.35460711065736428</c:v>
                </c:pt>
                <c:pt idx="10">
                  <c:v>0.52936709481288824</c:v>
                </c:pt>
              </c:numCache>
            </c:numRef>
          </c:val>
        </c:ser>
        <c:ser>
          <c:idx val="2"/>
          <c:order val="2"/>
          <c:tx>
            <c:strRef>
              <c:f>'CZE vs AUT'!$B$31</c:f>
              <c:strCache>
                <c:ptCount val="1"/>
                <c:pt idx="0">
                  <c:v>EU</c:v>
                </c:pt>
              </c:strCache>
            </c:strRef>
          </c:tx>
          <c:spPr>
            <a:solidFill>
              <a:srgbClr val="00B0F0"/>
            </a:solidFill>
            <a:ln>
              <a:solidFill>
                <a:srgbClr val="00B0F0"/>
              </a:solidFill>
            </a:ln>
          </c:spPr>
          <c:invertIfNegative val="0"/>
          <c:cat>
            <c:strRef>
              <c:f>'CZE vs AUT'!$C$28:$M$28</c:f>
              <c:strCache>
                <c:ptCount val="11"/>
                <c:pt idx="0">
                  <c:v>SII 2017</c:v>
                </c:pt>
                <c:pt idx="1">
                  <c:v>Human resources</c:v>
                </c:pt>
                <c:pt idx="2">
                  <c:v>Research systems</c:v>
                </c:pt>
                <c:pt idx="3">
                  <c:v>Innovation-friendly environment</c:v>
                </c:pt>
                <c:pt idx="4">
                  <c:v>Finance and support</c:v>
                </c:pt>
                <c:pt idx="5">
                  <c:v>Firm investments</c:v>
                </c:pt>
                <c:pt idx="6">
                  <c:v>Innovators</c:v>
                </c:pt>
                <c:pt idx="7">
                  <c:v>Linkages</c:v>
                </c:pt>
                <c:pt idx="8">
                  <c:v>Intellectual assets</c:v>
                </c:pt>
                <c:pt idx="9">
                  <c:v>Employment impacts</c:v>
                </c:pt>
                <c:pt idx="10">
                  <c:v>Sales impacts</c:v>
                </c:pt>
              </c:strCache>
            </c:strRef>
          </c:cat>
          <c:val>
            <c:numRef>
              <c:f>'CZE vs AUT'!$C$31:$M$31</c:f>
              <c:numCache>
                <c:formatCode>0.000</c:formatCode>
                <c:ptCount val="11"/>
                <c:pt idx="0">
                  <c:v>0.50438487813855226</c:v>
                </c:pt>
                <c:pt idx="1">
                  <c:v>0.47300116493529409</c:v>
                </c:pt>
                <c:pt idx="2">
                  <c:v>0.44768699308766863</c:v>
                </c:pt>
                <c:pt idx="3">
                  <c:v>0.50560522238999406</c:v>
                </c:pt>
                <c:pt idx="4">
                  <c:v>0.59804963038766412</c:v>
                </c:pt>
                <c:pt idx="5">
                  <c:v>0.4583630487497885</c:v>
                </c:pt>
                <c:pt idx="6">
                  <c:v>0.4930194433452284</c:v>
                </c:pt>
                <c:pt idx="7">
                  <c:v>0.47473041569951824</c:v>
                </c:pt>
                <c:pt idx="8">
                  <c:v>0.43127457051788459</c:v>
                </c:pt>
                <c:pt idx="9">
                  <c:v>0.54043803330357387</c:v>
                </c:pt>
                <c:pt idx="10">
                  <c:v>0.66532634285743286</c:v>
                </c:pt>
              </c:numCache>
            </c:numRef>
          </c:val>
        </c:ser>
        <c:dLbls>
          <c:showLegendKey val="0"/>
          <c:showVal val="0"/>
          <c:showCatName val="0"/>
          <c:showSerName val="0"/>
          <c:showPercent val="0"/>
          <c:showBubbleSize val="0"/>
        </c:dLbls>
        <c:gapWidth val="150"/>
        <c:axId val="184268672"/>
        <c:axId val="184270208"/>
      </c:barChart>
      <c:catAx>
        <c:axId val="184268672"/>
        <c:scaling>
          <c:orientation val="minMax"/>
        </c:scaling>
        <c:delete val="0"/>
        <c:axPos val="b"/>
        <c:numFmt formatCode="General" sourceLinked="1"/>
        <c:majorTickMark val="out"/>
        <c:minorTickMark val="none"/>
        <c:tickLblPos val="nextTo"/>
        <c:txPr>
          <a:bodyPr rot="-5400000" vert="horz"/>
          <a:lstStyle/>
          <a:p>
            <a:pPr>
              <a:defRPr sz="700"/>
            </a:pPr>
            <a:endParaRPr lang="cs-CZ"/>
          </a:p>
        </c:txPr>
        <c:crossAx val="184270208"/>
        <c:crosses val="autoZero"/>
        <c:auto val="1"/>
        <c:lblAlgn val="ctr"/>
        <c:lblOffset val="100"/>
        <c:noMultiLvlLbl val="0"/>
      </c:catAx>
      <c:valAx>
        <c:axId val="184270208"/>
        <c:scaling>
          <c:orientation val="minMax"/>
        </c:scaling>
        <c:delete val="0"/>
        <c:axPos val="l"/>
        <c:majorGridlines>
          <c:spPr>
            <a:ln>
              <a:noFill/>
            </a:ln>
          </c:spPr>
        </c:majorGridlines>
        <c:title>
          <c:tx>
            <c:rich>
              <a:bodyPr rot="-5400000" vert="horz"/>
              <a:lstStyle/>
              <a:p>
                <a:pPr>
                  <a:defRPr sz="800"/>
                </a:pPr>
                <a:r>
                  <a:rPr lang="en-US" sz="800"/>
                  <a:t>SII </a:t>
                </a:r>
                <a:r>
                  <a:rPr lang="cs-CZ" sz="800"/>
                  <a:t>a jeho dílčí části 2017</a:t>
                </a:r>
                <a:endParaRPr lang="en-US" sz="800"/>
              </a:p>
            </c:rich>
          </c:tx>
          <c:layout/>
          <c:overlay val="0"/>
        </c:title>
        <c:numFmt formatCode="General" sourceLinked="0"/>
        <c:majorTickMark val="out"/>
        <c:minorTickMark val="none"/>
        <c:tickLblPos val="nextTo"/>
        <c:txPr>
          <a:bodyPr/>
          <a:lstStyle/>
          <a:p>
            <a:pPr>
              <a:defRPr sz="700"/>
            </a:pPr>
            <a:endParaRPr lang="cs-CZ"/>
          </a:p>
        </c:txPr>
        <c:crossAx val="184268672"/>
        <c:crosses val="autoZero"/>
        <c:crossBetween val="between"/>
      </c:valAx>
    </c:plotArea>
    <c:legend>
      <c:legendPos val="b"/>
      <c:layout>
        <c:manualLayout>
          <c:xMode val="edge"/>
          <c:yMode val="edge"/>
          <c:x val="0.84287879187384729"/>
          <c:y val="3.6468525558119552E-2"/>
          <c:w val="0.11615806862561494"/>
          <c:h val="5.9827686010482016E-2"/>
        </c:manualLayout>
      </c:layout>
      <c:overlay val="0"/>
    </c:legend>
    <c:plotVisOnly val="1"/>
    <c:dispBlanksAs val="gap"/>
    <c:showDLblsOverMax val="0"/>
  </c:chart>
  <c:spPr>
    <a:ln>
      <a:noFill/>
    </a:ln>
  </c:spPr>
  <c:txPr>
    <a:bodyPr/>
    <a:lstStyle/>
    <a:p>
      <a:pPr>
        <a:defRPr sz="600">
          <a:ln>
            <a:noFill/>
          </a:ln>
          <a:latin typeface="Arial" panose="020B0604020202020204" pitchFamily="34" charset="0"/>
          <a:cs typeface="Arial" panose="020B0604020202020204" pitchFamily="34" charset="0"/>
        </a:defRPr>
      </a:pPr>
      <a:endParaRPr lang="cs-CZ"/>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'rozklad cze vs aut'!$C$3</c:f>
              <c:strCache>
                <c:ptCount val="1"/>
                <c:pt idx="0">
                  <c:v>CZE</c:v>
                </c:pt>
              </c:strCache>
            </c:strRef>
          </c:tx>
          <c:spPr>
            <a:solidFill>
              <a:schemeClr val="accent2"/>
            </a:solidFill>
            <a:ln>
              <a:solidFill>
                <a:schemeClr val="accent2"/>
              </a:solidFill>
            </a:ln>
          </c:spPr>
          <c:invertIfNegative val="0"/>
          <c:dPt>
            <c:idx val="6"/>
            <c:invertIfNegative val="0"/>
            <c:bubble3D val="0"/>
            <c:spPr>
              <a:solidFill>
                <a:schemeClr val="accent2">
                  <a:lumMod val="40000"/>
                  <a:lumOff val="60000"/>
                </a:schemeClr>
              </a:solidFill>
              <a:ln>
                <a:solidFill>
                  <a:schemeClr val="accent2"/>
                </a:solidFill>
              </a:ln>
            </c:spPr>
          </c:dPt>
          <c:cat>
            <c:strRef>
              <c:f>'rozklad cze vs aut'!$A$4:$A$44</c:f>
              <c:strCache>
                <c:ptCount val="41"/>
                <c:pt idx="0">
                  <c:v>FRAMEWORK CONDITIONS</c:v>
                </c:pt>
                <c:pt idx="1">
                  <c:v>Human resources</c:v>
                </c:pt>
                <c:pt idx="2">
                  <c:v>1.1.1 New doctorate graduates</c:v>
                </c:pt>
                <c:pt idx="3">
                  <c:v>1.1.2 Population completed tertiary education</c:v>
                </c:pt>
                <c:pt idx="4">
                  <c:v>1.1.3 Lifelong learning</c:v>
                </c:pt>
                <c:pt idx="5">
                  <c:v>Attractive research systems</c:v>
                </c:pt>
                <c:pt idx="6">
                  <c:v>1.2.1 International scientific co-publications</c:v>
                </c:pt>
                <c:pt idx="7">
                  <c:v>1.2.2 Scientific publications among top 10% most cited</c:v>
                </c:pt>
                <c:pt idx="8">
                  <c:v>1.2.3 Foreign doctorate students</c:v>
                </c:pt>
                <c:pt idx="9">
                  <c:v>Innovation-friendly environment</c:v>
                </c:pt>
                <c:pt idx="10">
                  <c:v>1.3.1 Broadband penetration</c:v>
                </c:pt>
                <c:pt idx="11">
                  <c:v>1.3.2 Opportunity-driven entrepreneurship</c:v>
                </c:pt>
                <c:pt idx="12">
                  <c:v>INVESTMENTS</c:v>
                </c:pt>
                <c:pt idx="13">
                  <c:v>Finance and support</c:v>
                </c:pt>
                <c:pt idx="14">
                  <c:v>2.1.1 R&amp;D expenditure in the public sector</c:v>
                </c:pt>
                <c:pt idx="15">
                  <c:v>2.1.2 Venture capital investments</c:v>
                </c:pt>
                <c:pt idx="16">
                  <c:v>Firm investments</c:v>
                </c:pt>
                <c:pt idx="17">
                  <c:v>2.2.1 R&amp;D expenditure in the business sector</c:v>
                </c:pt>
                <c:pt idx="18">
                  <c:v>2.2.2 Non-R&amp;D innovation expenditure</c:v>
                </c:pt>
                <c:pt idx="19">
                  <c:v>2.2.3 Enterprises providing ICT training</c:v>
                </c:pt>
                <c:pt idx="20">
                  <c:v>INNOVATION ACTIVITIES</c:v>
                </c:pt>
                <c:pt idx="21">
                  <c:v>Innovators</c:v>
                </c:pt>
                <c:pt idx="22">
                  <c:v>3.1.1 SMEs with product or process innovations</c:v>
                </c:pt>
                <c:pt idx="23">
                  <c:v>3.1.2 SMEs with marketing or organisational innovations</c:v>
                </c:pt>
                <c:pt idx="24">
                  <c:v>3.1.3 SMEs innovating in-house</c:v>
                </c:pt>
                <c:pt idx="25">
                  <c:v>Linkages</c:v>
                </c:pt>
                <c:pt idx="26">
                  <c:v>3.2.1 Innovative SMEs collaborating with others</c:v>
                </c:pt>
                <c:pt idx="27">
                  <c:v>3.2.2 Public-private co-publications</c:v>
                </c:pt>
                <c:pt idx="28">
                  <c:v>3.2.3 Private co-funding of public R&amp;D expenditures</c:v>
                </c:pt>
                <c:pt idx="29">
                  <c:v>Intellectual assets</c:v>
                </c:pt>
                <c:pt idx="30">
                  <c:v>3.3.1 PCT patent applications</c:v>
                </c:pt>
                <c:pt idx="31">
                  <c:v>3.3.2 Trademark applications</c:v>
                </c:pt>
                <c:pt idx="32">
                  <c:v>3.3.3 Design applications</c:v>
                </c:pt>
                <c:pt idx="33">
                  <c:v>IMPACTS</c:v>
                </c:pt>
                <c:pt idx="34">
                  <c:v>Employment impacts</c:v>
                </c:pt>
                <c:pt idx="35">
                  <c:v>4.1.1 Employment in knowledge-intensive activities</c:v>
                </c:pt>
                <c:pt idx="36">
                  <c:v>4.1.2 Employment fast-growing firms innovative sectors</c:v>
                </c:pt>
                <c:pt idx="37">
                  <c:v>Sales impacts</c:v>
                </c:pt>
                <c:pt idx="38">
                  <c:v>4.2.1 Medium &amp; high tech product exports</c:v>
                </c:pt>
                <c:pt idx="39">
                  <c:v>4.2.2 Knowledge-intensive services exports</c:v>
                </c:pt>
                <c:pt idx="40">
                  <c:v>4.2.3 Sales of new-to-market and new-to-firm innovations</c:v>
                </c:pt>
              </c:strCache>
            </c:strRef>
          </c:cat>
          <c:val>
            <c:numRef>
              <c:f>'rozklad cze vs aut'!$C$4:$C$44</c:f>
              <c:numCache>
                <c:formatCode>General</c:formatCode>
                <c:ptCount val="41"/>
                <c:pt idx="2" formatCode="#,#00">
                  <c:v>1.6874824076501047</c:v>
                </c:pt>
                <c:pt idx="3" formatCode="#,#00">
                  <c:v>33.799999999999997</c:v>
                </c:pt>
                <c:pt idx="4" formatCode="#,#00">
                  <c:v>9.8000000000000007</c:v>
                </c:pt>
                <c:pt idx="6" formatCode="0">
                  <c:v>754.81008278806144</c:v>
                </c:pt>
                <c:pt idx="7" formatCode="#,#00">
                  <c:v>6.6259170677702208</c:v>
                </c:pt>
                <c:pt idx="8" formatCode="#,#00">
                  <c:v>14.758766577170288</c:v>
                </c:pt>
                <c:pt idx="10" formatCode="#,#00">
                  <c:v>12</c:v>
                </c:pt>
                <c:pt idx="11" formatCode="#,#00">
                  <c:v>2.65</c:v>
                </c:pt>
                <c:pt idx="14" formatCode="#,000">
                  <c:v>0.64</c:v>
                </c:pt>
                <c:pt idx="15" formatCode="0,000">
                  <c:v>5.7775769571796129E-3</c:v>
                </c:pt>
                <c:pt idx="17" formatCode="#,000">
                  <c:v>1.03</c:v>
                </c:pt>
                <c:pt idx="18" formatCode="#,000">
                  <c:v>0.94075132300929476</c:v>
                </c:pt>
                <c:pt idx="19" formatCode="#,#00">
                  <c:v>23</c:v>
                </c:pt>
                <c:pt idx="22" formatCode="#,#00">
                  <c:v>30.834394280677699</c:v>
                </c:pt>
                <c:pt idx="23" formatCode="#,#00">
                  <c:v>25.736950347664283</c:v>
                </c:pt>
                <c:pt idx="24" formatCode="#,#00">
                  <c:v>27.980997076204339</c:v>
                </c:pt>
                <c:pt idx="26" formatCode="#,#00">
                  <c:v>10.033297424346292</c:v>
                </c:pt>
                <c:pt idx="27" formatCode="#,#00">
                  <c:v>20.98532728603001</c:v>
                </c:pt>
                <c:pt idx="28" formatCode="#,000">
                  <c:v>2.9960267586146637E-2</c:v>
                </c:pt>
                <c:pt idx="30" formatCode="#,000">
                  <c:v>0.92841711566660157</c:v>
                </c:pt>
                <c:pt idx="31" formatCode="#,000">
                  <c:v>5.0922440358499541</c:v>
                </c:pt>
                <c:pt idx="32" formatCode="#,000">
                  <c:v>4.0717984434393824</c:v>
                </c:pt>
                <c:pt idx="35" formatCode="#,#00">
                  <c:v>12.9</c:v>
                </c:pt>
                <c:pt idx="36" formatCode="#,#00">
                  <c:v>6.5065963674491138</c:v>
                </c:pt>
                <c:pt idx="38" formatCode="#,#00">
                  <c:v>65.689002050653414</c:v>
                </c:pt>
                <c:pt idx="39" formatCode="#,#00">
                  <c:v>43.759945231839538</c:v>
                </c:pt>
                <c:pt idx="40" formatCode="#,000">
                  <c:v>14.568451598210494</c:v>
                </c:pt>
              </c:numCache>
            </c:numRef>
          </c:val>
        </c:ser>
        <c:ser>
          <c:idx val="1"/>
          <c:order val="1"/>
          <c:tx>
            <c:strRef>
              <c:f>'rozklad cze vs aut'!$D$3</c:f>
              <c:strCache>
                <c:ptCount val="1"/>
                <c:pt idx="0">
                  <c:v>AUT</c:v>
                </c:pt>
              </c:strCache>
            </c:strRef>
          </c:tx>
          <c:spPr>
            <a:solidFill>
              <a:schemeClr val="tx2"/>
            </a:solidFill>
            <a:ln>
              <a:solidFill>
                <a:schemeClr val="tx2"/>
              </a:solidFill>
            </a:ln>
          </c:spPr>
          <c:invertIfNegative val="0"/>
          <c:dPt>
            <c:idx val="6"/>
            <c:invertIfNegative val="0"/>
            <c:bubble3D val="0"/>
            <c:spPr>
              <a:solidFill>
                <a:schemeClr val="tx2">
                  <a:lumMod val="20000"/>
                  <a:lumOff val="80000"/>
                </a:schemeClr>
              </a:solidFill>
              <a:ln>
                <a:solidFill>
                  <a:schemeClr val="tx2"/>
                </a:solidFill>
              </a:ln>
            </c:spPr>
          </c:dPt>
          <c:cat>
            <c:strRef>
              <c:f>'rozklad cze vs aut'!$A$4:$A$44</c:f>
              <c:strCache>
                <c:ptCount val="41"/>
                <c:pt idx="0">
                  <c:v>FRAMEWORK CONDITIONS</c:v>
                </c:pt>
                <c:pt idx="1">
                  <c:v>Human resources</c:v>
                </c:pt>
                <c:pt idx="2">
                  <c:v>1.1.1 New doctorate graduates</c:v>
                </c:pt>
                <c:pt idx="3">
                  <c:v>1.1.2 Population completed tertiary education</c:v>
                </c:pt>
                <c:pt idx="4">
                  <c:v>1.1.3 Lifelong learning</c:v>
                </c:pt>
                <c:pt idx="5">
                  <c:v>Attractive research systems</c:v>
                </c:pt>
                <c:pt idx="6">
                  <c:v>1.2.1 International scientific co-publications</c:v>
                </c:pt>
                <c:pt idx="7">
                  <c:v>1.2.2 Scientific publications among top 10% most cited</c:v>
                </c:pt>
                <c:pt idx="8">
                  <c:v>1.2.3 Foreign doctorate students</c:v>
                </c:pt>
                <c:pt idx="9">
                  <c:v>Innovation-friendly environment</c:v>
                </c:pt>
                <c:pt idx="10">
                  <c:v>1.3.1 Broadband penetration</c:v>
                </c:pt>
                <c:pt idx="11">
                  <c:v>1.3.2 Opportunity-driven entrepreneurship</c:v>
                </c:pt>
                <c:pt idx="12">
                  <c:v>INVESTMENTS</c:v>
                </c:pt>
                <c:pt idx="13">
                  <c:v>Finance and support</c:v>
                </c:pt>
                <c:pt idx="14">
                  <c:v>2.1.1 R&amp;D expenditure in the public sector</c:v>
                </c:pt>
                <c:pt idx="15">
                  <c:v>2.1.2 Venture capital investments</c:v>
                </c:pt>
                <c:pt idx="16">
                  <c:v>Firm investments</c:v>
                </c:pt>
                <c:pt idx="17">
                  <c:v>2.2.1 R&amp;D expenditure in the business sector</c:v>
                </c:pt>
                <c:pt idx="18">
                  <c:v>2.2.2 Non-R&amp;D innovation expenditure</c:v>
                </c:pt>
                <c:pt idx="19">
                  <c:v>2.2.3 Enterprises providing ICT training</c:v>
                </c:pt>
                <c:pt idx="20">
                  <c:v>INNOVATION ACTIVITIES</c:v>
                </c:pt>
                <c:pt idx="21">
                  <c:v>Innovators</c:v>
                </c:pt>
                <c:pt idx="22">
                  <c:v>3.1.1 SMEs with product or process innovations</c:v>
                </c:pt>
                <c:pt idx="23">
                  <c:v>3.1.2 SMEs with marketing or organisational innovations</c:v>
                </c:pt>
                <c:pt idx="24">
                  <c:v>3.1.3 SMEs innovating in-house</c:v>
                </c:pt>
                <c:pt idx="25">
                  <c:v>Linkages</c:v>
                </c:pt>
                <c:pt idx="26">
                  <c:v>3.2.1 Innovative SMEs collaborating with others</c:v>
                </c:pt>
                <c:pt idx="27">
                  <c:v>3.2.2 Public-private co-publications</c:v>
                </c:pt>
                <c:pt idx="28">
                  <c:v>3.2.3 Private co-funding of public R&amp;D expenditures</c:v>
                </c:pt>
                <c:pt idx="29">
                  <c:v>Intellectual assets</c:v>
                </c:pt>
                <c:pt idx="30">
                  <c:v>3.3.1 PCT patent applications</c:v>
                </c:pt>
                <c:pt idx="31">
                  <c:v>3.3.2 Trademark applications</c:v>
                </c:pt>
                <c:pt idx="32">
                  <c:v>3.3.3 Design applications</c:v>
                </c:pt>
                <c:pt idx="33">
                  <c:v>IMPACTS</c:v>
                </c:pt>
                <c:pt idx="34">
                  <c:v>Employment impacts</c:v>
                </c:pt>
                <c:pt idx="35">
                  <c:v>4.1.1 Employment in knowledge-intensive activities</c:v>
                </c:pt>
                <c:pt idx="36">
                  <c:v>4.1.2 Employment fast-growing firms innovative sectors</c:v>
                </c:pt>
                <c:pt idx="37">
                  <c:v>Sales impacts</c:v>
                </c:pt>
                <c:pt idx="38">
                  <c:v>4.2.1 Medium &amp; high tech product exports</c:v>
                </c:pt>
                <c:pt idx="39">
                  <c:v>4.2.2 Knowledge-intensive services exports</c:v>
                </c:pt>
                <c:pt idx="40">
                  <c:v>4.2.3 Sales of new-to-market and new-to-firm innovations</c:v>
                </c:pt>
              </c:strCache>
            </c:strRef>
          </c:cat>
          <c:val>
            <c:numRef>
              <c:f>'rozklad cze vs aut'!$D$4:$D$44</c:f>
              <c:numCache>
                <c:formatCode>General</c:formatCode>
                <c:ptCount val="41"/>
                <c:pt idx="2" formatCode="#,#00">
                  <c:v>1.8951481161093515</c:v>
                </c:pt>
                <c:pt idx="3" formatCode="#,#00">
                  <c:v>40.299999999999997</c:v>
                </c:pt>
                <c:pt idx="4" formatCode="#,#00">
                  <c:v>15.8</c:v>
                </c:pt>
                <c:pt idx="6" formatCode="0">
                  <c:v>1375.8333224094979</c:v>
                </c:pt>
                <c:pt idx="7" formatCode="#,#00">
                  <c:v>11.143215921851199</c:v>
                </c:pt>
                <c:pt idx="8" formatCode="#,#00">
                  <c:v>28.262164001361008</c:v>
                </c:pt>
                <c:pt idx="10" formatCode="#,#00">
                  <c:v>13</c:v>
                </c:pt>
                <c:pt idx="11" formatCode="#,#00">
                  <c:v>3</c:v>
                </c:pt>
                <c:pt idx="14" formatCode="#,000">
                  <c:v>0.87</c:v>
                </c:pt>
                <c:pt idx="15" formatCode="0,000">
                  <c:v>6.0261863577618389E-2</c:v>
                </c:pt>
                <c:pt idx="17" formatCode="#,000">
                  <c:v>2.2000000000000002</c:v>
                </c:pt>
                <c:pt idx="18" formatCode="#,000">
                  <c:v>0.47270702859076347</c:v>
                </c:pt>
                <c:pt idx="19" formatCode="#,#00">
                  <c:v>31</c:v>
                </c:pt>
                <c:pt idx="22" formatCode="#,#00">
                  <c:v>40.713880305227974</c:v>
                </c:pt>
                <c:pt idx="23" formatCode="#,#00">
                  <c:v>46.055369868197012</c:v>
                </c:pt>
                <c:pt idx="24" formatCode="#,#00">
                  <c:v>34.968783502554075</c:v>
                </c:pt>
                <c:pt idx="26" formatCode="#,#00">
                  <c:v>20.47676105190137</c:v>
                </c:pt>
                <c:pt idx="27" formatCode="#,#00">
                  <c:v>82.299226079507662</c:v>
                </c:pt>
                <c:pt idx="28" formatCode="#,000">
                  <c:v>4.6379457910195737E-2</c:v>
                </c:pt>
                <c:pt idx="30" formatCode="#,000">
                  <c:v>4.6961405078592175</c:v>
                </c:pt>
                <c:pt idx="31" formatCode="#,000">
                  <c:v>13.094890590446241</c:v>
                </c:pt>
                <c:pt idx="32" formatCode="#,000">
                  <c:v>6.9849680813131574</c:v>
                </c:pt>
                <c:pt idx="35" formatCode="#,#00">
                  <c:v>15</c:v>
                </c:pt>
                <c:pt idx="36" formatCode="#,#00">
                  <c:v>1.9419659770045703</c:v>
                </c:pt>
                <c:pt idx="38" formatCode="#,#00">
                  <c:v>58.00567032191767</c:v>
                </c:pt>
                <c:pt idx="39" formatCode="#,#00">
                  <c:v>43.138388180471772</c:v>
                </c:pt>
                <c:pt idx="40" formatCode="#,000">
                  <c:v>11.976038490387154</c:v>
                </c:pt>
              </c:numCache>
            </c:numRef>
          </c:val>
        </c:ser>
        <c:dLbls>
          <c:showLegendKey val="0"/>
          <c:showVal val="0"/>
          <c:showCatName val="0"/>
          <c:showSerName val="0"/>
          <c:showPercent val="0"/>
          <c:showBubbleSize val="0"/>
        </c:dLbls>
        <c:gapWidth val="150"/>
        <c:axId val="184285056"/>
        <c:axId val="184286592"/>
      </c:barChart>
      <c:catAx>
        <c:axId val="184285056"/>
        <c:scaling>
          <c:orientation val="maxMin"/>
        </c:scaling>
        <c:delete val="0"/>
        <c:axPos val="l"/>
        <c:numFmt formatCode="General" sourceLinked="1"/>
        <c:majorTickMark val="out"/>
        <c:minorTickMark val="none"/>
        <c:tickLblPos val="nextTo"/>
        <c:crossAx val="184286592"/>
        <c:crosses val="autoZero"/>
        <c:auto val="1"/>
        <c:lblAlgn val="l"/>
        <c:lblOffset val="100"/>
        <c:noMultiLvlLbl val="0"/>
      </c:catAx>
      <c:valAx>
        <c:axId val="184286592"/>
        <c:scaling>
          <c:orientation val="minMax"/>
          <c:max val="90"/>
        </c:scaling>
        <c:delete val="0"/>
        <c:axPos val="t"/>
        <c:majorGridlines/>
        <c:title>
          <c:tx>
            <c:rich>
              <a:bodyPr/>
              <a:lstStyle/>
              <a:p>
                <a:pPr>
                  <a:defRPr/>
                </a:pPr>
                <a:r>
                  <a:rPr lang="en-US"/>
                  <a:t>Dílčí hodnota SII </a:t>
                </a:r>
                <a:r>
                  <a:rPr lang="cs-CZ"/>
                  <a:t>2017</a:t>
                </a:r>
                <a:endParaRPr lang="en-US"/>
              </a:p>
            </c:rich>
          </c:tx>
          <c:layout/>
          <c:overlay val="0"/>
        </c:title>
        <c:numFmt formatCode="0" sourceLinked="0"/>
        <c:majorTickMark val="out"/>
        <c:minorTickMark val="none"/>
        <c:tickLblPos val="nextTo"/>
        <c:crossAx val="184285056"/>
        <c:crosses val="autoZero"/>
        <c:crossBetween val="between"/>
      </c:valAx>
    </c:plotArea>
    <c:legend>
      <c:legendPos val="b"/>
      <c:layout/>
      <c:overlay val="0"/>
    </c:legend>
    <c:plotVisOnly val="1"/>
    <c:dispBlanksAs val="gap"/>
    <c:showDLblsOverMax val="0"/>
  </c:chart>
  <c:spPr>
    <a:ln>
      <a:noFill/>
    </a:ln>
  </c:spPr>
  <c:txPr>
    <a:bodyPr/>
    <a:lstStyle/>
    <a:p>
      <a:pPr>
        <a:defRPr sz="700">
          <a:latin typeface="Arial" pitchFamily="34" charset="0"/>
          <a:cs typeface="Arial" pitchFamily="34" charset="0"/>
        </a:defRPr>
      </a:pPr>
      <a:endParaRPr lang="cs-CZ"/>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'obr12'!$B$4</c:f>
              <c:strCache>
                <c:ptCount val="1"/>
                <c:pt idx="0">
                  <c:v>celkem</c:v>
                </c:pt>
              </c:strCache>
            </c:strRef>
          </c:tx>
          <c:spPr>
            <a:solidFill>
              <a:schemeClr val="accent2">
                <a:lumMod val="60000"/>
                <a:lumOff val="40000"/>
              </a:schemeClr>
            </a:solidFill>
            <a:ln>
              <a:solidFill>
                <a:schemeClr val="accent2">
                  <a:lumMod val="60000"/>
                  <a:lumOff val="40000"/>
                </a:schemeClr>
              </a:solidFill>
            </a:ln>
          </c:spPr>
          <c:invertIfNegative val="0"/>
          <c:dLbls>
            <c:dLbl>
              <c:idx val="0"/>
              <c:layout>
                <c:manualLayout>
                  <c:x val="-2.7777777777777779E-3"/>
                  <c:y val="0.16808322036668494"/>
                </c:manualLayout>
              </c:layout>
              <c:dLblPos val="outEnd"/>
              <c:showLegendKey val="0"/>
              <c:showVal val="1"/>
              <c:showCatName val="0"/>
              <c:showSerName val="0"/>
              <c:showPercent val="0"/>
              <c:showBubbleSize val="0"/>
            </c:dLbl>
            <c:dLbl>
              <c:idx val="1"/>
              <c:layout>
                <c:manualLayout>
                  <c:x val="0"/>
                  <c:y val="0.16263159412765713"/>
                </c:manualLayout>
              </c:layout>
              <c:dLblPos val="outEnd"/>
              <c:showLegendKey val="0"/>
              <c:showVal val="1"/>
              <c:showCatName val="0"/>
              <c:showSerName val="0"/>
              <c:showPercent val="0"/>
              <c:showBubbleSize val="0"/>
            </c:dLbl>
            <c:dLbl>
              <c:idx val="2"/>
              <c:layout>
                <c:manualLayout>
                  <c:x val="0"/>
                  <c:y val="0.21080364954380704"/>
                </c:manualLayout>
              </c:layout>
              <c:dLblPos val="outEnd"/>
              <c:showLegendKey val="0"/>
              <c:showVal val="1"/>
              <c:showCatName val="0"/>
              <c:showSerName val="0"/>
              <c:showPercent val="0"/>
              <c:showBubbleSize val="0"/>
            </c:dLbl>
            <c:dLbl>
              <c:idx val="3"/>
              <c:layout>
                <c:manualLayout>
                  <c:x val="0"/>
                  <c:y val="0.27973080288040919"/>
                </c:manualLayout>
              </c:layout>
              <c:dLblPos val="outEnd"/>
              <c:showLegendKey val="0"/>
              <c:showVal val="1"/>
              <c:showCatName val="0"/>
              <c:showSerName val="0"/>
              <c:showPercent val="0"/>
              <c:showBubbleSize val="0"/>
            </c:dLbl>
            <c:dLbl>
              <c:idx val="4"/>
              <c:layout>
                <c:manualLayout>
                  <c:x val="0"/>
                  <c:y val="0.15982617557420706"/>
                </c:manualLayout>
              </c:layout>
              <c:dLblPos val="outEnd"/>
              <c:showLegendKey val="0"/>
              <c:showVal val="1"/>
              <c:showCatName val="0"/>
              <c:showSerName val="0"/>
              <c:showPercent val="0"/>
              <c:showBubbleSize val="0"/>
            </c:dLbl>
            <c:dLbl>
              <c:idx val="5"/>
              <c:layout>
                <c:manualLayout>
                  <c:x val="0"/>
                  <c:y val="0.20491784680761058"/>
                </c:manualLayout>
              </c:layout>
              <c:dLblPos val="outEnd"/>
              <c:showLegendKey val="0"/>
              <c:showVal val="1"/>
              <c:showCatName val="0"/>
              <c:showSerName val="0"/>
              <c:showPercent val="0"/>
              <c:showBubbleSize val="0"/>
            </c:dLbl>
            <c:numFmt formatCode="0.0%" sourceLinked="0"/>
            <c:txPr>
              <a:bodyPr rot="-5400000" vert="horz"/>
              <a:lstStyle/>
              <a:p>
                <a:pPr>
                  <a:defRPr sz="800"/>
                </a:pPr>
                <a:endParaRPr lang="cs-CZ"/>
              </a:p>
            </c:txPr>
            <c:dLblPos val="ctr"/>
            <c:showLegendKey val="0"/>
            <c:showVal val="1"/>
            <c:showCatName val="0"/>
            <c:showSerName val="0"/>
            <c:showPercent val="0"/>
            <c:showBubbleSize val="0"/>
            <c:showLeaderLines val="0"/>
          </c:dLbls>
          <c:cat>
            <c:strRef>
              <c:f>'obr12'!$A$5:$A$10</c:f>
              <c:strCache>
                <c:ptCount val="6"/>
                <c:pt idx="0">
                  <c:v>ČR</c:v>
                </c:pt>
                <c:pt idx="1">
                  <c:v>malé podniky</c:v>
                </c:pt>
                <c:pt idx="2">
                  <c:v>střední podniky</c:v>
                </c:pt>
                <c:pt idx="3">
                  <c:v>velké podniky</c:v>
                </c:pt>
                <c:pt idx="4">
                  <c:v>domácí podniky</c:v>
                </c:pt>
                <c:pt idx="5">
                  <c:v>zahraniční afiliace</c:v>
                </c:pt>
              </c:strCache>
            </c:strRef>
          </c:cat>
          <c:val>
            <c:numRef>
              <c:f>'obr12'!$B$5:$B$10</c:f>
              <c:numCache>
                <c:formatCode>0%</c:formatCode>
                <c:ptCount val="6"/>
                <c:pt idx="0">
                  <c:v>0.46299999999999997</c:v>
                </c:pt>
                <c:pt idx="1">
                  <c:v>0.40700000000000003</c:v>
                </c:pt>
                <c:pt idx="2">
                  <c:v>0.58200000000000007</c:v>
                </c:pt>
                <c:pt idx="3">
                  <c:v>0.77400000000000002</c:v>
                </c:pt>
                <c:pt idx="4">
                  <c:v>0.44</c:v>
                </c:pt>
                <c:pt idx="5">
                  <c:v>0.55200000000000005</c:v>
                </c:pt>
              </c:numCache>
            </c:numRef>
          </c:val>
        </c:ser>
        <c:ser>
          <c:idx val="1"/>
          <c:order val="1"/>
          <c:tx>
            <c:strRef>
              <c:f>'obr12'!$C$4</c:f>
              <c:strCache>
                <c:ptCount val="1"/>
                <c:pt idx="0">
                  <c:v>technické inovace</c:v>
                </c:pt>
              </c:strCache>
            </c:strRef>
          </c:tx>
          <c:spPr>
            <a:solidFill>
              <a:schemeClr val="tx2">
                <a:lumMod val="40000"/>
                <a:lumOff val="60000"/>
              </a:schemeClr>
            </a:solidFill>
            <a:ln>
              <a:solidFill>
                <a:schemeClr val="tx2">
                  <a:lumMod val="40000"/>
                  <a:lumOff val="60000"/>
                </a:schemeClr>
              </a:solidFill>
            </a:ln>
          </c:spPr>
          <c:invertIfNegative val="0"/>
          <c:dLbls>
            <c:numFmt formatCode="0.0%" sourceLinked="0"/>
            <c:txPr>
              <a:bodyPr rot="-5400000" vert="horz"/>
              <a:lstStyle/>
              <a:p>
                <a:pPr>
                  <a:defRPr sz="800"/>
                </a:pPr>
                <a:endParaRPr lang="cs-CZ"/>
              </a:p>
            </c:txPr>
            <c:dLblPos val="ctr"/>
            <c:showLegendKey val="0"/>
            <c:showVal val="1"/>
            <c:showCatName val="0"/>
            <c:showSerName val="0"/>
            <c:showPercent val="0"/>
            <c:showBubbleSize val="0"/>
            <c:showLeaderLines val="0"/>
          </c:dLbls>
          <c:cat>
            <c:strRef>
              <c:f>'obr12'!$A$5:$A$10</c:f>
              <c:strCache>
                <c:ptCount val="6"/>
                <c:pt idx="0">
                  <c:v>ČR</c:v>
                </c:pt>
                <c:pt idx="1">
                  <c:v>malé podniky</c:v>
                </c:pt>
                <c:pt idx="2">
                  <c:v>střední podniky</c:v>
                </c:pt>
                <c:pt idx="3">
                  <c:v>velké podniky</c:v>
                </c:pt>
                <c:pt idx="4">
                  <c:v>domácí podniky</c:v>
                </c:pt>
                <c:pt idx="5">
                  <c:v>zahraniční afiliace</c:v>
                </c:pt>
              </c:strCache>
            </c:strRef>
          </c:cat>
          <c:val>
            <c:numRef>
              <c:f>'obr12'!$C$5:$C$10</c:f>
              <c:numCache>
                <c:formatCode>0%</c:formatCode>
                <c:ptCount val="6"/>
                <c:pt idx="0">
                  <c:v>0.373</c:v>
                </c:pt>
                <c:pt idx="1">
                  <c:v>0.31900000000000001</c:v>
                </c:pt>
                <c:pt idx="2">
                  <c:v>0.47600000000000003</c:v>
                </c:pt>
                <c:pt idx="3">
                  <c:v>0.70400000000000007</c:v>
                </c:pt>
                <c:pt idx="4">
                  <c:v>0.35</c:v>
                </c:pt>
                <c:pt idx="5">
                  <c:v>0.46100000000000002</c:v>
                </c:pt>
              </c:numCache>
            </c:numRef>
          </c:val>
        </c:ser>
        <c:ser>
          <c:idx val="2"/>
          <c:order val="2"/>
          <c:tx>
            <c:strRef>
              <c:f>'obr12'!$D$4</c:f>
              <c:strCache>
                <c:ptCount val="1"/>
                <c:pt idx="0">
                  <c:v>netechnické inovace</c:v>
                </c:pt>
              </c:strCache>
            </c:strRef>
          </c:tx>
          <c:spPr>
            <a:solidFill>
              <a:schemeClr val="accent6"/>
            </a:solidFill>
            <a:ln>
              <a:solidFill>
                <a:schemeClr val="accent6"/>
              </a:solidFill>
            </a:ln>
          </c:spPr>
          <c:invertIfNegative val="0"/>
          <c:dLbls>
            <c:dLbl>
              <c:idx val="0"/>
              <c:layout>
                <c:manualLayout>
                  <c:x val="5.5555555555555558E-3"/>
                  <c:y val="0.21205580071721805"/>
                </c:manualLayout>
              </c:layout>
              <c:dLblPos val="outEnd"/>
              <c:showLegendKey val="0"/>
              <c:showVal val="1"/>
              <c:showCatName val="0"/>
              <c:showSerName val="0"/>
              <c:showPercent val="0"/>
              <c:showBubbleSize val="0"/>
            </c:dLbl>
            <c:dLbl>
              <c:idx val="1"/>
              <c:layout>
                <c:manualLayout>
                  <c:x val="2.7777777777777779E-3"/>
                  <c:y val="0.18792804745560651"/>
                </c:manualLayout>
              </c:layout>
              <c:dLblPos val="outEnd"/>
              <c:showLegendKey val="0"/>
              <c:showVal val="1"/>
              <c:showCatName val="0"/>
              <c:showSerName val="0"/>
              <c:showPercent val="0"/>
              <c:showBubbleSize val="0"/>
            </c:dLbl>
            <c:dLbl>
              <c:idx val="2"/>
              <c:layout>
                <c:manualLayout>
                  <c:x val="0"/>
                  <c:y val="0.24041648640073837"/>
                </c:manualLayout>
              </c:layout>
              <c:dLblPos val="outEnd"/>
              <c:showLegendKey val="0"/>
              <c:showVal val="1"/>
              <c:showCatName val="0"/>
              <c:showSerName val="0"/>
              <c:showPercent val="0"/>
              <c:showBubbleSize val="0"/>
            </c:dLbl>
            <c:dLbl>
              <c:idx val="3"/>
              <c:layout>
                <c:manualLayout>
                  <c:x val="0"/>
                  <c:y val="0.29512580158249452"/>
                </c:manualLayout>
              </c:layout>
              <c:dLblPos val="outEnd"/>
              <c:showLegendKey val="0"/>
              <c:showVal val="1"/>
              <c:showCatName val="0"/>
              <c:showSerName val="0"/>
              <c:showPercent val="0"/>
              <c:showBubbleSize val="0"/>
            </c:dLbl>
            <c:dLbl>
              <c:idx val="4"/>
              <c:layout>
                <c:manualLayout>
                  <c:x val="-1.0185067526415994E-16"/>
                  <c:y val="0.19165988866776268"/>
                </c:manualLayout>
              </c:layout>
              <c:dLblPos val="outEnd"/>
              <c:showLegendKey val="0"/>
              <c:showVal val="1"/>
              <c:showCatName val="0"/>
              <c:showSerName val="0"/>
              <c:showPercent val="0"/>
              <c:showBubbleSize val="0"/>
            </c:dLbl>
            <c:dLbl>
              <c:idx val="5"/>
              <c:layout>
                <c:manualLayout>
                  <c:x val="0"/>
                  <c:y val="0.21930258717660292"/>
                </c:manualLayout>
              </c:layout>
              <c:dLblPos val="outEnd"/>
              <c:showLegendKey val="0"/>
              <c:showVal val="1"/>
              <c:showCatName val="0"/>
              <c:showSerName val="0"/>
              <c:showPercent val="0"/>
              <c:showBubbleSize val="0"/>
            </c:dLbl>
            <c:numFmt formatCode="0.0%" sourceLinked="0"/>
            <c:txPr>
              <a:bodyPr rot="-5400000" vert="horz"/>
              <a:lstStyle/>
              <a:p>
                <a:pPr>
                  <a:defRPr sz="800"/>
                </a:pPr>
                <a:endParaRPr lang="cs-CZ"/>
              </a:p>
            </c:txPr>
            <c:dLblPos val="ctr"/>
            <c:showLegendKey val="0"/>
            <c:showVal val="1"/>
            <c:showCatName val="0"/>
            <c:showSerName val="0"/>
            <c:showPercent val="0"/>
            <c:showBubbleSize val="0"/>
            <c:showLeaderLines val="0"/>
          </c:dLbls>
          <c:cat>
            <c:strRef>
              <c:f>'obr12'!$A$5:$A$10</c:f>
              <c:strCache>
                <c:ptCount val="6"/>
                <c:pt idx="0">
                  <c:v>ČR</c:v>
                </c:pt>
                <c:pt idx="1">
                  <c:v>malé podniky</c:v>
                </c:pt>
                <c:pt idx="2">
                  <c:v>střední podniky</c:v>
                </c:pt>
                <c:pt idx="3">
                  <c:v>velké podniky</c:v>
                </c:pt>
                <c:pt idx="4">
                  <c:v>domácí podniky</c:v>
                </c:pt>
                <c:pt idx="5">
                  <c:v>zahraniční afiliace</c:v>
                </c:pt>
              </c:strCache>
            </c:strRef>
          </c:cat>
          <c:val>
            <c:numRef>
              <c:f>'obr12'!$D$5:$D$10</c:f>
              <c:numCache>
                <c:formatCode>0%</c:formatCode>
                <c:ptCount val="6"/>
                <c:pt idx="0">
                  <c:v>0.32700000000000001</c:v>
                </c:pt>
                <c:pt idx="1">
                  <c:v>0.28699999999999998</c:v>
                </c:pt>
                <c:pt idx="2">
                  <c:v>0.40600000000000003</c:v>
                </c:pt>
                <c:pt idx="3">
                  <c:v>0.57200000000000006</c:v>
                </c:pt>
                <c:pt idx="4">
                  <c:v>0.311</c:v>
                </c:pt>
                <c:pt idx="5">
                  <c:v>0.38799999999999996</c:v>
                </c:pt>
              </c:numCache>
            </c:numRef>
          </c:val>
        </c:ser>
        <c:dLbls>
          <c:dLblPos val="ctr"/>
          <c:showLegendKey val="0"/>
          <c:showVal val="1"/>
          <c:showCatName val="0"/>
          <c:showSerName val="0"/>
          <c:showPercent val="0"/>
          <c:showBubbleSize val="0"/>
        </c:dLbls>
        <c:gapWidth val="150"/>
        <c:axId val="199617536"/>
        <c:axId val="203964800"/>
      </c:barChart>
      <c:catAx>
        <c:axId val="199617536"/>
        <c:scaling>
          <c:orientation val="minMax"/>
        </c:scaling>
        <c:delete val="0"/>
        <c:axPos val="b"/>
        <c:majorTickMark val="out"/>
        <c:minorTickMark val="none"/>
        <c:tickLblPos val="nextTo"/>
        <c:crossAx val="203964800"/>
        <c:crosses val="autoZero"/>
        <c:auto val="1"/>
        <c:lblAlgn val="ctr"/>
        <c:lblOffset val="100"/>
        <c:noMultiLvlLbl val="0"/>
      </c:catAx>
      <c:valAx>
        <c:axId val="203964800"/>
        <c:scaling>
          <c:orientation val="minMax"/>
        </c:scaling>
        <c:delete val="0"/>
        <c:axPos val="l"/>
        <c:majorGridlines/>
        <c:title>
          <c:tx>
            <c:rich>
              <a:bodyPr rot="-5400000" vert="horz"/>
              <a:lstStyle/>
              <a:p>
                <a:pPr>
                  <a:defRPr/>
                </a:pPr>
                <a:r>
                  <a:rPr lang="cs-CZ"/>
                  <a:t>Podíl inovujícícíh podniků</a:t>
                </a:r>
              </a:p>
            </c:rich>
          </c:tx>
          <c:layout/>
          <c:overlay val="0"/>
        </c:title>
        <c:numFmt formatCode="0%" sourceLinked="1"/>
        <c:majorTickMark val="out"/>
        <c:minorTickMark val="none"/>
        <c:tickLblPos val="nextTo"/>
        <c:crossAx val="199617536"/>
        <c:crosses val="autoZero"/>
        <c:crossBetween val="between"/>
      </c:valAx>
    </c:plotArea>
    <c:legend>
      <c:legendPos val="b"/>
      <c:layout/>
      <c:overlay val="0"/>
    </c:legend>
    <c:plotVisOnly val="1"/>
    <c:dispBlanksAs val="gap"/>
    <c:showDLblsOverMax val="0"/>
  </c:chart>
  <c:spPr>
    <a:ln>
      <a:noFill/>
    </a:ln>
  </c:sp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invertIfNegative val="0"/>
          <c:dPt>
            <c:idx val="13"/>
            <c:invertIfNegative val="0"/>
            <c:bubble3D val="0"/>
            <c:spPr>
              <a:solidFill>
                <a:schemeClr val="accent2"/>
              </a:solidFill>
              <a:ln>
                <a:solidFill>
                  <a:schemeClr val="accent2"/>
                </a:solidFill>
              </a:ln>
            </c:spPr>
          </c:dPt>
          <c:dPt>
            <c:idx val="17"/>
            <c:invertIfNegative val="0"/>
            <c:bubble3D val="0"/>
            <c:spPr>
              <a:solidFill>
                <a:schemeClr val="accent6">
                  <a:lumMod val="75000"/>
                </a:schemeClr>
              </a:solidFill>
              <a:ln>
                <a:solidFill>
                  <a:schemeClr val="accent6">
                    <a:lumMod val="75000"/>
                  </a:schemeClr>
                </a:solidFill>
              </a:ln>
            </c:spPr>
          </c:dPt>
          <c:dLbls>
            <c:dLbl>
              <c:idx val="0"/>
              <c:layout>
                <c:manualLayout>
                  <c:x val="4.3080236941303177E-3"/>
                  <c:y val="0"/>
                </c:manualLayout>
              </c:layout>
              <c:dLblPos val="outEnd"/>
              <c:showLegendKey val="0"/>
              <c:showVal val="1"/>
              <c:showCatName val="0"/>
              <c:showSerName val="0"/>
              <c:showPercent val="0"/>
              <c:showBubbleSize val="0"/>
            </c:dLbl>
            <c:dLbl>
              <c:idx val="5"/>
              <c:layout/>
              <c:dLblPos val="outEnd"/>
              <c:showLegendKey val="0"/>
              <c:showVal val="1"/>
              <c:showCatName val="0"/>
              <c:showSerName val="0"/>
              <c:showPercent val="0"/>
              <c:showBubbleSize val="0"/>
            </c:dLbl>
            <c:dLbl>
              <c:idx val="13"/>
              <c:layout/>
              <c:dLblPos val="outEnd"/>
              <c:showLegendKey val="0"/>
              <c:showVal val="1"/>
              <c:showCatName val="0"/>
              <c:showSerName val="0"/>
              <c:showPercent val="0"/>
              <c:showBubbleSize val="0"/>
            </c:dLbl>
            <c:dLbl>
              <c:idx val="17"/>
              <c:layout/>
              <c:dLblPos val="outEnd"/>
              <c:showLegendKey val="0"/>
              <c:showVal val="1"/>
              <c:showCatName val="0"/>
              <c:showSerName val="0"/>
              <c:showPercent val="0"/>
              <c:showBubbleSize val="0"/>
            </c:dLbl>
            <c:dLbl>
              <c:idx val="22"/>
              <c:layout/>
              <c:dLblPos val="outEnd"/>
              <c:showLegendKey val="0"/>
              <c:showVal val="1"/>
              <c:showCatName val="0"/>
              <c:showSerName val="0"/>
              <c:showPercent val="0"/>
              <c:showBubbleSize val="0"/>
            </c:dLbl>
            <c:dLbl>
              <c:idx val="27"/>
              <c:layout/>
              <c:dLblPos val="outEnd"/>
              <c:showLegendKey val="0"/>
              <c:showVal val="1"/>
              <c:showCatName val="0"/>
              <c:showSerName val="0"/>
              <c:showPercent val="0"/>
              <c:showBubbleSize val="0"/>
            </c:dLbl>
            <c:dLbl>
              <c:idx val="28"/>
              <c:layout/>
              <c:dLblPos val="outEnd"/>
              <c:showLegendKey val="0"/>
              <c:showVal val="1"/>
              <c:showCatName val="0"/>
              <c:showSerName val="0"/>
              <c:showPercent val="0"/>
              <c:showBubbleSize val="0"/>
            </c:dLbl>
            <c:numFmt formatCode="0.0%" sourceLinked="0"/>
            <c:txPr>
              <a:bodyPr rot="-5400000" vert="horz"/>
              <a:lstStyle/>
              <a:p>
                <a:pPr>
                  <a:defRPr/>
                </a:pPr>
                <a:endParaRPr lang="cs-CZ"/>
              </a:p>
            </c:txPr>
            <c:dLblPos val="outEnd"/>
            <c:showLegendKey val="0"/>
            <c:showVal val="0"/>
            <c:showCatName val="0"/>
            <c:showSerName val="0"/>
            <c:showPercent val="0"/>
            <c:showBubbleSize val="0"/>
          </c:dLbls>
          <c:cat>
            <c:strRef>
              <c:f>'obr13'!$B$2:$B$30</c:f>
              <c:strCache>
                <c:ptCount val="29"/>
                <c:pt idx="0">
                  <c:v>DEU</c:v>
                </c:pt>
                <c:pt idx="1">
                  <c:v>LUX</c:v>
                </c:pt>
                <c:pt idx="2">
                  <c:v>BEL</c:v>
                </c:pt>
                <c:pt idx="3">
                  <c:v>IRL</c:v>
                </c:pt>
                <c:pt idx="4">
                  <c:v>GBR</c:v>
                </c:pt>
                <c:pt idx="5">
                  <c:v>AUT</c:v>
                </c:pt>
                <c:pt idx="6">
                  <c:v>FRA</c:v>
                </c:pt>
                <c:pt idx="7">
                  <c:v>NLD</c:v>
                </c:pt>
                <c:pt idx="8">
                  <c:v>FIN</c:v>
                </c:pt>
                <c:pt idx="9">
                  <c:v>SWE</c:v>
                </c:pt>
                <c:pt idx="10">
                  <c:v>PRT</c:v>
                </c:pt>
                <c:pt idx="11">
                  <c:v>GRC</c:v>
                </c:pt>
                <c:pt idx="12">
                  <c:v>DNK</c:v>
                </c:pt>
                <c:pt idx="13">
                  <c:v>EU</c:v>
                </c:pt>
                <c:pt idx="14">
                  <c:v>ITA</c:v>
                </c:pt>
                <c:pt idx="15">
                  <c:v>SVN</c:v>
                </c:pt>
                <c:pt idx="16">
                  <c:v>LTU</c:v>
                </c:pt>
                <c:pt idx="17">
                  <c:v>CZE</c:v>
                </c:pt>
                <c:pt idx="18">
                  <c:v>CYP</c:v>
                </c:pt>
                <c:pt idx="19">
                  <c:v>MLT</c:v>
                </c:pt>
                <c:pt idx="20">
                  <c:v>HRV</c:v>
                </c:pt>
                <c:pt idx="21">
                  <c:v>ESP</c:v>
                </c:pt>
                <c:pt idx="22">
                  <c:v>SVK</c:v>
                </c:pt>
                <c:pt idx="23">
                  <c:v>EST</c:v>
                </c:pt>
                <c:pt idx="24">
                  <c:v>BGR</c:v>
                </c:pt>
                <c:pt idx="25">
                  <c:v>HUN</c:v>
                </c:pt>
                <c:pt idx="26">
                  <c:v>LVA</c:v>
                </c:pt>
                <c:pt idx="27">
                  <c:v>POL</c:v>
                </c:pt>
                <c:pt idx="28">
                  <c:v>ROM</c:v>
                </c:pt>
              </c:strCache>
            </c:strRef>
          </c:cat>
          <c:val>
            <c:numRef>
              <c:f>'obr13'!$C$2:$C$30</c:f>
              <c:numCache>
                <c:formatCode>0%</c:formatCode>
                <c:ptCount val="29"/>
                <c:pt idx="0">
                  <c:v>0.67</c:v>
                </c:pt>
                <c:pt idx="1">
                  <c:v>0.65100000000000002</c:v>
                </c:pt>
                <c:pt idx="2">
                  <c:v>0.64200000000000002</c:v>
                </c:pt>
                <c:pt idx="3">
                  <c:v>0.61</c:v>
                </c:pt>
                <c:pt idx="4">
                  <c:v>0.60199999999999998</c:v>
                </c:pt>
                <c:pt idx="5">
                  <c:v>0.59499999999999997</c:v>
                </c:pt>
                <c:pt idx="6">
                  <c:v>0.56399999999999995</c:v>
                </c:pt>
                <c:pt idx="7">
                  <c:v>0.55300000000000005</c:v>
                </c:pt>
                <c:pt idx="8">
                  <c:v>0.55300000000000005</c:v>
                </c:pt>
                <c:pt idx="9">
                  <c:v>0.54200000000000004</c:v>
                </c:pt>
                <c:pt idx="10">
                  <c:v>0.54</c:v>
                </c:pt>
                <c:pt idx="11">
                  <c:v>0.51</c:v>
                </c:pt>
                <c:pt idx="12">
                  <c:v>0.495</c:v>
                </c:pt>
                <c:pt idx="13">
                  <c:v>0.49099999999999999</c:v>
                </c:pt>
                <c:pt idx="14">
                  <c:v>0.48699999999999999</c:v>
                </c:pt>
                <c:pt idx="15">
                  <c:v>0.45900000000000002</c:v>
                </c:pt>
                <c:pt idx="16">
                  <c:v>0.433</c:v>
                </c:pt>
                <c:pt idx="17">
                  <c:v>0.42</c:v>
                </c:pt>
                <c:pt idx="18">
                  <c:v>0.41799999999999998</c:v>
                </c:pt>
                <c:pt idx="19">
                  <c:v>0.41199999999999998</c:v>
                </c:pt>
                <c:pt idx="20">
                  <c:v>0.39700000000000002</c:v>
                </c:pt>
                <c:pt idx="21">
                  <c:v>0.36399999999999999</c:v>
                </c:pt>
                <c:pt idx="22">
                  <c:v>0.318</c:v>
                </c:pt>
                <c:pt idx="23">
                  <c:v>0.26500000000000001</c:v>
                </c:pt>
                <c:pt idx="24">
                  <c:v>0.26100000000000001</c:v>
                </c:pt>
                <c:pt idx="25">
                  <c:v>0.25600000000000001</c:v>
                </c:pt>
                <c:pt idx="26">
                  <c:v>0.255</c:v>
                </c:pt>
                <c:pt idx="27">
                  <c:v>0.21</c:v>
                </c:pt>
                <c:pt idx="28">
                  <c:v>0.128</c:v>
                </c:pt>
              </c:numCache>
            </c:numRef>
          </c:val>
        </c:ser>
        <c:dLbls>
          <c:dLblPos val="outEnd"/>
          <c:showLegendKey val="0"/>
          <c:showVal val="1"/>
          <c:showCatName val="0"/>
          <c:showSerName val="0"/>
          <c:showPercent val="0"/>
          <c:showBubbleSize val="0"/>
        </c:dLbls>
        <c:gapWidth val="150"/>
        <c:axId val="34166272"/>
        <c:axId val="34167808"/>
      </c:barChart>
      <c:catAx>
        <c:axId val="34166272"/>
        <c:scaling>
          <c:orientation val="minMax"/>
        </c:scaling>
        <c:delete val="0"/>
        <c:axPos val="b"/>
        <c:majorTickMark val="out"/>
        <c:minorTickMark val="none"/>
        <c:tickLblPos val="nextTo"/>
        <c:crossAx val="34167808"/>
        <c:crosses val="autoZero"/>
        <c:auto val="1"/>
        <c:lblAlgn val="ctr"/>
        <c:lblOffset val="100"/>
        <c:noMultiLvlLbl val="0"/>
      </c:catAx>
      <c:valAx>
        <c:axId val="34167808"/>
        <c:scaling>
          <c:orientation val="minMax"/>
        </c:scaling>
        <c:delete val="0"/>
        <c:axPos val="l"/>
        <c:majorGridlines/>
        <c:title>
          <c:tx>
            <c:rich>
              <a:bodyPr rot="-5400000" vert="horz"/>
              <a:lstStyle/>
              <a:p>
                <a:pPr>
                  <a:defRPr/>
                </a:pPr>
                <a:r>
                  <a:rPr lang="cs-CZ"/>
                  <a:t>Podíl</a:t>
                </a:r>
                <a:r>
                  <a:rPr lang="cs-CZ" baseline="0"/>
                  <a:t> inovujících podniků</a:t>
                </a:r>
                <a:endParaRPr lang="cs-CZ"/>
              </a:p>
            </c:rich>
          </c:tx>
          <c:layout/>
          <c:overlay val="0"/>
        </c:title>
        <c:numFmt formatCode="0%" sourceLinked="1"/>
        <c:majorTickMark val="out"/>
        <c:minorTickMark val="none"/>
        <c:tickLblPos val="nextTo"/>
        <c:crossAx val="34166272"/>
        <c:crosses val="autoZero"/>
        <c:crossBetween val="between"/>
      </c:valAx>
    </c:plotArea>
    <c:plotVisOnly val="1"/>
    <c:dispBlanksAs val="gap"/>
    <c:showDLblsOverMax val="0"/>
  </c:chart>
  <c:spPr>
    <a:ln>
      <a:noFill/>
    </a:ln>
  </c:sp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F3DD17-E6A4-458A-B694-D2A49D82237C}" type="doc">
      <dgm:prSet loTypeId="urn:microsoft.com/office/officeart/2011/layout/CircleProcess" loCatId="process" qsTypeId="urn:microsoft.com/office/officeart/2005/8/quickstyle/simple3" qsCatId="simple" csTypeId="urn:microsoft.com/office/officeart/2005/8/colors/accent3_2" csCatId="accent3" phldr="1"/>
      <dgm:spPr/>
      <dgm:t>
        <a:bodyPr/>
        <a:lstStyle/>
        <a:p>
          <a:endParaRPr lang="cs-CZ"/>
        </a:p>
      </dgm:t>
    </dgm:pt>
    <dgm:pt modelId="{7C866FC1-0664-42B1-AD27-CFA29BDB79CA}">
      <dgm:prSet phldrT="[Text]" custT="1"/>
      <dgm:spPr/>
      <dgm:t>
        <a:bodyPr/>
        <a:lstStyle/>
        <a:p>
          <a:r>
            <a:rPr lang="cs-CZ" sz="800" b="1"/>
            <a:t>14 %</a:t>
          </a:r>
        </a:p>
        <a:p>
          <a:r>
            <a:rPr lang="cs-CZ" sz="700" b="0"/>
            <a:t>úspěšnost</a:t>
          </a:r>
        </a:p>
      </dgm:t>
    </dgm:pt>
    <dgm:pt modelId="{EE904259-759B-4B23-9B55-A43937D1D3E8}" type="parTrans" cxnId="{02D368DA-5956-4665-A1C4-3E821781BEF7}">
      <dgm:prSet/>
      <dgm:spPr/>
      <dgm:t>
        <a:bodyPr/>
        <a:lstStyle/>
        <a:p>
          <a:endParaRPr lang="cs-CZ" sz="700"/>
        </a:p>
      </dgm:t>
    </dgm:pt>
    <dgm:pt modelId="{9F28ABA5-CEFD-4D6F-B586-6A60B6B9AFE8}" type="sibTrans" cxnId="{02D368DA-5956-4665-A1C4-3E821781BEF7}">
      <dgm:prSet/>
      <dgm:spPr/>
      <dgm:t>
        <a:bodyPr/>
        <a:lstStyle/>
        <a:p>
          <a:endParaRPr lang="cs-CZ" sz="700"/>
        </a:p>
      </dgm:t>
    </dgm:pt>
    <dgm:pt modelId="{1F570921-CD17-42D6-A4AF-A43E150847B7}">
      <dgm:prSet phldrT="[Text]" custT="1"/>
      <dgm:spPr/>
      <dgm:t>
        <a:bodyPr/>
        <a:lstStyle/>
        <a:p>
          <a:r>
            <a:rPr lang="cs-CZ" sz="800" b="1"/>
            <a:t>606 </a:t>
          </a:r>
          <a:r>
            <a:rPr lang="cs-CZ" sz="700"/>
            <a:t>podpořených projektů</a:t>
          </a:r>
        </a:p>
      </dgm:t>
    </dgm:pt>
    <dgm:pt modelId="{F7F5D479-578C-4C11-B5CD-E6A7791C4151}" type="parTrans" cxnId="{39C3BF59-99ED-4F4C-B29F-C49262E267F8}">
      <dgm:prSet/>
      <dgm:spPr/>
      <dgm:t>
        <a:bodyPr/>
        <a:lstStyle/>
        <a:p>
          <a:endParaRPr lang="cs-CZ" sz="700"/>
        </a:p>
      </dgm:t>
    </dgm:pt>
    <dgm:pt modelId="{77768910-2532-4CB5-9B4F-265EE424D74E}" type="sibTrans" cxnId="{39C3BF59-99ED-4F4C-B29F-C49262E267F8}">
      <dgm:prSet/>
      <dgm:spPr/>
      <dgm:t>
        <a:bodyPr/>
        <a:lstStyle/>
        <a:p>
          <a:endParaRPr lang="cs-CZ" sz="700"/>
        </a:p>
      </dgm:t>
    </dgm:pt>
    <dgm:pt modelId="{68DB5E22-1320-4F8E-A825-0468ECF678B3}">
      <dgm:prSet phldrT="[Text]" custT="1"/>
      <dgm:spPr/>
      <dgm:t>
        <a:bodyPr/>
        <a:lstStyle/>
        <a:p>
          <a:r>
            <a:rPr lang="cs-CZ" sz="900" b="1"/>
            <a:t>198. mil. EUR</a:t>
          </a:r>
        </a:p>
        <a:p>
          <a:r>
            <a:rPr lang="cs-CZ" sz="800" b="0"/>
            <a:t>podpora</a:t>
          </a:r>
        </a:p>
      </dgm:t>
    </dgm:pt>
    <dgm:pt modelId="{31CE8411-7DBF-433C-BD4D-D0955CF60ED3}" type="parTrans" cxnId="{382051DC-67D4-49B2-A86B-E1DA49E4AD25}">
      <dgm:prSet/>
      <dgm:spPr/>
      <dgm:t>
        <a:bodyPr/>
        <a:lstStyle/>
        <a:p>
          <a:endParaRPr lang="cs-CZ" sz="700"/>
        </a:p>
      </dgm:t>
    </dgm:pt>
    <dgm:pt modelId="{8D5CBB9F-863E-426F-9A00-A67D6ABCC497}" type="sibTrans" cxnId="{382051DC-67D4-49B2-A86B-E1DA49E4AD25}">
      <dgm:prSet/>
      <dgm:spPr/>
      <dgm:t>
        <a:bodyPr/>
        <a:lstStyle/>
        <a:p>
          <a:endParaRPr lang="cs-CZ" sz="700"/>
        </a:p>
      </dgm:t>
    </dgm:pt>
    <dgm:pt modelId="{D062EAE0-CB73-46EF-84DA-1CAA4DD8EFAA}" type="pres">
      <dgm:prSet presAssocID="{33F3DD17-E6A4-458A-B694-D2A49D82237C}" presName="Name0" presStyleCnt="0">
        <dgm:presLayoutVars>
          <dgm:chMax val="11"/>
          <dgm:chPref val="11"/>
          <dgm:dir val="rev"/>
          <dgm:resizeHandles/>
        </dgm:presLayoutVars>
      </dgm:prSet>
      <dgm:spPr/>
      <dgm:t>
        <a:bodyPr/>
        <a:lstStyle/>
        <a:p>
          <a:endParaRPr lang="cs-CZ"/>
        </a:p>
      </dgm:t>
    </dgm:pt>
    <dgm:pt modelId="{9655A2E3-5736-4B40-8551-FD606B7197AA}" type="pres">
      <dgm:prSet presAssocID="{68DB5E22-1320-4F8E-A825-0468ECF678B3}" presName="Accent3" presStyleCnt="0"/>
      <dgm:spPr/>
    </dgm:pt>
    <dgm:pt modelId="{7A6CE84C-8DE6-4886-937D-B675FF21FF00}" type="pres">
      <dgm:prSet presAssocID="{68DB5E22-1320-4F8E-A825-0468ECF678B3}" presName="Accent" presStyleLbl="node1" presStyleIdx="0" presStyleCnt="3" custScaleX="130205" custScaleY="130205" custLinFactNeighborX="-5410"/>
      <dgm:spPr/>
    </dgm:pt>
    <dgm:pt modelId="{A737CECA-6B0C-413A-BF2A-E61534DBDF93}" type="pres">
      <dgm:prSet presAssocID="{68DB5E22-1320-4F8E-A825-0468ECF678B3}" presName="ParentBackground3" presStyleCnt="0"/>
      <dgm:spPr/>
    </dgm:pt>
    <dgm:pt modelId="{0EBD6A25-43DA-42DD-88A4-4A1F3DC0E408}" type="pres">
      <dgm:prSet presAssocID="{68DB5E22-1320-4F8E-A825-0468ECF678B3}" presName="ParentBackground" presStyleLbl="fgAcc1" presStyleIdx="0" presStyleCnt="3" custScaleX="130205" custScaleY="130205" custLinFactNeighborX="-2261"/>
      <dgm:spPr/>
      <dgm:t>
        <a:bodyPr/>
        <a:lstStyle/>
        <a:p>
          <a:endParaRPr lang="cs-CZ"/>
        </a:p>
      </dgm:t>
    </dgm:pt>
    <dgm:pt modelId="{F747035C-D9A4-405C-81EC-FC08473E1DD4}" type="pres">
      <dgm:prSet presAssocID="{68DB5E22-1320-4F8E-A825-0468ECF678B3}" presName="Parent3" presStyleLbl="revTx" presStyleIdx="0" presStyleCnt="0">
        <dgm:presLayoutVars>
          <dgm:chMax val="1"/>
          <dgm:chPref val="1"/>
          <dgm:bulletEnabled val="1"/>
        </dgm:presLayoutVars>
      </dgm:prSet>
      <dgm:spPr/>
      <dgm:t>
        <a:bodyPr/>
        <a:lstStyle/>
        <a:p>
          <a:endParaRPr lang="cs-CZ"/>
        </a:p>
      </dgm:t>
    </dgm:pt>
    <dgm:pt modelId="{F809A5F8-E61F-4A0B-BEA9-9EE5FAED7490}" type="pres">
      <dgm:prSet presAssocID="{1F570921-CD17-42D6-A4AF-A43E150847B7}" presName="Accent2" presStyleCnt="0"/>
      <dgm:spPr/>
    </dgm:pt>
    <dgm:pt modelId="{244D84FB-FCD3-4530-88BE-9C2388E23919}" type="pres">
      <dgm:prSet presAssocID="{1F570921-CD17-42D6-A4AF-A43E150847B7}" presName="Accent" presStyleLbl="node1" presStyleIdx="1" presStyleCnt="3"/>
      <dgm:spPr/>
    </dgm:pt>
    <dgm:pt modelId="{239080A9-0A12-49B8-AEBE-80D66990746B}" type="pres">
      <dgm:prSet presAssocID="{1F570921-CD17-42D6-A4AF-A43E150847B7}" presName="ParentBackground2" presStyleCnt="0"/>
      <dgm:spPr/>
    </dgm:pt>
    <dgm:pt modelId="{8266384D-534E-465D-A8CA-774C290758B5}" type="pres">
      <dgm:prSet presAssocID="{1F570921-CD17-42D6-A4AF-A43E150847B7}" presName="ParentBackground" presStyleLbl="fgAcc1" presStyleIdx="1" presStyleCnt="3" custScaleX="99778"/>
      <dgm:spPr/>
      <dgm:t>
        <a:bodyPr/>
        <a:lstStyle/>
        <a:p>
          <a:endParaRPr lang="cs-CZ"/>
        </a:p>
      </dgm:t>
    </dgm:pt>
    <dgm:pt modelId="{D1D34795-39AB-46A6-8C3E-D5EABEDE6FFB}" type="pres">
      <dgm:prSet presAssocID="{1F570921-CD17-42D6-A4AF-A43E150847B7}" presName="Parent2" presStyleLbl="revTx" presStyleIdx="0" presStyleCnt="0">
        <dgm:presLayoutVars>
          <dgm:chMax val="1"/>
          <dgm:chPref val="1"/>
          <dgm:bulletEnabled val="1"/>
        </dgm:presLayoutVars>
      </dgm:prSet>
      <dgm:spPr/>
      <dgm:t>
        <a:bodyPr/>
        <a:lstStyle/>
        <a:p>
          <a:endParaRPr lang="cs-CZ"/>
        </a:p>
      </dgm:t>
    </dgm:pt>
    <dgm:pt modelId="{0E225564-CBB6-4C97-B4E2-544B19FD30D5}" type="pres">
      <dgm:prSet presAssocID="{7C866FC1-0664-42B1-AD27-CFA29BDB79CA}" presName="Accent1" presStyleCnt="0"/>
      <dgm:spPr/>
    </dgm:pt>
    <dgm:pt modelId="{ED64DB99-8E4A-4D50-9E43-ED35EEA0C7C0}" type="pres">
      <dgm:prSet presAssocID="{7C866FC1-0664-42B1-AD27-CFA29BDB79CA}" presName="Accent" presStyleLbl="node1" presStyleIdx="2" presStyleCnt="3" custScaleX="85670" custScaleY="85670"/>
      <dgm:spPr/>
    </dgm:pt>
    <dgm:pt modelId="{50382AB1-2AAB-42F5-8A2F-4984667BF2D5}" type="pres">
      <dgm:prSet presAssocID="{7C866FC1-0664-42B1-AD27-CFA29BDB79CA}" presName="ParentBackground1" presStyleCnt="0"/>
      <dgm:spPr/>
    </dgm:pt>
    <dgm:pt modelId="{70B2C188-D20A-4223-AB5F-43DFA95F000A}" type="pres">
      <dgm:prSet presAssocID="{7C866FC1-0664-42B1-AD27-CFA29BDB79CA}" presName="ParentBackground" presStyleLbl="fgAcc1" presStyleIdx="2" presStyleCnt="3" custScaleX="85670" custScaleY="85670"/>
      <dgm:spPr/>
      <dgm:t>
        <a:bodyPr/>
        <a:lstStyle/>
        <a:p>
          <a:endParaRPr lang="cs-CZ"/>
        </a:p>
      </dgm:t>
    </dgm:pt>
    <dgm:pt modelId="{173A3CBF-CF80-4EC7-A2E3-1E3129B79ABE}" type="pres">
      <dgm:prSet presAssocID="{7C866FC1-0664-42B1-AD27-CFA29BDB79CA}" presName="Parent1" presStyleLbl="revTx" presStyleIdx="0" presStyleCnt="0">
        <dgm:presLayoutVars>
          <dgm:chMax val="1"/>
          <dgm:chPref val="1"/>
          <dgm:bulletEnabled val="1"/>
        </dgm:presLayoutVars>
      </dgm:prSet>
      <dgm:spPr/>
      <dgm:t>
        <a:bodyPr/>
        <a:lstStyle/>
        <a:p>
          <a:endParaRPr lang="cs-CZ"/>
        </a:p>
      </dgm:t>
    </dgm:pt>
  </dgm:ptLst>
  <dgm:cxnLst>
    <dgm:cxn modelId="{B2CA5693-328F-4B50-8551-1ED63C34A911}" type="presOf" srcId="{68DB5E22-1320-4F8E-A825-0468ECF678B3}" destId="{0EBD6A25-43DA-42DD-88A4-4A1F3DC0E408}" srcOrd="0" destOrd="0" presId="urn:microsoft.com/office/officeart/2011/layout/CircleProcess"/>
    <dgm:cxn modelId="{6555B242-DD89-4737-A273-EB327952E731}" type="presOf" srcId="{1F570921-CD17-42D6-A4AF-A43E150847B7}" destId="{8266384D-534E-465D-A8CA-774C290758B5}" srcOrd="0" destOrd="0" presId="urn:microsoft.com/office/officeart/2011/layout/CircleProcess"/>
    <dgm:cxn modelId="{EA1997C6-0C7A-4804-AA98-42B644E77880}" type="presOf" srcId="{68DB5E22-1320-4F8E-A825-0468ECF678B3}" destId="{F747035C-D9A4-405C-81EC-FC08473E1DD4}" srcOrd="1" destOrd="0" presId="urn:microsoft.com/office/officeart/2011/layout/CircleProcess"/>
    <dgm:cxn modelId="{C0AA7827-48D6-4618-8340-5CFA6651CE83}" type="presOf" srcId="{33F3DD17-E6A4-458A-B694-D2A49D82237C}" destId="{D062EAE0-CB73-46EF-84DA-1CAA4DD8EFAA}" srcOrd="0" destOrd="0" presId="urn:microsoft.com/office/officeart/2011/layout/CircleProcess"/>
    <dgm:cxn modelId="{02D368DA-5956-4665-A1C4-3E821781BEF7}" srcId="{33F3DD17-E6A4-458A-B694-D2A49D82237C}" destId="{7C866FC1-0664-42B1-AD27-CFA29BDB79CA}" srcOrd="0" destOrd="0" parTransId="{EE904259-759B-4B23-9B55-A43937D1D3E8}" sibTransId="{9F28ABA5-CEFD-4D6F-B586-6A60B6B9AFE8}"/>
    <dgm:cxn modelId="{6205764B-20F4-45B1-BFE3-2D286FA1E614}" type="presOf" srcId="{1F570921-CD17-42D6-A4AF-A43E150847B7}" destId="{D1D34795-39AB-46A6-8C3E-D5EABEDE6FFB}" srcOrd="1" destOrd="0" presId="urn:microsoft.com/office/officeart/2011/layout/CircleProcess"/>
    <dgm:cxn modelId="{FC9E59A9-457B-44E0-A601-761814505D58}" type="presOf" srcId="{7C866FC1-0664-42B1-AD27-CFA29BDB79CA}" destId="{70B2C188-D20A-4223-AB5F-43DFA95F000A}" srcOrd="0" destOrd="0" presId="urn:microsoft.com/office/officeart/2011/layout/CircleProcess"/>
    <dgm:cxn modelId="{39C3BF59-99ED-4F4C-B29F-C49262E267F8}" srcId="{33F3DD17-E6A4-458A-B694-D2A49D82237C}" destId="{1F570921-CD17-42D6-A4AF-A43E150847B7}" srcOrd="1" destOrd="0" parTransId="{F7F5D479-578C-4C11-B5CD-E6A7791C4151}" sibTransId="{77768910-2532-4CB5-9B4F-265EE424D74E}"/>
    <dgm:cxn modelId="{703AAD5F-CD99-48F4-A9EE-EC02D4FAED6E}" type="presOf" srcId="{7C866FC1-0664-42B1-AD27-CFA29BDB79CA}" destId="{173A3CBF-CF80-4EC7-A2E3-1E3129B79ABE}" srcOrd="1" destOrd="0" presId="urn:microsoft.com/office/officeart/2011/layout/CircleProcess"/>
    <dgm:cxn modelId="{382051DC-67D4-49B2-A86B-E1DA49E4AD25}" srcId="{33F3DD17-E6A4-458A-B694-D2A49D82237C}" destId="{68DB5E22-1320-4F8E-A825-0468ECF678B3}" srcOrd="2" destOrd="0" parTransId="{31CE8411-7DBF-433C-BD4D-D0955CF60ED3}" sibTransId="{8D5CBB9F-863E-426F-9A00-A67D6ABCC497}"/>
    <dgm:cxn modelId="{D12F3F9B-BC94-47BD-82D6-1545FF08FE09}" type="presParOf" srcId="{D062EAE0-CB73-46EF-84DA-1CAA4DD8EFAA}" destId="{9655A2E3-5736-4B40-8551-FD606B7197AA}" srcOrd="0" destOrd="0" presId="urn:microsoft.com/office/officeart/2011/layout/CircleProcess"/>
    <dgm:cxn modelId="{D0D4A67F-C661-4DF7-A90B-5CA04A3F5B29}" type="presParOf" srcId="{9655A2E3-5736-4B40-8551-FD606B7197AA}" destId="{7A6CE84C-8DE6-4886-937D-B675FF21FF00}" srcOrd="0" destOrd="0" presId="urn:microsoft.com/office/officeart/2011/layout/CircleProcess"/>
    <dgm:cxn modelId="{E115930E-3796-4B46-A42E-398FE3100CB0}" type="presParOf" srcId="{D062EAE0-CB73-46EF-84DA-1CAA4DD8EFAA}" destId="{A737CECA-6B0C-413A-BF2A-E61534DBDF93}" srcOrd="1" destOrd="0" presId="urn:microsoft.com/office/officeart/2011/layout/CircleProcess"/>
    <dgm:cxn modelId="{C63D14C7-CD82-459C-B350-0B6C046E0741}" type="presParOf" srcId="{A737CECA-6B0C-413A-BF2A-E61534DBDF93}" destId="{0EBD6A25-43DA-42DD-88A4-4A1F3DC0E408}" srcOrd="0" destOrd="0" presId="urn:microsoft.com/office/officeart/2011/layout/CircleProcess"/>
    <dgm:cxn modelId="{D422B293-2E2F-44EB-AB7F-42601317CB25}" type="presParOf" srcId="{D062EAE0-CB73-46EF-84DA-1CAA4DD8EFAA}" destId="{F747035C-D9A4-405C-81EC-FC08473E1DD4}" srcOrd="2" destOrd="0" presId="urn:microsoft.com/office/officeart/2011/layout/CircleProcess"/>
    <dgm:cxn modelId="{37F40319-F065-415D-BCAB-43BE70F2DF64}" type="presParOf" srcId="{D062EAE0-CB73-46EF-84DA-1CAA4DD8EFAA}" destId="{F809A5F8-E61F-4A0B-BEA9-9EE5FAED7490}" srcOrd="3" destOrd="0" presId="urn:microsoft.com/office/officeart/2011/layout/CircleProcess"/>
    <dgm:cxn modelId="{5583BBDF-5892-413D-8A27-414B75FE43D1}" type="presParOf" srcId="{F809A5F8-E61F-4A0B-BEA9-9EE5FAED7490}" destId="{244D84FB-FCD3-4530-88BE-9C2388E23919}" srcOrd="0" destOrd="0" presId="urn:microsoft.com/office/officeart/2011/layout/CircleProcess"/>
    <dgm:cxn modelId="{DF797684-E288-42E7-8D72-8D7469583254}" type="presParOf" srcId="{D062EAE0-CB73-46EF-84DA-1CAA4DD8EFAA}" destId="{239080A9-0A12-49B8-AEBE-80D66990746B}" srcOrd="4" destOrd="0" presId="urn:microsoft.com/office/officeart/2011/layout/CircleProcess"/>
    <dgm:cxn modelId="{77155C66-4405-4F9E-A145-93D9B5AE8F78}" type="presParOf" srcId="{239080A9-0A12-49B8-AEBE-80D66990746B}" destId="{8266384D-534E-465D-A8CA-774C290758B5}" srcOrd="0" destOrd="0" presId="urn:microsoft.com/office/officeart/2011/layout/CircleProcess"/>
    <dgm:cxn modelId="{6889E15F-9418-43EC-A086-4891A583A58D}" type="presParOf" srcId="{D062EAE0-CB73-46EF-84DA-1CAA4DD8EFAA}" destId="{D1D34795-39AB-46A6-8C3E-D5EABEDE6FFB}" srcOrd="5" destOrd="0" presId="urn:microsoft.com/office/officeart/2011/layout/CircleProcess"/>
    <dgm:cxn modelId="{7F55752A-0FEB-4E35-9DDA-0746A1AEE487}" type="presParOf" srcId="{D062EAE0-CB73-46EF-84DA-1CAA4DD8EFAA}" destId="{0E225564-CBB6-4C97-B4E2-544B19FD30D5}" srcOrd="6" destOrd="0" presId="urn:microsoft.com/office/officeart/2011/layout/CircleProcess"/>
    <dgm:cxn modelId="{177D95D3-5FCB-4370-940A-A66916AA8EBC}" type="presParOf" srcId="{0E225564-CBB6-4C97-B4E2-544B19FD30D5}" destId="{ED64DB99-8E4A-4D50-9E43-ED35EEA0C7C0}" srcOrd="0" destOrd="0" presId="urn:microsoft.com/office/officeart/2011/layout/CircleProcess"/>
    <dgm:cxn modelId="{8CFC25C9-CB39-43F0-85A7-63D486667B19}" type="presParOf" srcId="{D062EAE0-CB73-46EF-84DA-1CAA4DD8EFAA}" destId="{50382AB1-2AAB-42F5-8A2F-4984667BF2D5}" srcOrd="7" destOrd="0" presId="urn:microsoft.com/office/officeart/2011/layout/CircleProcess"/>
    <dgm:cxn modelId="{7EF35B69-0D5D-4480-8B4E-4C3043EDCA3D}" type="presParOf" srcId="{50382AB1-2AAB-42F5-8A2F-4984667BF2D5}" destId="{70B2C188-D20A-4223-AB5F-43DFA95F000A}" srcOrd="0" destOrd="0" presId="urn:microsoft.com/office/officeart/2011/layout/CircleProcess"/>
    <dgm:cxn modelId="{5C4A9BB8-D239-4F4D-8F2E-34692B67D29C}" type="presParOf" srcId="{D062EAE0-CB73-46EF-84DA-1CAA4DD8EFAA}" destId="{173A3CBF-CF80-4EC7-A2E3-1E3129B79ABE}" srcOrd="8" destOrd="0" presId="urn:microsoft.com/office/officeart/2011/layout/CircleProcess"/>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560BB9D-C28C-48A4-B5CA-D18DE5B0F940}" type="doc">
      <dgm:prSet loTypeId="urn:microsoft.com/office/officeart/2005/8/layout/funnel1" loCatId="process" qsTypeId="urn:microsoft.com/office/officeart/2005/8/quickstyle/simple1" qsCatId="simple" csTypeId="urn:microsoft.com/office/officeart/2005/8/colors/accent1_2" csCatId="accent1" phldr="1"/>
      <dgm:spPr/>
      <dgm:t>
        <a:bodyPr/>
        <a:lstStyle/>
        <a:p>
          <a:endParaRPr lang="cs-CZ"/>
        </a:p>
      </dgm:t>
    </dgm:pt>
    <dgm:pt modelId="{F9E08B6F-3FFC-4EA7-BBB7-455BDCF5E19C}">
      <dgm:prSet phldrT="[Text]" custT="1">
        <dgm:style>
          <a:lnRef idx="1">
            <a:schemeClr val="accent3"/>
          </a:lnRef>
          <a:fillRef idx="2">
            <a:schemeClr val="accent3"/>
          </a:fillRef>
          <a:effectRef idx="1">
            <a:schemeClr val="accent3"/>
          </a:effectRef>
          <a:fontRef idx="minor">
            <a:schemeClr val="dk1"/>
          </a:fontRef>
        </dgm:style>
      </dgm:prSet>
      <dgm:spPr/>
      <dgm:t>
        <a:bodyPr/>
        <a:lstStyle/>
        <a:p>
          <a:pPr algn="ctr"/>
          <a:r>
            <a:rPr lang="cs-CZ" sz="1000" b="1"/>
            <a:t>4.479 </a:t>
          </a:r>
          <a:r>
            <a:rPr lang="cs-CZ" sz="900"/>
            <a:t>způs. projektů</a:t>
          </a:r>
        </a:p>
      </dgm:t>
    </dgm:pt>
    <dgm:pt modelId="{E66FB866-F87E-4265-B0AE-68D1AC6B6F20}" type="parTrans" cxnId="{DFD1002B-01BB-4374-9675-285EFD0A3AF4}">
      <dgm:prSet/>
      <dgm:spPr/>
      <dgm:t>
        <a:bodyPr/>
        <a:lstStyle/>
        <a:p>
          <a:pPr algn="ctr"/>
          <a:endParaRPr lang="cs-CZ"/>
        </a:p>
      </dgm:t>
    </dgm:pt>
    <dgm:pt modelId="{F7E53987-C6E8-46D5-A9C8-AD86F87588A6}" type="sibTrans" cxnId="{DFD1002B-01BB-4374-9675-285EFD0A3AF4}">
      <dgm:prSet/>
      <dgm:spPr/>
      <dgm:t>
        <a:bodyPr/>
        <a:lstStyle/>
        <a:p>
          <a:pPr algn="ctr"/>
          <a:endParaRPr lang="cs-CZ"/>
        </a:p>
      </dgm:t>
    </dgm:pt>
    <dgm:pt modelId="{C577B45E-40C1-485F-BBBE-5CD218892808}">
      <dgm:prSet custT="1">
        <dgm:style>
          <a:lnRef idx="1">
            <a:schemeClr val="accent2"/>
          </a:lnRef>
          <a:fillRef idx="2">
            <a:schemeClr val="accent2"/>
          </a:fillRef>
          <a:effectRef idx="1">
            <a:schemeClr val="accent2"/>
          </a:effectRef>
          <a:fontRef idx="minor">
            <a:schemeClr val="dk1"/>
          </a:fontRef>
        </dgm:style>
      </dgm:prSet>
      <dgm:spPr/>
      <dgm:t>
        <a:bodyPr/>
        <a:lstStyle/>
        <a:p>
          <a:pPr algn="ctr"/>
          <a:r>
            <a:rPr lang="cs-CZ" sz="1000" b="1"/>
            <a:t>9.647 </a:t>
          </a:r>
        </a:p>
        <a:p>
          <a:pPr algn="ctr"/>
          <a:r>
            <a:rPr lang="cs-CZ" sz="900"/>
            <a:t>způs. projektů</a:t>
          </a:r>
        </a:p>
      </dgm:t>
    </dgm:pt>
    <dgm:pt modelId="{AC19CE72-1634-4168-BA51-ABD4B4EC5467}" type="parTrans" cxnId="{3E391155-A8BD-4043-BE4A-60273F0845AF}">
      <dgm:prSet/>
      <dgm:spPr/>
      <dgm:t>
        <a:bodyPr/>
        <a:lstStyle/>
        <a:p>
          <a:pPr algn="ctr"/>
          <a:endParaRPr lang="cs-CZ"/>
        </a:p>
      </dgm:t>
    </dgm:pt>
    <dgm:pt modelId="{2313067C-1D0C-4251-BB42-4F6EFAD2A696}" type="sibTrans" cxnId="{3E391155-A8BD-4043-BE4A-60273F0845AF}">
      <dgm:prSet/>
      <dgm:spPr/>
      <dgm:t>
        <a:bodyPr/>
        <a:lstStyle/>
        <a:p>
          <a:pPr algn="ctr"/>
          <a:endParaRPr lang="cs-CZ"/>
        </a:p>
      </dgm:t>
    </dgm:pt>
    <dgm:pt modelId="{65F72056-B893-4094-9A3B-1095F3739717}">
      <dgm:prSet/>
      <dgm:spPr/>
      <dgm:t>
        <a:bodyPr/>
        <a:lstStyle/>
        <a:p>
          <a:pPr algn="ctr"/>
          <a:endParaRPr lang="cs-CZ"/>
        </a:p>
      </dgm:t>
    </dgm:pt>
    <dgm:pt modelId="{715B902D-6BC7-4E38-B132-10C5E9EE5E50}" type="sibTrans" cxnId="{500D9EC8-11F4-4F1A-9389-D2EA31367907}">
      <dgm:prSet/>
      <dgm:spPr/>
      <dgm:t>
        <a:bodyPr/>
        <a:lstStyle/>
        <a:p>
          <a:pPr algn="ctr"/>
          <a:endParaRPr lang="cs-CZ"/>
        </a:p>
      </dgm:t>
    </dgm:pt>
    <dgm:pt modelId="{753A493B-2BFE-4EBE-A91D-96090064B2C2}" type="parTrans" cxnId="{500D9EC8-11F4-4F1A-9389-D2EA31367907}">
      <dgm:prSet/>
      <dgm:spPr/>
      <dgm:t>
        <a:bodyPr/>
        <a:lstStyle/>
        <a:p>
          <a:pPr algn="ctr"/>
          <a:endParaRPr lang="cs-CZ"/>
        </a:p>
      </dgm:t>
    </dgm:pt>
    <dgm:pt modelId="{8BAFF0EB-0A6D-44CB-B9FC-54E81958A8AE}" type="pres">
      <dgm:prSet presAssocID="{4560BB9D-C28C-48A4-B5CA-D18DE5B0F940}" presName="Name0" presStyleCnt="0">
        <dgm:presLayoutVars>
          <dgm:chMax val="4"/>
          <dgm:resizeHandles val="exact"/>
        </dgm:presLayoutVars>
      </dgm:prSet>
      <dgm:spPr/>
      <dgm:t>
        <a:bodyPr/>
        <a:lstStyle/>
        <a:p>
          <a:endParaRPr lang="cs-CZ"/>
        </a:p>
      </dgm:t>
    </dgm:pt>
    <dgm:pt modelId="{DFD02DCD-0D4B-438A-86E7-C137D19FFB2A}" type="pres">
      <dgm:prSet presAssocID="{4560BB9D-C28C-48A4-B5CA-D18DE5B0F940}" presName="ellipse" presStyleLbl="trBgShp" presStyleIdx="0" presStyleCnt="1"/>
      <dgm:spPr/>
    </dgm:pt>
    <dgm:pt modelId="{F1461715-4151-4AC1-A9F8-62570E02EDDB}" type="pres">
      <dgm:prSet presAssocID="{4560BB9D-C28C-48A4-B5CA-D18DE5B0F940}" presName="arrow1" presStyleLbl="fgShp" presStyleIdx="0" presStyleCnt="1" custScaleX="216963" custScaleY="216965" custLinFactNeighborX="1794" custLinFactNeighborY="64600"/>
      <dgm:spPr>
        <a:prstGeom prst="downArrow">
          <a:avLst/>
        </a:prstGeom>
      </dgm:spPr>
    </dgm:pt>
    <dgm:pt modelId="{85195C9B-2FBE-4A76-BE0E-3EACED2E0CA9}" type="pres">
      <dgm:prSet presAssocID="{4560BB9D-C28C-48A4-B5CA-D18DE5B0F940}" presName="rectangle" presStyleLbl="revTx" presStyleIdx="0" presStyleCnt="1">
        <dgm:presLayoutVars>
          <dgm:bulletEnabled val="1"/>
        </dgm:presLayoutVars>
      </dgm:prSet>
      <dgm:spPr/>
      <dgm:t>
        <a:bodyPr/>
        <a:lstStyle/>
        <a:p>
          <a:endParaRPr lang="cs-CZ"/>
        </a:p>
      </dgm:t>
    </dgm:pt>
    <dgm:pt modelId="{CFC1EAE0-9263-401D-B6F7-1D577ABFB9BD}" type="pres">
      <dgm:prSet presAssocID="{F9E08B6F-3FFC-4EA7-BBB7-455BDCF5E19C}" presName="item1" presStyleLbl="node1" presStyleIdx="0" presStyleCnt="2" custScaleX="89345" custScaleY="89345" custLinFactNeighborX="20091" custLinFactNeighborY="-14733">
        <dgm:presLayoutVars>
          <dgm:bulletEnabled val="1"/>
        </dgm:presLayoutVars>
      </dgm:prSet>
      <dgm:spPr/>
      <dgm:t>
        <a:bodyPr/>
        <a:lstStyle/>
        <a:p>
          <a:endParaRPr lang="cs-CZ"/>
        </a:p>
      </dgm:t>
    </dgm:pt>
    <dgm:pt modelId="{431482C3-D6B1-431A-9714-11078972074B}" type="pres">
      <dgm:prSet presAssocID="{65F72056-B893-4094-9A3B-1095F3739717}" presName="item2" presStyleLbl="node1" presStyleIdx="1" presStyleCnt="2" custScaleX="121746" custScaleY="121746" custLinFactNeighborX="1339" custLinFactNeighborY="-15884">
        <dgm:presLayoutVars>
          <dgm:bulletEnabled val="1"/>
        </dgm:presLayoutVars>
      </dgm:prSet>
      <dgm:spPr/>
      <dgm:t>
        <a:bodyPr/>
        <a:lstStyle/>
        <a:p>
          <a:endParaRPr lang="cs-CZ"/>
        </a:p>
      </dgm:t>
    </dgm:pt>
    <dgm:pt modelId="{8F872847-10F8-46D0-B3FD-2F87AE94C42B}" type="pres">
      <dgm:prSet presAssocID="{4560BB9D-C28C-48A4-B5CA-D18DE5B0F940}" presName="funnel" presStyleLbl="trAlignAcc1" presStyleIdx="0" presStyleCnt="1"/>
      <dgm:spPr/>
    </dgm:pt>
  </dgm:ptLst>
  <dgm:cxnLst>
    <dgm:cxn modelId="{500D9EC8-11F4-4F1A-9389-D2EA31367907}" srcId="{4560BB9D-C28C-48A4-B5CA-D18DE5B0F940}" destId="{65F72056-B893-4094-9A3B-1095F3739717}" srcOrd="2" destOrd="0" parTransId="{753A493B-2BFE-4EBE-A91D-96090064B2C2}" sibTransId="{715B902D-6BC7-4E38-B132-10C5E9EE5E50}"/>
    <dgm:cxn modelId="{8A1A8071-0569-4F94-B389-1CC0E4E5B705}" type="presOf" srcId="{65F72056-B893-4094-9A3B-1095F3739717}" destId="{85195C9B-2FBE-4A76-BE0E-3EACED2E0CA9}" srcOrd="0" destOrd="0" presId="urn:microsoft.com/office/officeart/2005/8/layout/funnel1"/>
    <dgm:cxn modelId="{DFD1002B-01BB-4374-9675-285EFD0A3AF4}" srcId="{4560BB9D-C28C-48A4-B5CA-D18DE5B0F940}" destId="{F9E08B6F-3FFC-4EA7-BBB7-455BDCF5E19C}" srcOrd="1" destOrd="0" parTransId="{E66FB866-F87E-4265-B0AE-68D1AC6B6F20}" sibTransId="{F7E53987-C6E8-46D5-A9C8-AD86F87588A6}"/>
    <dgm:cxn modelId="{8DAF021E-5B2E-4BE0-A378-8DBA092C53B5}" type="presOf" srcId="{F9E08B6F-3FFC-4EA7-BBB7-455BDCF5E19C}" destId="{CFC1EAE0-9263-401D-B6F7-1D577ABFB9BD}" srcOrd="0" destOrd="0" presId="urn:microsoft.com/office/officeart/2005/8/layout/funnel1"/>
    <dgm:cxn modelId="{59578A5D-811D-4360-8360-A3C3F7E74688}" type="presOf" srcId="{4560BB9D-C28C-48A4-B5CA-D18DE5B0F940}" destId="{8BAFF0EB-0A6D-44CB-B9FC-54E81958A8AE}" srcOrd="0" destOrd="0" presId="urn:microsoft.com/office/officeart/2005/8/layout/funnel1"/>
    <dgm:cxn modelId="{3E391155-A8BD-4043-BE4A-60273F0845AF}" srcId="{4560BB9D-C28C-48A4-B5CA-D18DE5B0F940}" destId="{C577B45E-40C1-485F-BBBE-5CD218892808}" srcOrd="0" destOrd="0" parTransId="{AC19CE72-1634-4168-BA51-ABD4B4EC5467}" sibTransId="{2313067C-1D0C-4251-BB42-4F6EFAD2A696}"/>
    <dgm:cxn modelId="{01A8CCA2-F289-4CEC-9035-1DBA7C5BD194}" type="presOf" srcId="{C577B45E-40C1-485F-BBBE-5CD218892808}" destId="{431482C3-D6B1-431A-9714-11078972074B}" srcOrd="0" destOrd="0" presId="urn:microsoft.com/office/officeart/2005/8/layout/funnel1"/>
    <dgm:cxn modelId="{1DFBA50F-45C8-4001-B9CD-BFAD340F1242}" type="presParOf" srcId="{8BAFF0EB-0A6D-44CB-B9FC-54E81958A8AE}" destId="{DFD02DCD-0D4B-438A-86E7-C137D19FFB2A}" srcOrd="0" destOrd="0" presId="urn:microsoft.com/office/officeart/2005/8/layout/funnel1"/>
    <dgm:cxn modelId="{7437EE27-F12E-4345-9629-3E6EB68C6536}" type="presParOf" srcId="{8BAFF0EB-0A6D-44CB-B9FC-54E81958A8AE}" destId="{F1461715-4151-4AC1-A9F8-62570E02EDDB}" srcOrd="1" destOrd="0" presId="urn:microsoft.com/office/officeart/2005/8/layout/funnel1"/>
    <dgm:cxn modelId="{CB0937D6-6D38-405A-985E-F5F39A50325E}" type="presParOf" srcId="{8BAFF0EB-0A6D-44CB-B9FC-54E81958A8AE}" destId="{85195C9B-2FBE-4A76-BE0E-3EACED2E0CA9}" srcOrd="2" destOrd="0" presId="urn:microsoft.com/office/officeart/2005/8/layout/funnel1"/>
    <dgm:cxn modelId="{E5E5A441-F5AF-431F-8859-E7AF583C40EA}" type="presParOf" srcId="{8BAFF0EB-0A6D-44CB-B9FC-54E81958A8AE}" destId="{CFC1EAE0-9263-401D-B6F7-1D577ABFB9BD}" srcOrd="3" destOrd="0" presId="urn:microsoft.com/office/officeart/2005/8/layout/funnel1"/>
    <dgm:cxn modelId="{94A0CF1E-EBCA-48F1-92E2-00CAA0298D6E}" type="presParOf" srcId="{8BAFF0EB-0A6D-44CB-B9FC-54E81958A8AE}" destId="{431482C3-D6B1-431A-9714-11078972074B}" srcOrd="4" destOrd="0" presId="urn:microsoft.com/office/officeart/2005/8/layout/funnel1"/>
    <dgm:cxn modelId="{76E51F4C-9C86-41E9-AD2D-AAA48AB9B35C}" type="presParOf" srcId="{8BAFF0EB-0A6D-44CB-B9FC-54E81958A8AE}" destId="{8F872847-10F8-46D0-B3FD-2F87AE94C42B}" srcOrd="5" destOrd="0" presId="urn:microsoft.com/office/officeart/2005/8/layout/funnel1"/>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DBE1BD4B-E4AB-4174-9FF6-E5B2761BF506}" type="doc">
      <dgm:prSet loTypeId="urn:microsoft.com/office/officeart/2011/layout/CircleProcess" loCatId="process" qsTypeId="urn:microsoft.com/office/officeart/2005/8/quickstyle/simple1" qsCatId="simple" csTypeId="urn:microsoft.com/office/officeart/2005/8/colors/accent1_2" csCatId="accent1" phldr="1"/>
      <dgm:spPr/>
    </dgm:pt>
    <dgm:pt modelId="{EA453E1B-51C2-49CE-8DF5-7D2A96EC8729}">
      <dgm:prSet phldrT="[Text]" custT="1">
        <dgm:style>
          <a:lnRef idx="1">
            <a:schemeClr val="accent2"/>
          </a:lnRef>
          <a:fillRef idx="2">
            <a:schemeClr val="accent2"/>
          </a:fillRef>
          <a:effectRef idx="1">
            <a:schemeClr val="accent2"/>
          </a:effectRef>
          <a:fontRef idx="minor">
            <a:schemeClr val="dk1"/>
          </a:fontRef>
        </dgm:style>
      </dgm:prSet>
      <dgm:spPr/>
      <dgm:t>
        <a:bodyPr/>
        <a:lstStyle/>
        <a:p>
          <a:r>
            <a:rPr lang="cs-CZ" sz="800" b="1"/>
            <a:t>16 %</a:t>
          </a:r>
          <a:r>
            <a:rPr lang="cs-CZ" sz="800"/>
            <a:t> </a:t>
          </a:r>
          <a:r>
            <a:rPr lang="cs-CZ" sz="700"/>
            <a:t>úspěšnost </a:t>
          </a:r>
        </a:p>
      </dgm:t>
    </dgm:pt>
    <dgm:pt modelId="{A08F7DFB-B3C6-4E9A-A207-92DF349B126A}" type="parTrans" cxnId="{214403E5-51B2-4074-952E-8EAC50E4CF45}">
      <dgm:prSet/>
      <dgm:spPr/>
      <dgm:t>
        <a:bodyPr/>
        <a:lstStyle/>
        <a:p>
          <a:endParaRPr lang="cs-CZ" sz="700"/>
        </a:p>
      </dgm:t>
    </dgm:pt>
    <dgm:pt modelId="{238C482A-A807-4A40-9B5B-C4E632324D9B}" type="sibTrans" cxnId="{214403E5-51B2-4074-952E-8EAC50E4CF45}">
      <dgm:prSet/>
      <dgm:spPr/>
      <dgm:t>
        <a:bodyPr/>
        <a:lstStyle/>
        <a:p>
          <a:endParaRPr lang="cs-CZ" sz="700"/>
        </a:p>
      </dgm:t>
    </dgm:pt>
    <dgm:pt modelId="{83996C4A-4520-470A-A752-1EF6025CF318}">
      <dgm:prSet phldrT="[Text]" custT="1">
        <dgm:style>
          <a:lnRef idx="1">
            <a:schemeClr val="accent2"/>
          </a:lnRef>
          <a:fillRef idx="2">
            <a:schemeClr val="accent2"/>
          </a:fillRef>
          <a:effectRef idx="1">
            <a:schemeClr val="accent2"/>
          </a:effectRef>
          <a:fontRef idx="minor">
            <a:schemeClr val="dk1"/>
          </a:fontRef>
        </dgm:style>
      </dgm:prSet>
      <dgm:spPr/>
      <dgm:t>
        <a:bodyPr/>
        <a:lstStyle/>
        <a:p>
          <a:r>
            <a:rPr lang="cs-CZ" sz="800" b="1"/>
            <a:t>1.510 </a:t>
          </a:r>
          <a:r>
            <a:rPr lang="cs-CZ" sz="700"/>
            <a:t>podpořených projektů</a:t>
          </a:r>
        </a:p>
      </dgm:t>
    </dgm:pt>
    <dgm:pt modelId="{C6A08F4F-B12A-41F9-A9D3-1B82D10EB9CA}" type="parTrans" cxnId="{27A2F136-2AA4-4A66-B812-FDF445EFF18B}">
      <dgm:prSet/>
      <dgm:spPr/>
      <dgm:t>
        <a:bodyPr/>
        <a:lstStyle/>
        <a:p>
          <a:endParaRPr lang="cs-CZ" sz="700"/>
        </a:p>
      </dgm:t>
    </dgm:pt>
    <dgm:pt modelId="{CFA7335D-E606-4F2B-B521-27CCACB54D0B}" type="sibTrans" cxnId="{27A2F136-2AA4-4A66-B812-FDF445EFF18B}">
      <dgm:prSet/>
      <dgm:spPr/>
      <dgm:t>
        <a:bodyPr/>
        <a:lstStyle/>
        <a:p>
          <a:endParaRPr lang="cs-CZ" sz="700"/>
        </a:p>
      </dgm:t>
    </dgm:pt>
    <dgm:pt modelId="{36F3223F-BB42-4B79-8338-7C48E9D952A7}">
      <dgm:prSet phldrT="[Text]" custT="1">
        <dgm:style>
          <a:lnRef idx="1">
            <a:schemeClr val="accent2"/>
          </a:lnRef>
          <a:fillRef idx="2">
            <a:schemeClr val="accent2"/>
          </a:fillRef>
          <a:effectRef idx="1">
            <a:schemeClr val="accent2"/>
          </a:effectRef>
          <a:fontRef idx="minor">
            <a:schemeClr val="dk1"/>
          </a:fontRef>
        </dgm:style>
      </dgm:prSet>
      <dgm:spPr/>
      <dgm:t>
        <a:bodyPr/>
        <a:lstStyle/>
        <a:p>
          <a:r>
            <a:rPr lang="cs-CZ" sz="900" b="1"/>
            <a:t>920 mil. EUR</a:t>
          </a:r>
        </a:p>
        <a:p>
          <a:r>
            <a:rPr lang="cs-CZ" sz="800"/>
            <a:t>podpora</a:t>
          </a:r>
        </a:p>
      </dgm:t>
    </dgm:pt>
    <dgm:pt modelId="{078E5587-F501-49EE-A4E2-68941CF908B0}" type="parTrans" cxnId="{73844AC7-D85E-4364-9F14-CB5F6375411A}">
      <dgm:prSet/>
      <dgm:spPr/>
      <dgm:t>
        <a:bodyPr/>
        <a:lstStyle/>
        <a:p>
          <a:endParaRPr lang="cs-CZ" sz="700"/>
        </a:p>
      </dgm:t>
    </dgm:pt>
    <dgm:pt modelId="{4E9CE197-F312-47E4-9500-973281C3F72C}" type="sibTrans" cxnId="{73844AC7-D85E-4364-9F14-CB5F6375411A}">
      <dgm:prSet/>
      <dgm:spPr/>
      <dgm:t>
        <a:bodyPr/>
        <a:lstStyle/>
        <a:p>
          <a:endParaRPr lang="cs-CZ" sz="700"/>
        </a:p>
      </dgm:t>
    </dgm:pt>
    <dgm:pt modelId="{031FFB13-11D3-4699-B100-11019008990C}" type="pres">
      <dgm:prSet presAssocID="{DBE1BD4B-E4AB-4174-9FF6-E5B2761BF506}" presName="Name0" presStyleCnt="0">
        <dgm:presLayoutVars>
          <dgm:chMax val="11"/>
          <dgm:chPref val="11"/>
          <dgm:dir/>
          <dgm:resizeHandles/>
        </dgm:presLayoutVars>
      </dgm:prSet>
      <dgm:spPr/>
    </dgm:pt>
    <dgm:pt modelId="{FF3E6F9A-913C-4811-A440-4ABB7AD92336}" type="pres">
      <dgm:prSet presAssocID="{36F3223F-BB42-4B79-8338-7C48E9D952A7}" presName="Accent3" presStyleCnt="0"/>
      <dgm:spPr/>
    </dgm:pt>
    <dgm:pt modelId="{EE0E20B8-C086-4DDB-9B98-AFD10246462F}" type="pres">
      <dgm:prSet presAssocID="{36F3223F-BB42-4B79-8338-7C48E9D952A7}" presName="Accent" presStyleLbl="node1" presStyleIdx="0" presStyleCnt="3" custScaleX="132319" custScaleY="132318">
        <dgm:style>
          <a:lnRef idx="1">
            <a:schemeClr val="accent2"/>
          </a:lnRef>
          <a:fillRef idx="2">
            <a:schemeClr val="accent2"/>
          </a:fillRef>
          <a:effectRef idx="1">
            <a:schemeClr val="accent2"/>
          </a:effectRef>
          <a:fontRef idx="minor">
            <a:schemeClr val="dk1"/>
          </a:fontRef>
        </dgm:style>
      </dgm:prSet>
      <dgm:spPr/>
    </dgm:pt>
    <dgm:pt modelId="{E9B09D5B-1A00-4D65-9D64-9E32FDB5AE6D}" type="pres">
      <dgm:prSet presAssocID="{36F3223F-BB42-4B79-8338-7C48E9D952A7}" presName="ParentBackground3" presStyleCnt="0"/>
      <dgm:spPr/>
    </dgm:pt>
    <dgm:pt modelId="{5D969DFF-217B-4423-A702-821CEF0EC717}" type="pres">
      <dgm:prSet presAssocID="{36F3223F-BB42-4B79-8338-7C48E9D952A7}" presName="ParentBackground" presStyleLbl="fgAcc1" presStyleIdx="0" presStyleCnt="3" custScaleX="132319" custScaleY="132319"/>
      <dgm:spPr/>
      <dgm:t>
        <a:bodyPr/>
        <a:lstStyle/>
        <a:p>
          <a:endParaRPr lang="cs-CZ"/>
        </a:p>
      </dgm:t>
    </dgm:pt>
    <dgm:pt modelId="{92BC8E25-24D4-4035-9FD1-AB94E2CEC011}" type="pres">
      <dgm:prSet presAssocID="{36F3223F-BB42-4B79-8338-7C48E9D952A7}" presName="Parent3" presStyleLbl="revTx" presStyleIdx="0" presStyleCnt="0">
        <dgm:presLayoutVars>
          <dgm:chMax val="1"/>
          <dgm:chPref val="1"/>
          <dgm:bulletEnabled val="1"/>
        </dgm:presLayoutVars>
      </dgm:prSet>
      <dgm:spPr/>
      <dgm:t>
        <a:bodyPr/>
        <a:lstStyle/>
        <a:p>
          <a:endParaRPr lang="cs-CZ"/>
        </a:p>
      </dgm:t>
    </dgm:pt>
    <dgm:pt modelId="{F75F7912-4608-448B-B80E-98FDD9140872}" type="pres">
      <dgm:prSet presAssocID="{83996C4A-4520-470A-A752-1EF6025CF318}" presName="Accent2" presStyleCnt="0"/>
      <dgm:spPr/>
    </dgm:pt>
    <dgm:pt modelId="{4E558539-380D-49FE-A739-FFA4235C0C72}" type="pres">
      <dgm:prSet presAssocID="{83996C4A-4520-470A-A752-1EF6025CF318}" presName="Accent" presStyleLbl="node1" presStyleIdx="1" presStyleCnt="3">
        <dgm:style>
          <a:lnRef idx="1">
            <a:schemeClr val="accent2"/>
          </a:lnRef>
          <a:fillRef idx="2">
            <a:schemeClr val="accent2"/>
          </a:fillRef>
          <a:effectRef idx="1">
            <a:schemeClr val="accent2"/>
          </a:effectRef>
          <a:fontRef idx="minor">
            <a:schemeClr val="dk1"/>
          </a:fontRef>
        </dgm:style>
      </dgm:prSet>
      <dgm:spPr/>
    </dgm:pt>
    <dgm:pt modelId="{378A9BD9-3E1A-4FC3-8CB7-2C96A7DED094}" type="pres">
      <dgm:prSet presAssocID="{83996C4A-4520-470A-A752-1EF6025CF318}" presName="ParentBackground2" presStyleCnt="0"/>
      <dgm:spPr/>
    </dgm:pt>
    <dgm:pt modelId="{A64C4791-795F-4A34-B8A7-F88AF53A8AA4}" type="pres">
      <dgm:prSet presAssocID="{83996C4A-4520-470A-A752-1EF6025CF318}" presName="ParentBackground" presStyleLbl="fgAcc1" presStyleIdx="1" presStyleCnt="3"/>
      <dgm:spPr/>
      <dgm:t>
        <a:bodyPr/>
        <a:lstStyle/>
        <a:p>
          <a:endParaRPr lang="cs-CZ"/>
        </a:p>
      </dgm:t>
    </dgm:pt>
    <dgm:pt modelId="{1B285E86-F7C1-4FB2-8648-D5A608C72305}" type="pres">
      <dgm:prSet presAssocID="{83996C4A-4520-470A-A752-1EF6025CF318}" presName="Parent2" presStyleLbl="revTx" presStyleIdx="0" presStyleCnt="0">
        <dgm:presLayoutVars>
          <dgm:chMax val="1"/>
          <dgm:chPref val="1"/>
          <dgm:bulletEnabled val="1"/>
        </dgm:presLayoutVars>
      </dgm:prSet>
      <dgm:spPr/>
      <dgm:t>
        <a:bodyPr/>
        <a:lstStyle/>
        <a:p>
          <a:endParaRPr lang="cs-CZ"/>
        </a:p>
      </dgm:t>
    </dgm:pt>
    <dgm:pt modelId="{9DEA31DF-6E74-47E6-AF84-28BA9820D468}" type="pres">
      <dgm:prSet presAssocID="{EA453E1B-51C2-49CE-8DF5-7D2A96EC8729}" presName="Accent1" presStyleCnt="0"/>
      <dgm:spPr/>
    </dgm:pt>
    <dgm:pt modelId="{EC75BA5A-85B0-4675-8FFD-D1A5DC9C37A0}" type="pres">
      <dgm:prSet presAssocID="{EA453E1B-51C2-49CE-8DF5-7D2A96EC8729}" presName="Accent" presStyleLbl="node1" presStyleIdx="2" presStyleCnt="3" custScaleX="72528" custScaleY="72528" custLinFactNeighborX="12495">
        <dgm:style>
          <a:lnRef idx="1">
            <a:schemeClr val="accent2"/>
          </a:lnRef>
          <a:fillRef idx="2">
            <a:schemeClr val="accent2"/>
          </a:fillRef>
          <a:effectRef idx="1">
            <a:schemeClr val="accent2"/>
          </a:effectRef>
          <a:fontRef idx="minor">
            <a:schemeClr val="dk1"/>
          </a:fontRef>
        </dgm:style>
      </dgm:prSet>
      <dgm:spPr/>
    </dgm:pt>
    <dgm:pt modelId="{406BDC09-E979-4A5F-9C19-139B2F1A60BB}" type="pres">
      <dgm:prSet presAssocID="{EA453E1B-51C2-49CE-8DF5-7D2A96EC8729}" presName="ParentBackground1" presStyleCnt="0"/>
      <dgm:spPr/>
    </dgm:pt>
    <dgm:pt modelId="{8E71A879-913B-49FB-94F5-4BB2A8070A7C}" type="pres">
      <dgm:prSet presAssocID="{EA453E1B-51C2-49CE-8DF5-7D2A96EC8729}" presName="ParentBackground" presStyleLbl="fgAcc1" presStyleIdx="2" presStyleCnt="3" custScaleX="72528" custScaleY="72528" custLinFactNeighborX="18879"/>
      <dgm:spPr/>
      <dgm:t>
        <a:bodyPr/>
        <a:lstStyle/>
        <a:p>
          <a:endParaRPr lang="cs-CZ"/>
        </a:p>
      </dgm:t>
    </dgm:pt>
    <dgm:pt modelId="{3FACE838-6B62-4F24-9F14-1D7375F626B2}" type="pres">
      <dgm:prSet presAssocID="{EA453E1B-51C2-49CE-8DF5-7D2A96EC8729}" presName="Parent1" presStyleLbl="revTx" presStyleIdx="0" presStyleCnt="0">
        <dgm:presLayoutVars>
          <dgm:chMax val="1"/>
          <dgm:chPref val="1"/>
          <dgm:bulletEnabled val="1"/>
        </dgm:presLayoutVars>
      </dgm:prSet>
      <dgm:spPr/>
      <dgm:t>
        <a:bodyPr/>
        <a:lstStyle/>
        <a:p>
          <a:endParaRPr lang="cs-CZ"/>
        </a:p>
      </dgm:t>
    </dgm:pt>
  </dgm:ptLst>
  <dgm:cxnLst>
    <dgm:cxn modelId="{73844AC7-D85E-4364-9F14-CB5F6375411A}" srcId="{DBE1BD4B-E4AB-4174-9FF6-E5B2761BF506}" destId="{36F3223F-BB42-4B79-8338-7C48E9D952A7}" srcOrd="2" destOrd="0" parTransId="{078E5587-F501-49EE-A4E2-68941CF908B0}" sibTransId="{4E9CE197-F312-47E4-9500-973281C3F72C}"/>
    <dgm:cxn modelId="{8D7D52F5-5B7B-467F-909A-B103A654D93D}" type="presOf" srcId="{83996C4A-4520-470A-A752-1EF6025CF318}" destId="{A64C4791-795F-4A34-B8A7-F88AF53A8AA4}" srcOrd="0" destOrd="0" presId="urn:microsoft.com/office/officeart/2011/layout/CircleProcess"/>
    <dgm:cxn modelId="{214403E5-51B2-4074-952E-8EAC50E4CF45}" srcId="{DBE1BD4B-E4AB-4174-9FF6-E5B2761BF506}" destId="{EA453E1B-51C2-49CE-8DF5-7D2A96EC8729}" srcOrd="0" destOrd="0" parTransId="{A08F7DFB-B3C6-4E9A-A207-92DF349B126A}" sibTransId="{238C482A-A807-4A40-9B5B-C4E632324D9B}"/>
    <dgm:cxn modelId="{1932632D-0AE3-4A43-9E3E-C25631F94A33}" type="presOf" srcId="{36F3223F-BB42-4B79-8338-7C48E9D952A7}" destId="{92BC8E25-24D4-4035-9FD1-AB94E2CEC011}" srcOrd="1" destOrd="0" presId="urn:microsoft.com/office/officeart/2011/layout/CircleProcess"/>
    <dgm:cxn modelId="{10EF0D78-46CF-456A-AD7D-21ADC125E47A}" type="presOf" srcId="{DBE1BD4B-E4AB-4174-9FF6-E5B2761BF506}" destId="{031FFB13-11D3-4699-B100-11019008990C}" srcOrd="0" destOrd="0" presId="urn:microsoft.com/office/officeart/2011/layout/CircleProcess"/>
    <dgm:cxn modelId="{BA104726-BEAF-4F99-81AB-1DC5B2F3681B}" type="presOf" srcId="{EA453E1B-51C2-49CE-8DF5-7D2A96EC8729}" destId="{3FACE838-6B62-4F24-9F14-1D7375F626B2}" srcOrd="1" destOrd="0" presId="urn:microsoft.com/office/officeart/2011/layout/CircleProcess"/>
    <dgm:cxn modelId="{12165982-1818-4C9F-B4D5-5A50EE5F373C}" type="presOf" srcId="{36F3223F-BB42-4B79-8338-7C48E9D952A7}" destId="{5D969DFF-217B-4423-A702-821CEF0EC717}" srcOrd="0" destOrd="0" presId="urn:microsoft.com/office/officeart/2011/layout/CircleProcess"/>
    <dgm:cxn modelId="{3FE83695-8CAC-433F-9CFB-BCD5CC0635DF}" type="presOf" srcId="{83996C4A-4520-470A-A752-1EF6025CF318}" destId="{1B285E86-F7C1-4FB2-8648-D5A608C72305}" srcOrd="1" destOrd="0" presId="urn:microsoft.com/office/officeart/2011/layout/CircleProcess"/>
    <dgm:cxn modelId="{27A2F136-2AA4-4A66-B812-FDF445EFF18B}" srcId="{DBE1BD4B-E4AB-4174-9FF6-E5B2761BF506}" destId="{83996C4A-4520-470A-A752-1EF6025CF318}" srcOrd="1" destOrd="0" parTransId="{C6A08F4F-B12A-41F9-A9D3-1B82D10EB9CA}" sibTransId="{CFA7335D-E606-4F2B-B521-27CCACB54D0B}"/>
    <dgm:cxn modelId="{25A09A2D-BA09-4F00-8899-592D17CDC880}" type="presOf" srcId="{EA453E1B-51C2-49CE-8DF5-7D2A96EC8729}" destId="{8E71A879-913B-49FB-94F5-4BB2A8070A7C}" srcOrd="0" destOrd="0" presId="urn:microsoft.com/office/officeart/2011/layout/CircleProcess"/>
    <dgm:cxn modelId="{C2622ABE-8778-41F6-935E-5630D389B118}" type="presParOf" srcId="{031FFB13-11D3-4699-B100-11019008990C}" destId="{FF3E6F9A-913C-4811-A440-4ABB7AD92336}" srcOrd="0" destOrd="0" presId="urn:microsoft.com/office/officeart/2011/layout/CircleProcess"/>
    <dgm:cxn modelId="{518C726A-D476-47FE-A767-A16AA4F2DEBF}" type="presParOf" srcId="{FF3E6F9A-913C-4811-A440-4ABB7AD92336}" destId="{EE0E20B8-C086-4DDB-9B98-AFD10246462F}" srcOrd="0" destOrd="0" presId="urn:microsoft.com/office/officeart/2011/layout/CircleProcess"/>
    <dgm:cxn modelId="{4F59BB3C-AC8E-4417-9051-0C360DEBA9E0}" type="presParOf" srcId="{031FFB13-11D3-4699-B100-11019008990C}" destId="{E9B09D5B-1A00-4D65-9D64-9E32FDB5AE6D}" srcOrd="1" destOrd="0" presId="urn:microsoft.com/office/officeart/2011/layout/CircleProcess"/>
    <dgm:cxn modelId="{2286C2AD-AFAF-4D6A-950F-7330AE525678}" type="presParOf" srcId="{E9B09D5B-1A00-4D65-9D64-9E32FDB5AE6D}" destId="{5D969DFF-217B-4423-A702-821CEF0EC717}" srcOrd="0" destOrd="0" presId="urn:microsoft.com/office/officeart/2011/layout/CircleProcess"/>
    <dgm:cxn modelId="{E8C4BFEE-00C6-4D55-B875-DDAFFE51ADB6}" type="presParOf" srcId="{031FFB13-11D3-4699-B100-11019008990C}" destId="{92BC8E25-24D4-4035-9FD1-AB94E2CEC011}" srcOrd="2" destOrd="0" presId="urn:microsoft.com/office/officeart/2011/layout/CircleProcess"/>
    <dgm:cxn modelId="{65B764A3-5087-466A-BF23-5F8555F53226}" type="presParOf" srcId="{031FFB13-11D3-4699-B100-11019008990C}" destId="{F75F7912-4608-448B-B80E-98FDD9140872}" srcOrd="3" destOrd="0" presId="urn:microsoft.com/office/officeart/2011/layout/CircleProcess"/>
    <dgm:cxn modelId="{6FE65BA9-933D-480B-8F6F-7C357C8070DD}" type="presParOf" srcId="{F75F7912-4608-448B-B80E-98FDD9140872}" destId="{4E558539-380D-49FE-A739-FFA4235C0C72}" srcOrd="0" destOrd="0" presId="urn:microsoft.com/office/officeart/2011/layout/CircleProcess"/>
    <dgm:cxn modelId="{9FB25118-D2B7-4A5B-B976-BE2830BD26FE}" type="presParOf" srcId="{031FFB13-11D3-4699-B100-11019008990C}" destId="{378A9BD9-3E1A-4FC3-8CB7-2C96A7DED094}" srcOrd="4" destOrd="0" presId="urn:microsoft.com/office/officeart/2011/layout/CircleProcess"/>
    <dgm:cxn modelId="{49E1D350-9C4A-4582-9F81-95BF3F463EA3}" type="presParOf" srcId="{378A9BD9-3E1A-4FC3-8CB7-2C96A7DED094}" destId="{A64C4791-795F-4A34-B8A7-F88AF53A8AA4}" srcOrd="0" destOrd="0" presId="urn:microsoft.com/office/officeart/2011/layout/CircleProcess"/>
    <dgm:cxn modelId="{8167EC48-8321-4CFE-8F5D-E05FE872552E}" type="presParOf" srcId="{031FFB13-11D3-4699-B100-11019008990C}" destId="{1B285E86-F7C1-4FB2-8648-D5A608C72305}" srcOrd="5" destOrd="0" presId="urn:microsoft.com/office/officeart/2011/layout/CircleProcess"/>
    <dgm:cxn modelId="{8F3C9B5F-65B5-4712-BA17-3BFC080621CA}" type="presParOf" srcId="{031FFB13-11D3-4699-B100-11019008990C}" destId="{9DEA31DF-6E74-47E6-AF84-28BA9820D468}" srcOrd="6" destOrd="0" presId="urn:microsoft.com/office/officeart/2011/layout/CircleProcess"/>
    <dgm:cxn modelId="{8603BC23-881D-49B3-87DA-E0793C8A0D77}" type="presParOf" srcId="{9DEA31DF-6E74-47E6-AF84-28BA9820D468}" destId="{EC75BA5A-85B0-4675-8FFD-D1A5DC9C37A0}" srcOrd="0" destOrd="0" presId="urn:microsoft.com/office/officeart/2011/layout/CircleProcess"/>
    <dgm:cxn modelId="{6806A326-3953-4D5D-B5B7-E8F4B1AA634A}" type="presParOf" srcId="{031FFB13-11D3-4699-B100-11019008990C}" destId="{406BDC09-E979-4A5F-9C19-139B2F1A60BB}" srcOrd="7" destOrd="0" presId="urn:microsoft.com/office/officeart/2011/layout/CircleProcess"/>
    <dgm:cxn modelId="{B64E25E6-8E85-4BDC-A914-53982BA1D860}" type="presParOf" srcId="{406BDC09-E979-4A5F-9C19-139B2F1A60BB}" destId="{8E71A879-913B-49FB-94F5-4BB2A8070A7C}" srcOrd="0" destOrd="0" presId="urn:microsoft.com/office/officeart/2011/layout/CircleProcess"/>
    <dgm:cxn modelId="{1DADD8BE-5318-4DAF-9593-BA5F0D726C55}" type="presParOf" srcId="{031FFB13-11D3-4699-B100-11019008990C}" destId="{3FACE838-6B62-4F24-9F14-1D7375F626B2}" srcOrd="8" destOrd="0" presId="urn:microsoft.com/office/officeart/2011/layout/CircleProcess"/>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A6CE84C-8DE6-4886-937D-B675FF21FF00}">
      <dsp:nvSpPr>
        <dsp:cNvPr id="0" name=""/>
        <dsp:cNvSpPr/>
      </dsp:nvSpPr>
      <dsp:spPr>
        <a:xfrm>
          <a:off x="58663" y="194669"/>
          <a:ext cx="1119311" cy="1119519"/>
        </a:xfrm>
        <a:prstGeom prst="ellipse">
          <a:avLst/>
        </a:prstGeom>
        <a:gradFill rotWithShape="0">
          <a:gsLst>
            <a:gs pos="0">
              <a:schemeClr val="accent3">
                <a:hueOff val="0"/>
                <a:satOff val="0"/>
                <a:lumOff val="0"/>
                <a:alphaOff val="0"/>
                <a:tint val="50000"/>
                <a:satMod val="300000"/>
              </a:schemeClr>
            </a:gs>
            <a:gs pos="35000">
              <a:schemeClr val="accent3">
                <a:hueOff val="0"/>
                <a:satOff val="0"/>
                <a:lumOff val="0"/>
                <a:alphaOff val="0"/>
                <a:tint val="37000"/>
                <a:satMod val="300000"/>
              </a:schemeClr>
            </a:gs>
            <a:gs pos="100000">
              <a:schemeClr val="accent3">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0EBD6A25-43DA-42DD-88A4-4A1F3DC0E408}">
      <dsp:nvSpPr>
        <dsp:cNvPr id="0" name=""/>
        <dsp:cNvSpPr/>
      </dsp:nvSpPr>
      <dsp:spPr>
        <a:xfrm>
          <a:off x="124189" y="231993"/>
          <a:ext cx="1044982" cy="1044871"/>
        </a:xfrm>
        <a:prstGeom prst="ellipse">
          <a:avLst/>
        </a:prstGeom>
        <a:solidFill>
          <a:schemeClr val="lt1">
            <a:alpha val="90000"/>
            <a:hueOff val="0"/>
            <a:satOff val="0"/>
            <a:lumOff val="0"/>
            <a:alphaOff val="0"/>
          </a:schemeClr>
        </a:solidFill>
        <a:ln w="9525" cap="flat" cmpd="sng" algn="ctr">
          <a:solidFill>
            <a:schemeClr val="accent3">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cs-CZ" sz="900" b="1" kern="1200"/>
            <a:t>198. mil. EUR</a:t>
          </a:r>
        </a:p>
        <a:p>
          <a:pPr lvl="0" algn="ctr" defTabSz="400050">
            <a:lnSpc>
              <a:spcPct val="90000"/>
            </a:lnSpc>
            <a:spcBef>
              <a:spcPct val="0"/>
            </a:spcBef>
            <a:spcAft>
              <a:spcPct val="35000"/>
            </a:spcAft>
          </a:pPr>
          <a:r>
            <a:rPr lang="cs-CZ" sz="800" b="0" kern="1200"/>
            <a:t>podpora</a:t>
          </a:r>
        </a:p>
      </dsp:txBody>
      <dsp:txXfrm>
        <a:off x="273577" y="381289"/>
        <a:ext cx="746207" cy="746280"/>
      </dsp:txXfrm>
    </dsp:sp>
    <dsp:sp modelId="{244D84FB-FCD3-4530-88BE-9C2388E23919}">
      <dsp:nvSpPr>
        <dsp:cNvPr id="0" name=""/>
        <dsp:cNvSpPr/>
      </dsp:nvSpPr>
      <dsp:spPr>
        <a:xfrm rot="13500000">
          <a:off x="1124512" y="325562"/>
          <a:ext cx="857583" cy="857583"/>
        </a:xfrm>
        <a:prstGeom prst="teardrop">
          <a:avLst>
            <a:gd name="adj" fmla="val 100000"/>
          </a:avLst>
        </a:prstGeom>
        <a:gradFill rotWithShape="0">
          <a:gsLst>
            <a:gs pos="0">
              <a:schemeClr val="accent3">
                <a:hueOff val="0"/>
                <a:satOff val="0"/>
                <a:lumOff val="0"/>
                <a:alphaOff val="0"/>
                <a:tint val="50000"/>
                <a:satMod val="300000"/>
              </a:schemeClr>
            </a:gs>
            <a:gs pos="35000">
              <a:schemeClr val="accent3">
                <a:hueOff val="0"/>
                <a:satOff val="0"/>
                <a:lumOff val="0"/>
                <a:alphaOff val="0"/>
                <a:tint val="37000"/>
                <a:satMod val="300000"/>
              </a:schemeClr>
            </a:gs>
            <a:gs pos="100000">
              <a:schemeClr val="accent3">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8266384D-534E-465D-A8CA-774C290758B5}">
      <dsp:nvSpPr>
        <dsp:cNvPr id="0" name=""/>
        <dsp:cNvSpPr/>
      </dsp:nvSpPr>
      <dsp:spPr>
        <a:xfrm>
          <a:off x="1152911" y="353188"/>
          <a:ext cx="800785" cy="802481"/>
        </a:xfrm>
        <a:prstGeom prst="ellipse">
          <a:avLst/>
        </a:prstGeom>
        <a:solidFill>
          <a:schemeClr val="lt1">
            <a:alpha val="90000"/>
            <a:hueOff val="0"/>
            <a:satOff val="0"/>
            <a:lumOff val="0"/>
            <a:alphaOff val="0"/>
          </a:schemeClr>
        </a:solidFill>
        <a:ln w="9525" cap="flat" cmpd="sng" algn="ctr">
          <a:solidFill>
            <a:schemeClr val="accent3">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cs-CZ" sz="800" b="1" kern="1200"/>
            <a:t>606 </a:t>
          </a:r>
          <a:r>
            <a:rPr lang="cs-CZ" sz="700" kern="1200"/>
            <a:t>podpořených projektů</a:t>
          </a:r>
        </a:p>
      </dsp:txBody>
      <dsp:txXfrm>
        <a:off x="1267388" y="467850"/>
        <a:ext cx="571830" cy="573158"/>
      </dsp:txXfrm>
    </dsp:sp>
    <dsp:sp modelId="{ED64DB99-8E4A-4D50-9E43-ED35EEA0C7C0}">
      <dsp:nvSpPr>
        <dsp:cNvPr id="0" name=""/>
        <dsp:cNvSpPr/>
      </dsp:nvSpPr>
      <dsp:spPr>
        <a:xfrm rot="13500000">
          <a:off x="2074434" y="387008"/>
          <a:ext cx="734691" cy="734691"/>
        </a:xfrm>
        <a:prstGeom prst="teardrop">
          <a:avLst>
            <a:gd name="adj" fmla="val 100000"/>
          </a:avLst>
        </a:prstGeom>
        <a:gradFill rotWithShape="0">
          <a:gsLst>
            <a:gs pos="0">
              <a:schemeClr val="accent3">
                <a:hueOff val="0"/>
                <a:satOff val="0"/>
                <a:lumOff val="0"/>
                <a:alphaOff val="0"/>
                <a:tint val="50000"/>
                <a:satMod val="300000"/>
              </a:schemeClr>
            </a:gs>
            <a:gs pos="35000">
              <a:schemeClr val="accent3">
                <a:hueOff val="0"/>
                <a:satOff val="0"/>
                <a:lumOff val="0"/>
                <a:alphaOff val="0"/>
                <a:tint val="37000"/>
                <a:satMod val="300000"/>
              </a:schemeClr>
            </a:gs>
            <a:gs pos="100000">
              <a:schemeClr val="accent3">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70B2C188-D20A-4223-AB5F-43DFA95F000A}">
      <dsp:nvSpPr>
        <dsp:cNvPr id="0" name=""/>
        <dsp:cNvSpPr/>
      </dsp:nvSpPr>
      <dsp:spPr>
        <a:xfrm>
          <a:off x="2098000" y="410686"/>
          <a:ext cx="687559" cy="687486"/>
        </a:xfrm>
        <a:prstGeom prst="ellipse">
          <a:avLst/>
        </a:prstGeom>
        <a:solidFill>
          <a:schemeClr val="lt1">
            <a:alpha val="90000"/>
            <a:hueOff val="0"/>
            <a:satOff val="0"/>
            <a:lumOff val="0"/>
            <a:alphaOff val="0"/>
          </a:schemeClr>
        </a:solidFill>
        <a:ln w="9525" cap="flat" cmpd="sng" algn="ctr">
          <a:solidFill>
            <a:schemeClr val="accent3">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cs-CZ" sz="800" b="1" kern="1200"/>
            <a:t>14 %</a:t>
          </a:r>
        </a:p>
        <a:p>
          <a:pPr lvl="0" algn="ctr" defTabSz="355600">
            <a:lnSpc>
              <a:spcPct val="90000"/>
            </a:lnSpc>
            <a:spcBef>
              <a:spcPct val="0"/>
            </a:spcBef>
            <a:spcAft>
              <a:spcPct val="35000"/>
            </a:spcAft>
          </a:pPr>
          <a:r>
            <a:rPr lang="cs-CZ" sz="700" b="0" kern="1200"/>
            <a:t>úspěšnost</a:t>
          </a:r>
        </a:p>
      </dsp:txBody>
      <dsp:txXfrm>
        <a:off x="2196292" y="508917"/>
        <a:ext cx="490976" cy="49102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FD02DCD-0D4B-438A-86E7-C137D19FFB2A}">
      <dsp:nvSpPr>
        <dsp:cNvPr id="0" name=""/>
        <dsp:cNvSpPr/>
      </dsp:nvSpPr>
      <dsp:spPr>
        <a:xfrm>
          <a:off x="794821" y="125109"/>
          <a:ext cx="2482951" cy="862296"/>
        </a:xfrm>
        <a:prstGeom prst="ellipse">
          <a:avLst/>
        </a:prstGeom>
        <a:solidFill>
          <a:schemeClr val="accent1">
            <a:tint val="50000"/>
            <a:alpha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461715-4151-4AC1-A9F8-62570E02EDDB}">
      <dsp:nvSpPr>
        <dsp:cNvPr id="0" name=""/>
        <dsp:cNvSpPr/>
      </dsp:nvSpPr>
      <dsp:spPr>
        <a:xfrm>
          <a:off x="1526774" y="2255420"/>
          <a:ext cx="1044009" cy="668171"/>
        </a:xfrm>
        <a:prstGeom prst="downArrow">
          <a:avLst/>
        </a:prstGeom>
        <a:solidFill>
          <a:schemeClr val="accent1">
            <a:tint val="6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85195C9B-2FBE-4A76-BE0E-3EACED2E0CA9}">
      <dsp:nvSpPr>
        <dsp:cNvPr id="0" name=""/>
        <dsp:cNvSpPr/>
      </dsp:nvSpPr>
      <dsp:spPr>
        <a:xfrm>
          <a:off x="885285" y="2482951"/>
          <a:ext cx="2309722" cy="57743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endParaRPr lang="cs-CZ" sz="2000" kern="1200"/>
        </a:p>
      </dsp:txBody>
      <dsp:txXfrm>
        <a:off x="885285" y="2482951"/>
        <a:ext cx="2309722" cy="577430"/>
      </dsp:txXfrm>
    </dsp:sp>
    <dsp:sp modelId="{CFC1EAE0-9263-401D-B6F7-1D577ABFB9BD}">
      <dsp:nvSpPr>
        <dsp:cNvPr id="0" name=""/>
        <dsp:cNvSpPr/>
      </dsp:nvSpPr>
      <dsp:spPr>
        <a:xfrm>
          <a:off x="1917698" y="972538"/>
          <a:ext cx="773858" cy="773858"/>
        </a:xfrm>
        <a:prstGeom prst="ellipse">
          <a:avLst/>
        </a:prstGeom>
        <a:gradFill rotWithShape="1">
          <a:gsLst>
            <a:gs pos="0">
              <a:schemeClr val="accent3">
                <a:tint val="50000"/>
                <a:satMod val="300000"/>
              </a:schemeClr>
            </a:gs>
            <a:gs pos="35000">
              <a:schemeClr val="accent3">
                <a:tint val="37000"/>
                <a:satMod val="300000"/>
              </a:schemeClr>
            </a:gs>
            <a:gs pos="100000">
              <a:schemeClr val="accent3">
                <a:tint val="15000"/>
                <a:satMod val="350000"/>
              </a:schemeClr>
            </a:gs>
          </a:gsLst>
          <a:lin ang="16200000" scaled="1"/>
        </a:gradFill>
        <a:ln w="9525" cap="flat" cmpd="sng" algn="ctr">
          <a:solidFill>
            <a:schemeClr val="accent3">
              <a:shade val="95000"/>
              <a:satMod val="105000"/>
            </a:schemeClr>
          </a:solidFill>
          <a:prstDash val="solid"/>
        </a:ln>
        <a:effectLst>
          <a:outerShdw blurRad="40000" dist="20000" dir="5400000" rotWithShape="0">
            <a:srgbClr val="000000">
              <a:alpha val="38000"/>
            </a:srgbClr>
          </a:outerShdw>
        </a:effectLst>
      </dsp:spPr>
      <dsp:style>
        <a:lnRef idx="1">
          <a:schemeClr val="accent3"/>
        </a:lnRef>
        <a:fillRef idx="2">
          <a:schemeClr val="accent3"/>
        </a:fillRef>
        <a:effectRef idx="1">
          <a:schemeClr val="accent3"/>
        </a:effectRef>
        <a:fontRef idx="minor">
          <a:schemeClr val="dk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cs-CZ" sz="1000" b="1" kern="1200"/>
            <a:t>4.479 </a:t>
          </a:r>
          <a:r>
            <a:rPr lang="cs-CZ" sz="900" kern="1200"/>
            <a:t>způs. projektů</a:t>
          </a:r>
        </a:p>
      </dsp:txBody>
      <dsp:txXfrm>
        <a:off x="2031027" y="1085867"/>
        <a:ext cx="547200" cy="547200"/>
      </dsp:txXfrm>
    </dsp:sp>
    <dsp:sp modelId="{431482C3-D6B1-431A-9714-11078972074B}">
      <dsp:nvSpPr>
        <dsp:cNvPr id="0" name=""/>
        <dsp:cNvSpPr/>
      </dsp:nvSpPr>
      <dsp:spPr>
        <a:xfrm>
          <a:off x="995183" y="172446"/>
          <a:ext cx="1054498" cy="1054498"/>
        </a:xfrm>
        <a:prstGeom prst="ellipse">
          <a:avLst/>
        </a:prstGeom>
        <a:gradFill rotWithShape="1">
          <a:gsLst>
            <a:gs pos="0">
              <a:schemeClr val="accent2">
                <a:tint val="50000"/>
                <a:satMod val="300000"/>
              </a:schemeClr>
            </a:gs>
            <a:gs pos="35000">
              <a:schemeClr val="accent2">
                <a:tint val="37000"/>
                <a:satMod val="300000"/>
              </a:schemeClr>
            </a:gs>
            <a:gs pos="100000">
              <a:schemeClr val="accent2">
                <a:tint val="15000"/>
                <a:satMod val="350000"/>
              </a:schemeClr>
            </a:gs>
          </a:gsLst>
          <a:lin ang="16200000" scaled="1"/>
        </a:gradFill>
        <a:ln w="9525" cap="flat" cmpd="sng" algn="ctr">
          <a:solidFill>
            <a:schemeClr val="accent2">
              <a:shade val="95000"/>
              <a:satMod val="105000"/>
            </a:schemeClr>
          </a:solidFill>
          <a:prstDash val="solid"/>
        </a:ln>
        <a:effectLst>
          <a:outerShdw blurRad="40000" dist="20000" dir="5400000" rotWithShape="0">
            <a:srgbClr val="000000">
              <a:alpha val="38000"/>
            </a:srgbClr>
          </a:outerShdw>
        </a:effectLst>
      </dsp:spPr>
      <dsp:style>
        <a:lnRef idx="1">
          <a:schemeClr val="accent2"/>
        </a:lnRef>
        <a:fillRef idx="2">
          <a:schemeClr val="accent2"/>
        </a:fillRef>
        <a:effectRef idx="1">
          <a:schemeClr val="accent2"/>
        </a:effectRef>
        <a:fontRef idx="minor">
          <a:schemeClr val="dk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cs-CZ" sz="1000" b="1" kern="1200"/>
            <a:t>9.647 </a:t>
          </a:r>
        </a:p>
        <a:p>
          <a:pPr lvl="0" algn="ctr" defTabSz="444500">
            <a:lnSpc>
              <a:spcPct val="90000"/>
            </a:lnSpc>
            <a:spcBef>
              <a:spcPct val="0"/>
            </a:spcBef>
            <a:spcAft>
              <a:spcPct val="35000"/>
            </a:spcAft>
          </a:pPr>
          <a:r>
            <a:rPr lang="cs-CZ" sz="900" kern="1200"/>
            <a:t>způs. projektů</a:t>
          </a:r>
        </a:p>
      </dsp:txBody>
      <dsp:txXfrm>
        <a:off x="1149611" y="326874"/>
        <a:ext cx="745642" cy="745642"/>
      </dsp:txXfrm>
    </dsp:sp>
    <dsp:sp modelId="{8F872847-10F8-46D0-B3FD-2F87AE94C42B}">
      <dsp:nvSpPr>
        <dsp:cNvPr id="0" name=""/>
        <dsp:cNvSpPr/>
      </dsp:nvSpPr>
      <dsp:spPr>
        <a:xfrm>
          <a:off x="692808" y="19247"/>
          <a:ext cx="2694676" cy="2155741"/>
        </a:xfrm>
        <a:prstGeom prst="funnel">
          <a:avLst/>
        </a:prstGeom>
        <a:solidFill>
          <a:schemeClr val="lt1">
            <a:alpha val="4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E0E20B8-C086-4DDB-9B98-AFD10246462F}">
      <dsp:nvSpPr>
        <dsp:cNvPr id="0" name=""/>
        <dsp:cNvSpPr/>
      </dsp:nvSpPr>
      <dsp:spPr>
        <a:xfrm>
          <a:off x="2310690" y="221777"/>
          <a:ext cx="1359305" cy="1359547"/>
        </a:xfrm>
        <a:prstGeom prst="ellipse">
          <a:avLst/>
        </a:prstGeom>
        <a:gradFill rotWithShape="1">
          <a:gsLst>
            <a:gs pos="0">
              <a:schemeClr val="accent2">
                <a:tint val="50000"/>
                <a:satMod val="300000"/>
              </a:schemeClr>
            </a:gs>
            <a:gs pos="35000">
              <a:schemeClr val="accent2">
                <a:tint val="37000"/>
                <a:satMod val="300000"/>
              </a:schemeClr>
            </a:gs>
            <a:gs pos="100000">
              <a:schemeClr val="accent2">
                <a:tint val="15000"/>
                <a:satMod val="350000"/>
              </a:schemeClr>
            </a:gs>
          </a:gsLst>
          <a:lin ang="16200000" scaled="1"/>
        </a:gradFill>
        <a:ln w="9525" cap="flat" cmpd="sng" algn="ctr">
          <a:solidFill>
            <a:schemeClr val="accent2">
              <a:shade val="95000"/>
              <a:satMod val="105000"/>
            </a:schemeClr>
          </a:solidFill>
          <a:prstDash val="solid"/>
        </a:ln>
        <a:effectLst>
          <a:outerShdw blurRad="40000" dist="20000" dir="5400000" rotWithShape="0">
            <a:srgbClr val="000000">
              <a:alpha val="38000"/>
            </a:srgbClr>
          </a:outerShdw>
        </a:effectLst>
      </dsp:spPr>
      <dsp:style>
        <a:lnRef idx="1">
          <a:schemeClr val="accent2"/>
        </a:lnRef>
        <a:fillRef idx="2">
          <a:schemeClr val="accent2"/>
        </a:fillRef>
        <a:effectRef idx="1">
          <a:schemeClr val="accent2"/>
        </a:effectRef>
        <a:fontRef idx="minor">
          <a:schemeClr val="dk1"/>
        </a:fontRef>
      </dsp:style>
    </dsp:sp>
    <dsp:sp modelId="{5D969DFF-217B-4423-A702-821CEF0EC717}">
      <dsp:nvSpPr>
        <dsp:cNvPr id="0" name=""/>
        <dsp:cNvSpPr/>
      </dsp:nvSpPr>
      <dsp:spPr>
        <a:xfrm>
          <a:off x="2355823" y="267098"/>
          <a:ext cx="1269039" cy="1268904"/>
        </a:xfrm>
        <a:prstGeom prst="ellipse">
          <a:avLst/>
        </a:prstGeom>
        <a:gradFill rotWithShape="1">
          <a:gsLst>
            <a:gs pos="0">
              <a:schemeClr val="accent2">
                <a:tint val="50000"/>
                <a:satMod val="300000"/>
              </a:schemeClr>
            </a:gs>
            <a:gs pos="35000">
              <a:schemeClr val="accent2">
                <a:tint val="37000"/>
                <a:satMod val="300000"/>
              </a:schemeClr>
            </a:gs>
            <a:gs pos="100000">
              <a:schemeClr val="accent2">
                <a:tint val="15000"/>
                <a:satMod val="350000"/>
              </a:schemeClr>
            </a:gs>
          </a:gsLst>
          <a:lin ang="16200000" scaled="1"/>
        </a:gradFill>
        <a:ln w="9525" cap="flat" cmpd="sng" algn="ctr">
          <a:solidFill>
            <a:schemeClr val="accent2">
              <a:shade val="95000"/>
              <a:satMod val="105000"/>
            </a:schemeClr>
          </a:solidFill>
          <a:prstDash val="solid"/>
        </a:ln>
        <a:effectLst>
          <a:outerShdw blurRad="40000" dist="20000" dir="5400000" rotWithShape="0">
            <a:srgbClr val="000000">
              <a:alpha val="38000"/>
            </a:srgbClr>
          </a:outerShdw>
        </a:effectLst>
      </dsp:spPr>
      <dsp:style>
        <a:lnRef idx="1">
          <a:schemeClr val="accent2"/>
        </a:lnRef>
        <a:fillRef idx="2">
          <a:schemeClr val="accent2"/>
        </a:fillRef>
        <a:effectRef idx="1">
          <a:schemeClr val="accent2"/>
        </a:effectRef>
        <a:fontRef idx="minor">
          <a:schemeClr val="dk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cs-CZ" sz="900" b="1" kern="1200"/>
            <a:t>920 mil. EUR</a:t>
          </a:r>
        </a:p>
        <a:p>
          <a:pPr lvl="0" algn="ctr" defTabSz="400050">
            <a:lnSpc>
              <a:spcPct val="90000"/>
            </a:lnSpc>
            <a:spcBef>
              <a:spcPct val="0"/>
            </a:spcBef>
            <a:spcAft>
              <a:spcPct val="35000"/>
            </a:spcAft>
          </a:pPr>
          <a:r>
            <a:rPr lang="cs-CZ" sz="800" kern="1200"/>
            <a:t>podpora</a:t>
          </a:r>
        </a:p>
      </dsp:txBody>
      <dsp:txXfrm>
        <a:off x="2537241" y="448404"/>
        <a:ext cx="906203" cy="906292"/>
      </dsp:txXfrm>
    </dsp:sp>
    <dsp:sp modelId="{4E558539-380D-49FE-A739-FFA4235C0C72}">
      <dsp:nvSpPr>
        <dsp:cNvPr id="0" name=""/>
        <dsp:cNvSpPr/>
      </dsp:nvSpPr>
      <dsp:spPr>
        <a:xfrm rot="2700000">
          <a:off x="1416194" y="389050"/>
          <a:ext cx="1024820" cy="1024820"/>
        </a:xfrm>
        <a:prstGeom prst="teardrop">
          <a:avLst>
            <a:gd name="adj" fmla="val 100000"/>
          </a:avLst>
        </a:prstGeom>
        <a:gradFill rotWithShape="1">
          <a:gsLst>
            <a:gs pos="0">
              <a:schemeClr val="accent2">
                <a:tint val="50000"/>
                <a:satMod val="300000"/>
              </a:schemeClr>
            </a:gs>
            <a:gs pos="35000">
              <a:schemeClr val="accent2">
                <a:tint val="37000"/>
                <a:satMod val="300000"/>
              </a:schemeClr>
            </a:gs>
            <a:gs pos="100000">
              <a:schemeClr val="accent2">
                <a:tint val="15000"/>
                <a:satMod val="350000"/>
              </a:schemeClr>
            </a:gs>
          </a:gsLst>
          <a:lin ang="16200000" scaled="1"/>
        </a:gradFill>
        <a:ln w="9525" cap="flat" cmpd="sng" algn="ctr">
          <a:solidFill>
            <a:schemeClr val="accent2">
              <a:shade val="95000"/>
              <a:satMod val="105000"/>
            </a:schemeClr>
          </a:solidFill>
          <a:prstDash val="solid"/>
        </a:ln>
        <a:effectLst>
          <a:outerShdw blurRad="40000" dist="20000" dir="5400000" rotWithShape="0">
            <a:srgbClr val="000000">
              <a:alpha val="38000"/>
            </a:srgbClr>
          </a:outerShdw>
        </a:effectLst>
      </dsp:spPr>
      <dsp:style>
        <a:lnRef idx="1">
          <a:schemeClr val="accent2"/>
        </a:lnRef>
        <a:fillRef idx="2">
          <a:schemeClr val="accent2"/>
        </a:fillRef>
        <a:effectRef idx="1">
          <a:schemeClr val="accent2"/>
        </a:effectRef>
        <a:fontRef idx="minor">
          <a:schemeClr val="dk1"/>
        </a:fontRef>
      </dsp:style>
    </dsp:sp>
    <dsp:sp modelId="{A64C4791-795F-4A34-B8A7-F88AF53A8AA4}">
      <dsp:nvSpPr>
        <dsp:cNvPr id="0" name=""/>
        <dsp:cNvSpPr/>
      </dsp:nvSpPr>
      <dsp:spPr>
        <a:xfrm>
          <a:off x="1449066" y="422063"/>
          <a:ext cx="959075" cy="958973"/>
        </a:xfrm>
        <a:prstGeom prst="ellipse">
          <a:avLst/>
        </a:prstGeom>
        <a:gradFill rotWithShape="1">
          <a:gsLst>
            <a:gs pos="0">
              <a:schemeClr val="accent2">
                <a:tint val="50000"/>
                <a:satMod val="300000"/>
              </a:schemeClr>
            </a:gs>
            <a:gs pos="35000">
              <a:schemeClr val="accent2">
                <a:tint val="37000"/>
                <a:satMod val="300000"/>
              </a:schemeClr>
            </a:gs>
            <a:gs pos="100000">
              <a:schemeClr val="accent2">
                <a:tint val="15000"/>
                <a:satMod val="350000"/>
              </a:schemeClr>
            </a:gs>
          </a:gsLst>
          <a:lin ang="16200000" scaled="1"/>
        </a:gradFill>
        <a:ln w="9525" cap="flat" cmpd="sng" algn="ctr">
          <a:solidFill>
            <a:schemeClr val="accent2">
              <a:shade val="95000"/>
              <a:satMod val="105000"/>
            </a:schemeClr>
          </a:solidFill>
          <a:prstDash val="solid"/>
        </a:ln>
        <a:effectLst>
          <a:outerShdw blurRad="40000" dist="20000" dir="5400000" rotWithShape="0">
            <a:srgbClr val="000000">
              <a:alpha val="38000"/>
            </a:srgbClr>
          </a:outerShdw>
        </a:effectLst>
      </dsp:spPr>
      <dsp:style>
        <a:lnRef idx="1">
          <a:schemeClr val="accent2"/>
        </a:lnRef>
        <a:fillRef idx="2">
          <a:schemeClr val="accent2"/>
        </a:fillRef>
        <a:effectRef idx="1">
          <a:schemeClr val="accent2"/>
        </a:effectRef>
        <a:fontRef idx="minor">
          <a:schemeClr val="dk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cs-CZ" sz="800" b="1" kern="1200"/>
            <a:t>1.510 </a:t>
          </a:r>
          <a:r>
            <a:rPr lang="cs-CZ" sz="700" kern="1200"/>
            <a:t>podpořených projektů</a:t>
          </a:r>
        </a:p>
      </dsp:txBody>
      <dsp:txXfrm>
        <a:off x="1586173" y="559085"/>
        <a:ext cx="684863" cy="684929"/>
      </dsp:txXfrm>
    </dsp:sp>
    <dsp:sp modelId="{EC75BA5A-85B0-4675-8FFD-D1A5DC9C37A0}">
      <dsp:nvSpPr>
        <dsp:cNvPr id="0" name=""/>
        <dsp:cNvSpPr/>
      </dsp:nvSpPr>
      <dsp:spPr>
        <a:xfrm rot="2700000">
          <a:off x="676317" y="529819"/>
          <a:ext cx="743281" cy="743281"/>
        </a:xfrm>
        <a:prstGeom prst="teardrop">
          <a:avLst>
            <a:gd name="adj" fmla="val 100000"/>
          </a:avLst>
        </a:prstGeom>
        <a:gradFill rotWithShape="1">
          <a:gsLst>
            <a:gs pos="0">
              <a:schemeClr val="accent2">
                <a:tint val="50000"/>
                <a:satMod val="300000"/>
              </a:schemeClr>
            </a:gs>
            <a:gs pos="35000">
              <a:schemeClr val="accent2">
                <a:tint val="37000"/>
                <a:satMod val="300000"/>
              </a:schemeClr>
            </a:gs>
            <a:gs pos="100000">
              <a:schemeClr val="accent2">
                <a:tint val="15000"/>
                <a:satMod val="350000"/>
              </a:schemeClr>
            </a:gs>
          </a:gsLst>
          <a:lin ang="16200000" scaled="1"/>
        </a:gradFill>
        <a:ln w="9525" cap="flat" cmpd="sng" algn="ctr">
          <a:solidFill>
            <a:schemeClr val="accent2">
              <a:shade val="95000"/>
              <a:satMod val="105000"/>
            </a:schemeClr>
          </a:solidFill>
          <a:prstDash val="solid"/>
        </a:ln>
        <a:effectLst>
          <a:outerShdw blurRad="40000" dist="20000" dir="5400000" rotWithShape="0">
            <a:srgbClr val="000000">
              <a:alpha val="38000"/>
            </a:srgbClr>
          </a:outerShdw>
        </a:effectLst>
      </dsp:spPr>
      <dsp:style>
        <a:lnRef idx="1">
          <a:schemeClr val="accent2"/>
        </a:lnRef>
        <a:fillRef idx="2">
          <a:schemeClr val="accent2"/>
        </a:fillRef>
        <a:effectRef idx="1">
          <a:schemeClr val="accent2"/>
        </a:effectRef>
        <a:fontRef idx="minor">
          <a:schemeClr val="dk1"/>
        </a:fontRef>
      </dsp:style>
    </dsp:sp>
    <dsp:sp modelId="{8E71A879-913B-49FB-94F5-4BB2A8070A7C}">
      <dsp:nvSpPr>
        <dsp:cNvPr id="0" name=""/>
        <dsp:cNvSpPr/>
      </dsp:nvSpPr>
      <dsp:spPr>
        <a:xfrm>
          <a:off x="700131" y="553788"/>
          <a:ext cx="695598" cy="695524"/>
        </a:xfrm>
        <a:prstGeom prst="ellipse">
          <a:avLst/>
        </a:prstGeom>
        <a:gradFill rotWithShape="1">
          <a:gsLst>
            <a:gs pos="0">
              <a:schemeClr val="accent2">
                <a:tint val="50000"/>
                <a:satMod val="300000"/>
              </a:schemeClr>
            </a:gs>
            <a:gs pos="35000">
              <a:schemeClr val="accent2">
                <a:tint val="37000"/>
                <a:satMod val="300000"/>
              </a:schemeClr>
            </a:gs>
            <a:gs pos="100000">
              <a:schemeClr val="accent2">
                <a:tint val="15000"/>
                <a:satMod val="350000"/>
              </a:schemeClr>
            </a:gs>
          </a:gsLst>
          <a:lin ang="16200000" scaled="1"/>
        </a:gradFill>
        <a:ln w="9525" cap="flat" cmpd="sng" algn="ctr">
          <a:solidFill>
            <a:schemeClr val="accent2">
              <a:shade val="95000"/>
              <a:satMod val="105000"/>
            </a:schemeClr>
          </a:solidFill>
          <a:prstDash val="solid"/>
        </a:ln>
        <a:effectLst>
          <a:outerShdw blurRad="40000" dist="20000" dir="5400000" rotWithShape="0">
            <a:srgbClr val="000000">
              <a:alpha val="38000"/>
            </a:srgbClr>
          </a:outerShdw>
        </a:effectLst>
      </dsp:spPr>
      <dsp:style>
        <a:lnRef idx="1">
          <a:schemeClr val="accent2"/>
        </a:lnRef>
        <a:fillRef idx="2">
          <a:schemeClr val="accent2"/>
        </a:fillRef>
        <a:effectRef idx="1">
          <a:schemeClr val="accent2"/>
        </a:effectRef>
        <a:fontRef idx="minor">
          <a:schemeClr val="dk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cs-CZ" sz="800" b="1" kern="1200"/>
            <a:t>16 %</a:t>
          </a:r>
          <a:r>
            <a:rPr lang="cs-CZ" sz="800" kern="1200"/>
            <a:t> </a:t>
          </a:r>
          <a:r>
            <a:rPr lang="cs-CZ" sz="700" kern="1200"/>
            <a:t>úspěšnost </a:t>
          </a:r>
        </a:p>
      </dsp:txBody>
      <dsp:txXfrm>
        <a:off x="799571" y="653167"/>
        <a:ext cx="496717" cy="496765"/>
      </dsp:txXfrm>
    </dsp:sp>
  </dsp:spTree>
</dsp:drawing>
</file>

<file path=word/diagrams/layout1.xml><?xml version="1.0" encoding="utf-8"?>
<dgm:layoutDef xmlns:dgm="http://schemas.openxmlformats.org/drawingml/2006/diagram" xmlns:a="http://schemas.openxmlformats.org/drawingml/2006/main" uniqueId="urn:microsoft.com/office/officeart/2011/layout/CircleProcess">
  <dgm:title val="Kruh – proces"/>
  <dgm:desc val="Umožňuje znázornit postupné kroky v procesu. Omezeno na jedenáct tvarů úrovně 1 s neomezeným počtem tvarů úrovně 2. Nejlepších výsledků dosáhnete s malým množstvím textu. Nepoužitý text se nezobrazuje, zůstává však k dispozici, pokud přepnete rozložení."/>
  <dgm:catLst>
    <dgm:cat type="process" pri="8500"/>
    <dgm:cat type="officeonline" pri="85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50" srcId="0" destId="10" srcOrd="0" destOrd="0"/>
        <dgm:cxn modelId="60" srcId="0" destId="20" srcOrd="1" destOrd="0"/>
        <dgm:cxn modelId="70" srcId="0" destId="30" srcOrd="2" destOrd="0"/>
        <dgm:cxn modelId="80" srcId="0" destId="40" srcOrd="3" destOrd="0"/>
      </dgm:cxnLst>
      <dgm:bg/>
      <dgm:whole/>
    </dgm:dataModel>
  </dgm:clrData>
  <dgm:layoutNode name="Name0">
    <dgm:varLst>
      <dgm:chMax val="11"/>
      <dgm:chPref val="11"/>
      <dgm:dir/>
      <dgm:resizeHandles/>
    </dgm:varLst>
    <dgm:shape xmlns:r="http://schemas.openxmlformats.org/officeDocument/2006/relationships" r:blip="">
      <dgm:adjLst/>
    </dgm:shape>
    <dgm:choose name="Name1">
      <dgm:if name="Name2" func="var" arg="dir" op="equ" val="norm">
        <dgm:choose name="Name3">
          <dgm:if name="Name4" axis="ch" ptType="node" func="cnt" op="equ" val="1">
            <dgm:alg type="composite">
              <dgm:param type="ar" val="0.6383"/>
            </dgm:alg>
            <dgm:constrLst>
              <dgm:constr type="primFontSz" for="des" forName="Child1" val="65"/>
              <dgm:constr type="primFontSz" for="des" forName="Parent1" val="65"/>
              <dgm:constr type="primFontSz" for="des" forName="Child1" refType="primFontSz" refFor="des" refForName="Parent1" op="lte"/>
              <dgm:constr type="l" for="ch" forName="Parent1" refType="w" fact="0.1667"/>
              <dgm:constr type="t" for="ch" forName="Parent1" refType="h" fact="0.1064"/>
              <dgm:constr type="w" for="ch" forName="Parent1" refType="w" fact="0.6667"/>
              <dgm:constr type="h" for="ch" forName="Parent1" refType="h" fact="0.4255"/>
              <dgm:constr type="l" for="ch" forName="Accent1" refType="w" fact="0"/>
              <dgm:constr type="t" for="ch" forName="Accent1" refType="h" fact="0"/>
              <dgm:constr type="w" for="ch" forName="Accent1" refType="w"/>
              <dgm:constr type="h" for="ch" forName="Accent1" refType="h" fact="0.6383"/>
              <dgm:constr type="l" for="ch" forName="ParentBackground1" refType="w" fact="0.0333"/>
              <dgm:constr type="t" for="ch" forName="ParentBackground1" refType="h" fact="0.0213"/>
              <dgm:constr type="w" for="ch" forName="ParentBackground1" refType="w" fact="0.9333"/>
              <dgm:constr type="h" for="ch" forName="ParentBackground1" refType="h" fact="0.5957"/>
              <dgm:constr type="l" for="ch" forName="Child1" refType="w" fact="0.0333"/>
              <dgm:constr type="t" for="ch" forName="Child1" refType="h" fact="0.6574"/>
              <dgm:constr type="w" for="ch" forName="Child1" refType="w" fact="0.9333"/>
              <dgm:constr type="h" for="ch" forName="Child1" refType="h" fact="0.3426"/>
            </dgm:constrLst>
          </dgm:if>
          <dgm:if name="Name5" axis="ch" ptType="node" func="cnt" op="equ" val="2">
            <dgm:alg type="composite">
              <dgm:param type="ar" val="1.265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Parent2" refType="w" fact="0.6249"/>
              <dgm:constr type="t" for="ch" forName="Parent2" refType="h" fact="0.2022"/>
              <dgm:constr type="w" for="ch" forName="Parent2" refType="w" fact="0.3001"/>
              <dgm:constr type="h" for="ch" forName="Parent2" refType="h" fact="0.3799"/>
              <dgm:constr type="l" for="ch" forName="Parent1" refType="w" fact="0.1597"/>
              <dgm:constr type="t" for="ch" forName="Parent1" refType="h" fact="0.2022"/>
              <dgm:constr type="w" for="ch" forName="Parent1" refType="w" fact="0.3001"/>
              <dgm:constr type="h" for="ch" forName="Parent1" refType="h" fact="0.3799"/>
              <dgm:constr type="l" for="ch" forName="Accent2" refType="w" fact="0.5498"/>
              <dgm:constr type="t" for="ch" forName="Accent2" refType="h" fact="0.1072"/>
              <dgm:constr type="w" for="ch" forName="Accent2" refType="w" fact="0.4502"/>
              <dgm:constr type="h" for="ch" forName="Accent2" refType="h" fact="0.5699"/>
              <dgm:constr type="l" for="ch" forName="ParentBackground2" refType="w" fact="0.5648"/>
              <dgm:constr type="t" for="ch" forName="ParentBackground2" refType="h" fact="0.1262"/>
              <dgm:constr type="w" for="ch" forName="ParentBackground2" refType="w" fact="0.4201"/>
              <dgm:constr type="h" for="ch" forName="ParentBackground2" refType="h" fact="0.5319"/>
              <dgm:constr type="l" for="ch" forName="Child2" refType="w" fact="0.5648"/>
              <dgm:constr type="t" for="ch" forName="Child2" refType="h" fact="0.6876"/>
              <dgm:constr type="w" for="ch" forName="Child2" refType="w" fact="0.4201"/>
              <dgm:constr type="h" for="ch" forName="Child2" refType="h" fact="0.3124"/>
              <dgm:constr type="l" for="ch" forName="Accent1" refType="w" fact="-0.0086"/>
              <dgm:constr type="t" for="ch" forName="Accent1" refType="h" fact="-0.0109"/>
              <dgm:constr type="w" for="ch" forName="Accent1" refType="w" fact="0.6367"/>
              <dgm:constr type="h" for="ch" forName="Accent1" refType="h" fact="0.806"/>
              <dgm:constr type="l" for="ch" forName="ParentBackground1" refType="w" fact="0.0997"/>
              <dgm:constr type="t" for="ch" forName="ParentBackground1" refType="h" fact="0.1262"/>
              <dgm:constr type="w" for="ch" forName="ParentBackground1" refType="w" fact="0.4201"/>
              <dgm:constr type="h" for="ch" forName="ParentBackground1" refType="h" fact="0.5319"/>
              <dgm:constr type="l" for="ch" forName="Child1" refType="w" fact="0.0997"/>
              <dgm:constr type="t" for="ch" forName="Child1" refType="h" fact="0.6876"/>
              <dgm:constr type="w" for="ch" forName="Child1" refType="w" fact="0.4201"/>
              <dgm:constr type="h" for="ch" forName="Child1" refType="h" fact="0.3124"/>
            </dgm:constrLst>
          </dgm:if>
          <dgm:if name="Name6" axis="ch" ptType="node" func="cnt" op="equ" val="3">
            <dgm:alg type="composite">
              <dgm:param type="ar" val="1.854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Parent3" refType="w" fact="0.744"/>
              <dgm:constr type="t" for="ch" forName="Parent3" refType="h" fact="0.2022"/>
              <dgm:constr type="w" for="ch" forName="Parent3" refType="w" fact="0.2048"/>
              <dgm:constr type="h" for="ch" forName="Parent3" refType="h" fact="0.3799"/>
              <dgm:constr type="l" for="ch" forName="Parent2" refType="w" fact="0.4265"/>
              <dgm:constr type="t" for="ch" forName="Parent2" refType="h" fact="0.2022"/>
              <dgm:constr type="w" for="ch" forName="Parent2" refType="w" fact="0.2048"/>
              <dgm:constr type="h" for="ch" forName="Parent2" refType="h" fact="0.3799"/>
              <dgm:constr type="l" for="ch" forName="Parent1" refType="w" fact="0.109"/>
              <dgm:constr type="t" for="ch" forName="Parent1" refType="h" fact="0.2022"/>
              <dgm:constr type="w" for="ch" forName="Parent1" refType="w" fact="0.2048"/>
              <dgm:constr type="h" for="ch" forName="Parent1" refType="h" fact="0.3799"/>
              <dgm:constr type="l" for="ch" forName="Accent3" refType="w" fact="0.6928"/>
              <dgm:constr type="t" for="ch" forName="Accent3" refType="h" fact="0.1072"/>
              <dgm:constr type="w" for="ch" forName="Accent3" refType="w" fact="0.3072"/>
              <dgm:constr type="h" for="ch" forName="Accent3" refType="h" fact="0.5699"/>
              <dgm:constr type="l" for="ch" forName="ParentBackground3" refType="w" fact="0.703"/>
              <dgm:constr type="t" for="ch" forName="ParentBackground3" refType="h" fact="0.1262"/>
              <dgm:constr type="w" for="ch" forName="ParentBackground3" refType="w" fact="0.2868"/>
              <dgm:constr type="h" for="ch" forName="ParentBackground3" refType="h" fact="0.5319"/>
              <dgm:constr type="l" for="ch" forName="Child3" refType="w" fact="0.703"/>
              <dgm:constr type="t" for="ch" forName="Child3" refType="h" fact="0.6876"/>
              <dgm:constr type="w" for="ch" forName="Child3" refType="w" fact="0.2868"/>
              <dgm:constr type="h" for="ch" forName="Child3" refType="h" fact="0.3124"/>
              <dgm:constr type="l" for="ch" forName="Accent2" refType="w" fact="0.3122"/>
              <dgm:constr type="t" for="ch" forName="Accent2" refType="h" fact="-0.0109"/>
              <dgm:constr type="w" for="ch" forName="Accent2" refType="w" fact="0.4334"/>
              <dgm:constr type="h" for="ch" forName="Accent2" refType="h" fact="0.806"/>
              <dgm:constr type="l" for="ch" forName="ParentBackground2" refType="w" fact="0.3855"/>
              <dgm:constr type="t" for="ch" forName="ParentBackground2" refType="h" fact="0.1262"/>
              <dgm:constr type="w" for="ch" forName="ParentBackground2" refType="w" fact="0.2868"/>
              <dgm:constr type="h" for="ch" forName="ParentBackground2" refType="h" fact="0.5319"/>
              <dgm:constr type="l" for="ch" forName="Child2" refType="w" fact="0.3855"/>
              <dgm:constr type="t" for="ch" forName="Child2" refType="h" fact="0.6876"/>
              <dgm:constr type="w" for="ch" forName="Child2" refType="w" fact="0.2868"/>
              <dgm:constr type="h" for="ch" forName="Child2" refType="h" fact="0.3124"/>
              <dgm:constr type="l" for="ch" forName="Accent1" refType="w" fact="-0.0053"/>
              <dgm:constr type="t" for="ch" forName="Accent1" refType="h" fact="-0.0109"/>
              <dgm:constr type="w" for="ch" forName="Accent1" refType="w" fact="0.4334"/>
              <dgm:constr type="h" for="ch" forName="Accent1" refType="h" fact="0.806"/>
              <dgm:constr type="l" for="ch" forName="ParentBackground1" refType="w" fact="0.068"/>
              <dgm:constr type="t" for="ch" forName="ParentBackground1" refType="h" fact="0.1262"/>
              <dgm:constr type="w" for="ch" forName="ParentBackground1" refType="w" fact="0.2868"/>
              <dgm:constr type="h" for="ch" forName="ParentBackground1" refType="h" fact="0.5319"/>
              <dgm:constr type="l" for="ch" forName="Child1" refType="w" fact="0.068"/>
              <dgm:constr type="t" for="ch" forName="Child1" refType="h" fact="0.6876"/>
              <dgm:constr type="w" for="ch" forName="Child1" refType="w" fact="0.2868"/>
              <dgm:constr type="h" for="ch" forName="Child1" refType="h" fact="0.3124"/>
            </dgm:constrLst>
          </dgm:if>
          <dgm:if name="Name7" axis="ch" ptType="node" func="cnt" op="equ" val="4">
            <dgm:alg type="composite">
              <dgm:param type="ar" val="2.4437"/>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Parent4" refType="w" fact="0.8057"/>
              <dgm:constr type="t" for="ch" forName="Parent4" refType="h" fact="0.2022"/>
              <dgm:constr type="w" for="ch" forName="Parent4" refType="w" fact="0.1555"/>
              <dgm:constr type="h" for="ch" forName="Parent4" refType="h" fact="0.3799"/>
              <dgm:constr type="l" for="ch" forName="Parent3" refType="w" fact="0.5647"/>
              <dgm:constr type="t" for="ch" forName="Parent3" refType="h" fact="0.2022"/>
              <dgm:constr type="w" for="ch" forName="Parent3" refType="w" fact="0.1555"/>
              <dgm:constr type="h" for="ch" forName="Parent3" refType="h" fact="0.3799"/>
              <dgm:constr type="l" for="ch" forName="Parent2" refType="w" fact="0.3237"/>
              <dgm:constr type="t" for="ch" forName="Parent2" refType="h" fact="0.2022"/>
              <dgm:constr type="w" for="ch" forName="Parent2" refType="w" fact="0.1555"/>
              <dgm:constr type="h" for="ch" forName="Parent2" refType="h" fact="0.3799"/>
              <dgm:constr type="l" for="ch" forName="Parent1" refType="w" fact="0.0827"/>
              <dgm:constr type="t" for="ch" forName="Parent1" refType="h" fact="0.2022"/>
              <dgm:constr type="w" for="ch" forName="Parent1" refType="w" fact="0.1555"/>
              <dgm:constr type="h" for="ch" forName="Parent1" refType="h" fact="0.3799"/>
              <dgm:constr type="l" for="ch" forName="Accent4" refType="w" fact="0.7668"/>
              <dgm:constr type="t" for="ch" forName="Accent4" refType="h" fact="0.1072"/>
              <dgm:constr type="w" for="ch" forName="Accent4" refType="w" fact="0.2332"/>
              <dgm:constr type="h" for="ch" forName="Accent4" refType="h" fact="0.5699"/>
              <dgm:constr type="l" for="ch" forName="ParentBackground4" refType="w" fact="0.7746"/>
              <dgm:constr type="t" for="ch" forName="ParentBackground4" refType="h" fact="0.1262"/>
              <dgm:constr type="w" for="ch" forName="ParentBackground4" refType="w" fact="0.2177"/>
              <dgm:constr type="h" for="ch" forName="ParentBackground4" refType="h" fact="0.5319"/>
              <dgm:constr type="l" for="ch" forName="Child4" refType="w" fact="0.7746"/>
              <dgm:constr type="t" for="ch" forName="Child4" refType="h" fact="0.6876"/>
              <dgm:constr type="w" for="ch" forName="Child4" refType="w" fact="0.2177"/>
              <dgm:constr type="h" for="ch" forName="Child4" refType="h" fact="0.3124"/>
              <dgm:constr type="l" for="ch" forName="Accent3" refType="w" fact="0.4765"/>
              <dgm:constr type="t" for="ch" forName="Accent3" refType="h" fact="-0.0109"/>
              <dgm:constr type="w" for="ch" forName="Accent3" refType="w" fact="0.3298"/>
              <dgm:constr type="h" for="ch" forName="Accent3" refType="h" fact="0.806"/>
              <dgm:constr type="l" for="ch" forName="ParentBackground3" refType="w" fact="0.5336"/>
              <dgm:constr type="t" for="ch" forName="ParentBackground3" refType="h" fact="0.1262"/>
              <dgm:constr type="w" for="ch" forName="ParentBackground3" refType="w" fact="0.2177"/>
              <dgm:constr type="h" for="ch" forName="ParentBackground3" refType="h" fact="0.5319"/>
              <dgm:constr type="l" for="ch" forName="Child3" refType="w" fact="0.5336"/>
              <dgm:constr type="t" for="ch" forName="Child3" refType="h" fact="0.6876"/>
              <dgm:constr type="w" for="ch" forName="Child3" refType="w" fact="0.2177"/>
              <dgm:constr type="h" for="ch" forName="Child3" refType="h" fact="0.3124"/>
              <dgm:constr type="l" for="ch" forName="Accent2" refType="w" fact="0.2365"/>
              <dgm:constr type="t" for="ch" forName="Accent2" refType="h" fact="-0.0109"/>
              <dgm:constr type="w" for="ch" forName="Accent2" refType="w" fact="0.3298"/>
              <dgm:constr type="h" for="ch" forName="Accent2" refType="h" fact="0.806"/>
              <dgm:constr type="l" for="ch" forName="ParentBackground2" refType="w" fact="0.2926"/>
              <dgm:constr type="t" for="ch" forName="ParentBackground2" refType="h" fact="0.1262"/>
              <dgm:constr type="w" for="ch" forName="ParentBackground2" refType="w" fact="0.2177"/>
              <dgm:constr type="h" for="ch" forName="ParentBackground2" refType="h" fact="0.5319"/>
              <dgm:constr type="l" for="ch" forName="Child2" refType="w" fact="0.2926"/>
              <dgm:constr type="t" for="ch" forName="Child2" refType="h" fact="0.6876"/>
              <dgm:constr type="w" for="ch" forName="Child2" refType="w" fact="0.2177"/>
              <dgm:constr type="h" for="ch" forName="Child2" refType="h" fact="0.3124"/>
              <dgm:constr type="l" for="ch" forName="Accent1" refType="w" fact="-0.0045"/>
              <dgm:constr type="t" for="ch" forName="Accent1" refType="h" fact="-0.0109"/>
              <dgm:constr type="w" for="ch" forName="Accent1" refType="w" fact="0.3298"/>
              <dgm:constr type="h" for="ch" forName="Accent1" refType="h" fact="0.806"/>
              <dgm:constr type="l" for="ch" forName="ParentBackground1" refType="w" fact="0.0516"/>
              <dgm:constr type="t" for="ch" forName="ParentBackground1" refType="h" fact="0.1262"/>
              <dgm:constr type="w" for="ch" forName="ParentBackground1" refType="w" fact="0.2177"/>
              <dgm:constr type="h" for="ch" forName="ParentBackground1" refType="h" fact="0.5319"/>
              <dgm:constr type="l" for="ch" forName="Child1" refType="w" fact="0.0516"/>
              <dgm:constr type="t" for="ch" forName="Child1" refType="h" fact="0.6876"/>
              <dgm:constr type="w" for="ch" forName="Child1" refType="w" fact="0.2177"/>
              <dgm:constr type="h" for="ch" forName="Child1" refType="h" fact="0.3124"/>
            </dgm:constrLst>
          </dgm:if>
          <dgm:if name="Name8" axis="ch" ptType="node" func="cnt" op="equ" val="5">
            <dgm:alg type="composite">
              <dgm:param type="ar" val="3.0325"/>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Parent5" refType="w" fact="0.8434"/>
              <dgm:constr type="t" for="ch" forName="Parent5" refType="h" fact="0.2022"/>
              <dgm:constr type="w" for="ch" forName="Parent5" refType="w" fact="0.1253"/>
              <dgm:constr type="h" for="ch" forName="Parent5" refType="h" fact="0.3799"/>
              <dgm:constr type="l" for="ch" forName="Parent4" refType="w" fact="0.6492"/>
              <dgm:constr type="t" for="ch" forName="Parent4" refType="h" fact="0.2022"/>
              <dgm:constr type="w" for="ch" forName="Parent4" refType="w" fact="0.1253"/>
              <dgm:constr type="h" for="ch" forName="Parent4" refType="h" fact="0.3799"/>
              <dgm:constr type="l" for="ch" forName="Parent3" refType="w" fact="0.455"/>
              <dgm:constr type="t" for="ch" forName="Parent3" refType="h" fact="0.2022"/>
              <dgm:constr type="w" for="ch" forName="Parent3" refType="w" fact="0.1253"/>
              <dgm:constr type="h" for="ch" forName="Parent3" refType="h" fact="0.3799"/>
              <dgm:constr type="l" for="ch" forName="Parent2" refType="w" fact="0.2609"/>
              <dgm:constr type="t" for="ch" forName="Parent2" refType="h" fact="0.2022"/>
              <dgm:constr type="w" for="ch" forName="Parent2" refType="w" fact="0.1253"/>
              <dgm:constr type="h" for="ch" forName="Parent2" refType="h" fact="0.3799"/>
              <dgm:constr type="l" for="ch" forName="Parent1" refType="w" fact="0.0667"/>
              <dgm:constr type="t" for="ch" forName="Parent1" refType="h" fact="0.2022"/>
              <dgm:constr type="w" for="ch" forName="Parent1" refType="w" fact="0.1253"/>
              <dgm:constr type="h" for="ch" forName="Parent1" refType="h" fact="0.3799"/>
              <dgm:constr type="l" for="ch" forName="Accent5" refType="w" fact="0.8121"/>
              <dgm:constr type="t" for="ch" forName="Accent5" refType="h" fact="0.1072"/>
              <dgm:constr type="w" for="ch" forName="Accent5" refType="w" fact="0.1879"/>
              <dgm:constr type="h" for="ch" forName="Accent5" refType="h" fact="0.5699"/>
              <dgm:constr type="l" for="ch" forName="ParentBackground5" refType="w" fact="0.8183"/>
              <dgm:constr type="t" for="ch" forName="ParentBackground5" refType="h" fact="0.1262"/>
              <dgm:constr type="w" for="ch" forName="ParentBackground5" refType="w" fact="0.1754"/>
              <dgm:constr type="h" for="ch" forName="ParentBackground5" refType="h" fact="0.5319"/>
              <dgm:constr type="l" for="ch" forName="Child5" refType="w" fact="0.8183"/>
              <dgm:constr type="t" for="ch" forName="Child5" refType="h" fact="0.6876"/>
              <dgm:constr type="w" for="ch" forName="Child5" refType="w" fact="0.1754"/>
              <dgm:constr type="h" for="ch" forName="Child5" refType="h" fact="0.3124"/>
              <dgm:constr type="l" for="ch" forName="Accent4" refType="w" fact="0.5789"/>
              <dgm:constr type="t" for="ch" forName="Accent4" refType="h" fact="-0.0109"/>
              <dgm:constr type="w" for="ch" forName="Accent4" refType="w" fact="0.2657"/>
              <dgm:constr type="h" for="ch" forName="Accent4" refType="h" fact="0.806"/>
              <dgm:constr type="l" for="ch" forName="ParentBackground4" refType="w" fact="0.6242"/>
              <dgm:constr type="t" for="ch" forName="ParentBackground4" refType="h" fact="0.1262"/>
              <dgm:constr type="w" for="ch" forName="ParentBackground4" refType="w" fact="0.1754"/>
              <dgm:constr type="h" for="ch" forName="ParentBackground4" refType="h" fact="0.5319"/>
              <dgm:constr type="l" for="ch" forName="Child4" refType="w" fact="0.6242"/>
              <dgm:constr type="t" for="ch" forName="Child4" refType="h" fact="0.6876"/>
              <dgm:constr type="w" for="ch" forName="Child4" refType="w" fact="0.1754"/>
              <dgm:constr type="h" for="ch" forName="Child4" refType="h" fact="0.3124"/>
              <dgm:constr type="l" for="ch" forName="Accent3" refType="w" fact="0.3848"/>
              <dgm:constr type="t" for="ch" forName="Accent3" refType="h" fact="-0.0109"/>
              <dgm:constr type="w" for="ch" forName="Accent3" refType="w" fact="0.2657"/>
              <dgm:constr type="h" for="ch" forName="Accent3" refType="h" fact="0.806"/>
              <dgm:constr type="l" for="ch" forName="ParentBackground3" refType="w" fact="0.43"/>
              <dgm:constr type="t" for="ch" forName="ParentBackground3" refType="h" fact="0.1262"/>
              <dgm:constr type="w" for="ch" forName="ParentBackground3" refType="w" fact="0.1754"/>
              <dgm:constr type="h" for="ch" forName="ParentBackground3" refType="h" fact="0.5319"/>
              <dgm:constr type="l" for="ch" forName="Child3" refType="w" fact="0.43"/>
              <dgm:constr type="t" for="ch" forName="Child3" refType="h" fact="0.6876"/>
              <dgm:constr type="w" for="ch" forName="Child3" refType="w" fact="0.1754"/>
              <dgm:constr type="h" for="ch" forName="Child3" refType="h" fact="0.3124"/>
              <dgm:constr type="l" for="ch" forName="Accent2" refType="w" fact="0.1906"/>
              <dgm:constr type="t" for="ch" forName="Accent2" refType="h" fact="-0.0109"/>
              <dgm:constr type="w" for="ch" forName="Accent2" refType="w" fact="0.2657"/>
              <dgm:constr type="h" for="ch" forName="Accent2" refType="h" fact="0.806"/>
              <dgm:constr type="l" for="ch" forName="ParentBackground2" refType="w" fact="0.2358"/>
              <dgm:constr type="t" for="ch" forName="ParentBackground2" refType="h" fact="0.1262"/>
              <dgm:constr type="w" for="ch" forName="ParentBackground2" refType="w" fact="0.1754"/>
              <dgm:constr type="h" for="ch" forName="ParentBackground2" refType="h" fact="0.5319"/>
              <dgm:constr type="l" for="ch" forName="Child2" refType="w" fact="0.2358"/>
              <dgm:constr type="t" for="ch" forName="Child2" refType="h" fact="0.6876"/>
              <dgm:constr type="w" for="ch" forName="Child2" refType="w" fact="0.1754"/>
              <dgm:constr type="h" for="ch" forName="Child2" refType="h" fact="0.3124"/>
              <dgm:constr type="l" for="ch" forName="Accent1" refType="w" fact="-0.0036"/>
              <dgm:constr type="t" for="ch" forName="Accent1" refType="h" fact="-0.0109"/>
              <dgm:constr type="w" for="ch" forName="Accent1" refType="w" fact="0.2657"/>
              <dgm:constr type="h" for="ch" forName="Accent1" refType="h" fact="0.806"/>
              <dgm:constr type="l" for="ch" forName="ParentBackground1" refType="w" fact="0.0416"/>
              <dgm:constr type="t" for="ch" forName="ParentBackground1" refType="h" fact="0.1262"/>
              <dgm:constr type="w" for="ch" forName="ParentBackground1" refType="w" fact="0.1754"/>
              <dgm:constr type="h" for="ch" forName="ParentBackground1" refType="h" fact="0.5319"/>
              <dgm:constr type="l" for="ch" forName="Child1" refType="w" fact="0.0416"/>
              <dgm:constr type="t" for="ch" forName="Child1" refType="h" fact="0.6876"/>
              <dgm:constr type="w" for="ch" forName="Child1" refType="w" fact="0.1754"/>
              <dgm:constr type="h" for="ch" forName="Child1" refType="h" fact="0.3124"/>
            </dgm:constrLst>
          </dgm:if>
          <dgm:if name="Name9" axis="ch" ptType="node" func="cnt" op="equ" val="6">
            <dgm:alg type="composite">
              <dgm:param type="ar" val="3.621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Parent6" refType="w" fact="0.8689"/>
              <dgm:constr type="t" for="ch" forName="Parent6" refType="h" fact="0.2022"/>
              <dgm:constr type="w" for="ch" forName="Parent6" refType="w" fact="0.1049"/>
              <dgm:constr type="h" for="ch" forName="Parent6" refType="h" fact="0.3799"/>
              <dgm:constr type="l" for="ch" forName="Parent5" refType="w" fact="0.7063"/>
              <dgm:constr type="t" for="ch" forName="Parent5" refType="h" fact="0.2022"/>
              <dgm:constr type="w" for="ch" forName="Parent5" refType="w" fact="0.1049"/>
              <dgm:constr type="h" for="ch" forName="Parent5" refType="h" fact="0.3799"/>
              <dgm:constr type="l" for="ch" forName="Parent4" refType="w" fact="0.5437"/>
              <dgm:constr type="t" for="ch" forName="Parent4" refType="h" fact="0.2022"/>
              <dgm:constr type="w" for="ch" forName="Parent4" refType="w" fact="0.1049"/>
              <dgm:constr type="h" for="ch" forName="Parent4" refType="h" fact="0.3799"/>
              <dgm:constr type="l" for="ch" forName="Parent3" refType="w" fact="0.381"/>
              <dgm:constr type="t" for="ch" forName="Parent3" refType="h" fact="0.2022"/>
              <dgm:constr type="w" for="ch" forName="Parent3" refType="w" fact="0.1049"/>
              <dgm:constr type="h" for="ch" forName="Parent3" refType="h" fact="0.3799"/>
              <dgm:constr type="l" for="ch" forName="Parent2" refType="w" fact="0.2184"/>
              <dgm:constr type="t" for="ch" forName="Parent2" refType="h" fact="0.2022"/>
              <dgm:constr type="w" for="ch" forName="Parent2" refType="w" fact="0.1049"/>
              <dgm:constr type="h" for="ch" forName="Parent2" refType="h" fact="0.3799"/>
              <dgm:constr type="l" for="ch" forName="Parent1" refType="w" fact="0.0558"/>
              <dgm:constr type="t" for="ch" forName="Parent1" refType="h" fact="0.2022"/>
              <dgm:constr type="w" for="ch" forName="Parent1" refType="w" fact="0.1049"/>
              <dgm:constr type="h" for="ch" forName="Parent1" refType="h" fact="0.3799"/>
              <dgm:constr type="l" for="ch" forName="Accent6" refType="w" fact="0.8426"/>
              <dgm:constr type="t" for="ch" forName="Accent6" refType="h" fact="0.1072"/>
              <dgm:constr type="w" for="ch" forName="Accent6" refType="w" fact="0.1574"/>
              <dgm:constr type="h" for="ch" forName="Accent6" refType="h" fact="0.5699"/>
              <dgm:constr type="l" for="ch" forName="ParentBackground6" refType="w" fact="0.8479"/>
              <dgm:constr type="t" for="ch" forName="ParentBackground6" refType="h" fact="0.1262"/>
              <dgm:constr type="w" for="ch" forName="ParentBackground6" refType="w" fact="0.1469"/>
              <dgm:constr type="h" for="ch" forName="ParentBackground6" refType="h" fact="0.5319"/>
              <dgm:constr type="l" for="ch" forName="Child6" refType="w" fact="0.8479"/>
              <dgm:constr type="t" for="ch" forName="Child6" refType="h" fact="0.6876"/>
              <dgm:constr type="w" for="ch" forName="Child6" refType="w" fact="0.1469"/>
              <dgm:constr type="h" for="ch" forName="Child6" refType="h" fact="0.3124"/>
              <dgm:constr type="l" for="ch" forName="Accent5" refType="w" fact="0.6474"/>
              <dgm:constr type="t" for="ch" forName="Accent5" refType="h" fact="-0.0109"/>
              <dgm:constr type="w" for="ch" forName="Accent5" refType="w" fact="0.2226"/>
              <dgm:constr type="h" for="ch" forName="Accent5" refType="h" fact="0.806"/>
              <dgm:constr type="l" for="ch" forName="ParentBackground5" refType="w" fact="0.6853"/>
              <dgm:constr type="t" for="ch" forName="ParentBackground5" refType="h" fact="0.1262"/>
              <dgm:constr type="w" for="ch" forName="ParentBackground5" refType="w" fact="0.1469"/>
              <dgm:constr type="h" for="ch" forName="ParentBackground5" refType="h" fact="0.5319"/>
              <dgm:constr type="l" for="ch" forName="Child5" refType="w" fact="0.6853"/>
              <dgm:constr type="t" for="ch" forName="Child5" refType="h" fact="0.6876"/>
              <dgm:constr type="w" for="ch" forName="Child5" refType="w" fact="0.1469"/>
              <dgm:constr type="h" for="ch" forName="Child5" refType="h" fact="0.3124"/>
              <dgm:constr type="l" for="ch" forName="Accent4" refType="w" fact="0.4848"/>
              <dgm:constr type="t" for="ch" forName="Accent4" refType="h" fact="-0.0109"/>
              <dgm:constr type="w" for="ch" forName="Accent4" refType="w" fact="0.2226"/>
              <dgm:constr type="h" for="ch" forName="Accent4" refType="h" fact="0.806"/>
              <dgm:constr type="l" for="ch" forName="ParentBackground4" refType="w" fact="0.5227"/>
              <dgm:constr type="t" for="ch" forName="ParentBackground4" refType="h" fact="0.1262"/>
              <dgm:constr type="w" for="ch" forName="ParentBackground4" refType="w" fact="0.1469"/>
              <dgm:constr type="h" for="ch" forName="ParentBackground4" refType="h" fact="0.5319"/>
              <dgm:constr type="l" for="ch" forName="Child4" refType="w" fact="0.5227"/>
              <dgm:constr type="t" for="ch" forName="Child4" refType="h" fact="0.6876"/>
              <dgm:constr type="w" for="ch" forName="Child4" refType="w" fact="0.1469"/>
              <dgm:constr type="h" for="ch" forName="Child4" refType="h" fact="0.3124"/>
              <dgm:constr type="l" for="ch" forName="Accent3" refType="w" fact="0.3222"/>
              <dgm:constr type="t" for="ch" forName="Accent3" refType="h" fact="-0.0109"/>
              <dgm:constr type="w" for="ch" forName="Accent3" refType="w" fact="0.2226"/>
              <dgm:constr type="h" for="ch" forName="Accent3" refType="h" fact="0.806"/>
              <dgm:constr type="l" for="ch" forName="ParentBackground3" refType="w" fact="0.3601"/>
              <dgm:constr type="t" for="ch" forName="ParentBackground3" refType="h" fact="0.1262"/>
              <dgm:constr type="w" for="ch" forName="ParentBackground3" refType="w" fact="0.1469"/>
              <dgm:constr type="h" for="ch" forName="ParentBackground3" refType="h" fact="0.5319"/>
              <dgm:constr type="l" for="ch" forName="Child3" refType="w" fact="0.3601"/>
              <dgm:constr type="t" for="ch" forName="Child3" refType="h" fact="0.6876"/>
              <dgm:constr type="w" for="ch" forName="Child3" refType="w" fact="0.1469"/>
              <dgm:constr type="h" for="ch" forName="Child3" refType="h" fact="0.3124"/>
              <dgm:constr type="l" for="ch" forName="Accent2" refType="w" fact="0.1596"/>
              <dgm:constr type="t" for="ch" forName="Accent2" refType="h" fact="-0.0109"/>
              <dgm:constr type="w" for="ch" forName="Accent2" refType="w" fact="0.2226"/>
              <dgm:constr type="h" for="ch" forName="Accent2" refType="h" fact="0.806"/>
              <dgm:constr type="l" for="ch" forName="ParentBackground2" refType="w" fact="0.1975"/>
              <dgm:constr type="t" for="ch" forName="ParentBackground2" refType="h" fact="0.1262"/>
              <dgm:constr type="w" for="ch" forName="ParentBackground2" refType="w" fact="0.1469"/>
              <dgm:constr type="h" for="ch" forName="ParentBackground2" refType="h" fact="0.5319"/>
              <dgm:constr type="l" for="ch" forName="Child2" refType="w" fact="0.1975"/>
              <dgm:constr type="t" for="ch" forName="Child2" refType="h" fact="0.6876"/>
              <dgm:constr type="w" for="ch" forName="Child2" refType="w" fact="0.1469"/>
              <dgm:constr type="h" for="ch" forName="Child2" refType="h" fact="0.3124"/>
              <dgm:constr type="l" for="ch" forName="Accent1" refType="w" fact="-0.003"/>
              <dgm:constr type="t" for="ch" forName="Accent1" refType="h" fact="-0.0109"/>
              <dgm:constr type="w" for="ch" forName="Accent1" refType="w" fact="0.2226"/>
              <dgm:constr type="h" for="ch" forName="Accent1" refType="h" fact="0.806"/>
              <dgm:constr type="l" for="ch" forName="ParentBackground1" refType="w" fact="0.0348"/>
              <dgm:constr type="t" for="ch" forName="ParentBackground1" refType="h" fact="0.1262"/>
              <dgm:constr type="w" for="ch" forName="ParentBackground1" refType="w" fact="0.1469"/>
              <dgm:constr type="h" for="ch" forName="ParentBackground1" refType="h" fact="0.5319"/>
              <dgm:constr type="l" for="ch" forName="Child1" refType="w" fact="0.0348"/>
              <dgm:constr type="t" for="ch" forName="Child1" refType="h" fact="0.6876"/>
              <dgm:constr type="w" for="ch" forName="Child1" refType="w" fact="0.1469"/>
              <dgm:constr type="h" for="ch" forName="Child1" refType="h" fact="0.3124"/>
            </dgm:constrLst>
          </dgm:if>
          <dgm:if name="Name10" axis="ch" ptType="node" func="cnt" op="equ" val="7">
            <dgm:alg type="composite">
              <dgm:param type="ar" val="4.210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Parent7" refType="w" fact="0.8872"/>
              <dgm:constr type="t" for="ch" forName="Parent7" refType="h" fact="0.2022"/>
              <dgm:constr type="w" for="ch" forName="Parent7" refType="w" fact="0.0902"/>
              <dgm:constr type="h" for="ch" forName="Parent7" refType="h" fact="0.3799"/>
              <dgm:constr type="l" for="ch" forName="Parent6" refType="w" fact="0.7473"/>
              <dgm:constr type="t" for="ch" forName="Parent6" refType="h" fact="0.2022"/>
              <dgm:constr type="w" for="ch" forName="Parent6" refType="w" fact="0.0902"/>
              <dgm:constr type="h" for="ch" forName="Parent6" refType="h" fact="0.3799"/>
              <dgm:constr type="l" for="ch" forName="Parent5" refType="w" fact="0.6075"/>
              <dgm:constr type="t" for="ch" forName="Parent5" refType="h" fact="0.2022"/>
              <dgm:constr type="w" for="ch" forName="Parent5" refType="w" fact="0.0902"/>
              <dgm:constr type="h" for="ch" forName="Parent5" refType="h" fact="0.3799"/>
              <dgm:constr type="l" for="ch" forName="Parent4" refType="w" fact="0.4676"/>
              <dgm:constr type="t" for="ch" forName="Parent4" refType="h" fact="0.2022"/>
              <dgm:constr type="w" for="ch" forName="Parent4" refType="w" fact="0.0902"/>
              <dgm:constr type="h" for="ch" forName="Parent4" refType="h" fact="0.3799"/>
              <dgm:constr type="l" for="ch" forName="Parent3" refType="w" fact="0.3277"/>
              <dgm:constr type="t" for="ch" forName="Parent3" refType="h" fact="0.2022"/>
              <dgm:constr type="w" for="ch" forName="Parent3" refType="w" fact="0.0902"/>
              <dgm:constr type="h" for="ch" forName="Parent3" refType="h" fact="0.3799"/>
              <dgm:constr type="l" for="ch" forName="Parent2" refType="w" fact="0.1879"/>
              <dgm:constr type="t" for="ch" forName="Parent2" refType="h" fact="0.2022"/>
              <dgm:constr type="w" for="ch" forName="Parent2" refType="w" fact="0.0902"/>
              <dgm:constr type="h" for="ch" forName="Parent2" refType="h" fact="0.3799"/>
              <dgm:constr type="l" for="ch" forName="Parent1" refType="w" fact="0.048"/>
              <dgm:constr type="t" for="ch" forName="Parent1" refType="h" fact="0.2022"/>
              <dgm:constr type="w" for="ch" forName="Parent1" refType="w" fact="0.0902"/>
              <dgm:constr type="h" for="ch" forName="Parent1" refType="h" fact="0.3799"/>
              <dgm:constr type="l" for="ch" forName="Accent7" refType="w" fact="0.8646"/>
              <dgm:constr type="t" for="ch" forName="Accent7" refType="h" fact="0.1072"/>
              <dgm:constr type="w" for="ch" forName="Accent7" refType="w" fact="0.1354"/>
              <dgm:constr type="h" for="ch" forName="Accent7" refType="h" fact="0.5699"/>
              <dgm:constr type="l" for="ch" forName="ParentBackground7" refType="w" fact="0.8692"/>
              <dgm:constr type="t" for="ch" forName="ParentBackground7" refType="h" fact="0.1262"/>
              <dgm:constr type="w" for="ch" forName="ParentBackground7" refType="w" fact="0.1263"/>
              <dgm:constr type="h" for="ch" forName="ParentBackground7" refType="h" fact="0.5319"/>
              <dgm:constr type="l" for="ch" forName="Child7" refType="w" fact="0.8692"/>
              <dgm:constr type="t" for="ch" forName="Child7" refType="h" fact="0.6876"/>
              <dgm:constr type="w" for="ch" forName="Child7" refType="w" fact="0.1263"/>
              <dgm:constr type="h" for="ch" forName="Child7" refType="h" fact="0.3124"/>
              <dgm:constr type="l" for="ch" forName="Accent6" refType="w" fact="0.6967"/>
              <dgm:constr type="t" for="ch" forName="Accent6" refType="h" fact="-0.0109"/>
              <dgm:constr type="w" for="ch" forName="Accent6" refType="w" fact="0.1915"/>
              <dgm:constr type="h" for="ch" forName="Accent6" refType="h" fact="0.806"/>
              <dgm:constr type="l" for="ch" forName="ParentBackground6" refType="w" fact="0.7293"/>
              <dgm:constr type="t" for="ch" forName="ParentBackground6" refType="h" fact="0.1262"/>
              <dgm:constr type="w" for="ch" forName="ParentBackground6" refType="w" fact="0.1263"/>
              <dgm:constr type="h" for="ch" forName="ParentBackground6" refType="h" fact="0.5319"/>
              <dgm:constr type="l" for="ch" forName="Child6" refType="w" fact="0.7293"/>
              <dgm:constr type="t" for="ch" forName="Child6" refType="h" fact="0.6876"/>
              <dgm:constr type="w" for="ch" forName="Child6" refType="w" fact="0.1263"/>
              <dgm:constr type="h" for="ch" forName="Child6" refType="h" fact="0.3124"/>
              <dgm:constr type="l" for="ch" forName="Accent5" refType="w" fact="0.5569"/>
              <dgm:constr type="t" for="ch" forName="Accent5" refType="h" fact="-0.0109"/>
              <dgm:constr type="w" for="ch" forName="Accent5" refType="w" fact="0.1915"/>
              <dgm:constr type="h" for="ch" forName="Accent5" refType="h" fact="0.806"/>
              <dgm:constr type="l" for="ch" forName="ParentBackground5" refType="w" fact="0.5894"/>
              <dgm:constr type="t" for="ch" forName="ParentBackground5" refType="h" fact="0.1262"/>
              <dgm:constr type="w" for="ch" forName="ParentBackground5" refType="w" fact="0.1263"/>
              <dgm:constr type="h" for="ch" forName="ParentBackground5" refType="h" fact="0.5319"/>
              <dgm:constr type="l" for="ch" forName="Child5" refType="w" fact="0.5894"/>
              <dgm:constr type="t" for="ch" forName="Child5" refType="h" fact="0.6876"/>
              <dgm:constr type="w" for="ch" forName="Child5" refType="w" fact="0.1263"/>
              <dgm:constr type="h" for="ch" forName="Child5" refType="h" fact="0.3124"/>
              <dgm:constr type="l" for="ch" forName="Accent4" refType="w" fact="0.417"/>
              <dgm:constr type="t" for="ch" forName="Accent4" refType="h" fact="-0.0109"/>
              <dgm:constr type="w" for="ch" forName="Accent4" refType="w" fact="0.1915"/>
              <dgm:constr type="h" for="ch" forName="Accent4" refType="h" fact="0.806"/>
              <dgm:constr type="l" for="ch" forName="ParentBackground4" refType="w" fact="0.4496"/>
              <dgm:constr type="t" for="ch" forName="ParentBackground4" refType="h" fact="0.1262"/>
              <dgm:constr type="w" for="ch" forName="ParentBackground4" refType="w" fact="0.1263"/>
              <dgm:constr type="h" for="ch" forName="ParentBackground4" refType="h" fact="0.5319"/>
              <dgm:constr type="l" for="ch" forName="Child4" refType="w" fact="0.4496"/>
              <dgm:constr type="t" for="ch" forName="Child4" refType="h" fact="0.6876"/>
              <dgm:constr type="w" for="ch" forName="Child4" refType="w" fact="0.1263"/>
              <dgm:constr type="h" for="ch" forName="Child4" refType="h" fact="0.3124"/>
              <dgm:constr type="l" for="ch" forName="Accent3" refType="w" fact="0.2771"/>
              <dgm:constr type="t" for="ch" forName="Accent3" refType="h" fact="-0.0109"/>
              <dgm:constr type="w" for="ch" forName="Accent3" refType="w" fact="0.1915"/>
              <dgm:constr type="h" for="ch" forName="Accent3" refType="h" fact="0.806"/>
              <dgm:constr type="l" for="ch" forName="ParentBackground3" refType="w" fact="0.3097"/>
              <dgm:constr type="t" for="ch" forName="ParentBackground3" refType="h" fact="0.1262"/>
              <dgm:constr type="w" for="ch" forName="ParentBackground3" refType="w" fact="0.1263"/>
              <dgm:constr type="h" for="ch" forName="ParentBackground3" refType="h" fact="0.5319"/>
              <dgm:constr type="l" for="ch" forName="Child3" refType="w" fact="0.3097"/>
              <dgm:constr type="t" for="ch" forName="Child3" refType="h" fact="0.6876"/>
              <dgm:constr type="w" for="ch" forName="Child3" refType="w" fact="0.1263"/>
              <dgm:constr type="h" for="ch" forName="Child3" refType="h" fact="0.3124"/>
              <dgm:constr type="l" for="ch" forName="Accent2" refType="w" fact="0.1373"/>
              <dgm:constr type="t" for="ch" forName="Accent2" refType="h" fact="-0.0109"/>
              <dgm:constr type="w" for="ch" forName="Accent2" refType="w" fact="0.1915"/>
              <dgm:constr type="h" for="ch" forName="Accent2" refType="h" fact="0.806"/>
              <dgm:constr type="l" for="ch" forName="ParentBackground2" refType="w" fact="0.1698"/>
              <dgm:constr type="t" for="ch" forName="ParentBackground2" refType="h" fact="0.1262"/>
              <dgm:constr type="w" for="ch" forName="ParentBackground2" refType="w" fact="0.1263"/>
              <dgm:constr type="h" for="ch" forName="ParentBackground2" refType="h" fact="0.5319"/>
              <dgm:constr type="l" for="ch" forName="Child2" refType="w" fact="0.1698"/>
              <dgm:constr type="t" for="ch" forName="Child2" refType="h" fact="0.6876"/>
              <dgm:constr type="w" for="ch" forName="Child2" refType="w" fact="0.1263"/>
              <dgm:constr type="h" for="ch" forName="Child2" refType="h" fact="0.3124"/>
              <dgm:constr type="l" for="ch" forName="Accent1" refType="w" fact="-0.0026"/>
              <dgm:constr type="t" for="ch" forName="Accent1" refType="h" fact="-0.0109"/>
              <dgm:constr type="w" for="ch" forName="Accent1" refType="w" fact="0.1915"/>
              <dgm:constr type="h" for="ch" forName="Accent1" refType="h" fact="0.806"/>
              <dgm:constr type="l" for="ch" forName="ParentBackground1" refType="w" fact="0.03"/>
              <dgm:constr type="t" for="ch" forName="ParentBackground1" refType="h" fact="0.1262"/>
              <dgm:constr type="w" for="ch" forName="ParentBackground1" refType="w" fact="0.1263"/>
              <dgm:constr type="h" for="ch" forName="ParentBackground1" refType="h" fact="0.5319"/>
              <dgm:constr type="l" for="ch" forName="Child1" refType="w" fact="0.03"/>
              <dgm:constr type="t" for="ch" forName="Child1" refType="h" fact="0.6876"/>
              <dgm:constr type="w" for="ch" forName="Child1" refType="w" fact="0.1263"/>
              <dgm:constr type="h" for="ch" forName="Child1" refType="h" fact="0.3124"/>
            </dgm:constrLst>
          </dgm:if>
          <dgm:if name="Name11" axis="ch" ptType="node" func="cnt" op="equ" val="8">
            <dgm:alg type="composite">
              <dgm:param type="ar" val="4.799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l" for="ch" forName="Parent8" refType="w" fact="0.901"/>
              <dgm:constr type="t" for="ch" forName="Parent8" refType="h" fact="0.2022"/>
              <dgm:constr type="w" for="ch" forName="Parent8" refType="w" fact="0.0792"/>
              <dgm:constr type="h" for="ch" forName="Parent8" refType="h" fact="0.3799"/>
              <dgm:constr type="l" for="ch" forName="Parent7" refType="w" fact="0.7783"/>
              <dgm:constr type="t" for="ch" forName="Parent7" refType="h" fact="0.2022"/>
              <dgm:constr type="w" for="ch" forName="Parent7" refType="w" fact="0.0792"/>
              <dgm:constr type="h" for="ch" forName="Parent7" refType="h" fact="0.3799"/>
              <dgm:constr type="l" for="ch" forName="Parent6" refType="w" fact="0.6556"/>
              <dgm:constr type="t" for="ch" forName="Parent6" refType="h" fact="0.2022"/>
              <dgm:constr type="w" for="ch" forName="Parent6" refType="w" fact="0.0792"/>
              <dgm:constr type="h" for="ch" forName="Parent6" refType="h" fact="0.3799"/>
              <dgm:constr type="l" for="ch" forName="Parent5" refType="w" fact="0.5329"/>
              <dgm:constr type="t" for="ch" forName="Parent5" refType="h" fact="0.2022"/>
              <dgm:constr type="w" for="ch" forName="Parent5" refType="w" fact="0.0792"/>
              <dgm:constr type="h" for="ch" forName="Parent5" refType="h" fact="0.3799"/>
              <dgm:constr type="l" for="ch" forName="Parent4" refType="w" fact="0.4102"/>
              <dgm:constr type="t" for="ch" forName="Parent4" refType="h" fact="0.2022"/>
              <dgm:constr type="w" for="ch" forName="Parent4" refType="w" fact="0.0792"/>
              <dgm:constr type="h" for="ch" forName="Parent4" refType="h" fact="0.3799"/>
              <dgm:constr type="l" for="ch" forName="Parent3" refType="w" fact="0.2875"/>
              <dgm:constr type="t" for="ch" forName="Parent3" refType="h" fact="0.2022"/>
              <dgm:constr type="w" for="ch" forName="Parent3" refType="w" fact="0.0792"/>
              <dgm:constr type="h" for="ch" forName="Parent3" refType="h" fact="0.3799"/>
              <dgm:constr type="l" for="ch" forName="Parent2" refType="w" fact="0.1648"/>
              <dgm:constr type="t" for="ch" forName="Parent2" refType="h" fact="0.2022"/>
              <dgm:constr type="w" for="ch" forName="Parent2" refType="w" fact="0.0792"/>
              <dgm:constr type="h" for="ch" forName="Parent2" refType="h" fact="0.3799"/>
              <dgm:constr type="l" for="ch" forName="Parent1" refType="w" fact="0.0421"/>
              <dgm:constr type="t" for="ch" forName="Parent1" refType="h" fact="0.2022"/>
              <dgm:constr type="w" for="ch" forName="Parent1" refType="w" fact="0.0792"/>
              <dgm:constr type="h" for="ch" forName="Parent1" refType="h" fact="0.3799"/>
              <dgm:constr type="l" for="ch" forName="Accent8" refType="w" fact="0.8813"/>
              <dgm:constr type="t" for="ch" forName="Accent8" refType="h" fact="0.1072"/>
              <dgm:constr type="w" for="ch" forName="Accent8" refType="w" fact="0.1187"/>
              <dgm:constr type="h" for="ch" forName="Accent8" refType="h" fact="0.5699"/>
              <dgm:constr type="l" for="ch" forName="ParentBackground8" refType="w" fact="0.8852"/>
              <dgm:constr type="t" for="ch" forName="ParentBackground8" refType="h" fact="0.1262"/>
              <dgm:constr type="w" for="ch" forName="ParentBackground8" refType="w" fact="0.1108"/>
              <dgm:constr type="h" for="ch" forName="ParentBackground8" refType="h" fact="0.5319"/>
              <dgm:constr type="l" for="ch" forName="Child8" refType="w" fact="0.8852"/>
              <dgm:constr type="t" for="ch" forName="Child8" refType="h" fact="0.6876"/>
              <dgm:constr type="w" for="ch" forName="Child8" refType="w" fact="0.1108"/>
              <dgm:constr type="h" for="ch" forName="Child8" refType="h" fact="0.3124"/>
              <dgm:constr type="l" for="ch" forName="Accent7" refType="w" fact="0.7339"/>
              <dgm:constr type="t" for="ch" forName="Accent7" refType="h" fact="-0.0109"/>
              <dgm:constr type="w" for="ch" forName="Accent7" refType="w" fact="0.1679"/>
              <dgm:constr type="h" for="ch" forName="Accent7" refType="h" fact="0.806"/>
              <dgm:constr type="l" for="ch" forName="ParentBackground7" refType="w" fact="0.7625"/>
              <dgm:constr type="t" for="ch" forName="ParentBackground7" refType="h" fact="0.1262"/>
              <dgm:constr type="w" for="ch" forName="ParentBackground7" refType="w" fact="0.1108"/>
              <dgm:constr type="h" for="ch" forName="ParentBackground7" refType="h" fact="0.5319"/>
              <dgm:constr type="l" for="ch" forName="Child7" refType="w" fact="0.7625"/>
              <dgm:constr type="t" for="ch" forName="Child7" refType="h" fact="0.6876"/>
              <dgm:constr type="w" for="ch" forName="Child7" refType="w" fact="0.1108"/>
              <dgm:constr type="h" for="ch" forName="Child7" refType="h" fact="0.3124"/>
              <dgm:constr type="l" for="ch" forName="Accent6" refType="w" fact="0.6112"/>
              <dgm:constr type="t" for="ch" forName="Accent6" refType="h" fact="-0.0109"/>
              <dgm:constr type="w" for="ch" forName="Accent6" refType="w" fact="0.1679"/>
              <dgm:constr type="h" for="ch" forName="Accent6" refType="h" fact="0.806"/>
              <dgm:constr type="l" for="ch" forName="ParentBackground6" refType="w" fact="0.6398"/>
              <dgm:constr type="t" for="ch" forName="ParentBackground6" refType="h" fact="0.1262"/>
              <dgm:constr type="w" for="ch" forName="ParentBackground6" refType="w" fact="0.1108"/>
              <dgm:constr type="h" for="ch" forName="ParentBackground6" refType="h" fact="0.5319"/>
              <dgm:constr type="l" for="ch" forName="Child6" refType="w" fact="0.6398"/>
              <dgm:constr type="t" for="ch" forName="Child6" refType="h" fact="0.6876"/>
              <dgm:constr type="w" for="ch" forName="Child6" refType="w" fact="0.1108"/>
              <dgm:constr type="h" for="ch" forName="Child6" refType="h" fact="0.3124"/>
              <dgm:constr type="l" for="ch" forName="Accent5" refType="w" fact="0.4885"/>
              <dgm:constr type="t" for="ch" forName="Accent5" refType="h" fact="-0.0109"/>
              <dgm:constr type="w" for="ch" forName="Accent5" refType="w" fact="0.1679"/>
              <dgm:constr type="h" for="ch" forName="Accent5" refType="h" fact="0.806"/>
              <dgm:constr type="l" for="ch" forName="ParentBackground5" refType="w" fact="0.5171"/>
              <dgm:constr type="t" for="ch" forName="ParentBackground5" refType="h" fact="0.1262"/>
              <dgm:constr type="w" for="ch" forName="ParentBackground5" refType="w" fact="0.1108"/>
              <dgm:constr type="h" for="ch" forName="ParentBackground5" refType="h" fact="0.5319"/>
              <dgm:constr type="l" for="ch" forName="Child5" refType="w" fact="0.5171"/>
              <dgm:constr type="t" for="ch" forName="Child5" refType="h" fact="0.6876"/>
              <dgm:constr type="w" for="ch" forName="Child5" refType="w" fact="0.1108"/>
              <dgm:constr type="h" for="ch" forName="Child5" refType="h" fact="0.3124"/>
              <dgm:constr type="l" for="ch" forName="Accent4" refType="w" fact="0.3658"/>
              <dgm:constr type="t" for="ch" forName="Accent4" refType="h" fact="-0.0109"/>
              <dgm:constr type="w" for="ch" forName="Accent4" refType="w" fact="0.1679"/>
              <dgm:constr type="h" for="ch" forName="Accent4" refType="h" fact="0.806"/>
              <dgm:constr type="l" for="ch" forName="ParentBackground4" refType="w" fact="0.3944"/>
              <dgm:constr type="t" for="ch" forName="ParentBackground4" refType="h" fact="0.1262"/>
              <dgm:constr type="w" for="ch" forName="ParentBackground4" refType="w" fact="0.1108"/>
              <dgm:constr type="h" for="ch" forName="ParentBackground4" refType="h" fact="0.5319"/>
              <dgm:constr type="l" for="ch" forName="Child4" refType="w" fact="0.3944"/>
              <dgm:constr type="t" for="ch" forName="Child4" refType="h" fact="0.6876"/>
              <dgm:constr type="w" for="ch" forName="Child4" refType="w" fact="0.1108"/>
              <dgm:constr type="h" for="ch" forName="Child4" refType="h" fact="0.3124"/>
              <dgm:constr type="l" for="ch" forName="Accent3" refType="w" fact="0.2431"/>
              <dgm:constr type="t" for="ch" forName="Accent3" refType="h" fact="-0.0109"/>
              <dgm:constr type="w" for="ch" forName="Accent3" refType="w" fact="0.1679"/>
              <dgm:constr type="h" for="ch" forName="Accent3" refType="h" fact="0.806"/>
              <dgm:constr type="l" for="ch" forName="ParentBackground3" refType="w" fact="0.2717"/>
              <dgm:constr type="t" for="ch" forName="ParentBackground3" refType="h" fact="0.1262"/>
              <dgm:constr type="w" for="ch" forName="ParentBackground3" refType="w" fact="0.1108"/>
              <dgm:constr type="h" for="ch" forName="ParentBackground3" refType="h" fact="0.5319"/>
              <dgm:constr type="l" for="ch" forName="Child3" refType="w" fact="0.2717"/>
              <dgm:constr type="t" for="ch" forName="Child3" refType="h" fact="0.6876"/>
              <dgm:constr type="w" for="ch" forName="Child3" refType="w" fact="0.1108"/>
              <dgm:constr type="h" for="ch" forName="Child3" refType="h" fact="0.3124"/>
              <dgm:constr type="l" for="ch" forName="Accent2" refType="w" fact="0.1204"/>
              <dgm:constr type="t" for="ch" forName="Accent2" refType="h" fact="-0.0109"/>
              <dgm:constr type="w" for="ch" forName="Accent2" refType="w" fact="0.1679"/>
              <dgm:constr type="h" for="ch" forName="Accent2" refType="h" fact="0.806"/>
              <dgm:constr type="l" for="ch" forName="ParentBackground2" refType="w" fact="0.149"/>
              <dgm:constr type="t" for="ch" forName="ParentBackground2" refType="h" fact="0.1262"/>
              <dgm:constr type="w" for="ch" forName="ParentBackground2" refType="w" fact="0.1108"/>
              <dgm:constr type="h" for="ch" forName="ParentBackground2" refType="h" fact="0.5319"/>
              <dgm:constr type="l" for="ch" forName="Child2" refType="w" fact="0.149"/>
              <dgm:constr type="t" for="ch" forName="Child2" refType="h" fact="0.6876"/>
              <dgm:constr type="w" for="ch" forName="Child2" refType="w" fact="0.1108"/>
              <dgm:constr type="h" for="ch" forName="Child2" refType="h" fact="0.3124"/>
              <dgm:constr type="l" for="ch" forName="Accent1" refType="w" fact="-0.0023"/>
              <dgm:constr type="t" for="ch" forName="Accent1" refType="h" fact="-0.0109"/>
              <dgm:constr type="w" for="ch" forName="Accent1" refType="w" fact="0.1679"/>
              <dgm:constr type="h" for="ch" forName="Accent1" refType="h" fact="0.806"/>
              <dgm:constr type="l" for="ch" forName="ParentBackground1" refType="w" fact="0.0263"/>
              <dgm:constr type="t" for="ch" forName="ParentBackground1" refType="h" fact="0.1262"/>
              <dgm:constr type="w" for="ch" forName="ParentBackground1" refType="w" fact="0.1108"/>
              <dgm:constr type="h" for="ch" forName="ParentBackground1" refType="h" fact="0.5319"/>
              <dgm:constr type="l" for="ch" forName="Child1" refType="w" fact="0.0263"/>
              <dgm:constr type="t" for="ch" forName="Child1" refType="h" fact="0.6876"/>
              <dgm:constr type="w" for="ch" forName="Child1" refType="w" fact="0.1108"/>
              <dgm:constr type="h" for="ch" forName="Child1" refType="h" fact="0.3124"/>
            </dgm:constrLst>
          </dgm:if>
          <dgm:if name="Name12" axis="ch" ptType="node" func="cnt" op="equ" val="9">
            <dgm:alg type="composite">
              <dgm:param type="ar" val="5.38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l" for="ch" forName="Parent9" refType="w" fact="0.9119"/>
              <dgm:constr type="t" for="ch" forName="Parent9" refType="h" fact="0.2022"/>
              <dgm:constr type="w" for="ch" forName="Parent9" refType="w" fact="0.0705"/>
              <dgm:constr type="h" for="ch" forName="Parent9" refType="h" fact="0.3799"/>
              <dgm:constr type="l" for="ch" forName="Parent8" refType="w" fact="0.8026"/>
              <dgm:constr type="t" for="ch" forName="Parent8" refType="h" fact="0.2022"/>
              <dgm:constr type="w" for="ch" forName="Parent8" refType="w" fact="0.0705"/>
              <dgm:constr type="h" for="ch" forName="Parent8" refType="h" fact="0.3799"/>
              <dgm:constr type="l" for="ch" forName="Parent7" refType="w" fact="0.6933"/>
              <dgm:constr type="t" for="ch" forName="Parent7" refType="h" fact="0.2022"/>
              <dgm:constr type="w" for="ch" forName="Parent7" refType="w" fact="0.0705"/>
              <dgm:constr type="h" for="ch" forName="Parent7" refType="h" fact="0.3799"/>
              <dgm:constr type="l" for="ch" forName="Parent6" refType="w" fact="0.584"/>
              <dgm:constr type="t" for="ch" forName="Parent6" refType="h" fact="0.2022"/>
              <dgm:constr type="w" for="ch" forName="Parent6" refType="w" fact="0.0705"/>
              <dgm:constr type="h" for="ch" forName="Parent6" refType="h" fact="0.3799"/>
              <dgm:constr type="l" for="ch" forName="Parent5" refType="w" fact="0.4747"/>
              <dgm:constr type="t" for="ch" forName="Parent5" refType="h" fact="0.2022"/>
              <dgm:constr type="w" for="ch" forName="Parent5" refType="w" fact="0.0705"/>
              <dgm:constr type="h" for="ch" forName="Parent5" refType="h" fact="0.3799"/>
              <dgm:constr type="l" for="ch" forName="Parent4" refType="w" fact="0.3654"/>
              <dgm:constr type="t" for="ch" forName="Parent4" refType="h" fact="0.2022"/>
              <dgm:constr type="w" for="ch" forName="Parent4" refType="w" fact="0.0705"/>
              <dgm:constr type="h" for="ch" forName="Parent4" refType="h" fact="0.3799"/>
              <dgm:constr type="l" for="ch" forName="Parent3" refType="w" fact="0.2561"/>
              <dgm:constr type="t" for="ch" forName="Parent3" refType="h" fact="0.2022"/>
              <dgm:constr type="w" for="ch" forName="Parent3" refType="w" fact="0.0705"/>
              <dgm:constr type="h" for="ch" forName="Parent3" refType="h" fact="0.3799"/>
              <dgm:constr type="l" for="ch" forName="Parent2" refType="w" fact="0.1468"/>
              <dgm:constr type="t" for="ch" forName="Parent2" refType="h" fact="0.2022"/>
              <dgm:constr type="w" for="ch" forName="Parent2" refType="w" fact="0.0705"/>
              <dgm:constr type="h" for="ch" forName="Parent2" refType="h" fact="0.3799"/>
              <dgm:constr type="l" for="ch" forName="Parent1" refType="w" fact="0.0375"/>
              <dgm:constr type="t" for="ch" forName="Parent1" refType="h" fact="0.2022"/>
              <dgm:constr type="w" for="ch" forName="Parent1" refType="w" fact="0.0705"/>
              <dgm:constr type="h" for="ch" forName="Parent1" refType="h" fact="0.3799"/>
              <dgm:constr type="l" for="ch" forName="Accent9" refType="w" fact="0.8942"/>
              <dgm:constr type="t" for="ch" forName="Accent9" refType="h" fact="0.1072"/>
              <dgm:constr type="w" for="ch" forName="Accent9" refType="w" fact="0.1058"/>
              <dgm:constr type="h" for="ch" forName="Accent9" refType="h" fact="0.5699"/>
              <dgm:constr type="l" for="ch" forName="ParentBackground9" refType="w" fact="0.8978"/>
              <dgm:constr type="t" for="ch" forName="ParentBackground9" refType="h" fact="0.1262"/>
              <dgm:constr type="w" for="ch" forName="ParentBackground9" refType="w" fact="0.0987"/>
              <dgm:constr type="h" for="ch" forName="ParentBackground9" refType="h" fact="0.5319"/>
              <dgm:constr type="l" for="ch" forName="Child9" refType="w" fact="0.8978"/>
              <dgm:constr type="t" for="ch" forName="Child9" refType="h" fact="0.6876"/>
              <dgm:constr type="w" for="ch" forName="Child9" refType="w" fact="0.0987"/>
              <dgm:constr type="h" for="ch" forName="Child9" refType="h" fact="0.3124"/>
              <dgm:constr type="l" for="ch" forName="Accent8" refType="w" fact="0.763"/>
              <dgm:constr type="t" for="ch" forName="Accent8" refType="h" fact="-0.0109"/>
              <dgm:constr type="w" for="ch" forName="Accent8" refType="w" fact="0.1496"/>
              <dgm:constr type="h" for="ch" forName="Accent8" refType="h" fact="0.806"/>
              <dgm:constr type="l" for="ch" forName="ParentBackground8" refType="w" fact="0.7885"/>
              <dgm:constr type="t" for="ch" forName="ParentBackground8" refType="h" fact="0.1262"/>
              <dgm:constr type="w" for="ch" forName="ParentBackground8" refType="w" fact="0.0987"/>
              <dgm:constr type="h" for="ch" forName="ParentBackground8" refType="h" fact="0.5319"/>
              <dgm:constr type="l" for="ch" forName="Child8" refType="w" fact="0.7885"/>
              <dgm:constr type="t" for="ch" forName="Child8" refType="h" fact="0.6876"/>
              <dgm:constr type="w" for="ch" forName="Child8" refType="w" fact="0.0987"/>
              <dgm:constr type="h" for="ch" forName="Child8" refType="h" fact="0.3124"/>
              <dgm:constr type="l" for="ch" forName="Accent7" refType="w" fact="0.6538"/>
              <dgm:constr type="t" for="ch" forName="Accent7" refType="h" fact="-0.0109"/>
              <dgm:constr type="w" for="ch" forName="Accent7" refType="w" fact="0.1496"/>
              <dgm:constr type="h" for="ch" forName="Accent7" refType="h" fact="0.806"/>
              <dgm:constr type="l" for="ch" forName="ParentBackground7" refType="w" fact="0.6792"/>
              <dgm:constr type="t" for="ch" forName="ParentBackground7" refType="h" fact="0.1262"/>
              <dgm:constr type="w" for="ch" forName="ParentBackground7" refType="w" fact="0.0987"/>
              <dgm:constr type="h" for="ch" forName="ParentBackground7" refType="h" fact="0.5319"/>
              <dgm:constr type="l" for="ch" forName="Child7" refType="w" fact="0.6792"/>
              <dgm:constr type="t" for="ch" forName="Child7" refType="h" fact="0.6876"/>
              <dgm:constr type="w" for="ch" forName="Child7" refType="w" fact="0.0987"/>
              <dgm:constr type="h" for="ch" forName="Child7" refType="h" fact="0.3124"/>
              <dgm:constr type="l" for="ch" forName="Accent6" refType="w" fact="0.5445"/>
              <dgm:constr type="t" for="ch" forName="Accent6" refType="h" fact="-0.0109"/>
              <dgm:constr type="w" for="ch" forName="Accent6" refType="w" fact="0.1496"/>
              <dgm:constr type="h" for="ch" forName="Accent6" refType="h" fact="0.806"/>
              <dgm:constr type="l" for="ch" forName="ParentBackground6" refType="w" fact="0.5699"/>
              <dgm:constr type="t" for="ch" forName="ParentBackground6" refType="h" fact="0.1262"/>
              <dgm:constr type="w" for="ch" forName="ParentBackground6" refType="w" fact="0.0987"/>
              <dgm:constr type="h" for="ch" forName="ParentBackground6" refType="h" fact="0.5319"/>
              <dgm:constr type="l" for="ch" forName="Child6" refType="w" fact="0.5699"/>
              <dgm:constr type="t" for="ch" forName="Child6" refType="h" fact="0.6876"/>
              <dgm:constr type="w" for="ch" forName="Child6" refType="w" fact="0.0987"/>
              <dgm:constr type="h" for="ch" forName="Child6" refType="h" fact="0.3124"/>
              <dgm:constr type="l" for="ch" forName="Accent5" refType="w" fact="0.4352"/>
              <dgm:constr type="t" for="ch" forName="Accent5" refType="h" fact="-0.0109"/>
              <dgm:constr type="w" for="ch" forName="Accent5" refType="w" fact="0.1496"/>
              <dgm:constr type="h" for="ch" forName="Accent5" refType="h" fact="0.806"/>
              <dgm:constr type="l" for="ch" forName="ParentBackground5" refType="w" fact="0.4606"/>
              <dgm:constr type="t" for="ch" forName="ParentBackground5" refType="h" fact="0.1262"/>
              <dgm:constr type="w" for="ch" forName="ParentBackground5" refType="w" fact="0.0987"/>
              <dgm:constr type="h" for="ch" forName="ParentBackground5" refType="h" fact="0.5319"/>
              <dgm:constr type="l" for="ch" forName="Child5" refType="w" fact="0.4606"/>
              <dgm:constr type="t" for="ch" forName="Child5" refType="h" fact="0.6876"/>
              <dgm:constr type="w" for="ch" forName="Child5" refType="w" fact="0.0987"/>
              <dgm:constr type="h" for="ch" forName="Child5" refType="h" fact="0.3124"/>
              <dgm:constr type="l" for="ch" forName="Accent4" refType="w" fact="0.3259"/>
              <dgm:constr type="t" for="ch" forName="Accent4" refType="h" fact="-0.0109"/>
              <dgm:constr type="w" for="ch" forName="Accent4" refType="w" fact="0.1496"/>
              <dgm:constr type="h" for="ch" forName="Accent4" refType="h" fact="0.806"/>
              <dgm:constr type="l" for="ch" forName="ParentBackground4" refType="w" fact="0.3513"/>
              <dgm:constr type="t" for="ch" forName="ParentBackground4" refType="h" fact="0.1262"/>
              <dgm:constr type="w" for="ch" forName="ParentBackground4" refType="w" fact="0.0987"/>
              <dgm:constr type="h" for="ch" forName="ParentBackground4" refType="h" fact="0.5319"/>
              <dgm:constr type="l" for="ch" forName="Child4" refType="w" fact="0.3513"/>
              <dgm:constr type="t" for="ch" forName="Child4" refType="h" fact="0.6876"/>
              <dgm:constr type="w" for="ch" forName="Child4" refType="w" fact="0.0987"/>
              <dgm:constr type="h" for="ch" forName="Child4" refType="h" fact="0.3124"/>
              <dgm:constr type="l" for="ch" forName="Accent3" refType="w" fact="0.2166"/>
              <dgm:constr type="t" for="ch" forName="Accent3" refType="h" fact="-0.0109"/>
              <dgm:constr type="w" for="ch" forName="Accent3" refType="w" fact="0.1496"/>
              <dgm:constr type="h" for="ch" forName="Accent3" refType="h" fact="0.806"/>
              <dgm:constr type="l" for="ch" forName="ParentBackground3" refType="w" fact="0.242"/>
              <dgm:constr type="t" for="ch" forName="ParentBackground3" refType="h" fact="0.1262"/>
              <dgm:constr type="w" for="ch" forName="ParentBackground3" refType="w" fact="0.0987"/>
              <dgm:constr type="h" for="ch" forName="ParentBackground3" refType="h" fact="0.5319"/>
              <dgm:constr type="l" for="ch" forName="Child3" refType="w" fact="0.242"/>
              <dgm:constr type="t" for="ch" forName="Child3" refType="h" fact="0.6876"/>
              <dgm:constr type="w" for="ch" forName="Child3" refType="w" fact="0.0987"/>
              <dgm:constr type="h" for="ch" forName="Child3" refType="h" fact="0.3124"/>
              <dgm:constr type="l" for="ch" forName="Accent2" refType="w" fact="0.1073"/>
              <dgm:constr type="t" for="ch" forName="Accent2" refType="h" fact="-0.0109"/>
              <dgm:constr type="w" for="ch" forName="Accent2" refType="w" fact="0.1496"/>
              <dgm:constr type="h" for="ch" forName="Accent2" refType="h" fact="0.806"/>
              <dgm:constr type="l" for="ch" forName="ParentBackground2" refType="w" fact="0.1327"/>
              <dgm:constr type="t" for="ch" forName="ParentBackground2" refType="h" fact="0.1262"/>
              <dgm:constr type="w" for="ch" forName="ParentBackground2" refType="w" fact="0.0987"/>
              <dgm:constr type="h" for="ch" forName="ParentBackground2" refType="h" fact="0.5319"/>
              <dgm:constr type="l" for="ch" forName="Child2" refType="w" fact="0.1327"/>
              <dgm:constr type="t" for="ch" forName="Child2" refType="h" fact="0.6876"/>
              <dgm:constr type="w" for="ch" forName="Child2" refType="w" fact="0.0987"/>
              <dgm:constr type="h" for="ch" forName="Child2" refType="h" fact="0.3124"/>
              <dgm:constr type="l" for="ch" forName="Accent1" refType="w" fact="-0.002"/>
              <dgm:constr type="t" for="ch" forName="Accent1" refType="h" fact="-0.0109"/>
              <dgm:constr type="w" for="ch" forName="Accent1" refType="w" fact="0.1496"/>
              <dgm:constr type="h" for="ch" forName="Accent1" refType="h" fact="0.806"/>
              <dgm:constr type="l" for="ch" forName="ParentBackground1" refType="w" fact="0.0234"/>
              <dgm:constr type="t" for="ch" forName="ParentBackground1" refType="h" fact="0.1262"/>
              <dgm:constr type="w" for="ch" forName="ParentBackground1" refType="w" fact="0.0987"/>
              <dgm:constr type="h" for="ch" forName="ParentBackground1" refType="h" fact="0.5319"/>
              <dgm:constr type="l" for="ch" forName="Child1" refType="w" fact="0.0234"/>
              <dgm:constr type="t" for="ch" forName="Child1" refType="h" fact="0.6876"/>
              <dgm:constr type="w" for="ch" forName="Child1" refType="w" fact="0.0987"/>
              <dgm:constr type="h" for="ch" forName="Child1" refType="h" fact="0.3124"/>
            </dgm:constrLst>
          </dgm:if>
          <dgm:if name="Name13" axis="ch" ptType="node" func="cnt" op="equ" val="10">
            <dgm:alg type="composite">
              <dgm:param type="ar" val="5.976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7"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l" for="ch" forName="Parent10" refType="w" fact="0.9205"/>
              <dgm:constr type="t" for="ch" forName="Parent10" refType="h" fact="0.2022"/>
              <dgm:constr type="w" for="ch" forName="Parent10" refType="w" fact="0.0636"/>
              <dgm:constr type="h" for="ch" forName="Parent10" refType="h" fact="0.3799"/>
              <dgm:constr type="l" for="ch" forName="Parent9" refType="w" fact="0.822"/>
              <dgm:constr type="t" for="ch" forName="Parent9" refType="h" fact="0.2022"/>
              <dgm:constr type="w" for="ch" forName="Parent9" refType="w" fact="0.0636"/>
              <dgm:constr type="h" for="ch" forName="Parent9" refType="h" fact="0.3799"/>
              <dgm:constr type="l" for="ch" forName="Parent8" refType="w" fact="0.7235"/>
              <dgm:constr type="t" for="ch" forName="Parent8" refType="h" fact="0.2022"/>
              <dgm:constr type="w" for="ch" forName="Parent8" refType="w" fact="0.0636"/>
              <dgm:constr type="h" for="ch" forName="Parent8" refType="h" fact="0.3799"/>
              <dgm:constr type="l" for="ch" forName="Parent7" refType="w" fact="0.625"/>
              <dgm:constr type="t" for="ch" forName="Parent7" refType="h" fact="0.2022"/>
              <dgm:constr type="w" for="ch" forName="Parent7" refType="w" fact="0.0636"/>
              <dgm:constr type="h" for="ch" forName="Parent7" refType="h" fact="0.3799"/>
              <dgm:constr type="l" for="ch" forName="Parent6" refType="w" fact="0.5264"/>
              <dgm:constr type="t" for="ch" forName="Parent6" refType="h" fact="0.2022"/>
              <dgm:constr type="w" for="ch" forName="Parent6" refType="w" fact="0.0636"/>
              <dgm:constr type="h" for="ch" forName="Parent6" refType="h" fact="0.3799"/>
              <dgm:constr type="l" for="ch" forName="Parent5" refType="w" fact="0.4279"/>
              <dgm:constr type="t" for="ch" forName="Parent5" refType="h" fact="0.2022"/>
              <dgm:constr type="w" for="ch" forName="Parent5" refType="w" fact="0.0636"/>
              <dgm:constr type="h" for="ch" forName="Parent5" refType="h" fact="0.3799"/>
              <dgm:constr type="l" for="ch" forName="Parent4" refType="w" fact="0.3294"/>
              <dgm:constr type="t" for="ch" forName="Parent4" refType="h" fact="0.2022"/>
              <dgm:constr type="w" for="ch" forName="Parent4" refType="w" fact="0.0636"/>
              <dgm:constr type="h" for="ch" forName="Parent4" refType="h" fact="0.3799"/>
              <dgm:constr type="l" for="ch" forName="Parent3" refType="w" fact="0.2309"/>
              <dgm:constr type="t" for="ch" forName="Parent3" refType="h" fact="0.2022"/>
              <dgm:constr type="w" for="ch" forName="Parent3" refType="w" fact="0.0636"/>
              <dgm:constr type="h" for="ch" forName="Parent3" refType="h" fact="0.3799"/>
              <dgm:constr type="l" for="ch" forName="Parent2" refType="w" fact="0.1324"/>
              <dgm:constr type="t" for="ch" forName="Parent2" refType="h" fact="0.2022"/>
              <dgm:constr type="w" for="ch" forName="Parent2" refType="w" fact="0.0636"/>
              <dgm:constr type="h" for="ch" forName="Parent2" refType="h" fact="0.3799"/>
              <dgm:constr type="l" for="ch" forName="Parent1" refType="w" fact="0.0338"/>
              <dgm:constr type="t" for="ch" forName="Parent1" refType="h" fact="0.2022"/>
              <dgm:constr type="w" for="ch" forName="Parent1" refType="w" fact="0.0636"/>
              <dgm:constr type="h" for="ch" forName="Parent1" refType="h" fact="0.3799"/>
              <dgm:constr type="l" for="ch" forName="Accent10" refType="w" fact="0.9047"/>
              <dgm:constr type="t" for="ch" forName="Accent10" refType="h" fact="0.1072"/>
              <dgm:constr type="w" for="ch" forName="Accent10" refType="w" fact="0.0953"/>
              <dgm:constr type="h" for="ch" forName="Accent10" refType="h" fact="0.5699"/>
              <dgm:constr type="l" for="ch" forName="ParentBackground10" refType="w" fact="0.9078"/>
              <dgm:constr type="t" for="ch" forName="ParentBackground10" refType="h" fact="0.1262"/>
              <dgm:constr type="w" for="ch" forName="ParentBackground10" refType="w" fact="0.089"/>
              <dgm:constr type="h" for="ch" forName="ParentBackground10" refType="h" fact="0.5319"/>
              <dgm:constr type="l" for="ch" forName="Child10" refType="w" fact="0.9078"/>
              <dgm:constr type="t" for="ch" forName="Child10" refType="h" fact="0.6876"/>
              <dgm:constr type="w" for="ch" forName="Child10" refType="w" fact="0.089"/>
              <dgm:constr type="h" for="ch" forName="Child10" refType="h" fact="0.3124"/>
              <dgm:constr type="l" for="ch" forName="Accent9" refType="w" fact="0.7864"/>
              <dgm:constr type="t" for="ch" forName="Accent9" refType="h" fact="-0.0109"/>
              <dgm:constr type="w" for="ch" forName="Accent9" refType="w" fact="0.1348"/>
              <dgm:constr type="h" for="ch" forName="Accent9" refType="h" fact="0.806"/>
              <dgm:constr type="l" for="ch" forName="ParentBackground9" refType="w" fact="0.8093"/>
              <dgm:constr type="t" for="ch" forName="ParentBackground9" refType="h" fact="0.1262"/>
              <dgm:constr type="w" for="ch" forName="ParentBackground9" refType="w" fact="0.089"/>
              <dgm:constr type="h" for="ch" forName="ParentBackground9" refType="h" fact="0.5319"/>
              <dgm:constr type="l" for="ch" forName="Child9" refType="w" fact="0.8093"/>
              <dgm:constr type="t" for="ch" forName="Child9" refType="h" fact="0.6876"/>
              <dgm:constr type="w" for="ch" forName="Child9" refType="w" fact="0.089"/>
              <dgm:constr type="h" for="ch" forName="Child9" refType="h" fact="0.3124"/>
              <dgm:constr type="l" for="ch" forName="Accent8" refType="w" fact="0.6879"/>
              <dgm:constr type="t" for="ch" forName="Accent8" refType="h" fact="-0.0109"/>
              <dgm:constr type="w" for="ch" forName="Accent8" refType="w" fact="0.1348"/>
              <dgm:constr type="h" for="ch" forName="Accent8" refType="h" fact="0.806"/>
              <dgm:constr type="l" for="ch" forName="ParentBackground8" refType="w" fact="0.7108"/>
              <dgm:constr type="t" for="ch" forName="ParentBackground8" refType="h" fact="0.1262"/>
              <dgm:constr type="w" for="ch" forName="ParentBackground8" refType="w" fact="0.089"/>
              <dgm:constr type="h" for="ch" forName="ParentBackground8" refType="h" fact="0.5319"/>
              <dgm:constr type="l" for="ch" forName="Child8" refType="w" fact="0.7108"/>
              <dgm:constr type="t" for="ch" forName="Child8" refType="h" fact="0.6876"/>
              <dgm:constr type="w" for="ch" forName="Child8" refType="w" fact="0.089"/>
              <dgm:constr type="h" for="ch" forName="Child8" refType="h" fact="0.3124"/>
              <dgm:constr type="l" for="ch" forName="Accent7" refType="w" fact="0.5893"/>
              <dgm:constr type="t" for="ch" forName="Accent7" refType="h" fact="-0.0109"/>
              <dgm:constr type="w" for="ch" forName="Accent7" refType="w" fact="0.1348"/>
              <dgm:constr type="h" for="ch" forName="Accent7" refType="h" fact="0.806"/>
              <dgm:constr type="l" for="ch" forName="ParentBackground7" refType="w" fact="0.6123"/>
              <dgm:constr type="t" for="ch" forName="ParentBackground7" refType="h" fact="0.1262"/>
              <dgm:constr type="w" for="ch" forName="ParentBackground7" refType="w" fact="0.089"/>
              <dgm:constr type="h" for="ch" forName="ParentBackground7" refType="h" fact="0.5319"/>
              <dgm:constr type="l" for="ch" forName="Child7" refType="w" fact="0.6123"/>
              <dgm:constr type="t" for="ch" forName="Child7" refType="h" fact="0.6876"/>
              <dgm:constr type="w" for="ch" forName="Child7" refType="w" fact="0.089"/>
              <dgm:constr type="h" for="ch" forName="Child7" refType="h" fact="0.3124"/>
              <dgm:constr type="l" for="ch" forName="Accent6" refType="w" fact="0.4908"/>
              <dgm:constr type="t" for="ch" forName="Accent6" refType="h" fact="-0.0109"/>
              <dgm:constr type="w" for="ch" forName="Accent6" refType="w" fact="0.1348"/>
              <dgm:constr type="h" for="ch" forName="Accent6" refType="h" fact="0.806"/>
              <dgm:constr type="l" for="ch" forName="ParentBackground6" refType="w" fact="0.5137"/>
              <dgm:constr type="t" for="ch" forName="ParentBackground6" refType="h" fact="0.1262"/>
              <dgm:constr type="w" for="ch" forName="ParentBackground6" refType="w" fact="0.089"/>
              <dgm:constr type="h" for="ch" forName="ParentBackground6" refType="h" fact="0.5319"/>
              <dgm:constr type="l" for="ch" forName="Child6" refType="w" fact="0.5137"/>
              <dgm:constr type="t" for="ch" forName="Child6" refType="h" fact="0.6876"/>
              <dgm:constr type="w" for="ch" forName="Child6" refType="w" fact="0.089"/>
              <dgm:constr type="h" for="ch" forName="Child6" refType="h" fact="0.3124"/>
              <dgm:constr type="l" for="ch" forName="Accent5" refType="w" fact="0.3923"/>
              <dgm:constr type="t" for="ch" forName="Accent5" refType="h" fact="-0.0109"/>
              <dgm:constr type="w" for="ch" forName="Accent5" refType="w" fact="0.1348"/>
              <dgm:constr type="h" for="ch" forName="Accent5" refType="h" fact="0.806"/>
              <dgm:constr type="l" for="ch" forName="ParentBackground5" refType="w" fact="0.4152"/>
              <dgm:constr type="t" for="ch" forName="ParentBackground5" refType="h" fact="0.1262"/>
              <dgm:constr type="w" for="ch" forName="ParentBackground5" refType="w" fact="0.089"/>
              <dgm:constr type="h" for="ch" forName="ParentBackground5" refType="h" fact="0.5319"/>
              <dgm:constr type="l" for="ch" forName="Child5" refType="w" fact="0.4152"/>
              <dgm:constr type="t" for="ch" forName="Child5" refType="h" fact="0.6876"/>
              <dgm:constr type="w" for="ch" forName="Child5" refType="w" fact="0.089"/>
              <dgm:constr type="h" for="ch" forName="Child5" refType="h" fact="0.3124"/>
              <dgm:constr type="l" for="ch" forName="Accent4" refType="w" fact="0.2938"/>
              <dgm:constr type="t" for="ch" forName="Accent4" refType="h" fact="-0.0109"/>
              <dgm:constr type="w" for="ch" forName="Accent4" refType="w" fact="0.1348"/>
              <dgm:constr type="h" for="ch" forName="Accent4" refType="h" fact="0.806"/>
              <dgm:constr type="l" for="ch" forName="ParentBackground4" refType="w" fact="0.3167"/>
              <dgm:constr type="t" for="ch" forName="ParentBackground4" refType="h" fact="0.1262"/>
              <dgm:constr type="w" for="ch" forName="ParentBackground4" refType="w" fact="0.089"/>
              <dgm:constr type="h" for="ch" forName="ParentBackground4" refType="h" fact="0.5319"/>
              <dgm:constr type="l" for="ch" forName="Child4" refType="w" fact="0.3167"/>
              <dgm:constr type="t" for="ch" forName="Child4" refType="h" fact="0.6876"/>
              <dgm:constr type="w" for="ch" forName="Child4" refType="w" fact="0.089"/>
              <dgm:constr type="h" for="ch" forName="Child4" refType="h" fact="0.3124"/>
              <dgm:constr type="l" for="ch" forName="Accent3" refType="w" fact="0.1952"/>
              <dgm:constr type="t" for="ch" forName="Accent3" refType="h" fact="-0.0109"/>
              <dgm:constr type="w" for="ch" forName="Accent3" refType="w" fact="0.1348"/>
              <dgm:constr type="h" for="ch" forName="Accent3" refType="h" fact="0.806"/>
              <dgm:constr type="l" for="ch" forName="ParentBackground3" refType="w" fact="0.2182"/>
              <dgm:constr type="t" for="ch" forName="ParentBackground3" refType="h" fact="0.1262"/>
              <dgm:constr type="w" for="ch" forName="ParentBackground3" refType="w" fact="0.089"/>
              <dgm:constr type="h" for="ch" forName="ParentBackground3" refType="h" fact="0.5319"/>
              <dgm:constr type="l" for="ch" forName="Child3" refType="w" fact="0.2182"/>
              <dgm:constr type="t" for="ch" forName="Child3" refType="h" fact="0.6876"/>
              <dgm:constr type="w" for="ch" forName="Child3" refType="w" fact="0.089"/>
              <dgm:constr type="h" for="ch" forName="Child3" refType="h" fact="0.3124"/>
              <dgm:constr type="l" for="ch" forName="Accent2" refType="w" fact="0.0967"/>
              <dgm:constr type="t" for="ch" forName="Accent2" refType="h" fact="-0.0109"/>
              <dgm:constr type="w" for="ch" forName="Accent2" refType="w" fact="0.1348"/>
              <dgm:constr type="h" for="ch" forName="Accent2" refType="h" fact="0.806"/>
              <dgm:constr type="l" for="ch" forName="ParentBackground2" refType="w" fact="0.1196"/>
              <dgm:constr type="t" for="ch" forName="ParentBackground2" refType="h" fact="0.1262"/>
              <dgm:constr type="w" for="ch" forName="ParentBackground2" refType="w" fact="0.089"/>
              <dgm:constr type="h" for="ch" forName="ParentBackground2" refType="h" fact="0.5319"/>
              <dgm:constr type="l" for="ch" forName="Child2" refType="w" fact="0.1196"/>
              <dgm:constr type="t" for="ch" forName="Child2" refType="h" fact="0.6876"/>
              <dgm:constr type="w" for="ch" forName="Child2" refType="w" fact="0.089"/>
              <dgm:constr type="h" for="ch" forName="Child2" refType="h" fact="0.3124"/>
              <dgm:constr type="l" for="ch" forName="Accent1" refType="w" fact="-0.0018"/>
              <dgm:constr type="t" for="ch" forName="Accent1" refType="h" fact="-0.0109"/>
              <dgm:constr type="w" for="ch" forName="Accent1" refType="w" fact="0.1348"/>
              <dgm:constr type="h" for="ch" forName="Accent1" refType="h" fact="0.806"/>
              <dgm:constr type="l" for="ch" forName="ParentBackground1" refType="w" fact="0.0211"/>
              <dgm:constr type="t" for="ch" forName="ParentBackground1" refType="h" fact="0.1262"/>
              <dgm:constr type="w" for="ch" forName="ParentBackground1" refType="w" fact="0.089"/>
              <dgm:constr type="h" for="ch" forName="ParentBackground1" refType="h" fact="0.5319"/>
              <dgm:constr type="l" for="ch" forName="Child1" refType="w" fact="0.0211"/>
              <dgm:constr type="t" for="ch" forName="Child1" refType="h" fact="0.6876"/>
              <dgm:constr type="w" for="ch" forName="Child1" refType="w" fact="0.089"/>
              <dgm:constr type="h" for="ch" forName="Child1" refType="h" fact="0.3124"/>
            </dgm:constrLst>
          </dgm:if>
          <dgm:else name="Name14">
            <dgm:alg type="composite">
              <dgm:param type="ar" val="6.565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1"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1"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1"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1"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1"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6" op="lte"/>
              <dgm:constr type="primFontSz" for="des" forName="Child11"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1"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1"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1"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Child11" refType="primFontSz" refFor="des" refForName="Parent10" op="lte"/>
              <dgm:constr type="primFontSz" for="des" forName="Child1" refType="primFontSz" refFor="des" refForName="Parent11" op="lte"/>
              <dgm:constr type="primFontSz" for="des" forName="Child2" refType="primFontSz" refFor="des" refForName="Parent11" op="lte"/>
              <dgm:constr type="primFontSz" for="des" forName="Child3" refType="primFontSz" refFor="des" refForName="Parent11" op="lte"/>
              <dgm:constr type="primFontSz" for="des" forName="Child4" refType="primFontSz" refFor="des" refForName="Parent11" op="lte"/>
              <dgm:constr type="primFontSz" for="des" forName="Child5" refType="primFontSz" refFor="des" refForName="Parent11" op="lte"/>
              <dgm:constr type="primFontSz" for="des" forName="Child6" refType="primFontSz" refFor="des" refForName="Parent11" op="lte"/>
              <dgm:constr type="primFontSz" for="des" forName="Child7" refType="primFontSz" refFor="des" refForName="Parent11" op="lte"/>
              <dgm:constr type="primFontSz" for="des" forName="Child8" refType="primFontSz" refFor="des" refForName="Parent11" op="lte"/>
              <dgm:constr type="primFontSz" for="des" forName="Child9" refType="primFontSz" refFor="des" refForName="Parent11" op="lte"/>
              <dgm:constr type="primFontSz" for="des" forName="Child10" refType="primFontSz" refFor="des" refForName="Parent11" op="lte"/>
              <dgm:constr type="primFontSz" for="des" forName="Child11" refType="primFontSz" refFor="des" refForName="Parent11"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Parent11"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primFontSz" for="des" forName="Child11" refType="primFontSz" refFor="des" refForName="Child1" op="equ"/>
              <dgm:constr type="l" for="ch" forName="Parent11" refType="w" fact="0.9277"/>
              <dgm:constr type="t" for="ch" forName="Parent11" refType="h" fact="0.2022"/>
              <dgm:constr type="w" for="ch" forName="Parent11" refType="w" fact="0.0579"/>
              <dgm:constr type="h" for="ch" forName="Parent11" refType="h" fact="0.3799"/>
              <dgm:constr type="l" for="ch" forName="Parent10" refType="w" fact="0.838"/>
              <dgm:constr type="t" for="ch" forName="Parent10" refType="h" fact="0.2022"/>
              <dgm:constr type="w" for="ch" forName="Parent10" refType="w" fact="0.0579"/>
              <dgm:constr type="h" for="ch" forName="Parent10" refType="h" fact="0.3799"/>
              <dgm:constr type="l" for="ch" forName="Parent9" refType="w" fact="0.7483"/>
              <dgm:constr type="t" for="ch" forName="Parent9" refType="h" fact="0.2022"/>
              <dgm:constr type="w" for="ch" forName="Parent9" refType="w" fact="0.0579"/>
              <dgm:constr type="h" for="ch" forName="Parent9" refType="h" fact="0.3799"/>
              <dgm:constr type="l" for="ch" forName="Parent8" refType="w" fact="0.6586"/>
              <dgm:constr type="t" for="ch" forName="Parent8" refType="h" fact="0.2022"/>
              <dgm:constr type="w" for="ch" forName="Parent8" refType="w" fact="0.0579"/>
              <dgm:constr type="h" for="ch" forName="Parent8" refType="h" fact="0.3799"/>
              <dgm:constr type="l" for="ch" forName="Parent7" refType="w" fact="0.5689"/>
              <dgm:constr type="t" for="ch" forName="Parent7" refType="h" fact="0.2022"/>
              <dgm:constr type="w" for="ch" forName="Parent7" refType="w" fact="0.0579"/>
              <dgm:constr type="h" for="ch" forName="Parent7" refType="h" fact="0.3799"/>
              <dgm:constr type="l" for="ch" forName="Parent6" refType="w" fact="0.4792"/>
              <dgm:constr type="t" for="ch" forName="Parent6" refType="h" fact="0.2022"/>
              <dgm:constr type="w" for="ch" forName="Parent6" refType="w" fact="0.0579"/>
              <dgm:constr type="h" for="ch" forName="Parent6" refType="h" fact="0.3799"/>
              <dgm:constr type="l" for="ch" forName="Parent5" refType="w" fact="0.3895"/>
              <dgm:constr type="t" for="ch" forName="Parent5" refType="h" fact="0.2022"/>
              <dgm:constr type="w" for="ch" forName="Parent5" refType="w" fact="0.0579"/>
              <dgm:constr type="h" for="ch" forName="Parent5" refType="h" fact="0.3799"/>
              <dgm:constr type="l" for="ch" forName="Parent4" refType="w" fact="0.2999"/>
              <dgm:constr type="t" for="ch" forName="Parent4" refType="h" fact="0.2022"/>
              <dgm:constr type="w" for="ch" forName="Parent4" refType="w" fact="0.0579"/>
              <dgm:constr type="h" for="ch" forName="Parent4" refType="h" fact="0.3799"/>
              <dgm:constr type="l" for="ch" forName="Parent3" refType="w" fact="0.2102"/>
              <dgm:constr type="t" for="ch" forName="Parent3" refType="h" fact="0.2022"/>
              <dgm:constr type="w" for="ch" forName="Parent3" refType="w" fact="0.0579"/>
              <dgm:constr type="h" for="ch" forName="Parent3" refType="h" fact="0.3799"/>
              <dgm:constr type="l" for="ch" forName="Parent2" refType="w" fact="0.1205"/>
              <dgm:constr type="t" for="ch" forName="Parent2" refType="h" fact="0.2022"/>
              <dgm:constr type="w" for="ch" forName="Parent2" refType="w" fact="0.0579"/>
              <dgm:constr type="h" for="ch" forName="Parent2" refType="h" fact="0.3799"/>
              <dgm:constr type="l" for="ch" forName="Parent1" refType="w" fact="0.0308"/>
              <dgm:constr type="t" for="ch" forName="Parent1" refType="h" fact="0.2022"/>
              <dgm:constr type="w" for="ch" forName="Parent1" refType="w" fact="0.0579"/>
              <dgm:constr type="h" for="ch" forName="Parent1" refType="h" fact="0.3799"/>
              <dgm:constr type="l" for="ch" forName="Accent11" refType="w" fact="0.9132"/>
              <dgm:constr type="t" for="ch" forName="Accent11" refType="h" fact="0.1072"/>
              <dgm:constr type="w" for="ch" forName="Accent11" refType="w" fact="0.0868"/>
              <dgm:constr type="h" for="ch" forName="Accent11" refType="h" fact="0.5699"/>
              <dgm:constr type="l" for="ch" forName="ParentBackground11" refType="w" fact="0.9161"/>
              <dgm:constr type="t" for="ch" forName="ParentBackground11" refType="h" fact="0.1262"/>
              <dgm:constr type="w" for="ch" forName="ParentBackground11" refType="w" fact="0.081"/>
              <dgm:constr type="h" for="ch" forName="ParentBackground11" refType="h" fact="0.5319"/>
              <dgm:constr type="l" for="ch" forName="Child11" refType="w" fact="0.9161"/>
              <dgm:constr type="t" for="ch" forName="Child11" refType="h" fact="0.6876"/>
              <dgm:constr type="w" for="ch" forName="Child11" refType="w" fact="0.081"/>
              <dgm:constr type="h" for="ch" forName="Child11" refType="h" fact="0.3124"/>
              <dgm:constr type="l" for="ch" forName="Accent10" refType="w" fact="0.8055"/>
              <dgm:constr type="t" for="ch" forName="Accent10" refType="h" fact="-0.0109"/>
              <dgm:constr type="w" for="ch" forName="Accent10" refType="w" fact="0.1228"/>
              <dgm:constr type="h" for="ch" forName="Accent10" refType="h" fact="0.806"/>
              <dgm:constr type="l" for="ch" forName="ParentBackground10" refType="w" fact="0.8264"/>
              <dgm:constr type="t" for="ch" forName="ParentBackground10" refType="h" fact="0.1262"/>
              <dgm:constr type="w" for="ch" forName="ParentBackground10" refType="w" fact="0.081"/>
              <dgm:constr type="h" for="ch" forName="ParentBackground10" refType="h" fact="0.5319"/>
              <dgm:constr type="l" for="ch" forName="Child10" refType="w" fact="0.8264"/>
              <dgm:constr type="t" for="ch" forName="Child10" refType="h" fact="0.6876"/>
              <dgm:constr type="w" for="ch" forName="Child10" refType="w" fact="0.081"/>
              <dgm:constr type="h" for="ch" forName="Child10" refType="h" fact="0.3124"/>
              <dgm:constr type="l" for="ch" forName="Accent9" refType="w" fact="0.7158"/>
              <dgm:constr type="t" for="ch" forName="Accent9" refType="h" fact="-0.0109"/>
              <dgm:constr type="w" for="ch" forName="Accent9" refType="w" fact="0.1228"/>
              <dgm:constr type="h" for="ch" forName="Accent9" refType="h" fact="0.806"/>
              <dgm:constr type="l" for="ch" forName="ParentBackground9" refType="w" fact="0.7367"/>
              <dgm:constr type="t" for="ch" forName="ParentBackground9" refType="h" fact="0.1262"/>
              <dgm:constr type="w" for="ch" forName="ParentBackground9" refType="w" fact="0.081"/>
              <dgm:constr type="h" for="ch" forName="ParentBackground9" refType="h" fact="0.5319"/>
              <dgm:constr type="l" for="ch" forName="Child9" refType="w" fact="0.7367"/>
              <dgm:constr type="t" for="ch" forName="Child9" refType="h" fact="0.6876"/>
              <dgm:constr type="w" for="ch" forName="Child9" refType="w" fact="0.081"/>
              <dgm:constr type="h" for="ch" forName="Child9" refType="h" fact="0.3124"/>
              <dgm:constr type="l" for="ch" forName="Accent8" refType="w" fact="0.6261"/>
              <dgm:constr type="t" for="ch" forName="Accent8" refType="h" fact="-0.0109"/>
              <dgm:constr type="w" for="ch" forName="Accent8" refType="w" fact="0.1228"/>
              <dgm:constr type="h" for="ch" forName="Accent8" refType="h" fact="0.806"/>
              <dgm:constr type="l" for="ch" forName="ParentBackground8" refType="w" fact="0.647"/>
              <dgm:constr type="t" for="ch" forName="ParentBackground8" refType="h" fact="0.1262"/>
              <dgm:constr type="w" for="ch" forName="ParentBackground8" refType="w" fact="0.081"/>
              <dgm:constr type="h" for="ch" forName="ParentBackground8" refType="h" fact="0.5319"/>
              <dgm:constr type="l" for="ch" forName="Child8" refType="w" fact="0.647"/>
              <dgm:constr type="t" for="ch" forName="Child8" refType="h" fact="0.6876"/>
              <dgm:constr type="w" for="ch" forName="Child8" refType="w" fact="0.081"/>
              <dgm:constr type="h" for="ch" forName="Child8" refType="h" fact="0.3124"/>
              <dgm:constr type="l" for="ch" forName="Accent7" refType="w" fact="0.5364"/>
              <dgm:constr type="t" for="ch" forName="Accent7" refType="h" fact="-0.0109"/>
              <dgm:constr type="w" for="ch" forName="Accent7" refType="w" fact="0.1228"/>
              <dgm:constr type="h" for="ch" forName="Accent7" refType="h" fact="0.806"/>
              <dgm:constr type="l" for="ch" forName="ParentBackground7" refType="w" fact="0.5573"/>
              <dgm:constr type="t" for="ch" forName="ParentBackground7" refType="h" fact="0.1262"/>
              <dgm:constr type="w" for="ch" forName="ParentBackground7" refType="w" fact="0.081"/>
              <dgm:constr type="h" for="ch" forName="ParentBackground7" refType="h" fact="0.5319"/>
              <dgm:constr type="l" for="ch" forName="Child7" refType="w" fact="0.5573"/>
              <dgm:constr type="t" for="ch" forName="Child7" refType="h" fact="0.6876"/>
              <dgm:constr type="w" for="ch" forName="Child7" refType="w" fact="0.081"/>
              <dgm:constr type="h" for="ch" forName="Child7" refType="h" fact="0.3124"/>
              <dgm:constr type="l" for="ch" forName="Accent6" refType="w" fact="0.4467"/>
              <dgm:constr type="t" for="ch" forName="Accent6" refType="h" fact="-0.0109"/>
              <dgm:constr type="w" for="ch" forName="Accent6" refType="w" fact="0.1228"/>
              <dgm:constr type="h" for="ch" forName="Accent6" refType="h" fact="0.806"/>
              <dgm:constr type="l" for="ch" forName="ParentBackground6" refType="w" fact="0.4677"/>
              <dgm:constr type="t" for="ch" forName="ParentBackground6" refType="h" fact="0.1262"/>
              <dgm:constr type="w" for="ch" forName="ParentBackground6" refType="w" fact="0.081"/>
              <dgm:constr type="h" for="ch" forName="ParentBackground6" refType="h" fact="0.5319"/>
              <dgm:constr type="l" for="ch" forName="Child6" refType="w" fact="0.4677"/>
              <dgm:constr type="t" for="ch" forName="Child6" refType="h" fact="0.6876"/>
              <dgm:constr type="w" for="ch" forName="Child6" refType="w" fact="0.081"/>
              <dgm:constr type="h" for="ch" forName="Child6" refType="h" fact="0.3124"/>
              <dgm:constr type="l" for="ch" forName="Accent5" refType="w" fact="0.3571"/>
              <dgm:constr type="t" for="ch" forName="Accent5" refType="h" fact="-0.0109"/>
              <dgm:constr type="w" for="ch" forName="Accent5" refType="w" fact="0.1228"/>
              <dgm:constr type="h" for="ch" forName="Accent5" refType="h" fact="0.806"/>
              <dgm:constr type="l" for="ch" forName="ParentBackground5" refType="w" fact="0.378"/>
              <dgm:constr type="t" for="ch" forName="ParentBackground5" refType="h" fact="0.1262"/>
              <dgm:constr type="w" for="ch" forName="ParentBackground5" refType="w" fact="0.081"/>
              <dgm:constr type="h" for="ch" forName="ParentBackground5" refType="h" fact="0.5319"/>
              <dgm:constr type="l" for="ch" forName="Child5" refType="w" fact="0.378"/>
              <dgm:constr type="t" for="ch" forName="Child5" refType="h" fact="0.6876"/>
              <dgm:constr type="w" for="ch" forName="Child5" refType="w" fact="0.081"/>
              <dgm:constr type="h" for="ch" forName="Child5" refType="h" fact="0.3124"/>
              <dgm:constr type="l" for="ch" forName="Accent4" refType="w" fact="0.2674"/>
              <dgm:constr type="t" for="ch" forName="Accent4" refType="h" fact="-0.0109"/>
              <dgm:constr type="w" for="ch" forName="Accent4" refType="w" fact="0.1228"/>
              <dgm:constr type="h" for="ch" forName="Accent4" refType="h" fact="0.806"/>
              <dgm:constr type="l" for="ch" forName="ParentBackground4" refType="w" fact="0.2883"/>
              <dgm:constr type="t" for="ch" forName="ParentBackground4" refType="h" fact="0.1262"/>
              <dgm:constr type="w" for="ch" forName="ParentBackground4" refType="w" fact="0.081"/>
              <dgm:constr type="h" for="ch" forName="ParentBackground4" refType="h" fact="0.5319"/>
              <dgm:constr type="l" for="ch" forName="Child4" refType="w" fact="0.2883"/>
              <dgm:constr type="t" for="ch" forName="Child4" refType="h" fact="0.6876"/>
              <dgm:constr type="w" for="ch" forName="Child4" refType="w" fact="0.081"/>
              <dgm:constr type="h" for="ch" forName="Child4" refType="h" fact="0.3124"/>
              <dgm:constr type="l" for="ch" forName="Accent3" refType="w" fact="0.1777"/>
              <dgm:constr type="t" for="ch" forName="Accent3" refType="h" fact="-0.0109"/>
              <dgm:constr type="w" for="ch" forName="Accent3" refType="w" fact="0.1228"/>
              <dgm:constr type="h" for="ch" forName="Accent3" refType="h" fact="0.806"/>
              <dgm:constr type="l" for="ch" forName="ParentBackground3" refType="w" fact="0.1986"/>
              <dgm:constr type="t" for="ch" forName="ParentBackground3" refType="h" fact="0.1262"/>
              <dgm:constr type="w" for="ch" forName="ParentBackground3" refType="w" fact="0.081"/>
              <dgm:constr type="h" for="ch" forName="ParentBackground3" refType="h" fact="0.5319"/>
              <dgm:constr type="l" for="ch" forName="Child3" refType="w" fact="0.1986"/>
              <dgm:constr type="t" for="ch" forName="Child3" refType="h" fact="0.6876"/>
              <dgm:constr type="w" for="ch" forName="Child3" refType="w" fact="0.081"/>
              <dgm:constr type="h" for="ch" forName="Child3" refType="h" fact="0.3124"/>
              <dgm:constr type="l" for="ch" forName="Accent2" refType="w" fact="0.088"/>
              <dgm:constr type="t" for="ch" forName="Accent2" refType="h" fact="-0.0109"/>
              <dgm:constr type="w" for="ch" forName="Accent2" refType="w" fact="0.1228"/>
              <dgm:constr type="h" for="ch" forName="Accent2" refType="h" fact="0.806"/>
              <dgm:constr type="l" for="ch" forName="ParentBackground2" refType="w" fact="0.1089"/>
              <dgm:constr type="t" for="ch" forName="ParentBackground2" refType="h" fact="0.1262"/>
              <dgm:constr type="w" for="ch" forName="ParentBackground2" refType="w" fact="0.081"/>
              <dgm:constr type="h" for="ch" forName="ParentBackground2" refType="h" fact="0.5319"/>
              <dgm:constr type="l" for="ch" forName="Child2" refType="w" fact="0.1089"/>
              <dgm:constr type="t" for="ch" forName="Child2" refType="h" fact="0.6876"/>
              <dgm:constr type="w" for="ch" forName="Child2" refType="w" fact="0.081"/>
              <dgm:constr type="h" for="ch" forName="Child2" refType="h" fact="0.3124"/>
              <dgm:constr type="l" for="ch" forName="Accent1" refType="w" fact="-0.0017"/>
              <dgm:constr type="t" for="ch" forName="Accent1" refType="h" fact="-0.0109"/>
              <dgm:constr type="w" for="ch" forName="Accent1" refType="w" fact="0.1228"/>
              <dgm:constr type="h" for="ch" forName="Accent1" refType="h" fact="0.806"/>
              <dgm:constr type="l" for="ch" forName="ParentBackground1" refType="w" fact="0.0192"/>
              <dgm:constr type="t" for="ch" forName="ParentBackground1" refType="h" fact="0.1262"/>
              <dgm:constr type="w" for="ch" forName="ParentBackground1" refType="w" fact="0.081"/>
              <dgm:constr type="h" for="ch" forName="ParentBackground1" refType="h" fact="0.5319"/>
              <dgm:constr type="l" for="ch" forName="Child1" refType="w" fact="0.0192"/>
              <dgm:constr type="t" for="ch" forName="Child1" refType="h" fact="0.6876"/>
              <dgm:constr type="w" for="ch" forName="Child1" refType="w" fact="0.081"/>
              <dgm:constr type="h" for="ch" forName="Child1" refType="h" fact="0.3124"/>
            </dgm:constrLst>
          </dgm:else>
        </dgm:choose>
      </dgm:if>
      <dgm:else name="Name15">
        <dgm:choose name="Name16">
          <dgm:if name="Name17" axis="ch" ptType="node" func="cnt" op="equ" val="1">
            <dgm:alg type="composite">
              <dgm:param type="ar" val="0.6383"/>
            </dgm:alg>
            <dgm:constrLst>
              <dgm:constr type="primFontSz" for="des" forName="Child1" val="65"/>
              <dgm:constr type="primFontSz" for="des" forName="Parent1" val="65"/>
              <dgm:constr type="primFontSz" for="des" forName="Child1" refType="primFontSz" refFor="des" refForName="Parent1" op="lte"/>
              <dgm:constr type="l" for="ch" forName="Parent1" refType="w" fact="0.1667"/>
              <dgm:constr type="t" for="ch" forName="Parent1" refType="h" fact="0.1064"/>
              <dgm:constr type="w" for="ch" forName="Parent1" refType="w" fact="0.6667"/>
              <dgm:constr type="h" for="ch" forName="Parent1" refType="h" fact="0.4255"/>
              <dgm:constr type="l" for="ch" forName="Accent1" refType="w" fact="0"/>
              <dgm:constr type="t" for="ch" forName="Accent1" refType="h" fact="0"/>
              <dgm:constr type="w" for="ch" forName="Accent1" refType="w"/>
              <dgm:constr type="h" for="ch" forName="Accent1" refType="h" fact="0.6383"/>
              <dgm:constr type="l" for="ch" forName="ParentBackground1" refType="w" fact="0.0333"/>
              <dgm:constr type="t" for="ch" forName="ParentBackground1" refType="h" fact="0.0213"/>
              <dgm:constr type="w" for="ch" forName="ParentBackground1" refType="w" fact="0.9333"/>
              <dgm:constr type="h" for="ch" forName="ParentBackground1" refType="h" fact="0.5957"/>
              <dgm:constr type="l" for="ch" forName="Child1" refType="w" fact="0.0333"/>
              <dgm:constr type="t" for="ch" forName="Child1" refType="h" fact="0.6574"/>
              <dgm:constr type="w" for="ch" forName="Child1" refType="w" fact="0.9333"/>
              <dgm:constr type="h" for="ch" forName="Child1" refType="h" fact="0.3426"/>
            </dgm:constrLst>
          </dgm:if>
          <dgm:if name="Name18" axis="ch" ptType="node" func="cnt" op="equ" val="2">
            <dgm:alg type="composite">
              <dgm:param type="ar" val="1.265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r" for="ch" forName="Parent2" refType="w" fact="0.3751"/>
              <dgm:constr type="t" for="ch" forName="Parent2" refType="h" fact="0.2022"/>
              <dgm:constr type="w" for="ch" forName="Parent2" refType="w" fact="0.3001"/>
              <dgm:constr type="h" for="ch" forName="Parent2" refType="h" fact="0.3799"/>
              <dgm:constr type="r" for="ch" forName="Parent1" refType="w" fact="0.8403"/>
              <dgm:constr type="t" for="ch" forName="Parent1" refType="h" fact="0.2022"/>
              <dgm:constr type="w" for="ch" forName="Parent1" refType="w" fact="0.3001"/>
              <dgm:constr type="h" for="ch" forName="Parent1" refType="h" fact="0.3799"/>
              <dgm:constr type="r" for="ch" forName="Accent2" refType="w" fact="0.4502"/>
              <dgm:constr type="t" for="ch" forName="Accent2" refType="h" fact="0.1072"/>
              <dgm:constr type="w" for="ch" forName="Accent2" refType="w" fact="0.4502"/>
              <dgm:constr type="h" for="ch" forName="Accent2" refType="h" fact="0.5699"/>
              <dgm:constr type="r" for="ch" forName="ParentBackground2" refType="w" fact="0.4352"/>
              <dgm:constr type="t" for="ch" forName="ParentBackground2" refType="h" fact="0.1262"/>
              <dgm:constr type="w" for="ch" forName="ParentBackground2" refType="w" fact="0.4201"/>
              <dgm:constr type="h" for="ch" forName="ParentBackground2" refType="h" fact="0.5319"/>
              <dgm:constr type="r" for="ch" forName="Child2" refType="w" fact="0.4352"/>
              <dgm:constr type="t" for="ch" forName="Child2" refType="h" fact="0.6876"/>
              <dgm:constr type="w" for="ch" forName="Child2" refType="w" fact="0.4201"/>
              <dgm:constr type="h" for="ch" forName="Child2" refType="h" fact="0.3124"/>
              <dgm:constr type="r" for="ch" forName="Accent1" refType="w" fact="1.0086"/>
              <dgm:constr type="t" for="ch" forName="Accent1" refType="h" fact="-0.0109"/>
              <dgm:constr type="w" for="ch" forName="Accent1" refType="w" fact="0.6367"/>
              <dgm:constr type="h" for="ch" forName="Accent1" refType="h" fact="0.806"/>
              <dgm:constr type="r" for="ch" forName="ParentBackground1" refType="w" fact="0.9003"/>
              <dgm:constr type="t" for="ch" forName="ParentBackground1" refType="h" fact="0.1262"/>
              <dgm:constr type="w" for="ch" forName="ParentBackground1" refType="w" fact="0.4201"/>
              <dgm:constr type="h" for="ch" forName="ParentBackground1" refType="h" fact="0.5319"/>
              <dgm:constr type="r" for="ch" forName="Child1" refType="w" fact="0.9003"/>
              <dgm:constr type="t" for="ch" forName="Child1" refType="h" fact="0.6876"/>
              <dgm:constr type="w" for="ch" forName="Child1" refType="w" fact="0.4201"/>
              <dgm:constr type="h" for="ch" forName="Child1" refType="h" fact="0.3124"/>
            </dgm:constrLst>
          </dgm:if>
          <dgm:if name="Name19" axis="ch" ptType="node" func="cnt" op="equ" val="3">
            <dgm:alg type="composite">
              <dgm:param type="ar" val="1.854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r" for="ch" forName="Parent3" refType="w" fact="0.256"/>
              <dgm:constr type="t" for="ch" forName="Parent3" refType="h" fact="0.2022"/>
              <dgm:constr type="w" for="ch" forName="Parent3" refType="w" fact="0.2048"/>
              <dgm:constr type="h" for="ch" forName="Parent3" refType="h" fact="0.3799"/>
              <dgm:constr type="r" for="ch" forName="Parent2" refType="w" fact="0.5735"/>
              <dgm:constr type="t" for="ch" forName="Parent2" refType="h" fact="0.2022"/>
              <dgm:constr type="w" for="ch" forName="Parent2" refType="w" fact="0.2048"/>
              <dgm:constr type="h" for="ch" forName="Parent2" refType="h" fact="0.3799"/>
              <dgm:constr type="r" for="ch" forName="Parent1" refType="w" fact="0.891"/>
              <dgm:constr type="t" for="ch" forName="Parent1" refType="h" fact="0.2022"/>
              <dgm:constr type="w" for="ch" forName="Parent1" refType="w" fact="0.2048"/>
              <dgm:constr type="h" for="ch" forName="Parent1" refType="h" fact="0.3799"/>
              <dgm:constr type="r" for="ch" forName="Accent3" refType="w" fact="0.3072"/>
              <dgm:constr type="t" for="ch" forName="Accent3" refType="h" fact="0.1072"/>
              <dgm:constr type="w" for="ch" forName="Accent3" refType="w" fact="0.3072"/>
              <dgm:constr type="h" for="ch" forName="Accent3" refType="h" fact="0.5699"/>
              <dgm:constr type="r" for="ch" forName="ParentBackground3" refType="w" fact="0.297"/>
              <dgm:constr type="t" for="ch" forName="ParentBackground3" refType="h" fact="0.1262"/>
              <dgm:constr type="w" for="ch" forName="ParentBackground3" refType="w" fact="0.2868"/>
              <dgm:constr type="h" for="ch" forName="ParentBackground3" refType="h" fact="0.5319"/>
              <dgm:constr type="r" for="ch" forName="Child3" refType="w" fact="0.297"/>
              <dgm:constr type="t" for="ch" forName="Child3" refType="h" fact="0.6876"/>
              <dgm:constr type="w" for="ch" forName="Child3" refType="w" fact="0.2868"/>
              <dgm:constr type="h" for="ch" forName="Child3" refType="h" fact="0.3124"/>
              <dgm:constr type="r" for="ch" forName="Accent2" refType="w" fact="0.6878"/>
              <dgm:constr type="t" for="ch" forName="Accent2" refType="h" fact="-0.0109"/>
              <dgm:constr type="w" for="ch" forName="Accent2" refType="w" fact="0.4334"/>
              <dgm:constr type="h" for="ch" forName="Accent2" refType="h" fact="0.806"/>
              <dgm:constr type="r" for="ch" forName="ParentBackground2" refType="w" fact="0.6145"/>
              <dgm:constr type="t" for="ch" forName="ParentBackground2" refType="h" fact="0.1262"/>
              <dgm:constr type="w" for="ch" forName="ParentBackground2" refType="w" fact="0.2868"/>
              <dgm:constr type="h" for="ch" forName="ParentBackground2" refType="h" fact="0.5319"/>
              <dgm:constr type="r" for="ch" forName="Child2" refType="w" fact="0.6145"/>
              <dgm:constr type="t" for="ch" forName="Child2" refType="h" fact="0.6876"/>
              <dgm:constr type="w" for="ch" forName="Child2" refType="w" fact="0.2868"/>
              <dgm:constr type="h" for="ch" forName="Child2" refType="h" fact="0.3124"/>
              <dgm:constr type="r" for="ch" forName="Accent1" refType="w" fact="1.0053"/>
              <dgm:constr type="t" for="ch" forName="Accent1" refType="h" fact="-0.0109"/>
              <dgm:constr type="w" for="ch" forName="Accent1" refType="w" fact="0.4334"/>
              <dgm:constr type="h" for="ch" forName="Accent1" refType="h" fact="0.806"/>
              <dgm:constr type="r" for="ch" forName="ParentBackground1" refType="w" fact="0.932"/>
              <dgm:constr type="t" for="ch" forName="ParentBackground1" refType="h" fact="0.1262"/>
              <dgm:constr type="w" for="ch" forName="ParentBackground1" refType="w" fact="0.2868"/>
              <dgm:constr type="h" for="ch" forName="ParentBackground1" refType="h" fact="0.5319"/>
              <dgm:constr type="r" for="ch" forName="Child1" refType="w" fact="0.932"/>
              <dgm:constr type="t" for="ch" forName="Child1" refType="h" fact="0.6876"/>
              <dgm:constr type="w" for="ch" forName="Child1" refType="w" fact="0.2868"/>
              <dgm:constr type="h" for="ch" forName="Child1" refType="h" fact="0.3124"/>
            </dgm:constrLst>
          </dgm:if>
          <dgm:if name="Name20" axis="ch" ptType="node" func="cnt" op="equ" val="4">
            <dgm:alg type="composite">
              <dgm:param type="ar" val="2.4437"/>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Parent4" refType="w" fact="0.1943"/>
              <dgm:constr type="t" for="ch" forName="Parent4" refType="h" fact="0.2022"/>
              <dgm:constr type="w" for="ch" forName="Parent4" refType="w" fact="0.1555"/>
              <dgm:constr type="h" for="ch" forName="Parent4" refType="h" fact="0.3799"/>
              <dgm:constr type="r" for="ch" forName="Parent3" refType="w" fact="0.4353"/>
              <dgm:constr type="t" for="ch" forName="Parent3" refType="h" fact="0.2022"/>
              <dgm:constr type="w" for="ch" forName="Parent3" refType="w" fact="0.1555"/>
              <dgm:constr type="h" for="ch" forName="Parent3" refType="h" fact="0.3799"/>
              <dgm:constr type="r" for="ch" forName="Parent2" refType="w" fact="0.6763"/>
              <dgm:constr type="t" for="ch" forName="Parent2" refType="h" fact="0.2022"/>
              <dgm:constr type="w" for="ch" forName="Parent2" refType="w" fact="0.1555"/>
              <dgm:constr type="h" for="ch" forName="Parent2" refType="h" fact="0.3799"/>
              <dgm:constr type="r" for="ch" forName="Parent1" refType="w" fact="0.9173"/>
              <dgm:constr type="t" for="ch" forName="Parent1" refType="h" fact="0.2022"/>
              <dgm:constr type="w" for="ch" forName="Parent1" refType="w" fact="0.1555"/>
              <dgm:constr type="h" for="ch" forName="Parent1" refType="h" fact="0.3799"/>
              <dgm:constr type="r" for="ch" forName="Accent4" refType="w" fact="0.2332"/>
              <dgm:constr type="t" for="ch" forName="Accent4" refType="h" fact="0.1072"/>
              <dgm:constr type="w" for="ch" forName="Accent4" refType="w" fact="0.2332"/>
              <dgm:constr type="h" for="ch" forName="Accent4" refType="h" fact="0.5699"/>
              <dgm:constr type="r" for="ch" forName="ParentBackground4" refType="w" fact="0.2254"/>
              <dgm:constr type="t" for="ch" forName="ParentBackground4" refType="h" fact="0.1262"/>
              <dgm:constr type="w" for="ch" forName="ParentBackground4" refType="w" fact="0.2177"/>
              <dgm:constr type="h" for="ch" forName="ParentBackground4" refType="h" fact="0.5319"/>
              <dgm:constr type="r" for="ch" forName="Child4" refType="w" fact="0.2254"/>
              <dgm:constr type="t" for="ch" forName="Child4" refType="h" fact="0.6876"/>
              <dgm:constr type="w" for="ch" forName="Child4" refType="w" fact="0.2177"/>
              <dgm:constr type="h" for="ch" forName="Child4" refType="h" fact="0.3124"/>
              <dgm:constr type="r" for="ch" forName="Accent3" refType="w" fact="0.5235"/>
              <dgm:constr type="t" for="ch" forName="Accent3" refType="h" fact="-0.0109"/>
              <dgm:constr type="w" for="ch" forName="Accent3" refType="w" fact="0.3298"/>
              <dgm:constr type="h" for="ch" forName="Accent3" refType="h" fact="0.806"/>
              <dgm:constr type="r" for="ch" forName="ParentBackground3" refType="w" fact="0.4664"/>
              <dgm:constr type="t" for="ch" forName="ParentBackground3" refType="h" fact="0.1262"/>
              <dgm:constr type="w" for="ch" forName="ParentBackground3" refType="w" fact="0.2177"/>
              <dgm:constr type="h" for="ch" forName="ParentBackground3" refType="h" fact="0.5319"/>
              <dgm:constr type="r" for="ch" forName="Child3" refType="w" fact="0.4664"/>
              <dgm:constr type="t" for="ch" forName="Child3" refType="h" fact="0.6876"/>
              <dgm:constr type="w" for="ch" forName="Child3" refType="w" fact="0.2177"/>
              <dgm:constr type="h" for="ch" forName="Child3" refType="h" fact="0.3124"/>
              <dgm:constr type="r" for="ch" forName="Accent2" refType="w" fact="0.7635"/>
              <dgm:constr type="t" for="ch" forName="Accent2" refType="h" fact="-0.0109"/>
              <dgm:constr type="w" for="ch" forName="Accent2" refType="w" fact="0.3298"/>
              <dgm:constr type="h" for="ch" forName="Accent2" refType="h" fact="0.806"/>
              <dgm:constr type="r" for="ch" forName="ParentBackground2" refType="w" fact="0.7074"/>
              <dgm:constr type="t" for="ch" forName="ParentBackground2" refType="h" fact="0.1262"/>
              <dgm:constr type="w" for="ch" forName="ParentBackground2" refType="w" fact="0.2177"/>
              <dgm:constr type="h" for="ch" forName="ParentBackground2" refType="h" fact="0.5319"/>
              <dgm:constr type="r" for="ch" forName="Child2" refType="w" fact="0.7074"/>
              <dgm:constr type="t" for="ch" forName="Child2" refType="h" fact="0.6876"/>
              <dgm:constr type="w" for="ch" forName="Child2" refType="w" fact="0.2177"/>
              <dgm:constr type="h" for="ch" forName="Child2" refType="h" fact="0.3124"/>
              <dgm:constr type="r" for="ch" forName="Accent1" refType="w" fact="1.0045"/>
              <dgm:constr type="t" for="ch" forName="Accent1" refType="h" fact="-0.0109"/>
              <dgm:constr type="w" for="ch" forName="Accent1" refType="w" fact="0.3298"/>
              <dgm:constr type="h" for="ch" forName="Accent1" refType="h" fact="0.806"/>
              <dgm:constr type="r" for="ch" forName="ParentBackground1" refType="w" fact="0.9484"/>
              <dgm:constr type="t" for="ch" forName="ParentBackground1" refType="h" fact="0.1262"/>
              <dgm:constr type="w" for="ch" forName="ParentBackground1" refType="w" fact="0.2177"/>
              <dgm:constr type="h" for="ch" forName="ParentBackground1" refType="h" fact="0.5319"/>
              <dgm:constr type="r" for="ch" forName="Child1" refType="w" fact="0.9484"/>
              <dgm:constr type="t" for="ch" forName="Child1" refType="h" fact="0.6876"/>
              <dgm:constr type="w" for="ch" forName="Child1" refType="w" fact="0.2177"/>
              <dgm:constr type="h" for="ch" forName="Child1" refType="h" fact="0.3124"/>
            </dgm:constrLst>
          </dgm:if>
          <dgm:if name="Name21" axis="ch" ptType="node" func="cnt" op="equ" val="5">
            <dgm:alg type="composite">
              <dgm:param type="ar" val="3.0325"/>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Parent5" refType="w" fact="0.1566"/>
              <dgm:constr type="t" for="ch" forName="Parent5" refType="h" fact="0.2022"/>
              <dgm:constr type="w" for="ch" forName="Parent5" refType="w" fact="0.1253"/>
              <dgm:constr type="h" for="ch" forName="Parent5" refType="h" fact="0.3799"/>
              <dgm:constr type="r" for="ch" forName="Parent4" refType="w" fact="0.3508"/>
              <dgm:constr type="t" for="ch" forName="Parent4" refType="h" fact="0.2022"/>
              <dgm:constr type="w" for="ch" forName="Parent4" refType="w" fact="0.1253"/>
              <dgm:constr type="h" for="ch" forName="Parent4" refType="h" fact="0.3799"/>
              <dgm:constr type="r" for="ch" forName="Parent3" refType="w" fact="0.545"/>
              <dgm:constr type="t" for="ch" forName="Parent3" refType="h" fact="0.2022"/>
              <dgm:constr type="w" for="ch" forName="Parent3" refType="w" fact="0.1253"/>
              <dgm:constr type="h" for="ch" forName="Parent3" refType="h" fact="0.3799"/>
              <dgm:constr type="r" for="ch" forName="Parent2" refType="w" fact="0.7391"/>
              <dgm:constr type="t" for="ch" forName="Parent2" refType="h" fact="0.2022"/>
              <dgm:constr type="w" for="ch" forName="Parent2" refType="w" fact="0.1253"/>
              <dgm:constr type="h" for="ch" forName="Parent2" refType="h" fact="0.3799"/>
              <dgm:constr type="r" for="ch" forName="Parent1" refType="w" fact="0.9333"/>
              <dgm:constr type="t" for="ch" forName="Parent1" refType="h" fact="0.2022"/>
              <dgm:constr type="w" for="ch" forName="Parent1" refType="w" fact="0.1253"/>
              <dgm:constr type="h" for="ch" forName="Parent1" refType="h" fact="0.3799"/>
              <dgm:constr type="r" for="ch" forName="Accent5" refType="w" fact="0.1879"/>
              <dgm:constr type="t" for="ch" forName="Accent5" refType="h" fact="0.1072"/>
              <dgm:constr type="w" for="ch" forName="Accent5" refType="w" fact="0.1879"/>
              <dgm:constr type="h" for="ch" forName="Accent5" refType="h" fact="0.5699"/>
              <dgm:constr type="r" for="ch" forName="ParentBackground5" refType="w" fact="0.1817"/>
              <dgm:constr type="t" for="ch" forName="ParentBackground5" refType="h" fact="0.1262"/>
              <dgm:constr type="w" for="ch" forName="ParentBackground5" refType="w" fact="0.1754"/>
              <dgm:constr type="h" for="ch" forName="ParentBackground5" refType="h" fact="0.5319"/>
              <dgm:constr type="r" for="ch" forName="Child5" refType="w" fact="0.1817"/>
              <dgm:constr type="t" for="ch" forName="Child5" refType="h" fact="0.6876"/>
              <dgm:constr type="w" for="ch" forName="Child5" refType="w" fact="0.1754"/>
              <dgm:constr type="h" for="ch" forName="Child5" refType="h" fact="0.3124"/>
              <dgm:constr type="r" for="ch" forName="Accent4" refType="w" fact="0.4211"/>
              <dgm:constr type="t" for="ch" forName="Accent4" refType="h" fact="-0.0109"/>
              <dgm:constr type="w" for="ch" forName="Accent4" refType="w" fact="0.2657"/>
              <dgm:constr type="h" for="ch" forName="Accent4" refType="h" fact="0.806"/>
              <dgm:constr type="r" for="ch" forName="ParentBackground4" refType="w" fact="0.3758"/>
              <dgm:constr type="t" for="ch" forName="ParentBackground4" refType="h" fact="0.1262"/>
              <dgm:constr type="w" for="ch" forName="ParentBackground4" refType="w" fact="0.1754"/>
              <dgm:constr type="h" for="ch" forName="ParentBackground4" refType="h" fact="0.5319"/>
              <dgm:constr type="r" for="ch" forName="Child4" refType="w" fact="0.3758"/>
              <dgm:constr type="t" for="ch" forName="Child4" refType="h" fact="0.6876"/>
              <dgm:constr type="w" for="ch" forName="Child4" refType="w" fact="0.1754"/>
              <dgm:constr type="h" for="ch" forName="Child4" refType="h" fact="0.3124"/>
              <dgm:constr type="r" for="ch" forName="Accent3" refType="w" fact="0.6152"/>
              <dgm:constr type="t" for="ch" forName="Accent3" refType="h" fact="-0.0109"/>
              <dgm:constr type="w" for="ch" forName="Accent3" refType="w" fact="0.2657"/>
              <dgm:constr type="h" for="ch" forName="Accent3" refType="h" fact="0.806"/>
              <dgm:constr type="r" for="ch" forName="ParentBackground3" refType="w" fact="0.57"/>
              <dgm:constr type="t" for="ch" forName="ParentBackground3" refType="h" fact="0.1262"/>
              <dgm:constr type="w" for="ch" forName="ParentBackground3" refType="w" fact="0.1754"/>
              <dgm:constr type="h" for="ch" forName="ParentBackground3" refType="h" fact="0.5319"/>
              <dgm:constr type="r" for="ch" forName="Child3" refType="w" fact="0.57"/>
              <dgm:constr type="t" for="ch" forName="Child3" refType="h" fact="0.6876"/>
              <dgm:constr type="w" for="ch" forName="Child3" refType="w" fact="0.1754"/>
              <dgm:constr type="h" for="ch" forName="Child3" refType="h" fact="0.3124"/>
              <dgm:constr type="r" for="ch" forName="Accent2" refType="w" fact="0.8094"/>
              <dgm:constr type="t" for="ch" forName="Accent2" refType="h" fact="-0.0109"/>
              <dgm:constr type="w" for="ch" forName="Accent2" refType="w" fact="0.2657"/>
              <dgm:constr type="h" for="ch" forName="Accent2" refType="h" fact="0.806"/>
              <dgm:constr type="r" for="ch" forName="ParentBackground2" refType="w" fact="0.7642"/>
              <dgm:constr type="t" for="ch" forName="ParentBackground2" refType="h" fact="0.1262"/>
              <dgm:constr type="w" for="ch" forName="ParentBackground2" refType="w" fact="0.1754"/>
              <dgm:constr type="h" for="ch" forName="ParentBackground2" refType="h" fact="0.5319"/>
              <dgm:constr type="r" for="ch" forName="Child2" refType="w" fact="0.7642"/>
              <dgm:constr type="t" for="ch" forName="Child2" refType="h" fact="0.6876"/>
              <dgm:constr type="w" for="ch" forName="Child2" refType="w" fact="0.1754"/>
              <dgm:constr type="h" for="ch" forName="Child2" refType="h" fact="0.3124"/>
              <dgm:constr type="r" for="ch" forName="Accent1" refType="w" fact="1.0036"/>
              <dgm:constr type="t" for="ch" forName="Accent1" refType="h" fact="-0.0109"/>
              <dgm:constr type="w" for="ch" forName="Accent1" refType="w" fact="0.2657"/>
              <dgm:constr type="h" for="ch" forName="Accent1" refType="h" fact="0.806"/>
              <dgm:constr type="r" for="ch" forName="ParentBackground1" refType="w" fact="0.9584"/>
              <dgm:constr type="t" for="ch" forName="ParentBackground1" refType="h" fact="0.1262"/>
              <dgm:constr type="w" for="ch" forName="ParentBackground1" refType="w" fact="0.1754"/>
              <dgm:constr type="h" for="ch" forName="ParentBackground1" refType="h" fact="0.5319"/>
              <dgm:constr type="r" for="ch" forName="Child1" refType="w" fact="0.9584"/>
              <dgm:constr type="t" for="ch" forName="Child1" refType="h" fact="0.6876"/>
              <dgm:constr type="w" for="ch" forName="Child1" refType="w" fact="0.1754"/>
              <dgm:constr type="h" for="ch" forName="Child1" refType="h" fact="0.3124"/>
            </dgm:constrLst>
          </dgm:if>
          <dgm:if name="Name22" axis="ch" ptType="node" func="cnt" op="equ" val="6">
            <dgm:alg type="composite">
              <dgm:param type="ar" val="3.621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r" for="ch" forName="Parent6" refType="w" fact="0.1311"/>
              <dgm:constr type="t" for="ch" forName="Parent6" refType="h" fact="0.2022"/>
              <dgm:constr type="w" for="ch" forName="Parent6" refType="w" fact="0.1049"/>
              <dgm:constr type="h" for="ch" forName="Parent6" refType="h" fact="0.3799"/>
              <dgm:constr type="r" for="ch" forName="Parent5" refType="w" fact="0.2937"/>
              <dgm:constr type="t" for="ch" forName="Parent5" refType="h" fact="0.2022"/>
              <dgm:constr type="w" for="ch" forName="Parent5" refType="w" fact="0.1049"/>
              <dgm:constr type="h" for="ch" forName="Parent5" refType="h" fact="0.3799"/>
              <dgm:constr type="r" for="ch" forName="Parent4" refType="w" fact="0.4563"/>
              <dgm:constr type="t" for="ch" forName="Parent4" refType="h" fact="0.2022"/>
              <dgm:constr type="w" for="ch" forName="Parent4" refType="w" fact="0.1049"/>
              <dgm:constr type="h" for="ch" forName="Parent4" refType="h" fact="0.3799"/>
              <dgm:constr type="r" for="ch" forName="Parent3" refType="w" fact="0.619"/>
              <dgm:constr type="t" for="ch" forName="Parent3" refType="h" fact="0.2022"/>
              <dgm:constr type="w" for="ch" forName="Parent3" refType="w" fact="0.1049"/>
              <dgm:constr type="h" for="ch" forName="Parent3" refType="h" fact="0.3799"/>
              <dgm:constr type="r" for="ch" forName="Parent2" refType="w" fact="0.7816"/>
              <dgm:constr type="t" for="ch" forName="Parent2" refType="h" fact="0.2022"/>
              <dgm:constr type="w" for="ch" forName="Parent2" refType="w" fact="0.1049"/>
              <dgm:constr type="h" for="ch" forName="Parent2" refType="h" fact="0.3799"/>
              <dgm:constr type="r" for="ch" forName="Parent1" refType="w" fact="0.9442"/>
              <dgm:constr type="t" for="ch" forName="Parent1" refType="h" fact="0.2022"/>
              <dgm:constr type="w" for="ch" forName="Parent1" refType="w" fact="0.1049"/>
              <dgm:constr type="h" for="ch" forName="Parent1" refType="h" fact="0.3799"/>
              <dgm:constr type="r" for="ch" forName="Accent6" refType="w" fact="0.1574"/>
              <dgm:constr type="t" for="ch" forName="Accent6" refType="h" fact="0.1072"/>
              <dgm:constr type="w" for="ch" forName="Accent6" refType="w" fact="0.1574"/>
              <dgm:constr type="h" for="ch" forName="Accent6" refType="h" fact="0.5699"/>
              <dgm:constr type="r" for="ch" forName="ParentBackground6" refType="w" fact="0.1521"/>
              <dgm:constr type="t" for="ch" forName="ParentBackground6" refType="h" fact="0.1262"/>
              <dgm:constr type="w" for="ch" forName="ParentBackground6" refType="w" fact="0.1469"/>
              <dgm:constr type="h" for="ch" forName="ParentBackground6" refType="h" fact="0.5319"/>
              <dgm:constr type="r" for="ch" forName="Child6" refType="w" fact="0.1521"/>
              <dgm:constr type="t" for="ch" forName="Child6" refType="h" fact="0.6876"/>
              <dgm:constr type="w" for="ch" forName="Child6" refType="w" fact="0.1469"/>
              <dgm:constr type="h" for="ch" forName="Child6" refType="h" fact="0.3124"/>
              <dgm:constr type="r" for="ch" forName="Accent5" refType="w" fact="0.3526"/>
              <dgm:constr type="t" for="ch" forName="Accent5" refType="h" fact="-0.0109"/>
              <dgm:constr type="w" for="ch" forName="Accent5" refType="w" fact="0.2226"/>
              <dgm:constr type="h" for="ch" forName="Accent5" refType="h" fact="0.806"/>
              <dgm:constr type="r" for="ch" forName="ParentBackground5" refType="w" fact="0.3147"/>
              <dgm:constr type="t" for="ch" forName="ParentBackground5" refType="h" fact="0.1262"/>
              <dgm:constr type="w" for="ch" forName="ParentBackground5" refType="w" fact="0.1469"/>
              <dgm:constr type="h" for="ch" forName="ParentBackground5" refType="h" fact="0.5319"/>
              <dgm:constr type="r" for="ch" forName="Child5" refType="w" fact="0.3147"/>
              <dgm:constr type="t" for="ch" forName="Child5" refType="h" fact="0.6876"/>
              <dgm:constr type="w" for="ch" forName="Child5" refType="w" fact="0.1469"/>
              <dgm:constr type="h" for="ch" forName="Child5" refType="h" fact="0.3124"/>
              <dgm:constr type="r" for="ch" forName="Accent4" refType="w" fact="0.5152"/>
              <dgm:constr type="t" for="ch" forName="Accent4" refType="h" fact="-0.0109"/>
              <dgm:constr type="w" for="ch" forName="Accent4" refType="w" fact="0.2226"/>
              <dgm:constr type="h" for="ch" forName="Accent4" refType="h" fact="0.806"/>
              <dgm:constr type="r" for="ch" forName="ParentBackground4" refType="w" fact="0.4773"/>
              <dgm:constr type="t" for="ch" forName="ParentBackground4" refType="h" fact="0.1262"/>
              <dgm:constr type="w" for="ch" forName="ParentBackground4" refType="w" fact="0.1469"/>
              <dgm:constr type="h" for="ch" forName="ParentBackground4" refType="h" fact="0.5319"/>
              <dgm:constr type="r" for="ch" forName="Child4" refType="w" fact="0.4773"/>
              <dgm:constr type="t" for="ch" forName="Child4" refType="h" fact="0.6876"/>
              <dgm:constr type="w" for="ch" forName="Child4" refType="w" fact="0.1469"/>
              <dgm:constr type="h" for="ch" forName="Child4" refType="h" fact="0.3124"/>
              <dgm:constr type="r" for="ch" forName="Accent3" refType="w" fact="0.6778"/>
              <dgm:constr type="t" for="ch" forName="Accent3" refType="h" fact="-0.0109"/>
              <dgm:constr type="w" for="ch" forName="Accent3" refType="w" fact="0.2226"/>
              <dgm:constr type="h" for="ch" forName="Accent3" refType="h" fact="0.806"/>
              <dgm:constr type="r" for="ch" forName="ParentBackground3" refType="w" fact="0.6399"/>
              <dgm:constr type="t" for="ch" forName="ParentBackground3" refType="h" fact="0.1262"/>
              <dgm:constr type="w" for="ch" forName="ParentBackground3" refType="w" fact="0.1469"/>
              <dgm:constr type="h" for="ch" forName="ParentBackground3" refType="h" fact="0.5319"/>
              <dgm:constr type="r" for="ch" forName="Child3" refType="w" fact="0.6399"/>
              <dgm:constr type="t" for="ch" forName="Child3" refType="h" fact="0.6876"/>
              <dgm:constr type="w" for="ch" forName="Child3" refType="w" fact="0.1469"/>
              <dgm:constr type="h" for="ch" forName="Child3" refType="h" fact="0.3124"/>
              <dgm:constr type="r" for="ch" forName="Accent2" refType="w" fact="0.8404"/>
              <dgm:constr type="t" for="ch" forName="Accent2" refType="h" fact="-0.0109"/>
              <dgm:constr type="w" for="ch" forName="Accent2" refType="w" fact="0.2226"/>
              <dgm:constr type="h" for="ch" forName="Accent2" refType="h" fact="0.806"/>
              <dgm:constr type="r" for="ch" forName="ParentBackground2" refType="w" fact="0.8025"/>
              <dgm:constr type="t" for="ch" forName="ParentBackground2" refType="h" fact="0.1262"/>
              <dgm:constr type="w" for="ch" forName="ParentBackground2" refType="w" fact="0.1469"/>
              <dgm:constr type="h" for="ch" forName="ParentBackground2" refType="h" fact="0.5319"/>
              <dgm:constr type="r" for="ch" forName="Child2" refType="w" fact="0.8025"/>
              <dgm:constr type="t" for="ch" forName="Child2" refType="h" fact="0.6876"/>
              <dgm:constr type="w" for="ch" forName="Child2" refType="w" fact="0.1469"/>
              <dgm:constr type="h" for="ch" forName="Child2" refType="h" fact="0.3124"/>
              <dgm:constr type="r" for="ch" forName="Accent1" refType="w" fact="1.003"/>
              <dgm:constr type="t" for="ch" forName="Accent1" refType="h" fact="-0.0109"/>
              <dgm:constr type="w" for="ch" forName="Accent1" refType="w" fact="0.2226"/>
              <dgm:constr type="h" for="ch" forName="Accent1" refType="h" fact="0.806"/>
              <dgm:constr type="r" for="ch" forName="ParentBackground1" refType="w" fact="0.9652"/>
              <dgm:constr type="t" for="ch" forName="ParentBackground1" refType="h" fact="0.1262"/>
              <dgm:constr type="w" for="ch" forName="ParentBackground1" refType="w" fact="0.1469"/>
              <dgm:constr type="h" for="ch" forName="ParentBackground1" refType="h" fact="0.5319"/>
              <dgm:constr type="r" for="ch" forName="Child1" refType="w" fact="0.9652"/>
              <dgm:constr type="t" for="ch" forName="Child1" refType="h" fact="0.6876"/>
              <dgm:constr type="w" for="ch" forName="Child1" refType="w" fact="0.1469"/>
              <dgm:constr type="h" for="ch" forName="Child1" refType="h" fact="0.3124"/>
            </dgm:constrLst>
          </dgm:if>
          <dgm:if name="Name23" axis="ch" ptType="node" func="cnt" op="equ" val="7">
            <dgm:alg type="composite">
              <dgm:param type="ar" val="4.210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r" for="ch" forName="Parent7" refType="w" fact="0.1128"/>
              <dgm:constr type="t" for="ch" forName="Parent7" refType="h" fact="0.2022"/>
              <dgm:constr type="w" for="ch" forName="Parent7" refType="w" fact="0.0902"/>
              <dgm:constr type="h" for="ch" forName="Parent7" refType="h" fact="0.3799"/>
              <dgm:constr type="r" for="ch" forName="Parent6" refType="w" fact="0.2527"/>
              <dgm:constr type="t" for="ch" forName="Parent6" refType="h" fact="0.2022"/>
              <dgm:constr type="w" for="ch" forName="Parent6" refType="w" fact="0.0902"/>
              <dgm:constr type="h" for="ch" forName="Parent6" refType="h" fact="0.3799"/>
              <dgm:constr type="r" for="ch" forName="Parent5" refType="w" fact="0.3925"/>
              <dgm:constr type="t" for="ch" forName="Parent5" refType="h" fact="0.2022"/>
              <dgm:constr type="w" for="ch" forName="Parent5" refType="w" fact="0.0902"/>
              <dgm:constr type="h" for="ch" forName="Parent5" refType="h" fact="0.3799"/>
              <dgm:constr type="r" for="ch" forName="Parent4" refType="w" fact="0.5324"/>
              <dgm:constr type="t" for="ch" forName="Parent4" refType="h" fact="0.2022"/>
              <dgm:constr type="w" for="ch" forName="Parent4" refType="w" fact="0.0902"/>
              <dgm:constr type="h" for="ch" forName="Parent4" refType="h" fact="0.3799"/>
              <dgm:constr type="r" for="ch" forName="Parent3" refType="w" fact="0.6723"/>
              <dgm:constr type="t" for="ch" forName="Parent3" refType="h" fact="0.2022"/>
              <dgm:constr type="w" for="ch" forName="Parent3" refType="w" fact="0.0902"/>
              <dgm:constr type="h" for="ch" forName="Parent3" refType="h" fact="0.3799"/>
              <dgm:constr type="r" for="ch" forName="Parent2" refType="w" fact="0.8121"/>
              <dgm:constr type="t" for="ch" forName="Parent2" refType="h" fact="0.2022"/>
              <dgm:constr type="w" for="ch" forName="Parent2" refType="w" fact="0.0902"/>
              <dgm:constr type="h" for="ch" forName="Parent2" refType="h" fact="0.3799"/>
              <dgm:constr type="r" for="ch" forName="Parent1" refType="w" fact="0.952"/>
              <dgm:constr type="t" for="ch" forName="Parent1" refType="h" fact="0.2022"/>
              <dgm:constr type="w" for="ch" forName="Parent1" refType="w" fact="0.0902"/>
              <dgm:constr type="h" for="ch" forName="Parent1" refType="h" fact="0.3799"/>
              <dgm:constr type="r" for="ch" forName="Accent7" refType="w" fact="0.1354"/>
              <dgm:constr type="t" for="ch" forName="Accent7" refType="h" fact="0.1072"/>
              <dgm:constr type="w" for="ch" forName="Accent7" refType="w" fact="0.1354"/>
              <dgm:constr type="h" for="ch" forName="Accent7" refType="h" fact="0.5699"/>
              <dgm:constr type="r" for="ch" forName="ParentBackground7" refType="w" fact="0.1308"/>
              <dgm:constr type="t" for="ch" forName="ParentBackground7" refType="h" fact="0.1262"/>
              <dgm:constr type="w" for="ch" forName="ParentBackground7" refType="w" fact="0.1263"/>
              <dgm:constr type="h" for="ch" forName="ParentBackground7" refType="h" fact="0.5319"/>
              <dgm:constr type="r" for="ch" forName="Child7" refType="w" fact="0.1308"/>
              <dgm:constr type="t" for="ch" forName="Child7" refType="h" fact="0.6876"/>
              <dgm:constr type="w" for="ch" forName="Child7" refType="w" fact="0.1263"/>
              <dgm:constr type="h" for="ch" forName="Child7" refType="h" fact="0.3124"/>
              <dgm:constr type="r" for="ch" forName="Accent6" refType="w" fact="0.3033"/>
              <dgm:constr type="t" for="ch" forName="Accent6" refType="h" fact="-0.0109"/>
              <dgm:constr type="w" for="ch" forName="Accent6" refType="w" fact="0.1915"/>
              <dgm:constr type="h" for="ch" forName="Accent6" refType="h" fact="0.806"/>
              <dgm:constr type="r" for="ch" forName="ParentBackground6" refType="w" fact="0.2707"/>
              <dgm:constr type="t" for="ch" forName="ParentBackground6" refType="h" fact="0.1262"/>
              <dgm:constr type="w" for="ch" forName="ParentBackground6" refType="w" fact="0.1263"/>
              <dgm:constr type="h" for="ch" forName="ParentBackground6" refType="h" fact="0.5319"/>
              <dgm:constr type="r" for="ch" forName="Child6" refType="w" fact="0.2707"/>
              <dgm:constr type="t" for="ch" forName="Child6" refType="h" fact="0.6876"/>
              <dgm:constr type="w" for="ch" forName="Child6" refType="w" fact="0.1263"/>
              <dgm:constr type="h" for="ch" forName="Child6" refType="h" fact="0.3124"/>
              <dgm:constr type="r" for="ch" forName="Accent5" refType="w" fact="0.4431"/>
              <dgm:constr type="t" for="ch" forName="Accent5" refType="h" fact="-0.0109"/>
              <dgm:constr type="w" for="ch" forName="Accent5" refType="w" fact="0.1915"/>
              <dgm:constr type="h" for="ch" forName="Accent5" refType="h" fact="0.806"/>
              <dgm:constr type="r" for="ch" forName="ParentBackground5" refType="w" fact="0.4106"/>
              <dgm:constr type="t" for="ch" forName="ParentBackground5" refType="h" fact="0.1262"/>
              <dgm:constr type="w" for="ch" forName="ParentBackground5" refType="w" fact="0.1263"/>
              <dgm:constr type="h" for="ch" forName="ParentBackground5" refType="h" fact="0.5319"/>
              <dgm:constr type="r" for="ch" forName="Child5" refType="w" fact="0.4106"/>
              <dgm:constr type="t" for="ch" forName="Child5" refType="h" fact="0.6876"/>
              <dgm:constr type="w" for="ch" forName="Child5" refType="w" fact="0.1263"/>
              <dgm:constr type="h" for="ch" forName="Child5" refType="h" fact="0.3124"/>
              <dgm:constr type="r" for="ch" forName="Accent4" refType="w" fact="0.583"/>
              <dgm:constr type="t" for="ch" forName="Accent4" refType="h" fact="-0.0109"/>
              <dgm:constr type="w" for="ch" forName="Accent4" refType="w" fact="0.1915"/>
              <dgm:constr type="h" for="ch" forName="Accent4" refType="h" fact="0.806"/>
              <dgm:constr type="r" for="ch" forName="ParentBackground4" refType="w" fact="0.5504"/>
              <dgm:constr type="t" for="ch" forName="ParentBackground4" refType="h" fact="0.1262"/>
              <dgm:constr type="w" for="ch" forName="ParentBackground4" refType="w" fact="0.1263"/>
              <dgm:constr type="h" for="ch" forName="ParentBackground4" refType="h" fact="0.5319"/>
              <dgm:constr type="r" for="ch" forName="Child4" refType="w" fact="0.5504"/>
              <dgm:constr type="t" for="ch" forName="Child4" refType="h" fact="0.6876"/>
              <dgm:constr type="w" for="ch" forName="Child4" refType="w" fact="0.1263"/>
              <dgm:constr type="h" for="ch" forName="Child4" refType="h" fact="0.3124"/>
              <dgm:constr type="r" for="ch" forName="Accent3" refType="w" fact="0.7229"/>
              <dgm:constr type="t" for="ch" forName="Accent3" refType="h" fact="-0.0109"/>
              <dgm:constr type="w" for="ch" forName="Accent3" refType="w" fact="0.1915"/>
              <dgm:constr type="h" for="ch" forName="Accent3" refType="h" fact="0.806"/>
              <dgm:constr type="r" for="ch" forName="ParentBackground3" refType="w" fact="0.6903"/>
              <dgm:constr type="t" for="ch" forName="ParentBackground3" refType="h" fact="0.1262"/>
              <dgm:constr type="w" for="ch" forName="ParentBackground3" refType="w" fact="0.1263"/>
              <dgm:constr type="h" for="ch" forName="ParentBackground3" refType="h" fact="0.5319"/>
              <dgm:constr type="r" for="ch" forName="Child3" refType="w" fact="0.6903"/>
              <dgm:constr type="t" for="ch" forName="Child3" refType="h" fact="0.6876"/>
              <dgm:constr type="w" for="ch" forName="Child3" refType="w" fact="0.1263"/>
              <dgm:constr type="h" for="ch" forName="Child3" refType="h" fact="0.3124"/>
              <dgm:constr type="r" for="ch" forName="Accent2" refType="w" fact="0.8627"/>
              <dgm:constr type="t" for="ch" forName="Accent2" refType="h" fact="-0.0109"/>
              <dgm:constr type="w" for="ch" forName="Accent2" refType="w" fact="0.1915"/>
              <dgm:constr type="h" for="ch" forName="Accent2" refType="h" fact="0.806"/>
              <dgm:constr type="r" for="ch" forName="ParentBackground2" refType="w" fact="0.8302"/>
              <dgm:constr type="t" for="ch" forName="ParentBackground2" refType="h" fact="0.1262"/>
              <dgm:constr type="w" for="ch" forName="ParentBackground2" refType="w" fact="0.1263"/>
              <dgm:constr type="h" for="ch" forName="ParentBackground2" refType="h" fact="0.5319"/>
              <dgm:constr type="r" for="ch" forName="Child2" refType="w" fact="0.8302"/>
              <dgm:constr type="t" for="ch" forName="Child2" refType="h" fact="0.6876"/>
              <dgm:constr type="w" for="ch" forName="Child2" refType="w" fact="0.1263"/>
              <dgm:constr type="h" for="ch" forName="Child2" refType="h" fact="0.3124"/>
              <dgm:constr type="r" for="ch" forName="Accent1" refType="w" fact="1.0026"/>
              <dgm:constr type="t" for="ch" forName="Accent1" refType="h" fact="-0.0109"/>
              <dgm:constr type="w" for="ch" forName="Accent1" refType="w" fact="0.1915"/>
              <dgm:constr type="h" for="ch" forName="Accent1" refType="h" fact="0.806"/>
              <dgm:constr type="r" for="ch" forName="ParentBackground1" refType="w" fact="0.97"/>
              <dgm:constr type="t" for="ch" forName="ParentBackground1" refType="h" fact="0.1262"/>
              <dgm:constr type="w" for="ch" forName="ParentBackground1" refType="w" fact="0.1263"/>
              <dgm:constr type="h" for="ch" forName="ParentBackground1" refType="h" fact="0.5319"/>
              <dgm:constr type="r" for="ch" forName="Child1" refType="w" fact="0.97"/>
              <dgm:constr type="t" for="ch" forName="Child1" refType="h" fact="0.6876"/>
              <dgm:constr type="w" for="ch" forName="Child1" refType="w" fact="0.1263"/>
              <dgm:constr type="h" for="ch" forName="Child1" refType="h" fact="0.3124"/>
            </dgm:constrLst>
          </dgm:if>
          <dgm:if name="Name24" axis="ch" ptType="node" func="cnt" op="equ" val="8">
            <dgm:alg type="composite">
              <dgm:param type="ar" val="4.799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r" for="ch" forName="Parent8" refType="w" fact="0.099"/>
              <dgm:constr type="t" for="ch" forName="Parent8" refType="h" fact="0.2022"/>
              <dgm:constr type="w" for="ch" forName="Parent8" refType="w" fact="0.0792"/>
              <dgm:constr type="h" for="ch" forName="Parent8" refType="h" fact="0.3799"/>
              <dgm:constr type="r" for="ch" forName="Parent7" refType="w" fact="0.2217"/>
              <dgm:constr type="t" for="ch" forName="Parent7" refType="h" fact="0.2022"/>
              <dgm:constr type="w" for="ch" forName="Parent7" refType="w" fact="0.0792"/>
              <dgm:constr type="h" for="ch" forName="Parent7" refType="h" fact="0.3799"/>
              <dgm:constr type="r" for="ch" forName="Parent6" refType="w" fact="0.3444"/>
              <dgm:constr type="t" for="ch" forName="Parent6" refType="h" fact="0.2022"/>
              <dgm:constr type="w" for="ch" forName="Parent6" refType="w" fact="0.0792"/>
              <dgm:constr type="h" for="ch" forName="Parent6" refType="h" fact="0.3799"/>
              <dgm:constr type="r" for="ch" forName="Parent5" refType="w" fact="0.4671"/>
              <dgm:constr type="t" for="ch" forName="Parent5" refType="h" fact="0.2022"/>
              <dgm:constr type="w" for="ch" forName="Parent5" refType="w" fact="0.0792"/>
              <dgm:constr type="h" for="ch" forName="Parent5" refType="h" fact="0.3799"/>
              <dgm:constr type="r" for="ch" forName="Parent4" refType="w" fact="0.5898"/>
              <dgm:constr type="t" for="ch" forName="Parent4" refType="h" fact="0.2022"/>
              <dgm:constr type="w" for="ch" forName="Parent4" refType="w" fact="0.0792"/>
              <dgm:constr type="h" for="ch" forName="Parent4" refType="h" fact="0.3799"/>
              <dgm:constr type="r" for="ch" forName="Parent3" refType="w" fact="0.7125"/>
              <dgm:constr type="t" for="ch" forName="Parent3" refType="h" fact="0.2022"/>
              <dgm:constr type="w" for="ch" forName="Parent3" refType="w" fact="0.0792"/>
              <dgm:constr type="h" for="ch" forName="Parent3" refType="h" fact="0.3799"/>
              <dgm:constr type="r" for="ch" forName="Parent2" refType="w" fact="0.8352"/>
              <dgm:constr type="t" for="ch" forName="Parent2" refType="h" fact="0.2022"/>
              <dgm:constr type="w" for="ch" forName="Parent2" refType="w" fact="0.0792"/>
              <dgm:constr type="h" for="ch" forName="Parent2" refType="h" fact="0.3799"/>
              <dgm:constr type="r" for="ch" forName="Parent1" refType="w" fact="0.9579"/>
              <dgm:constr type="t" for="ch" forName="Parent1" refType="h" fact="0.2022"/>
              <dgm:constr type="w" for="ch" forName="Parent1" refType="w" fact="0.0792"/>
              <dgm:constr type="h" for="ch" forName="Parent1" refType="h" fact="0.3799"/>
              <dgm:constr type="r" for="ch" forName="Accent8" refType="w" fact="0.1187"/>
              <dgm:constr type="t" for="ch" forName="Accent8" refType="h" fact="0.1072"/>
              <dgm:constr type="w" for="ch" forName="Accent8" refType="w" fact="0.1187"/>
              <dgm:constr type="h" for="ch" forName="Accent8" refType="h" fact="0.5699"/>
              <dgm:constr type="r" for="ch" forName="ParentBackground8" refType="w" fact="0.1148"/>
              <dgm:constr type="t" for="ch" forName="ParentBackground8" refType="h" fact="0.1262"/>
              <dgm:constr type="w" for="ch" forName="ParentBackground8" refType="w" fact="0.1108"/>
              <dgm:constr type="h" for="ch" forName="ParentBackground8" refType="h" fact="0.5319"/>
              <dgm:constr type="r" for="ch" forName="Child8" refType="w" fact="0.1148"/>
              <dgm:constr type="t" for="ch" forName="Child8" refType="h" fact="0.6876"/>
              <dgm:constr type="w" for="ch" forName="Child8" refType="w" fact="0.1108"/>
              <dgm:constr type="h" for="ch" forName="Child8" refType="h" fact="0.3124"/>
              <dgm:constr type="r" for="ch" forName="Accent7" refType="w" fact="0.2661"/>
              <dgm:constr type="t" for="ch" forName="Accent7" refType="h" fact="-0.0109"/>
              <dgm:constr type="w" for="ch" forName="Accent7" refType="w" fact="0.1679"/>
              <dgm:constr type="h" for="ch" forName="Accent7" refType="h" fact="0.806"/>
              <dgm:constr type="r" for="ch" forName="ParentBackground7" refType="w" fact="0.2375"/>
              <dgm:constr type="t" for="ch" forName="ParentBackground7" refType="h" fact="0.1262"/>
              <dgm:constr type="w" for="ch" forName="ParentBackground7" refType="w" fact="0.1108"/>
              <dgm:constr type="h" for="ch" forName="ParentBackground7" refType="h" fact="0.5319"/>
              <dgm:constr type="r" for="ch" forName="Child7" refType="w" fact="0.2375"/>
              <dgm:constr type="t" for="ch" forName="Child7" refType="h" fact="0.6876"/>
              <dgm:constr type="w" for="ch" forName="Child7" refType="w" fact="0.1108"/>
              <dgm:constr type="h" for="ch" forName="Child7" refType="h" fact="0.3124"/>
              <dgm:constr type="r" for="ch" forName="Accent6" refType="w" fact="0.3888"/>
              <dgm:constr type="t" for="ch" forName="Accent6" refType="h" fact="-0.0109"/>
              <dgm:constr type="w" for="ch" forName="Accent6" refType="w" fact="0.1679"/>
              <dgm:constr type="h" for="ch" forName="Accent6" refType="h" fact="0.806"/>
              <dgm:constr type="r" for="ch" forName="ParentBackground6" refType="w" fact="0.3602"/>
              <dgm:constr type="t" for="ch" forName="ParentBackground6" refType="h" fact="0.1262"/>
              <dgm:constr type="w" for="ch" forName="ParentBackground6" refType="w" fact="0.1108"/>
              <dgm:constr type="h" for="ch" forName="ParentBackground6" refType="h" fact="0.5319"/>
              <dgm:constr type="r" for="ch" forName="Child6" refType="w" fact="0.3602"/>
              <dgm:constr type="t" for="ch" forName="Child6" refType="h" fact="0.6876"/>
              <dgm:constr type="w" for="ch" forName="Child6" refType="w" fact="0.1108"/>
              <dgm:constr type="h" for="ch" forName="Child6" refType="h" fact="0.3124"/>
              <dgm:constr type="r" for="ch" forName="Accent5" refType="w" fact="0.5115"/>
              <dgm:constr type="t" for="ch" forName="Accent5" refType="h" fact="-0.0109"/>
              <dgm:constr type="w" for="ch" forName="Accent5" refType="w" fact="0.1679"/>
              <dgm:constr type="h" for="ch" forName="Accent5" refType="h" fact="0.806"/>
              <dgm:constr type="r" for="ch" forName="ParentBackground5" refType="w" fact="0.4829"/>
              <dgm:constr type="t" for="ch" forName="ParentBackground5" refType="h" fact="0.1262"/>
              <dgm:constr type="w" for="ch" forName="ParentBackground5" refType="w" fact="0.1108"/>
              <dgm:constr type="h" for="ch" forName="ParentBackground5" refType="h" fact="0.5319"/>
              <dgm:constr type="r" for="ch" forName="Child5" refType="w" fact="0.4829"/>
              <dgm:constr type="t" for="ch" forName="Child5" refType="h" fact="0.6876"/>
              <dgm:constr type="w" for="ch" forName="Child5" refType="w" fact="0.1108"/>
              <dgm:constr type="h" for="ch" forName="Child5" refType="h" fact="0.3124"/>
              <dgm:constr type="r" for="ch" forName="Accent4" refType="w" fact="0.6342"/>
              <dgm:constr type="t" for="ch" forName="Accent4" refType="h" fact="-0.0109"/>
              <dgm:constr type="w" for="ch" forName="Accent4" refType="w" fact="0.1679"/>
              <dgm:constr type="h" for="ch" forName="Accent4" refType="h" fact="0.806"/>
              <dgm:constr type="r" for="ch" forName="ParentBackground4" refType="w" fact="0.6056"/>
              <dgm:constr type="t" for="ch" forName="ParentBackground4" refType="h" fact="0.1262"/>
              <dgm:constr type="w" for="ch" forName="ParentBackground4" refType="w" fact="0.1108"/>
              <dgm:constr type="h" for="ch" forName="ParentBackground4" refType="h" fact="0.5319"/>
              <dgm:constr type="r" for="ch" forName="Child4" refType="w" fact="0.6056"/>
              <dgm:constr type="t" for="ch" forName="Child4" refType="h" fact="0.6876"/>
              <dgm:constr type="w" for="ch" forName="Child4" refType="w" fact="0.1108"/>
              <dgm:constr type="h" for="ch" forName="Child4" refType="h" fact="0.3124"/>
              <dgm:constr type="r" for="ch" forName="Accent3" refType="w" fact="0.7569"/>
              <dgm:constr type="t" for="ch" forName="Accent3" refType="h" fact="-0.0109"/>
              <dgm:constr type="w" for="ch" forName="Accent3" refType="w" fact="0.1679"/>
              <dgm:constr type="h" for="ch" forName="Accent3" refType="h" fact="0.806"/>
              <dgm:constr type="r" for="ch" forName="ParentBackground3" refType="w" fact="0.7283"/>
              <dgm:constr type="t" for="ch" forName="ParentBackground3" refType="h" fact="0.1262"/>
              <dgm:constr type="w" for="ch" forName="ParentBackground3" refType="w" fact="0.1108"/>
              <dgm:constr type="h" for="ch" forName="ParentBackground3" refType="h" fact="0.5319"/>
              <dgm:constr type="r" for="ch" forName="Child3" refType="w" fact="0.7283"/>
              <dgm:constr type="t" for="ch" forName="Child3" refType="h" fact="0.6876"/>
              <dgm:constr type="w" for="ch" forName="Child3" refType="w" fact="0.1108"/>
              <dgm:constr type="h" for="ch" forName="Child3" refType="h" fact="0.3124"/>
              <dgm:constr type="r" for="ch" forName="Accent2" refType="w" fact="0.8796"/>
              <dgm:constr type="t" for="ch" forName="Accent2" refType="h" fact="-0.0109"/>
              <dgm:constr type="w" for="ch" forName="Accent2" refType="w" fact="0.1679"/>
              <dgm:constr type="h" for="ch" forName="Accent2" refType="h" fact="0.806"/>
              <dgm:constr type="r" for="ch" forName="ParentBackground2" refType="w" fact="0.851"/>
              <dgm:constr type="t" for="ch" forName="ParentBackground2" refType="h" fact="0.1262"/>
              <dgm:constr type="w" for="ch" forName="ParentBackground2" refType="w" fact="0.1108"/>
              <dgm:constr type="h" for="ch" forName="ParentBackground2" refType="h" fact="0.5319"/>
              <dgm:constr type="r" for="ch" forName="Child2" refType="w" fact="0.851"/>
              <dgm:constr type="t" for="ch" forName="Child2" refType="h" fact="0.6876"/>
              <dgm:constr type="w" for="ch" forName="Child2" refType="w" fact="0.1108"/>
              <dgm:constr type="h" for="ch" forName="Child2" refType="h" fact="0.3124"/>
              <dgm:constr type="r" for="ch" forName="Accent1" refType="w" fact="1.0023"/>
              <dgm:constr type="t" for="ch" forName="Accent1" refType="h" fact="-0.0109"/>
              <dgm:constr type="w" for="ch" forName="Accent1" refType="w" fact="0.1679"/>
              <dgm:constr type="h" for="ch" forName="Accent1" refType="h" fact="0.806"/>
              <dgm:constr type="r" for="ch" forName="ParentBackground1" refType="w" fact="0.9737"/>
              <dgm:constr type="t" for="ch" forName="ParentBackground1" refType="h" fact="0.1262"/>
              <dgm:constr type="w" for="ch" forName="ParentBackground1" refType="w" fact="0.1108"/>
              <dgm:constr type="h" for="ch" forName="ParentBackground1" refType="h" fact="0.5319"/>
              <dgm:constr type="r" for="ch" forName="Child1" refType="w" fact="0.9737"/>
              <dgm:constr type="t" for="ch" forName="Child1" refType="h" fact="0.6876"/>
              <dgm:constr type="w" for="ch" forName="Child1" refType="w" fact="0.1108"/>
              <dgm:constr type="h" for="ch" forName="Child1" refType="h" fact="0.3124"/>
            </dgm:constrLst>
          </dgm:if>
          <dgm:if name="Name25" axis="ch" ptType="node" func="cnt" op="equ" val="9">
            <dgm:alg type="composite">
              <dgm:param type="ar" val="5.38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r" for="ch" forName="Parent9" refType="w" fact="0.0881"/>
              <dgm:constr type="t" for="ch" forName="Parent9" refType="h" fact="0.2022"/>
              <dgm:constr type="w" for="ch" forName="Parent9" refType="w" fact="0.0705"/>
              <dgm:constr type="h" for="ch" forName="Parent9" refType="h" fact="0.3799"/>
              <dgm:constr type="r" for="ch" forName="Parent8" refType="w" fact="0.1974"/>
              <dgm:constr type="t" for="ch" forName="Parent8" refType="h" fact="0.2022"/>
              <dgm:constr type="w" for="ch" forName="Parent8" refType="w" fact="0.0705"/>
              <dgm:constr type="h" for="ch" forName="Parent8" refType="h" fact="0.3799"/>
              <dgm:constr type="r" for="ch" forName="Parent7" refType="w" fact="0.3067"/>
              <dgm:constr type="t" for="ch" forName="Parent7" refType="h" fact="0.2022"/>
              <dgm:constr type="w" for="ch" forName="Parent7" refType="w" fact="0.0705"/>
              <dgm:constr type="h" for="ch" forName="Parent7" refType="h" fact="0.3799"/>
              <dgm:constr type="r" for="ch" forName="Parent6" refType="w" fact="0.416"/>
              <dgm:constr type="t" for="ch" forName="Parent6" refType="h" fact="0.2022"/>
              <dgm:constr type="w" for="ch" forName="Parent6" refType="w" fact="0.0705"/>
              <dgm:constr type="h" for="ch" forName="Parent6" refType="h" fact="0.3799"/>
              <dgm:constr type="r" for="ch" forName="Parent5" refType="w" fact="0.5253"/>
              <dgm:constr type="t" for="ch" forName="Parent5" refType="h" fact="0.2022"/>
              <dgm:constr type="w" for="ch" forName="Parent5" refType="w" fact="0.0705"/>
              <dgm:constr type="h" for="ch" forName="Parent5" refType="h" fact="0.3799"/>
              <dgm:constr type="r" for="ch" forName="Parent4" refType="w" fact="0.6346"/>
              <dgm:constr type="t" for="ch" forName="Parent4" refType="h" fact="0.2022"/>
              <dgm:constr type="w" for="ch" forName="Parent4" refType="w" fact="0.0705"/>
              <dgm:constr type="h" for="ch" forName="Parent4" refType="h" fact="0.3799"/>
              <dgm:constr type="r" for="ch" forName="Parent3" refType="w" fact="0.7439"/>
              <dgm:constr type="t" for="ch" forName="Parent3" refType="h" fact="0.2022"/>
              <dgm:constr type="w" for="ch" forName="Parent3" refType="w" fact="0.0705"/>
              <dgm:constr type="h" for="ch" forName="Parent3" refType="h" fact="0.3799"/>
              <dgm:constr type="r" for="ch" forName="Parent2" refType="w" fact="0.8532"/>
              <dgm:constr type="t" for="ch" forName="Parent2" refType="h" fact="0.2022"/>
              <dgm:constr type="w" for="ch" forName="Parent2" refType="w" fact="0.0705"/>
              <dgm:constr type="h" for="ch" forName="Parent2" refType="h" fact="0.3799"/>
              <dgm:constr type="r" for="ch" forName="Parent1" refType="w" fact="0.9625"/>
              <dgm:constr type="t" for="ch" forName="Parent1" refType="h" fact="0.2022"/>
              <dgm:constr type="w" for="ch" forName="Parent1" refType="w" fact="0.0705"/>
              <dgm:constr type="h" for="ch" forName="Parent1" refType="h" fact="0.3799"/>
              <dgm:constr type="r" for="ch" forName="Accent9" refType="w" fact="0.1058"/>
              <dgm:constr type="t" for="ch" forName="Accent9" refType="h" fact="0.1072"/>
              <dgm:constr type="w" for="ch" forName="Accent9" refType="w" fact="0.1058"/>
              <dgm:constr type="h" for="ch" forName="Accent9" refType="h" fact="0.5699"/>
              <dgm:constr type="r" for="ch" forName="ParentBackground9" refType="w" fact="0.1022"/>
              <dgm:constr type="t" for="ch" forName="ParentBackground9" refType="h" fact="0.1262"/>
              <dgm:constr type="w" for="ch" forName="ParentBackground9" refType="w" fact="0.0987"/>
              <dgm:constr type="h" for="ch" forName="ParentBackground9" refType="h" fact="0.5319"/>
              <dgm:constr type="r" for="ch" forName="Child9" refType="w" fact="0.1022"/>
              <dgm:constr type="t" for="ch" forName="Child9" refType="h" fact="0.6876"/>
              <dgm:constr type="w" for="ch" forName="Child9" refType="w" fact="0.0987"/>
              <dgm:constr type="h" for="ch" forName="Child9" refType="h" fact="0.3124"/>
              <dgm:constr type="r" for="ch" forName="Accent8" refType="w" fact="0.237"/>
              <dgm:constr type="t" for="ch" forName="Accent8" refType="h" fact="-0.0109"/>
              <dgm:constr type="w" for="ch" forName="Accent8" refType="w" fact="0.1496"/>
              <dgm:constr type="h" for="ch" forName="Accent8" refType="h" fact="0.806"/>
              <dgm:constr type="r" for="ch" forName="ParentBackground8" refType="w" fact="0.2115"/>
              <dgm:constr type="t" for="ch" forName="ParentBackground8" refType="h" fact="0.1262"/>
              <dgm:constr type="w" for="ch" forName="ParentBackground8" refType="w" fact="0.0987"/>
              <dgm:constr type="h" for="ch" forName="ParentBackground8" refType="h" fact="0.5319"/>
              <dgm:constr type="r" for="ch" forName="Child8" refType="w" fact="0.2115"/>
              <dgm:constr type="t" for="ch" forName="Child8" refType="h" fact="0.6876"/>
              <dgm:constr type="w" for="ch" forName="Child8" refType="w" fact="0.0987"/>
              <dgm:constr type="h" for="ch" forName="Child8" refType="h" fact="0.3124"/>
              <dgm:constr type="r" for="ch" forName="Accent7" refType="w" fact="0.3462"/>
              <dgm:constr type="t" for="ch" forName="Accent7" refType="h" fact="-0.0109"/>
              <dgm:constr type="w" for="ch" forName="Accent7" refType="w" fact="0.1496"/>
              <dgm:constr type="h" for="ch" forName="Accent7" refType="h" fact="0.806"/>
              <dgm:constr type="r" for="ch" forName="ParentBackground7" refType="w" fact="0.3208"/>
              <dgm:constr type="t" for="ch" forName="ParentBackground7" refType="h" fact="0.1262"/>
              <dgm:constr type="w" for="ch" forName="ParentBackground7" refType="w" fact="0.0987"/>
              <dgm:constr type="h" for="ch" forName="ParentBackground7" refType="h" fact="0.5319"/>
              <dgm:constr type="r" for="ch" forName="Child7" refType="w" fact="0.3208"/>
              <dgm:constr type="t" for="ch" forName="Child7" refType="h" fact="0.6876"/>
              <dgm:constr type="w" for="ch" forName="Child7" refType="w" fact="0.0987"/>
              <dgm:constr type="h" for="ch" forName="Child7" refType="h" fact="0.3124"/>
              <dgm:constr type="r" for="ch" forName="Accent6" refType="w" fact="0.4555"/>
              <dgm:constr type="t" for="ch" forName="Accent6" refType="h" fact="-0.0109"/>
              <dgm:constr type="w" for="ch" forName="Accent6" refType="w" fact="0.1496"/>
              <dgm:constr type="h" for="ch" forName="Accent6" refType="h" fact="0.806"/>
              <dgm:constr type="r" for="ch" forName="ParentBackground6" refType="w" fact="0.4301"/>
              <dgm:constr type="t" for="ch" forName="ParentBackground6" refType="h" fact="0.1262"/>
              <dgm:constr type="w" for="ch" forName="ParentBackground6" refType="w" fact="0.0987"/>
              <dgm:constr type="h" for="ch" forName="ParentBackground6" refType="h" fact="0.5319"/>
              <dgm:constr type="r" for="ch" forName="Child6" refType="w" fact="0.4301"/>
              <dgm:constr type="t" for="ch" forName="Child6" refType="h" fact="0.6876"/>
              <dgm:constr type="w" for="ch" forName="Child6" refType="w" fact="0.0987"/>
              <dgm:constr type="h" for="ch" forName="Child6" refType="h" fact="0.3124"/>
              <dgm:constr type="r" for="ch" forName="Accent5" refType="w" fact="0.5648"/>
              <dgm:constr type="t" for="ch" forName="Accent5" refType="h" fact="-0.0109"/>
              <dgm:constr type="w" for="ch" forName="Accent5" refType="w" fact="0.1496"/>
              <dgm:constr type="h" for="ch" forName="Accent5" refType="h" fact="0.806"/>
              <dgm:constr type="r" for="ch" forName="ParentBackground5" refType="w" fact="0.5394"/>
              <dgm:constr type="t" for="ch" forName="ParentBackground5" refType="h" fact="0.1262"/>
              <dgm:constr type="w" for="ch" forName="ParentBackground5" refType="w" fact="0.0987"/>
              <dgm:constr type="h" for="ch" forName="ParentBackground5" refType="h" fact="0.5319"/>
              <dgm:constr type="r" for="ch" forName="Child5" refType="w" fact="0.5394"/>
              <dgm:constr type="t" for="ch" forName="Child5" refType="h" fact="0.6876"/>
              <dgm:constr type="w" for="ch" forName="Child5" refType="w" fact="0.0987"/>
              <dgm:constr type="h" for="ch" forName="Child5" refType="h" fact="0.3124"/>
              <dgm:constr type="r" for="ch" forName="Accent4" refType="w" fact="0.6741"/>
              <dgm:constr type="t" for="ch" forName="Accent4" refType="h" fact="-0.0109"/>
              <dgm:constr type="w" for="ch" forName="Accent4" refType="w" fact="0.1496"/>
              <dgm:constr type="h" for="ch" forName="Accent4" refType="h" fact="0.806"/>
              <dgm:constr type="r" for="ch" forName="ParentBackground4" refType="w" fact="0.6487"/>
              <dgm:constr type="t" for="ch" forName="ParentBackground4" refType="h" fact="0.1262"/>
              <dgm:constr type="w" for="ch" forName="ParentBackground4" refType="w" fact="0.0987"/>
              <dgm:constr type="h" for="ch" forName="ParentBackground4" refType="h" fact="0.5319"/>
              <dgm:constr type="r" for="ch" forName="Child4" refType="w" fact="0.6487"/>
              <dgm:constr type="t" for="ch" forName="Child4" refType="h" fact="0.6876"/>
              <dgm:constr type="w" for="ch" forName="Child4" refType="w" fact="0.0987"/>
              <dgm:constr type="h" for="ch" forName="Child4" refType="h" fact="0.3124"/>
              <dgm:constr type="r" for="ch" forName="Accent3" refType="w" fact="0.7834"/>
              <dgm:constr type="t" for="ch" forName="Accent3" refType="h" fact="-0.0109"/>
              <dgm:constr type="w" for="ch" forName="Accent3" refType="w" fact="0.1496"/>
              <dgm:constr type="h" for="ch" forName="Accent3" refType="h" fact="0.806"/>
              <dgm:constr type="r" for="ch" forName="ParentBackground3" refType="w" fact="0.758"/>
              <dgm:constr type="t" for="ch" forName="ParentBackground3" refType="h" fact="0.1262"/>
              <dgm:constr type="w" for="ch" forName="ParentBackground3" refType="w" fact="0.0987"/>
              <dgm:constr type="h" for="ch" forName="ParentBackground3" refType="h" fact="0.5319"/>
              <dgm:constr type="r" for="ch" forName="Child3" refType="w" fact="0.758"/>
              <dgm:constr type="t" for="ch" forName="Child3" refType="h" fact="0.6876"/>
              <dgm:constr type="w" for="ch" forName="Child3" refType="w" fact="0.0987"/>
              <dgm:constr type="h" for="ch" forName="Child3" refType="h" fact="0.3124"/>
              <dgm:constr type="r" for="ch" forName="Accent2" refType="w" fact="0.8927"/>
              <dgm:constr type="t" for="ch" forName="Accent2" refType="h" fact="-0.0109"/>
              <dgm:constr type="w" for="ch" forName="Accent2" refType="w" fact="0.1496"/>
              <dgm:constr type="h" for="ch" forName="Accent2" refType="h" fact="0.806"/>
              <dgm:constr type="r" for="ch" forName="ParentBackground2" refType="w" fact="0.8673"/>
              <dgm:constr type="t" for="ch" forName="ParentBackground2" refType="h" fact="0.1262"/>
              <dgm:constr type="w" for="ch" forName="ParentBackground2" refType="w" fact="0.0987"/>
              <dgm:constr type="h" for="ch" forName="ParentBackground2" refType="h" fact="0.5319"/>
              <dgm:constr type="r" for="ch" forName="Child2" refType="w" fact="0.8673"/>
              <dgm:constr type="t" for="ch" forName="Child2" refType="h" fact="0.6876"/>
              <dgm:constr type="w" for="ch" forName="Child2" refType="w" fact="0.0987"/>
              <dgm:constr type="h" for="ch" forName="Child2" refType="h" fact="0.3124"/>
              <dgm:constr type="r" for="ch" forName="Accent1" refType="w" fact="1.002"/>
              <dgm:constr type="t" for="ch" forName="Accent1" refType="h" fact="-0.0109"/>
              <dgm:constr type="w" for="ch" forName="Accent1" refType="w" fact="0.1496"/>
              <dgm:constr type="h" for="ch" forName="Accent1" refType="h" fact="0.806"/>
              <dgm:constr type="r" for="ch" forName="ParentBackground1" refType="w" fact="0.9765"/>
              <dgm:constr type="t" for="ch" forName="ParentBackground1" refType="h" fact="0.1262"/>
              <dgm:constr type="w" for="ch" forName="ParentBackground1" refType="w" fact="0.0987"/>
              <dgm:constr type="h" for="ch" forName="ParentBackground1" refType="h" fact="0.5319"/>
              <dgm:constr type="r" for="ch" forName="Child1" refType="w" fact="0.9765"/>
              <dgm:constr type="t" for="ch" forName="Child1" refType="h" fact="0.6876"/>
              <dgm:constr type="w" for="ch" forName="Child1" refType="w" fact="0.0987"/>
              <dgm:constr type="h" for="ch" forName="Child1" refType="h" fact="0.3124"/>
            </dgm:constrLst>
          </dgm:if>
          <dgm:if name="Name26" axis="ch" ptType="node" func="cnt" op="equ" val="10">
            <dgm:alg type="composite">
              <dgm:param type="ar" val="5.976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7"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r" for="ch" forName="Parent10" refType="w" fact="0.0795"/>
              <dgm:constr type="t" for="ch" forName="Parent10" refType="h" fact="0.2022"/>
              <dgm:constr type="w" for="ch" forName="Parent10" refType="w" fact="0.0636"/>
              <dgm:constr type="h" for="ch" forName="Parent10" refType="h" fact="0.3799"/>
              <dgm:constr type="r" for="ch" forName="Parent9" refType="w" fact="0.178"/>
              <dgm:constr type="t" for="ch" forName="Parent9" refType="h" fact="0.2022"/>
              <dgm:constr type="w" for="ch" forName="Parent9" refType="w" fact="0.0636"/>
              <dgm:constr type="h" for="ch" forName="Parent9" refType="h" fact="0.3799"/>
              <dgm:constr type="r" for="ch" forName="Parent8" refType="w" fact="0.2765"/>
              <dgm:constr type="t" for="ch" forName="Parent8" refType="h" fact="0.2022"/>
              <dgm:constr type="w" for="ch" forName="Parent8" refType="w" fact="0.0636"/>
              <dgm:constr type="h" for="ch" forName="Parent8" refType="h" fact="0.3799"/>
              <dgm:constr type="r" for="ch" forName="Parent7" refType="w" fact="0.375"/>
              <dgm:constr type="t" for="ch" forName="Parent7" refType="h" fact="0.2022"/>
              <dgm:constr type="w" for="ch" forName="Parent7" refType="w" fact="0.0636"/>
              <dgm:constr type="h" for="ch" forName="Parent7" refType="h" fact="0.3799"/>
              <dgm:constr type="r" for="ch" forName="Parent6" refType="w" fact="0.4736"/>
              <dgm:constr type="t" for="ch" forName="Parent6" refType="h" fact="0.2022"/>
              <dgm:constr type="w" for="ch" forName="Parent6" refType="w" fact="0.0636"/>
              <dgm:constr type="h" for="ch" forName="Parent6" refType="h" fact="0.3799"/>
              <dgm:constr type="r" for="ch" forName="Parent5" refType="w" fact="0.5721"/>
              <dgm:constr type="t" for="ch" forName="Parent5" refType="h" fact="0.2022"/>
              <dgm:constr type="w" for="ch" forName="Parent5" refType="w" fact="0.0636"/>
              <dgm:constr type="h" for="ch" forName="Parent5" refType="h" fact="0.3799"/>
              <dgm:constr type="r" for="ch" forName="Parent4" refType="w" fact="0.6706"/>
              <dgm:constr type="t" for="ch" forName="Parent4" refType="h" fact="0.2022"/>
              <dgm:constr type="w" for="ch" forName="Parent4" refType="w" fact="0.0636"/>
              <dgm:constr type="h" for="ch" forName="Parent4" refType="h" fact="0.3799"/>
              <dgm:constr type="r" for="ch" forName="Parent3" refType="w" fact="0.7691"/>
              <dgm:constr type="t" for="ch" forName="Parent3" refType="h" fact="0.2022"/>
              <dgm:constr type="w" for="ch" forName="Parent3" refType="w" fact="0.0636"/>
              <dgm:constr type="h" for="ch" forName="Parent3" refType="h" fact="0.3799"/>
              <dgm:constr type="r" for="ch" forName="Parent2" refType="w" fact="0.8676"/>
              <dgm:constr type="t" for="ch" forName="Parent2" refType="h" fact="0.2022"/>
              <dgm:constr type="w" for="ch" forName="Parent2" refType="w" fact="0.0636"/>
              <dgm:constr type="h" for="ch" forName="Parent2" refType="h" fact="0.3799"/>
              <dgm:constr type="r" for="ch" forName="Parent1" refType="w" fact="0.9662"/>
              <dgm:constr type="t" for="ch" forName="Parent1" refType="h" fact="0.2022"/>
              <dgm:constr type="w" for="ch" forName="Parent1" refType="w" fact="0.0636"/>
              <dgm:constr type="h" for="ch" forName="Parent1" refType="h" fact="0.3799"/>
              <dgm:constr type="r" for="ch" forName="Accent10" refType="w" fact="0.0953"/>
              <dgm:constr type="t" for="ch" forName="Accent10" refType="h" fact="0.1072"/>
              <dgm:constr type="w" for="ch" forName="Accent10" refType="w" fact="0.0953"/>
              <dgm:constr type="h" for="ch" forName="Accent10" refType="h" fact="0.5699"/>
              <dgm:constr type="r" for="ch" forName="ParentBackground10" refType="w" fact="0.0922"/>
              <dgm:constr type="t" for="ch" forName="ParentBackground10" refType="h" fact="0.1262"/>
              <dgm:constr type="w" for="ch" forName="ParentBackground10" refType="w" fact="0.089"/>
              <dgm:constr type="h" for="ch" forName="ParentBackground10" refType="h" fact="0.5319"/>
              <dgm:constr type="r" for="ch" forName="Child10" refType="w" fact="0.0922"/>
              <dgm:constr type="t" for="ch" forName="Child10" refType="h" fact="0.6876"/>
              <dgm:constr type="w" for="ch" forName="Child10" refType="w" fact="0.089"/>
              <dgm:constr type="h" for="ch" forName="Child10" refType="h" fact="0.3124"/>
              <dgm:constr type="r" for="ch" forName="Accent9" refType="w" fact="0.2136"/>
              <dgm:constr type="t" for="ch" forName="Accent9" refType="h" fact="-0.0109"/>
              <dgm:constr type="w" for="ch" forName="Accent9" refType="w" fact="0.1348"/>
              <dgm:constr type="h" for="ch" forName="Accent9" refType="h" fact="0.806"/>
              <dgm:constr type="r" for="ch" forName="ParentBackground9" refType="w" fact="0.1907"/>
              <dgm:constr type="t" for="ch" forName="ParentBackground9" refType="h" fact="0.1262"/>
              <dgm:constr type="w" for="ch" forName="ParentBackground9" refType="w" fact="0.089"/>
              <dgm:constr type="h" for="ch" forName="ParentBackground9" refType="h" fact="0.5319"/>
              <dgm:constr type="r" for="ch" forName="Child9" refType="w" fact="0.1907"/>
              <dgm:constr type="t" for="ch" forName="Child9" refType="h" fact="0.6876"/>
              <dgm:constr type="w" for="ch" forName="Child9" refType="w" fact="0.089"/>
              <dgm:constr type="h" for="ch" forName="Child9" refType="h" fact="0.3124"/>
              <dgm:constr type="r" for="ch" forName="Accent8" refType="w" fact="0.3121"/>
              <dgm:constr type="t" for="ch" forName="Accent8" refType="h" fact="-0.0109"/>
              <dgm:constr type="w" for="ch" forName="Accent8" refType="w" fact="0.1348"/>
              <dgm:constr type="h" for="ch" forName="Accent8" refType="h" fact="0.806"/>
              <dgm:constr type="r" for="ch" forName="ParentBackground8" refType="w" fact="0.2892"/>
              <dgm:constr type="t" for="ch" forName="ParentBackground8" refType="h" fact="0.1262"/>
              <dgm:constr type="w" for="ch" forName="ParentBackground8" refType="w" fact="0.089"/>
              <dgm:constr type="h" for="ch" forName="ParentBackground8" refType="h" fact="0.5319"/>
              <dgm:constr type="r" for="ch" forName="Child8" refType="w" fact="0.2892"/>
              <dgm:constr type="t" for="ch" forName="Child8" refType="h" fact="0.6876"/>
              <dgm:constr type="w" for="ch" forName="Child8" refType="w" fact="0.089"/>
              <dgm:constr type="h" for="ch" forName="Child8" refType="h" fact="0.3124"/>
              <dgm:constr type="r" for="ch" forName="Accent7" refType="w" fact="0.4107"/>
              <dgm:constr type="t" for="ch" forName="Accent7" refType="h" fact="-0.0109"/>
              <dgm:constr type="w" for="ch" forName="Accent7" refType="w" fact="0.1348"/>
              <dgm:constr type="h" for="ch" forName="Accent7" refType="h" fact="0.806"/>
              <dgm:constr type="r" for="ch" forName="ParentBackground7" refType="w" fact="0.3877"/>
              <dgm:constr type="t" for="ch" forName="ParentBackground7" refType="h" fact="0.1262"/>
              <dgm:constr type="w" for="ch" forName="ParentBackground7" refType="w" fact="0.089"/>
              <dgm:constr type="h" for="ch" forName="ParentBackground7" refType="h" fact="0.5319"/>
              <dgm:constr type="r" for="ch" forName="Child7" refType="w" fact="0.3877"/>
              <dgm:constr type="t" for="ch" forName="Child7" refType="h" fact="0.6876"/>
              <dgm:constr type="w" for="ch" forName="Child7" refType="w" fact="0.089"/>
              <dgm:constr type="h" for="ch" forName="Child7" refType="h" fact="0.3124"/>
              <dgm:constr type="r" for="ch" forName="Accent6" refType="w" fact="0.5092"/>
              <dgm:constr type="t" for="ch" forName="Accent6" refType="h" fact="-0.0109"/>
              <dgm:constr type="w" for="ch" forName="Accent6" refType="w" fact="0.1348"/>
              <dgm:constr type="h" for="ch" forName="Accent6" refType="h" fact="0.806"/>
              <dgm:constr type="r" for="ch" forName="ParentBackground6" refType="w" fact="0.4863"/>
              <dgm:constr type="t" for="ch" forName="ParentBackground6" refType="h" fact="0.1262"/>
              <dgm:constr type="w" for="ch" forName="ParentBackground6" refType="w" fact="0.089"/>
              <dgm:constr type="h" for="ch" forName="ParentBackground6" refType="h" fact="0.5319"/>
              <dgm:constr type="r" for="ch" forName="Child6" refType="w" fact="0.4863"/>
              <dgm:constr type="t" for="ch" forName="Child6" refType="h" fact="0.6876"/>
              <dgm:constr type="w" for="ch" forName="Child6" refType="w" fact="0.089"/>
              <dgm:constr type="h" for="ch" forName="Child6" refType="h" fact="0.3124"/>
              <dgm:constr type="r" for="ch" forName="Accent5" refType="w" fact="0.6077"/>
              <dgm:constr type="t" for="ch" forName="Accent5" refType="h" fact="-0.0109"/>
              <dgm:constr type="w" for="ch" forName="Accent5" refType="w" fact="0.1348"/>
              <dgm:constr type="h" for="ch" forName="Accent5" refType="h" fact="0.806"/>
              <dgm:constr type="r" for="ch" forName="ParentBackground5" refType="w" fact="0.5848"/>
              <dgm:constr type="t" for="ch" forName="ParentBackground5" refType="h" fact="0.1262"/>
              <dgm:constr type="w" for="ch" forName="ParentBackground5" refType="w" fact="0.089"/>
              <dgm:constr type="h" for="ch" forName="ParentBackground5" refType="h" fact="0.5319"/>
              <dgm:constr type="r" for="ch" forName="Child5" refType="w" fact="0.5848"/>
              <dgm:constr type="t" for="ch" forName="Child5" refType="h" fact="0.6876"/>
              <dgm:constr type="w" for="ch" forName="Child5" refType="w" fact="0.089"/>
              <dgm:constr type="h" for="ch" forName="Child5" refType="h" fact="0.3124"/>
              <dgm:constr type="r" for="ch" forName="Accent4" refType="w" fact="0.7062"/>
              <dgm:constr type="t" for="ch" forName="Accent4" refType="h" fact="-0.0109"/>
              <dgm:constr type="w" for="ch" forName="Accent4" refType="w" fact="0.1348"/>
              <dgm:constr type="h" for="ch" forName="Accent4" refType="h" fact="0.806"/>
              <dgm:constr type="r" for="ch" forName="ParentBackground4" refType="w" fact="0.6833"/>
              <dgm:constr type="t" for="ch" forName="ParentBackground4" refType="h" fact="0.1262"/>
              <dgm:constr type="w" for="ch" forName="ParentBackground4" refType="w" fact="0.089"/>
              <dgm:constr type="h" for="ch" forName="ParentBackground4" refType="h" fact="0.5319"/>
              <dgm:constr type="r" for="ch" forName="Child4" refType="w" fact="0.6833"/>
              <dgm:constr type="t" for="ch" forName="Child4" refType="h" fact="0.6876"/>
              <dgm:constr type="w" for="ch" forName="Child4" refType="w" fact="0.089"/>
              <dgm:constr type="h" for="ch" forName="Child4" refType="h" fact="0.3124"/>
              <dgm:constr type="r" for="ch" forName="Accent3" refType="w" fact="0.8048"/>
              <dgm:constr type="t" for="ch" forName="Accent3" refType="h" fact="-0.0109"/>
              <dgm:constr type="w" for="ch" forName="Accent3" refType="w" fact="0.1348"/>
              <dgm:constr type="h" for="ch" forName="Accent3" refType="h" fact="0.806"/>
              <dgm:constr type="r" for="ch" forName="ParentBackground3" refType="w" fact="0.7818"/>
              <dgm:constr type="t" for="ch" forName="ParentBackground3" refType="h" fact="0.1262"/>
              <dgm:constr type="w" for="ch" forName="ParentBackground3" refType="w" fact="0.089"/>
              <dgm:constr type="h" for="ch" forName="ParentBackground3" refType="h" fact="0.5319"/>
              <dgm:constr type="r" for="ch" forName="Child3" refType="w" fact="0.7818"/>
              <dgm:constr type="t" for="ch" forName="Child3" refType="h" fact="0.6876"/>
              <dgm:constr type="w" for="ch" forName="Child3" refType="w" fact="0.089"/>
              <dgm:constr type="h" for="ch" forName="Child3" refType="h" fact="0.3124"/>
              <dgm:constr type="r" for="ch" forName="Accent2" refType="w" fact="0.9033"/>
              <dgm:constr type="t" for="ch" forName="Accent2" refType="h" fact="-0.0109"/>
              <dgm:constr type="w" for="ch" forName="Accent2" refType="w" fact="0.1348"/>
              <dgm:constr type="h" for="ch" forName="Accent2" refType="h" fact="0.806"/>
              <dgm:constr type="r" for="ch" forName="ParentBackground2" refType="w" fact="0.8804"/>
              <dgm:constr type="t" for="ch" forName="ParentBackground2" refType="h" fact="0.1262"/>
              <dgm:constr type="w" for="ch" forName="ParentBackground2" refType="w" fact="0.089"/>
              <dgm:constr type="h" for="ch" forName="ParentBackground2" refType="h" fact="0.5319"/>
              <dgm:constr type="r" for="ch" forName="Child2" refType="w" fact="0.8804"/>
              <dgm:constr type="t" for="ch" forName="Child2" refType="h" fact="0.6876"/>
              <dgm:constr type="w" for="ch" forName="Child2" refType="w" fact="0.089"/>
              <dgm:constr type="h" for="ch" forName="Child2" refType="h" fact="0.3124"/>
              <dgm:constr type="r" for="ch" forName="Accent1" refType="w" fact="1.0018"/>
              <dgm:constr type="t" for="ch" forName="Accent1" refType="h" fact="-0.0109"/>
              <dgm:constr type="w" for="ch" forName="Accent1" refType="w" fact="0.1348"/>
              <dgm:constr type="h" for="ch" forName="Accent1" refType="h" fact="0.806"/>
              <dgm:constr type="r" for="ch" forName="ParentBackground1" refType="w" fact="0.9789"/>
              <dgm:constr type="t" for="ch" forName="ParentBackground1" refType="h" fact="0.1262"/>
              <dgm:constr type="w" for="ch" forName="ParentBackground1" refType="w" fact="0.089"/>
              <dgm:constr type="h" for="ch" forName="ParentBackground1" refType="h" fact="0.5319"/>
              <dgm:constr type="r" for="ch" forName="Child1" refType="w" fact="0.9789"/>
              <dgm:constr type="t" for="ch" forName="Child1" refType="h" fact="0.6876"/>
              <dgm:constr type="w" for="ch" forName="Child1" refType="w" fact="0.089"/>
              <dgm:constr type="h" for="ch" forName="Child1" refType="h" fact="0.3124"/>
            </dgm:constrLst>
          </dgm:if>
          <dgm:else name="Name27">
            <dgm:alg type="composite">
              <dgm:param type="ar" val="6.565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1"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1"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1"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1"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1"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6" op="lte"/>
              <dgm:constr type="primFontSz" for="des" forName="Child11"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1"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1"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1"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Child11" refType="primFontSz" refFor="des" refForName="Parent10" op="lte"/>
              <dgm:constr type="primFontSz" for="des" forName="Child1" refType="primFontSz" refFor="des" refForName="Parent11" op="lte"/>
              <dgm:constr type="primFontSz" for="des" forName="Child2" refType="primFontSz" refFor="des" refForName="Parent11" op="lte"/>
              <dgm:constr type="primFontSz" for="des" forName="Child3" refType="primFontSz" refFor="des" refForName="Parent11" op="lte"/>
              <dgm:constr type="primFontSz" for="des" forName="Child4" refType="primFontSz" refFor="des" refForName="Parent11" op="lte"/>
              <dgm:constr type="primFontSz" for="des" forName="Child5" refType="primFontSz" refFor="des" refForName="Parent11" op="lte"/>
              <dgm:constr type="primFontSz" for="des" forName="Child6" refType="primFontSz" refFor="des" refForName="Parent11" op="lte"/>
              <dgm:constr type="primFontSz" for="des" forName="Child7" refType="primFontSz" refFor="des" refForName="Parent11" op="lte"/>
              <dgm:constr type="primFontSz" for="des" forName="Child8" refType="primFontSz" refFor="des" refForName="Parent11" op="lte"/>
              <dgm:constr type="primFontSz" for="des" forName="Child9" refType="primFontSz" refFor="des" refForName="Parent11" op="lte"/>
              <dgm:constr type="primFontSz" for="des" forName="Child10" refType="primFontSz" refFor="des" refForName="Parent11" op="lte"/>
              <dgm:constr type="primFontSz" for="des" forName="Child11" refType="primFontSz" refFor="des" refForName="Parent11"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Parent11"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primFontSz" for="des" forName="Child11" refType="primFontSz" refFor="des" refForName="Child1" op="equ"/>
              <dgm:constr type="r" for="ch" forName="Parent11" refType="w" fact="0.0723"/>
              <dgm:constr type="t" for="ch" forName="Parent11" refType="h" fact="0.2022"/>
              <dgm:constr type="w" for="ch" forName="Parent11" refType="w" fact="0.0579"/>
              <dgm:constr type="h" for="ch" forName="Parent11" refType="h" fact="0.3799"/>
              <dgm:constr type="r" for="ch" forName="Parent10" refType="w" fact="0.162"/>
              <dgm:constr type="t" for="ch" forName="Parent10" refType="h" fact="0.2022"/>
              <dgm:constr type="w" for="ch" forName="Parent10" refType="w" fact="0.0579"/>
              <dgm:constr type="h" for="ch" forName="Parent10" refType="h" fact="0.3799"/>
              <dgm:constr type="r" for="ch" forName="Parent9" refType="w" fact="0.2517"/>
              <dgm:constr type="t" for="ch" forName="Parent9" refType="h" fact="0.2022"/>
              <dgm:constr type="w" for="ch" forName="Parent9" refType="w" fact="0.0579"/>
              <dgm:constr type="h" for="ch" forName="Parent9" refType="h" fact="0.3799"/>
              <dgm:constr type="r" for="ch" forName="Parent8" refType="w" fact="0.3414"/>
              <dgm:constr type="t" for="ch" forName="Parent8" refType="h" fact="0.2022"/>
              <dgm:constr type="w" for="ch" forName="Parent8" refType="w" fact="0.0579"/>
              <dgm:constr type="h" for="ch" forName="Parent8" refType="h" fact="0.3799"/>
              <dgm:constr type="r" for="ch" forName="Parent7" refType="w" fact="0.4311"/>
              <dgm:constr type="t" for="ch" forName="Parent7" refType="h" fact="0.2022"/>
              <dgm:constr type="w" for="ch" forName="Parent7" refType="w" fact="0.0579"/>
              <dgm:constr type="h" for="ch" forName="Parent7" refType="h" fact="0.3799"/>
              <dgm:constr type="r" for="ch" forName="Parent6" refType="w" fact="0.5208"/>
              <dgm:constr type="t" for="ch" forName="Parent6" refType="h" fact="0.2022"/>
              <dgm:constr type="w" for="ch" forName="Parent6" refType="w" fact="0.0579"/>
              <dgm:constr type="h" for="ch" forName="Parent6" refType="h" fact="0.3799"/>
              <dgm:constr type="r" for="ch" forName="Parent5" refType="w" fact="0.6105"/>
              <dgm:constr type="t" for="ch" forName="Parent5" refType="h" fact="0.2022"/>
              <dgm:constr type="w" for="ch" forName="Parent5" refType="w" fact="0.0579"/>
              <dgm:constr type="h" for="ch" forName="Parent5" refType="h" fact="0.3799"/>
              <dgm:constr type="r" for="ch" forName="Parent4" refType="w" fact="0.7001"/>
              <dgm:constr type="t" for="ch" forName="Parent4" refType="h" fact="0.2022"/>
              <dgm:constr type="w" for="ch" forName="Parent4" refType="w" fact="0.0579"/>
              <dgm:constr type="h" for="ch" forName="Parent4" refType="h" fact="0.3799"/>
              <dgm:constr type="r" for="ch" forName="Parent3" refType="w" fact="0.7898"/>
              <dgm:constr type="t" for="ch" forName="Parent3" refType="h" fact="0.2022"/>
              <dgm:constr type="w" for="ch" forName="Parent3" refType="w" fact="0.0579"/>
              <dgm:constr type="h" for="ch" forName="Parent3" refType="h" fact="0.3799"/>
              <dgm:constr type="r" for="ch" forName="Parent2" refType="w" fact="0.8795"/>
              <dgm:constr type="t" for="ch" forName="Parent2" refType="h" fact="0.2022"/>
              <dgm:constr type="w" for="ch" forName="Parent2" refType="w" fact="0.0579"/>
              <dgm:constr type="h" for="ch" forName="Parent2" refType="h" fact="0.3799"/>
              <dgm:constr type="r" for="ch" forName="Parent1" refType="w" fact="0.9692"/>
              <dgm:constr type="t" for="ch" forName="Parent1" refType="h" fact="0.2022"/>
              <dgm:constr type="w" for="ch" forName="Parent1" refType="w" fact="0.0579"/>
              <dgm:constr type="h" for="ch" forName="Parent1" refType="h" fact="0.3799"/>
              <dgm:constr type="r" for="ch" forName="Accent11" refType="w" fact="0.0868"/>
              <dgm:constr type="t" for="ch" forName="Accent11" refType="h" fact="0.1072"/>
              <dgm:constr type="w" for="ch" forName="Accent11" refType="w" fact="0.0868"/>
              <dgm:constr type="h" for="ch" forName="Accent11" refType="h" fact="0.5699"/>
              <dgm:constr type="r" for="ch" forName="ParentBackground11" refType="w" fact="0.0839"/>
              <dgm:constr type="t" for="ch" forName="ParentBackground11" refType="h" fact="0.1262"/>
              <dgm:constr type="w" for="ch" forName="ParentBackground11" refType="w" fact="0.081"/>
              <dgm:constr type="h" for="ch" forName="ParentBackground11" refType="h" fact="0.5319"/>
              <dgm:constr type="r" for="ch" forName="Child11" refType="w" fact="0.0839"/>
              <dgm:constr type="t" for="ch" forName="Child11" refType="h" fact="0.6876"/>
              <dgm:constr type="w" for="ch" forName="Child11" refType="w" fact="0.081"/>
              <dgm:constr type="h" for="ch" forName="Child11" refType="h" fact="0.3124"/>
              <dgm:constr type="r" for="ch" forName="Accent10" refType="w" fact="0.1945"/>
              <dgm:constr type="t" for="ch" forName="Accent10" refType="h" fact="-0.0109"/>
              <dgm:constr type="w" for="ch" forName="Accent10" refType="w" fact="0.1228"/>
              <dgm:constr type="h" for="ch" forName="Accent10" refType="h" fact="0.806"/>
              <dgm:constr type="r" for="ch" forName="ParentBackground10" refType="w" fact="0.1736"/>
              <dgm:constr type="t" for="ch" forName="ParentBackground10" refType="h" fact="0.1262"/>
              <dgm:constr type="w" for="ch" forName="ParentBackground10" refType="w" fact="0.081"/>
              <dgm:constr type="h" for="ch" forName="ParentBackground10" refType="h" fact="0.5319"/>
              <dgm:constr type="r" for="ch" forName="Child10" refType="w" fact="0.1736"/>
              <dgm:constr type="t" for="ch" forName="Child10" refType="h" fact="0.6876"/>
              <dgm:constr type="w" for="ch" forName="Child10" refType="w" fact="0.081"/>
              <dgm:constr type="h" for="ch" forName="Child10" refType="h" fact="0.3124"/>
              <dgm:constr type="r" for="ch" forName="Accent9" refType="w" fact="0.2842"/>
              <dgm:constr type="t" for="ch" forName="Accent9" refType="h" fact="-0.0109"/>
              <dgm:constr type="w" for="ch" forName="Accent9" refType="w" fact="0.1228"/>
              <dgm:constr type="h" for="ch" forName="Accent9" refType="h" fact="0.806"/>
              <dgm:constr type="r" for="ch" forName="ParentBackground9" refType="w" fact="0.2633"/>
              <dgm:constr type="t" for="ch" forName="ParentBackground9" refType="h" fact="0.1262"/>
              <dgm:constr type="w" for="ch" forName="ParentBackground9" refType="w" fact="0.081"/>
              <dgm:constr type="h" for="ch" forName="ParentBackground9" refType="h" fact="0.5319"/>
              <dgm:constr type="r" for="ch" forName="Child9" refType="w" fact="0.2633"/>
              <dgm:constr type="t" for="ch" forName="Child9" refType="h" fact="0.6876"/>
              <dgm:constr type="w" for="ch" forName="Child9" refType="w" fact="0.081"/>
              <dgm:constr type="h" for="ch" forName="Child9" refType="h" fact="0.3124"/>
              <dgm:constr type="r" for="ch" forName="Accent8" refType="w" fact="0.3739"/>
              <dgm:constr type="t" for="ch" forName="Accent8" refType="h" fact="-0.0109"/>
              <dgm:constr type="w" for="ch" forName="Accent8" refType="w" fact="0.1228"/>
              <dgm:constr type="h" for="ch" forName="Accent8" refType="h" fact="0.806"/>
              <dgm:constr type="r" for="ch" forName="ParentBackground8" refType="w" fact="0.353"/>
              <dgm:constr type="t" for="ch" forName="ParentBackground8" refType="h" fact="0.1262"/>
              <dgm:constr type="w" for="ch" forName="ParentBackground8" refType="w" fact="0.081"/>
              <dgm:constr type="h" for="ch" forName="ParentBackground8" refType="h" fact="0.5319"/>
              <dgm:constr type="r" for="ch" forName="Child8" refType="w" fact="0.353"/>
              <dgm:constr type="t" for="ch" forName="Child8" refType="h" fact="0.6876"/>
              <dgm:constr type="w" for="ch" forName="Child8" refType="w" fact="0.081"/>
              <dgm:constr type="h" for="ch" forName="Child8" refType="h" fact="0.3124"/>
              <dgm:constr type="r" for="ch" forName="Accent7" refType="w" fact="0.4636"/>
              <dgm:constr type="t" for="ch" forName="Accent7" refType="h" fact="-0.0109"/>
              <dgm:constr type="w" for="ch" forName="Accent7" refType="w" fact="0.1228"/>
              <dgm:constr type="h" for="ch" forName="Accent7" refType="h" fact="0.806"/>
              <dgm:constr type="r" for="ch" forName="ParentBackground7" refType="w" fact="0.4427"/>
              <dgm:constr type="t" for="ch" forName="ParentBackground7" refType="h" fact="0.1262"/>
              <dgm:constr type="w" for="ch" forName="ParentBackground7" refType="w" fact="0.081"/>
              <dgm:constr type="h" for="ch" forName="ParentBackground7" refType="h" fact="0.5319"/>
              <dgm:constr type="r" for="ch" forName="Child7" refType="w" fact="0.4427"/>
              <dgm:constr type="t" for="ch" forName="Child7" refType="h" fact="0.6876"/>
              <dgm:constr type="w" for="ch" forName="Child7" refType="w" fact="0.081"/>
              <dgm:constr type="h" for="ch" forName="Child7" refType="h" fact="0.3124"/>
              <dgm:constr type="r" for="ch" forName="Accent6" refType="w" fact="0.5533"/>
              <dgm:constr type="t" for="ch" forName="Accent6" refType="h" fact="-0.0109"/>
              <dgm:constr type="w" for="ch" forName="Accent6" refType="w" fact="0.1228"/>
              <dgm:constr type="h" for="ch" forName="Accent6" refType="h" fact="0.806"/>
              <dgm:constr type="r" for="ch" forName="ParentBackground6" refType="w" fact="0.5323"/>
              <dgm:constr type="t" for="ch" forName="ParentBackground6" refType="h" fact="0.1262"/>
              <dgm:constr type="w" for="ch" forName="ParentBackground6" refType="w" fact="0.081"/>
              <dgm:constr type="h" for="ch" forName="ParentBackground6" refType="h" fact="0.5319"/>
              <dgm:constr type="r" for="ch" forName="Child6" refType="w" fact="0.5323"/>
              <dgm:constr type="t" for="ch" forName="Child6" refType="h" fact="0.6876"/>
              <dgm:constr type="w" for="ch" forName="Child6" refType="w" fact="0.081"/>
              <dgm:constr type="h" for="ch" forName="Child6" refType="h" fact="0.3124"/>
              <dgm:constr type="r" for="ch" forName="Accent5" refType="w" fact="0.6429"/>
              <dgm:constr type="t" for="ch" forName="Accent5" refType="h" fact="-0.0109"/>
              <dgm:constr type="w" for="ch" forName="Accent5" refType="w" fact="0.1228"/>
              <dgm:constr type="h" for="ch" forName="Accent5" refType="h" fact="0.806"/>
              <dgm:constr type="r" for="ch" forName="ParentBackground5" refType="w" fact="0.622"/>
              <dgm:constr type="t" for="ch" forName="ParentBackground5" refType="h" fact="0.1262"/>
              <dgm:constr type="w" for="ch" forName="ParentBackground5" refType="w" fact="0.081"/>
              <dgm:constr type="h" for="ch" forName="ParentBackground5" refType="h" fact="0.5319"/>
              <dgm:constr type="r" for="ch" forName="Child5" refType="w" fact="0.622"/>
              <dgm:constr type="t" for="ch" forName="Child5" refType="h" fact="0.6876"/>
              <dgm:constr type="w" for="ch" forName="Child5" refType="w" fact="0.081"/>
              <dgm:constr type="h" for="ch" forName="Child5" refType="h" fact="0.3124"/>
              <dgm:constr type="r" for="ch" forName="Accent4" refType="w" fact="0.7326"/>
              <dgm:constr type="t" for="ch" forName="Accent4" refType="h" fact="-0.0109"/>
              <dgm:constr type="w" for="ch" forName="Accent4" refType="w" fact="0.1228"/>
              <dgm:constr type="h" for="ch" forName="Accent4" refType="h" fact="0.806"/>
              <dgm:constr type="r" for="ch" forName="ParentBackground4" refType="w" fact="0.7117"/>
              <dgm:constr type="t" for="ch" forName="ParentBackground4" refType="h" fact="0.1262"/>
              <dgm:constr type="w" for="ch" forName="ParentBackground4" refType="w" fact="0.081"/>
              <dgm:constr type="h" for="ch" forName="ParentBackground4" refType="h" fact="0.5319"/>
              <dgm:constr type="r" for="ch" forName="Child4" refType="w" fact="0.7117"/>
              <dgm:constr type="t" for="ch" forName="Child4" refType="h" fact="0.6876"/>
              <dgm:constr type="w" for="ch" forName="Child4" refType="w" fact="0.081"/>
              <dgm:constr type="h" for="ch" forName="Child4" refType="h" fact="0.3124"/>
              <dgm:constr type="r" for="ch" forName="Accent3" refType="w" fact="0.8223"/>
              <dgm:constr type="t" for="ch" forName="Accent3" refType="h" fact="-0.0109"/>
              <dgm:constr type="w" for="ch" forName="Accent3" refType="w" fact="0.1228"/>
              <dgm:constr type="h" for="ch" forName="Accent3" refType="h" fact="0.806"/>
              <dgm:constr type="r" for="ch" forName="ParentBackground3" refType="w" fact="0.8014"/>
              <dgm:constr type="t" for="ch" forName="ParentBackground3" refType="h" fact="0.1262"/>
              <dgm:constr type="w" for="ch" forName="ParentBackground3" refType="w" fact="0.081"/>
              <dgm:constr type="h" for="ch" forName="ParentBackground3" refType="h" fact="0.5319"/>
              <dgm:constr type="r" for="ch" forName="Child3" refType="w" fact="0.8014"/>
              <dgm:constr type="t" for="ch" forName="Child3" refType="h" fact="0.6876"/>
              <dgm:constr type="w" for="ch" forName="Child3" refType="w" fact="0.081"/>
              <dgm:constr type="h" for="ch" forName="Child3" refType="h" fact="0.3124"/>
              <dgm:constr type="r" for="ch" forName="Accent2" refType="w" fact="0.912"/>
              <dgm:constr type="t" for="ch" forName="Accent2" refType="h" fact="-0.0109"/>
              <dgm:constr type="w" for="ch" forName="Accent2" refType="w" fact="0.1228"/>
              <dgm:constr type="h" for="ch" forName="Accent2" refType="h" fact="0.806"/>
              <dgm:constr type="r" for="ch" forName="ParentBackground2" refType="w" fact="0.8911"/>
              <dgm:constr type="t" for="ch" forName="ParentBackground2" refType="h" fact="0.1262"/>
              <dgm:constr type="w" for="ch" forName="ParentBackground2" refType="w" fact="0.081"/>
              <dgm:constr type="h" for="ch" forName="ParentBackground2" refType="h" fact="0.5319"/>
              <dgm:constr type="r" for="ch" forName="Child2" refType="w" fact="0.8911"/>
              <dgm:constr type="t" for="ch" forName="Child2" refType="h" fact="0.6876"/>
              <dgm:constr type="w" for="ch" forName="Child2" refType="w" fact="0.081"/>
              <dgm:constr type="h" for="ch" forName="Child2" refType="h" fact="0.3124"/>
              <dgm:constr type="r" for="ch" forName="Accent1" refType="w" fact="1.0017"/>
              <dgm:constr type="t" for="ch" forName="Accent1" refType="h" fact="-0.0109"/>
              <dgm:constr type="w" for="ch" forName="Accent1" refType="w" fact="0.1228"/>
              <dgm:constr type="h" for="ch" forName="Accent1" refType="h" fact="0.806"/>
              <dgm:constr type="r" for="ch" forName="ParentBackground1" refType="w" fact="0.9808"/>
              <dgm:constr type="t" for="ch" forName="ParentBackground1" refType="h" fact="0.1262"/>
              <dgm:constr type="w" for="ch" forName="ParentBackground1" refType="w" fact="0.081"/>
              <dgm:constr type="h" for="ch" forName="ParentBackground1" refType="h" fact="0.5319"/>
              <dgm:constr type="r" for="ch" forName="Child1" refType="w" fact="0.9808"/>
              <dgm:constr type="t" for="ch" forName="Child1" refType="h" fact="0.6876"/>
              <dgm:constr type="w" for="ch" forName="Child1" refType="w" fact="0.081"/>
              <dgm:constr type="h" for="ch" forName="Child1" refType="h" fact="0.3124"/>
            </dgm:constrLst>
          </dgm:else>
        </dgm:choose>
      </dgm:else>
    </dgm:choose>
    <dgm:forEach name="wrapper" axis="self" ptType="parTrans">
      <dgm:forEach name="accentRepeat" axis="self">
        <dgm:layoutNode name="Accent" styleLbl="node1">
          <dgm:alg type="sp"/>
          <dgm:choose name="Name28">
            <dgm:if name="Name29" axis="followSib" ptType="node" func="cnt" op="equ" val="0">
              <dgm:shape xmlns:r="http://schemas.openxmlformats.org/officeDocument/2006/relationships" type="ellipse" r:blip="">
                <dgm:adjLst/>
              </dgm:shape>
            </dgm:if>
            <dgm:else name="Name30">
              <dgm:choose name="Name31">
                <dgm:if name="Name32" axis="precedSib" ptType="node" func="cnt" op="equ" val="10">
                  <dgm:shape xmlns:r="http://schemas.openxmlformats.org/officeDocument/2006/relationships" type="ellipse" r:blip="">
                    <dgm:adjLst/>
                  </dgm:shape>
                </dgm:if>
                <dgm:else name="Name33">
                  <dgm:choose name="Name34">
                    <dgm:if name="Name35" func="var" arg="dir" op="equ" val="norm">
                      <dgm:shape xmlns:r="http://schemas.openxmlformats.org/officeDocument/2006/relationships" rot="45" type="teardrop" r:blip="">
                        <dgm:adjLst>
                          <dgm:adj idx="1" val="1"/>
                        </dgm:adjLst>
                      </dgm:shape>
                    </dgm:if>
                    <dgm:else name="Name36">
                      <dgm:shape xmlns:r="http://schemas.openxmlformats.org/officeDocument/2006/relationships" rot="225" type="teardrop" r:blip="">
                        <dgm:adjLst>
                          <dgm:adj idx="1" val="1"/>
                        </dgm:adjLst>
                      </dgm:shape>
                    </dgm:else>
                  </dgm:choose>
                </dgm:else>
              </dgm:choose>
            </dgm:else>
          </dgm:choose>
          <dgm:presOf/>
        </dgm:layoutNode>
      </dgm:forEach>
      <dgm:forEach name="parentBackgroundRepeat" axis="self">
        <dgm:layoutNode name="ParentBackground" styleLbl="fgAcc1">
          <dgm:alg type="sp"/>
          <dgm:shape xmlns:r="http://schemas.openxmlformats.org/officeDocument/2006/relationships" type="ellipse" r:blip="">
            <dgm:adjLst/>
          </dgm:shape>
          <dgm:presOf axis="self" ptType="node"/>
        </dgm:layoutNode>
      </dgm:forEach>
    </dgm:forEach>
    <dgm:forEach name="Name37" axis="ch" ptType="node" st="11" cnt="1">
      <dgm:layoutNode name="Accent11">
        <dgm:alg type="sp"/>
        <dgm:shape xmlns:r="http://schemas.openxmlformats.org/officeDocument/2006/relationships" r:blip="">
          <dgm:adjLst/>
        </dgm:shape>
        <dgm:presOf/>
        <dgm:constrLst/>
        <dgm:forEach name="Name38" ref="accentRepeat"/>
      </dgm:layoutNode>
      <dgm:layoutNode name="ParentBackground11">
        <dgm:alg type="sp"/>
        <dgm:shape xmlns:r="http://schemas.openxmlformats.org/officeDocument/2006/relationships" r:blip="">
          <dgm:adjLst/>
        </dgm:shape>
        <dgm:presOf/>
        <dgm:forEach name="Name39" ref="parentBackgroundRepeat"/>
      </dgm:layoutNode>
      <dgm:choose name="Name40">
        <dgm:if name="Name41" axis="ch" ptType="node" func="cnt" op="gte" val="1">
          <dgm:layoutNode name="Child11"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2"/>
      </dgm:choose>
      <dgm:layoutNode name="Parent11"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43" axis="ch" ptType="node" st="10" cnt="1">
      <dgm:layoutNode name="Accent10">
        <dgm:alg type="sp"/>
        <dgm:shape xmlns:r="http://schemas.openxmlformats.org/officeDocument/2006/relationships" r:blip="">
          <dgm:adjLst/>
        </dgm:shape>
        <dgm:presOf/>
        <dgm:constrLst/>
        <dgm:forEach name="Name44" ref="accentRepeat"/>
      </dgm:layoutNode>
      <dgm:layoutNode name="ParentBackground10">
        <dgm:alg type="sp"/>
        <dgm:shape xmlns:r="http://schemas.openxmlformats.org/officeDocument/2006/relationships" r:blip="">
          <dgm:adjLst/>
        </dgm:shape>
        <dgm:presOf/>
        <dgm:forEach name="Name45" ref="parentBackgroundRepeat"/>
      </dgm:layoutNode>
      <dgm:choose name="Name46">
        <dgm:if name="Name47" axis="ch" ptType="node" func="cnt" op="gte" val="1">
          <dgm:layoutNode name="Child10"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8"/>
      </dgm:choose>
      <dgm:layoutNode name="Parent10"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49" axis="ch" ptType="node" st="9" cnt="1">
      <dgm:layoutNode name="Accent9">
        <dgm:alg type="sp"/>
        <dgm:shape xmlns:r="http://schemas.openxmlformats.org/officeDocument/2006/relationships" r:blip="">
          <dgm:adjLst/>
        </dgm:shape>
        <dgm:presOf/>
        <dgm:constrLst/>
        <dgm:forEach name="Name50" ref="accentRepeat"/>
      </dgm:layoutNode>
      <dgm:layoutNode name="ParentBackground9">
        <dgm:alg type="sp"/>
        <dgm:shape xmlns:r="http://schemas.openxmlformats.org/officeDocument/2006/relationships" r:blip="">
          <dgm:adjLst/>
        </dgm:shape>
        <dgm:presOf/>
        <dgm:forEach name="Name51" ref="parentBackgroundRepeat"/>
      </dgm:layoutNode>
      <dgm:choose name="Name52">
        <dgm:if name="Name53" axis="ch" ptType="node" func="cnt" op="gte" val="1">
          <dgm:layoutNode name="Child9"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4"/>
      </dgm:choose>
      <dgm:layoutNode name="Parent9"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55" axis="ch" ptType="node" st="8" cnt="1">
      <dgm:layoutNode name="Accent8">
        <dgm:alg type="sp"/>
        <dgm:shape xmlns:r="http://schemas.openxmlformats.org/officeDocument/2006/relationships" r:blip="">
          <dgm:adjLst/>
        </dgm:shape>
        <dgm:presOf/>
        <dgm:constrLst/>
        <dgm:forEach name="Name56" ref="accentRepeat"/>
      </dgm:layoutNode>
      <dgm:layoutNode name="ParentBackground8">
        <dgm:alg type="sp"/>
        <dgm:shape xmlns:r="http://schemas.openxmlformats.org/officeDocument/2006/relationships" r:blip="">
          <dgm:adjLst/>
        </dgm:shape>
        <dgm:presOf/>
        <dgm:forEach name="Name57" ref="parentBackgroundRepeat"/>
      </dgm:layoutNode>
      <dgm:choose name="Name58">
        <dgm:if name="Name59" axis="ch" ptType="node" func="cnt" op="gte" val="1">
          <dgm:layoutNode name="Child8"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0"/>
      </dgm:choose>
      <dgm:layoutNode name="Parent8"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61" axis="ch" ptType="node" st="7" cnt="1">
      <dgm:layoutNode name="Accent7">
        <dgm:alg type="sp"/>
        <dgm:shape xmlns:r="http://schemas.openxmlformats.org/officeDocument/2006/relationships" r:blip="">
          <dgm:adjLst/>
        </dgm:shape>
        <dgm:presOf/>
        <dgm:constrLst/>
        <dgm:forEach name="Name62" ref="accentRepeat"/>
      </dgm:layoutNode>
      <dgm:layoutNode name="ParentBackground7">
        <dgm:alg type="sp"/>
        <dgm:shape xmlns:r="http://schemas.openxmlformats.org/officeDocument/2006/relationships" r:blip="">
          <dgm:adjLst/>
        </dgm:shape>
        <dgm:presOf/>
        <dgm:forEach name="Name63" ref="parentBackgroundRepeat"/>
      </dgm:layoutNode>
      <dgm:choose name="Name64">
        <dgm:if name="Name65" axis="ch" ptType="node" func="cnt" op="gte" val="1">
          <dgm:layoutNode name="Child7"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6"/>
      </dgm:choose>
      <dgm:layoutNode name="Parent7"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67" axis="ch" ptType="node" st="6" cnt="1">
      <dgm:layoutNode name="Accent6">
        <dgm:alg type="sp"/>
        <dgm:shape xmlns:r="http://schemas.openxmlformats.org/officeDocument/2006/relationships" r:blip="">
          <dgm:adjLst/>
        </dgm:shape>
        <dgm:presOf/>
        <dgm:constrLst/>
        <dgm:forEach name="Name68" ref="accentRepeat"/>
      </dgm:layoutNode>
      <dgm:layoutNode name="ParentBackground6">
        <dgm:alg type="sp"/>
        <dgm:shape xmlns:r="http://schemas.openxmlformats.org/officeDocument/2006/relationships" r:blip="">
          <dgm:adjLst/>
        </dgm:shape>
        <dgm:presOf/>
        <dgm:forEach name="Name69" ref="parentBackgroundRepeat"/>
      </dgm:layoutNode>
      <dgm:choose name="Name70">
        <dgm:if name="Name71" axis="ch" ptType="node" func="cnt" op="gte" val="1">
          <dgm:layoutNode name="Child6"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2"/>
      </dgm:choose>
      <dgm:layoutNode name="Parent6"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73" axis="ch" ptType="node" st="5" cnt="1">
      <dgm:layoutNode name="Accent5">
        <dgm:alg type="sp"/>
        <dgm:shape xmlns:r="http://schemas.openxmlformats.org/officeDocument/2006/relationships" r:blip="">
          <dgm:adjLst/>
        </dgm:shape>
        <dgm:presOf/>
        <dgm:constrLst/>
        <dgm:forEach name="Name74" ref="accentRepeat"/>
      </dgm:layoutNode>
      <dgm:layoutNode name="ParentBackground5">
        <dgm:alg type="sp"/>
        <dgm:shape xmlns:r="http://schemas.openxmlformats.org/officeDocument/2006/relationships" r:blip="">
          <dgm:adjLst/>
        </dgm:shape>
        <dgm:presOf/>
        <dgm:forEach name="Name75" ref="parentBackgroundRepeat"/>
      </dgm:layoutNode>
      <dgm:choose name="Name76">
        <dgm:if name="Name77" axis="ch" ptType="node" func="cnt" op="gte" val="1">
          <dgm:layoutNode name="Child5"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8"/>
      </dgm:choose>
      <dgm:layoutNode name="Parent5"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79" axis="ch" ptType="node" st="4" cnt="1">
      <dgm:layoutNode name="Accent4">
        <dgm:alg type="sp"/>
        <dgm:shape xmlns:r="http://schemas.openxmlformats.org/officeDocument/2006/relationships" r:blip="">
          <dgm:adjLst/>
        </dgm:shape>
        <dgm:presOf/>
        <dgm:constrLst/>
        <dgm:forEach name="Name80" ref="accentRepeat"/>
      </dgm:layoutNode>
      <dgm:layoutNode name="ParentBackground4">
        <dgm:alg type="sp"/>
        <dgm:shape xmlns:r="http://schemas.openxmlformats.org/officeDocument/2006/relationships" r:blip="">
          <dgm:adjLst/>
        </dgm:shape>
        <dgm:presOf/>
        <dgm:forEach name="Name81" ref="parentBackgroundRepeat"/>
      </dgm:layoutNode>
      <dgm:choose name="Name82">
        <dgm:if name="Name83" axis="ch" ptType="node" func="cnt" op="gte" val="1">
          <dgm:layoutNode name="Child4"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4"/>
      </dgm:choose>
      <dgm:layoutNode name="Parent4"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85" axis="ch" ptType="node" st="3" cnt="1">
      <dgm:layoutNode name="Accent3">
        <dgm:alg type="sp"/>
        <dgm:shape xmlns:r="http://schemas.openxmlformats.org/officeDocument/2006/relationships" r:blip="">
          <dgm:adjLst/>
        </dgm:shape>
        <dgm:presOf/>
        <dgm:constrLst/>
        <dgm:forEach name="Name86" ref="accentRepeat"/>
      </dgm:layoutNode>
      <dgm:layoutNode name="ParentBackground3">
        <dgm:alg type="sp"/>
        <dgm:shape xmlns:r="http://schemas.openxmlformats.org/officeDocument/2006/relationships" r:blip="">
          <dgm:adjLst/>
        </dgm:shape>
        <dgm:presOf/>
        <dgm:forEach name="Name87" ref="parentBackgroundRepeat"/>
      </dgm:layoutNode>
      <dgm:choose name="Name88">
        <dgm:if name="Name89" axis="ch" ptType="node" func="cnt" op="gte" val="1">
          <dgm:layoutNode name="Child3"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0"/>
      </dgm:choose>
      <dgm:layoutNode name="Parent3"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91" axis="ch" ptType="node" st="2" cnt="1">
      <dgm:layoutNode name="Accent2">
        <dgm:alg type="sp"/>
        <dgm:shape xmlns:r="http://schemas.openxmlformats.org/officeDocument/2006/relationships" r:blip="">
          <dgm:adjLst/>
        </dgm:shape>
        <dgm:presOf/>
        <dgm:constrLst/>
        <dgm:forEach name="Name92" ref="accentRepeat"/>
      </dgm:layoutNode>
      <dgm:layoutNode name="ParentBackground2" styleLbl="fgAcc1">
        <dgm:alg type="sp"/>
        <dgm:shape xmlns:r="http://schemas.openxmlformats.org/officeDocument/2006/relationships" r:blip="">
          <dgm:adjLst/>
        </dgm:shape>
        <dgm:presOf/>
        <dgm:forEach name="Name93" ref="parentBackgroundRepeat"/>
      </dgm:layoutNode>
      <dgm:choose name="Name94">
        <dgm:if name="Name95" axis="ch" ptType="node" func="cnt" op="gte" val="1">
          <dgm:layoutNode name="Child2"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6"/>
      </dgm:choose>
      <dgm:layoutNode name="Parent2"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97" axis="ch" ptType="node" cnt="1">
      <dgm:layoutNode name="Accent1">
        <dgm:alg type="sp"/>
        <dgm:shape xmlns:r="http://schemas.openxmlformats.org/officeDocument/2006/relationships" r:blip="">
          <dgm:adjLst/>
        </dgm:shape>
        <dgm:presOf/>
        <dgm:constrLst/>
        <dgm:forEach name="Name98" ref="accentRepeat"/>
      </dgm:layoutNode>
      <dgm:layoutNode name="ParentBackground1">
        <dgm:alg type="sp"/>
        <dgm:shape xmlns:r="http://schemas.openxmlformats.org/officeDocument/2006/relationships" r:blip="">
          <dgm:adjLst/>
        </dgm:shape>
        <dgm:presOf/>
        <dgm:forEach name="Name99" ref="parentBackgroundRepeat"/>
      </dgm:layoutNode>
      <dgm:choose name="Name100">
        <dgm:if name="Name101" axis="ch" ptType="node" func="cnt" op="gte" val="1">
          <dgm:layoutNode name="Child1"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02"/>
      </dgm:choose>
      <dgm:layoutNode name="Parent1"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3.xml><?xml version="1.0" encoding="utf-8"?>
<dgm:layoutDef xmlns:dgm="http://schemas.openxmlformats.org/drawingml/2006/diagram" xmlns:a="http://schemas.openxmlformats.org/drawingml/2006/main" uniqueId="urn:microsoft.com/office/officeart/2011/layout/CircleProcess">
  <dgm:title val="Kruh – proces"/>
  <dgm:desc val="Umožňuje znázornit postupné kroky v procesu. Omezeno na jedenáct tvarů úrovně 1 s neomezeným počtem tvarů úrovně 2. Nejlepších výsledků dosáhnete s malým množstvím textu. Nepoužitý text se nezobrazuje, zůstává však k dispozici, pokud přepnete rozložení."/>
  <dgm:catLst>
    <dgm:cat type="process" pri="8500"/>
    <dgm:cat type="officeonline" pri="85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50" srcId="0" destId="10" srcOrd="0" destOrd="0"/>
        <dgm:cxn modelId="60" srcId="0" destId="20" srcOrd="1" destOrd="0"/>
        <dgm:cxn modelId="70" srcId="0" destId="30" srcOrd="2" destOrd="0"/>
        <dgm:cxn modelId="80" srcId="0" destId="40" srcOrd="3" destOrd="0"/>
      </dgm:cxnLst>
      <dgm:bg/>
      <dgm:whole/>
    </dgm:dataModel>
  </dgm:clrData>
  <dgm:layoutNode name="Name0">
    <dgm:varLst>
      <dgm:chMax val="11"/>
      <dgm:chPref val="11"/>
      <dgm:dir/>
      <dgm:resizeHandles/>
    </dgm:varLst>
    <dgm:shape xmlns:r="http://schemas.openxmlformats.org/officeDocument/2006/relationships" r:blip="">
      <dgm:adjLst/>
    </dgm:shape>
    <dgm:choose name="Name1">
      <dgm:if name="Name2" func="var" arg="dir" op="equ" val="norm">
        <dgm:choose name="Name3">
          <dgm:if name="Name4" axis="ch" ptType="node" func="cnt" op="equ" val="1">
            <dgm:alg type="composite">
              <dgm:param type="ar" val="0.6383"/>
            </dgm:alg>
            <dgm:constrLst>
              <dgm:constr type="primFontSz" for="des" forName="Child1" val="65"/>
              <dgm:constr type="primFontSz" for="des" forName="Parent1" val="65"/>
              <dgm:constr type="primFontSz" for="des" forName="Child1" refType="primFontSz" refFor="des" refForName="Parent1" op="lte"/>
              <dgm:constr type="l" for="ch" forName="Parent1" refType="w" fact="0.1667"/>
              <dgm:constr type="t" for="ch" forName="Parent1" refType="h" fact="0.1064"/>
              <dgm:constr type="w" for="ch" forName="Parent1" refType="w" fact="0.6667"/>
              <dgm:constr type="h" for="ch" forName="Parent1" refType="h" fact="0.4255"/>
              <dgm:constr type="l" for="ch" forName="Accent1" refType="w" fact="0"/>
              <dgm:constr type="t" for="ch" forName="Accent1" refType="h" fact="0"/>
              <dgm:constr type="w" for="ch" forName="Accent1" refType="w"/>
              <dgm:constr type="h" for="ch" forName="Accent1" refType="h" fact="0.6383"/>
              <dgm:constr type="l" for="ch" forName="ParentBackground1" refType="w" fact="0.0333"/>
              <dgm:constr type="t" for="ch" forName="ParentBackground1" refType="h" fact="0.0213"/>
              <dgm:constr type="w" for="ch" forName="ParentBackground1" refType="w" fact="0.9333"/>
              <dgm:constr type="h" for="ch" forName="ParentBackground1" refType="h" fact="0.5957"/>
              <dgm:constr type="l" for="ch" forName="Child1" refType="w" fact="0.0333"/>
              <dgm:constr type="t" for="ch" forName="Child1" refType="h" fact="0.6574"/>
              <dgm:constr type="w" for="ch" forName="Child1" refType="w" fact="0.9333"/>
              <dgm:constr type="h" for="ch" forName="Child1" refType="h" fact="0.3426"/>
            </dgm:constrLst>
          </dgm:if>
          <dgm:if name="Name5" axis="ch" ptType="node" func="cnt" op="equ" val="2">
            <dgm:alg type="composite">
              <dgm:param type="ar" val="1.265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Parent2" refType="w" fact="0.6249"/>
              <dgm:constr type="t" for="ch" forName="Parent2" refType="h" fact="0.2022"/>
              <dgm:constr type="w" for="ch" forName="Parent2" refType="w" fact="0.3001"/>
              <dgm:constr type="h" for="ch" forName="Parent2" refType="h" fact="0.3799"/>
              <dgm:constr type="l" for="ch" forName="Parent1" refType="w" fact="0.1597"/>
              <dgm:constr type="t" for="ch" forName="Parent1" refType="h" fact="0.2022"/>
              <dgm:constr type="w" for="ch" forName="Parent1" refType="w" fact="0.3001"/>
              <dgm:constr type="h" for="ch" forName="Parent1" refType="h" fact="0.3799"/>
              <dgm:constr type="l" for="ch" forName="Accent2" refType="w" fact="0.5498"/>
              <dgm:constr type="t" for="ch" forName="Accent2" refType="h" fact="0.1072"/>
              <dgm:constr type="w" for="ch" forName="Accent2" refType="w" fact="0.4502"/>
              <dgm:constr type="h" for="ch" forName="Accent2" refType="h" fact="0.5699"/>
              <dgm:constr type="l" for="ch" forName="ParentBackground2" refType="w" fact="0.5648"/>
              <dgm:constr type="t" for="ch" forName="ParentBackground2" refType="h" fact="0.1262"/>
              <dgm:constr type="w" for="ch" forName="ParentBackground2" refType="w" fact="0.4201"/>
              <dgm:constr type="h" for="ch" forName="ParentBackground2" refType="h" fact="0.5319"/>
              <dgm:constr type="l" for="ch" forName="Child2" refType="w" fact="0.5648"/>
              <dgm:constr type="t" for="ch" forName="Child2" refType="h" fact="0.6876"/>
              <dgm:constr type="w" for="ch" forName="Child2" refType="w" fact="0.4201"/>
              <dgm:constr type="h" for="ch" forName="Child2" refType="h" fact="0.3124"/>
              <dgm:constr type="l" for="ch" forName="Accent1" refType="w" fact="-0.0086"/>
              <dgm:constr type="t" for="ch" forName="Accent1" refType="h" fact="-0.0109"/>
              <dgm:constr type="w" for="ch" forName="Accent1" refType="w" fact="0.6367"/>
              <dgm:constr type="h" for="ch" forName="Accent1" refType="h" fact="0.806"/>
              <dgm:constr type="l" for="ch" forName="ParentBackground1" refType="w" fact="0.0997"/>
              <dgm:constr type="t" for="ch" forName="ParentBackground1" refType="h" fact="0.1262"/>
              <dgm:constr type="w" for="ch" forName="ParentBackground1" refType="w" fact="0.4201"/>
              <dgm:constr type="h" for="ch" forName="ParentBackground1" refType="h" fact="0.5319"/>
              <dgm:constr type="l" for="ch" forName="Child1" refType="w" fact="0.0997"/>
              <dgm:constr type="t" for="ch" forName="Child1" refType="h" fact="0.6876"/>
              <dgm:constr type="w" for="ch" forName="Child1" refType="w" fact="0.4201"/>
              <dgm:constr type="h" for="ch" forName="Child1" refType="h" fact="0.3124"/>
            </dgm:constrLst>
          </dgm:if>
          <dgm:if name="Name6" axis="ch" ptType="node" func="cnt" op="equ" val="3">
            <dgm:alg type="composite">
              <dgm:param type="ar" val="1.854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Parent3" refType="w" fact="0.744"/>
              <dgm:constr type="t" for="ch" forName="Parent3" refType="h" fact="0.2022"/>
              <dgm:constr type="w" for="ch" forName="Parent3" refType="w" fact="0.2048"/>
              <dgm:constr type="h" for="ch" forName="Parent3" refType="h" fact="0.3799"/>
              <dgm:constr type="l" for="ch" forName="Parent2" refType="w" fact="0.4265"/>
              <dgm:constr type="t" for="ch" forName="Parent2" refType="h" fact="0.2022"/>
              <dgm:constr type="w" for="ch" forName="Parent2" refType="w" fact="0.2048"/>
              <dgm:constr type="h" for="ch" forName="Parent2" refType="h" fact="0.3799"/>
              <dgm:constr type="l" for="ch" forName="Parent1" refType="w" fact="0.109"/>
              <dgm:constr type="t" for="ch" forName="Parent1" refType="h" fact="0.2022"/>
              <dgm:constr type="w" for="ch" forName="Parent1" refType="w" fact="0.2048"/>
              <dgm:constr type="h" for="ch" forName="Parent1" refType="h" fact="0.3799"/>
              <dgm:constr type="l" for="ch" forName="Accent3" refType="w" fact="0.6928"/>
              <dgm:constr type="t" for="ch" forName="Accent3" refType="h" fact="0.1072"/>
              <dgm:constr type="w" for="ch" forName="Accent3" refType="w" fact="0.3072"/>
              <dgm:constr type="h" for="ch" forName="Accent3" refType="h" fact="0.5699"/>
              <dgm:constr type="l" for="ch" forName="ParentBackground3" refType="w" fact="0.703"/>
              <dgm:constr type="t" for="ch" forName="ParentBackground3" refType="h" fact="0.1262"/>
              <dgm:constr type="w" for="ch" forName="ParentBackground3" refType="w" fact="0.2868"/>
              <dgm:constr type="h" for="ch" forName="ParentBackground3" refType="h" fact="0.5319"/>
              <dgm:constr type="l" for="ch" forName="Child3" refType="w" fact="0.703"/>
              <dgm:constr type="t" for="ch" forName="Child3" refType="h" fact="0.6876"/>
              <dgm:constr type="w" for="ch" forName="Child3" refType="w" fact="0.2868"/>
              <dgm:constr type="h" for="ch" forName="Child3" refType="h" fact="0.3124"/>
              <dgm:constr type="l" for="ch" forName="Accent2" refType="w" fact="0.3122"/>
              <dgm:constr type="t" for="ch" forName="Accent2" refType="h" fact="-0.0109"/>
              <dgm:constr type="w" for="ch" forName="Accent2" refType="w" fact="0.4334"/>
              <dgm:constr type="h" for="ch" forName="Accent2" refType="h" fact="0.806"/>
              <dgm:constr type="l" for="ch" forName="ParentBackground2" refType="w" fact="0.3855"/>
              <dgm:constr type="t" for="ch" forName="ParentBackground2" refType="h" fact="0.1262"/>
              <dgm:constr type="w" for="ch" forName="ParentBackground2" refType="w" fact="0.2868"/>
              <dgm:constr type="h" for="ch" forName="ParentBackground2" refType="h" fact="0.5319"/>
              <dgm:constr type="l" for="ch" forName="Child2" refType="w" fact="0.3855"/>
              <dgm:constr type="t" for="ch" forName="Child2" refType="h" fact="0.6876"/>
              <dgm:constr type="w" for="ch" forName="Child2" refType="w" fact="0.2868"/>
              <dgm:constr type="h" for="ch" forName="Child2" refType="h" fact="0.3124"/>
              <dgm:constr type="l" for="ch" forName="Accent1" refType="w" fact="-0.0053"/>
              <dgm:constr type="t" for="ch" forName="Accent1" refType="h" fact="-0.0109"/>
              <dgm:constr type="w" for="ch" forName="Accent1" refType="w" fact="0.4334"/>
              <dgm:constr type="h" for="ch" forName="Accent1" refType="h" fact="0.806"/>
              <dgm:constr type="l" for="ch" forName="ParentBackground1" refType="w" fact="0.068"/>
              <dgm:constr type="t" for="ch" forName="ParentBackground1" refType="h" fact="0.1262"/>
              <dgm:constr type="w" for="ch" forName="ParentBackground1" refType="w" fact="0.2868"/>
              <dgm:constr type="h" for="ch" forName="ParentBackground1" refType="h" fact="0.5319"/>
              <dgm:constr type="l" for="ch" forName="Child1" refType="w" fact="0.068"/>
              <dgm:constr type="t" for="ch" forName="Child1" refType="h" fact="0.6876"/>
              <dgm:constr type="w" for="ch" forName="Child1" refType="w" fact="0.2868"/>
              <dgm:constr type="h" for="ch" forName="Child1" refType="h" fact="0.3124"/>
            </dgm:constrLst>
          </dgm:if>
          <dgm:if name="Name7" axis="ch" ptType="node" func="cnt" op="equ" val="4">
            <dgm:alg type="composite">
              <dgm:param type="ar" val="2.4437"/>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Parent4" refType="w" fact="0.8057"/>
              <dgm:constr type="t" for="ch" forName="Parent4" refType="h" fact="0.2022"/>
              <dgm:constr type="w" for="ch" forName="Parent4" refType="w" fact="0.1555"/>
              <dgm:constr type="h" for="ch" forName="Parent4" refType="h" fact="0.3799"/>
              <dgm:constr type="l" for="ch" forName="Parent3" refType="w" fact="0.5647"/>
              <dgm:constr type="t" for="ch" forName="Parent3" refType="h" fact="0.2022"/>
              <dgm:constr type="w" for="ch" forName="Parent3" refType="w" fact="0.1555"/>
              <dgm:constr type="h" for="ch" forName="Parent3" refType="h" fact="0.3799"/>
              <dgm:constr type="l" for="ch" forName="Parent2" refType="w" fact="0.3237"/>
              <dgm:constr type="t" for="ch" forName="Parent2" refType="h" fact="0.2022"/>
              <dgm:constr type="w" for="ch" forName="Parent2" refType="w" fact="0.1555"/>
              <dgm:constr type="h" for="ch" forName="Parent2" refType="h" fact="0.3799"/>
              <dgm:constr type="l" for="ch" forName="Parent1" refType="w" fact="0.0827"/>
              <dgm:constr type="t" for="ch" forName="Parent1" refType="h" fact="0.2022"/>
              <dgm:constr type="w" for="ch" forName="Parent1" refType="w" fact="0.1555"/>
              <dgm:constr type="h" for="ch" forName="Parent1" refType="h" fact="0.3799"/>
              <dgm:constr type="l" for="ch" forName="Accent4" refType="w" fact="0.7668"/>
              <dgm:constr type="t" for="ch" forName="Accent4" refType="h" fact="0.1072"/>
              <dgm:constr type="w" for="ch" forName="Accent4" refType="w" fact="0.2332"/>
              <dgm:constr type="h" for="ch" forName="Accent4" refType="h" fact="0.5699"/>
              <dgm:constr type="l" for="ch" forName="ParentBackground4" refType="w" fact="0.7746"/>
              <dgm:constr type="t" for="ch" forName="ParentBackground4" refType="h" fact="0.1262"/>
              <dgm:constr type="w" for="ch" forName="ParentBackground4" refType="w" fact="0.2177"/>
              <dgm:constr type="h" for="ch" forName="ParentBackground4" refType="h" fact="0.5319"/>
              <dgm:constr type="l" for="ch" forName="Child4" refType="w" fact="0.7746"/>
              <dgm:constr type="t" for="ch" forName="Child4" refType="h" fact="0.6876"/>
              <dgm:constr type="w" for="ch" forName="Child4" refType="w" fact="0.2177"/>
              <dgm:constr type="h" for="ch" forName="Child4" refType="h" fact="0.3124"/>
              <dgm:constr type="l" for="ch" forName="Accent3" refType="w" fact="0.4765"/>
              <dgm:constr type="t" for="ch" forName="Accent3" refType="h" fact="-0.0109"/>
              <dgm:constr type="w" for="ch" forName="Accent3" refType="w" fact="0.3298"/>
              <dgm:constr type="h" for="ch" forName="Accent3" refType="h" fact="0.806"/>
              <dgm:constr type="l" for="ch" forName="ParentBackground3" refType="w" fact="0.5336"/>
              <dgm:constr type="t" for="ch" forName="ParentBackground3" refType="h" fact="0.1262"/>
              <dgm:constr type="w" for="ch" forName="ParentBackground3" refType="w" fact="0.2177"/>
              <dgm:constr type="h" for="ch" forName="ParentBackground3" refType="h" fact="0.5319"/>
              <dgm:constr type="l" for="ch" forName="Child3" refType="w" fact="0.5336"/>
              <dgm:constr type="t" for="ch" forName="Child3" refType="h" fact="0.6876"/>
              <dgm:constr type="w" for="ch" forName="Child3" refType="w" fact="0.2177"/>
              <dgm:constr type="h" for="ch" forName="Child3" refType="h" fact="0.3124"/>
              <dgm:constr type="l" for="ch" forName="Accent2" refType="w" fact="0.2365"/>
              <dgm:constr type="t" for="ch" forName="Accent2" refType="h" fact="-0.0109"/>
              <dgm:constr type="w" for="ch" forName="Accent2" refType="w" fact="0.3298"/>
              <dgm:constr type="h" for="ch" forName="Accent2" refType="h" fact="0.806"/>
              <dgm:constr type="l" for="ch" forName="ParentBackground2" refType="w" fact="0.2926"/>
              <dgm:constr type="t" for="ch" forName="ParentBackground2" refType="h" fact="0.1262"/>
              <dgm:constr type="w" for="ch" forName="ParentBackground2" refType="w" fact="0.2177"/>
              <dgm:constr type="h" for="ch" forName="ParentBackground2" refType="h" fact="0.5319"/>
              <dgm:constr type="l" for="ch" forName="Child2" refType="w" fact="0.2926"/>
              <dgm:constr type="t" for="ch" forName="Child2" refType="h" fact="0.6876"/>
              <dgm:constr type="w" for="ch" forName="Child2" refType="w" fact="0.2177"/>
              <dgm:constr type="h" for="ch" forName="Child2" refType="h" fact="0.3124"/>
              <dgm:constr type="l" for="ch" forName="Accent1" refType="w" fact="-0.0045"/>
              <dgm:constr type="t" for="ch" forName="Accent1" refType="h" fact="-0.0109"/>
              <dgm:constr type="w" for="ch" forName="Accent1" refType="w" fact="0.3298"/>
              <dgm:constr type="h" for="ch" forName="Accent1" refType="h" fact="0.806"/>
              <dgm:constr type="l" for="ch" forName="ParentBackground1" refType="w" fact="0.0516"/>
              <dgm:constr type="t" for="ch" forName="ParentBackground1" refType="h" fact="0.1262"/>
              <dgm:constr type="w" for="ch" forName="ParentBackground1" refType="w" fact="0.2177"/>
              <dgm:constr type="h" for="ch" forName="ParentBackground1" refType="h" fact="0.5319"/>
              <dgm:constr type="l" for="ch" forName="Child1" refType="w" fact="0.0516"/>
              <dgm:constr type="t" for="ch" forName="Child1" refType="h" fact="0.6876"/>
              <dgm:constr type="w" for="ch" forName="Child1" refType="w" fact="0.2177"/>
              <dgm:constr type="h" for="ch" forName="Child1" refType="h" fact="0.3124"/>
            </dgm:constrLst>
          </dgm:if>
          <dgm:if name="Name8" axis="ch" ptType="node" func="cnt" op="equ" val="5">
            <dgm:alg type="composite">
              <dgm:param type="ar" val="3.0325"/>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Parent5" refType="w" fact="0.8434"/>
              <dgm:constr type="t" for="ch" forName="Parent5" refType="h" fact="0.2022"/>
              <dgm:constr type="w" for="ch" forName="Parent5" refType="w" fact="0.1253"/>
              <dgm:constr type="h" for="ch" forName="Parent5" refType="h" fact="0.3799"/>
              <dgm:constr type="l" for="ch" forName="Parent4" refType="w" fact="0.6492"/>
              <dgm:constr type="t" for="ch" forName="Parent4" refType="h" fact="0.2022"/>
              <dgm:constr type="w" for="ch" forName="Parent4" refType="w" fact="0.1253"/>
              <dgm:constr type="h" for="ch" forName="Parent4" refType="h" fact="0.3799"/>
              <dgm:constr type="l" for="ch" forName="Parent3" refType="w" fact="0.455"/>
              <dgm:constr type="t" for="ch" forName="Parent3" refType="h" fact="0.2022"/>
              <dgm:constr type="w" for="ch" forName="Parent3" refType="w" fact="0.1253"/>
              <dgm:constr type="h" for="ch" forName="Parent3" refType="h" fact="0.3799"/>
              <dgm:constr type="l" for="ch" forName="Parent2" refType="w" fact="0.2609"/>
              <dgm:constr type="t" for="ch" forName="Parent2" refType="h" fact="0.2022"/>
              <dgm:constr type="w" for="ch" forName="Parent2" refType="w" fact="0.1253"/>
              <dgm:constr type="h" for="ch" forName="Parent2" refType="h" fact="0.3799"/>
              <dgm:constr type="l" for="ch" forName="Parent1" refType="w" fact="0.0667"/>
              <dgm:constr type="t" for="ch" forName="Parent1" refType="h" fact="0.2022"/>
              <dgm:constr type="w" for="ch" forName="Parent1" refType="w" fact="0.1253"/>
              <dgm:constr type="h" for="ch" forName="Parent1" refType="h" fact="0.3799"/>
              <dgm:constr type="l" for="ch" forName="Accent5" refType="w" fact="0.8121"/>
              <dgm:constr type="t" for="ch" forName="Accent5" refType="h" fact="0.1072"/>
              <dgm:constr type="w" for="ch" forName="Accent5" refType="w" fact="0.1879"/>
              <dgm:constr type="h" for="ch" forName="Accent5" refType="h" fact="0.5699"/>
              <dgm:constr type="l" for="ch" forName="ParentBackground5" refType="w" fact="0.8183"/>
              <dgm:constr type="t" for="ch" forName="ParentBackground5" refType="h" fact="0.1262"/>
              <dgm:constr type="w" for="ch" forName="ParentBackground5" refType="w" fact="0.1754"/>
              <dgm:constr type="h" for="ch" forName="ParentBackground5" refType="h" fact="0.5319"/>
              <dgm:constr type="l" for="ch" forName="Child5" refType="w" fact="0.8183"/>
              <dgm:constr type="t" for="ch" forName="Child5" refType="h" fact="0.6876"/>
              <dgm:constr type="w" for="ch" forName="Child5" refType="w" fact="0.1754"/>
              <dgm:constr type="h" for="ch" forName="Child5" refType="h" fact="0.3124"/>
              <dgm:constr type="l" for="ch" forName="Accent4" refType="w" fact="0.5789"/>
              <dgm:constr type="t" for="ch" forName="Accent4" refType="h" fact="-0.0109"/>
              <dgm:constr type="w" for="ch" forName="Accent4" refType="w" fact="0.2657"/>
              <dgm:constr type="h" for="ch" forName="Accent4" refType="h" fact="0.806"/>
              <dgm:constr type="l" for="ch" forName="ParentBackground4" refType="w" fact="0.6242"/>
              <dgm:constr type="t" for="ch" forName="ParentBackground4" refType="h" fact="0.1262"/>
              <dgm:constr type="w" for="ch" forName="ParentBackground4" refType="w" fact="0.1754"/>
              <dgm:constr type="h" for="ch" forName="ParentBackground4" refType="h" fact="0.5319"/>
              <dgm:constr type="l" for="ch" forName="Child4" refType="w" fact="0.6242"/>
              <dgm:constr type="t" for="ch" forName="Child4" refType="h" fact="0.6876"/>
              <dgm:constr type="w" for="ch" forName="Child4" refType="w" fact="0.1754"/>
              <dgm:constr type="h" for="ch" forName="Child4" refType="h" fact="0.3124"/>
              <dgm:constr type="l" for="ch" forName="Accent3" refType="w" fact="0.3848"/>
              <dgm:constr type="t" for="ch" forName="Accent3" refType="h" fact="-0.0109"/>
              <dgm:constr type="w" for="ch" forName="Accent3" refType="w" fact="0.2657"/>
              <dgm:constr type="h" for="ch" forName="Accent3" refType="h" fact="0.806"/>
              <dgm:constr type="l" for="ch" forName="ParentBackground3" refType="w" fact="0.43"/>
              <dgm:constr type="t" for="ch" forName="ParentBackground3" refType="h" fact="0.1262"/>
              <dgm:constr type="w" for="ch" forName="ParentBackground3" refType="w" fact="0.1754"/>
              <dgm:constr type="h" for="ch" forName="ParentBackground3" refType="h" fact="0.5319"/>
              <dgm:constr type="l" for="ch" forName="Child3" refType="w" fact="0.43"/>
              <dgm:constr type="t" for="ch" forName="Child3" refType="h" fact="0.6876"/>
              <dgm:constr type="w" for="ch" forName="Child3" refType="w" fact="0.1754"/>
              <dgm:constr type="h" for="ch" forName="Child3" refType="h" fact="0.3124"/>
              <dgm:constr type="l" for="ch" forName="Accent2" refType="w" fact="0.1906"/>
              <dgm:constr type="t" for="ch" forName="Accent2" refType="h" fact="-0.0109"/>
              <dgm:constr type="w" for="ch" forName="Accent2" refType="w" fact="0.2657"/>
              <dgm:constr type="h" for="ch" forName="Accent2" refType="h" fact="0.806"/>
              <dgm:constr type="l" for="ch" forName="ParentBackground2" refType="w" fact="0.2358"/>
              <dgm:constr type="t" for="ch" forName="ParentBackground2" refType="h" fact="0.1262"/>
              <dgm:constr type="w" for="ch" forName="ParentBackground2" refType="w" fact="0.1754"/>
              <dgm:constr type="h" for="ch" forName="ParentBackground2" refType="h" fact="0.5319"/>
              <dgm:constr type="l" for="ch" forName="Child2" refType="w" fact="0.2358"/>
              <dgm:constr type="t" for="ch" forName="Child2" refType="h" fact="0.6876"/>
              <dgm:constr type="w" for="ch" forName="Child2" refType="w" fact="0.1754"/>
              <dgm:constr type="h" for="ch" forName="Child2" refType="h" fact="0.3124"/>
              <dgm:constr type="l" for="ch" forName="Accent1" refType="w" fact="-0.0036"/>
              <dgm:constr type="t" for="ch" forName="Accent1" refType="h" fact="-0.0109"/>
              <dgm:constr type="w" for="ch" forName="Accent1" refType="w" fact="0.2657"/>
              <dgm:constr type="h" for="ch" forName="Accent1" refType="h" fact="0.806"/>
              <dgm:constr type="l" for="ch" forName="ParentBackground1" refType="w" fact="0.0416"/>
              <dgm:constr type="t" for="ch" forName="ParentBackground1" refType="h" fact="0.1262"/>
              <dgm:constr type="w" for="ch" forName="ParentBackground1" refType="w" fact="0.1754"/>
              <dgm:constr type="h" for="ch" forName="ParentBackground1" refType="h" fact="0.5319"/>
              <dgm:constr type="l" for="ch" forName="Child1" refType="w" fact="0.0416"/>
              <dgm:constr type="t" for="ch" forName="Child1" refType="h" fact="0.6876"/>
              <dgm:constr type="w" for="ch" forName="Child1" refType="w" fact="0.1754"/>
              <dgm:constr type="h" for="ch" forName="Child1" refType="h" fact="0.3124"/>
            </dgm:constrLst>
          </dgm:if>
          <dgm:if name="Name9" axis="ch" ptType="node" func="cnt" op="equ" val="6">
            <dgm:alg type="composite">
              <dgm:param type="ar" val="3.621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Parent6" refType="w" fact="0.8689"/>
              <dgm:constr type="t" for="ch" forName="Parent6" refType="h" fact="0.2022"/>
              <dgm:constr type="w" for="ch" forName="Parent6" refType="w" fact="0.1049"/>
              <dgm:constr type="h" for="ch" forName="Parent6" refType="h" fact="0.3799"/>
              <dgm:constr type="l" for="ch" forName="Parent5" refType="w" fact="0.7063"/>
              <dgm:constr type="t" for="ch" forName="Parent5" refType="h" fact="0.2022"/>
              <dgm:constr type="w" for="ch" forName="Parent5" refType="w" fact="0.1049"/>
              <dgm:constr type="h" for="ch" forName="Parent5" refType="h" fact="0.3799"/>
              <dgm:constr type="l" for="ch" forName="Parent4" refType="w" fact="0.5437"/>
              <dgm:constr type="t" for="ch" forName="Parent4" refType="h" fact="0.2022"/>
              <dgm:constr type="w" for="ch" forName="Parent4" refType="w" fact="0.1049"/>
              <dgm:constr type="h" for="ch" forName="Parent4" refType="h" fact="0.3799"/>
              <dgm:constr type="l" for="ch" forName="Parent3" refType="w" fact="0.381"/>
              <dgm:constr type="t" for="ch" forName="Parent3" refType="h" fact="0.2022"/>
              <dgm:constr type="w" for="ch" forName="Parent3" refType="w" fact="0.1049"/>
              <dgm:constr type="h" for="ch" forName="Parent3" refType="h" fact="0.3799"/>
              <dgm:constr type="l" for="ch" forName="Parent2" refType="w" fact="0.2184"/>
              <dgm:constr type="t" for="ch" forName="Parent2" refType="h" fact="0.2022"/>
              <dgm:constr type="w" for="ch" forName="Parent2" refType="w" fact="0.1049"/>
              <dgm:constr type="h" for="ch" forName="Parent2" refType="h" fact="0.3799"/>
              <dgm:constr type="l" for="ch" forName="Parent1" refType="w" fact="0.0558"/>
              <dgm:constr type="t" for="ch" forName="Parent1" refType="h" fact="0.2022"/>
              <dgm:constr type="w" for="ch" forName="Parent1" refType="w" fact="0.1049"/>
              <dgm:constr type="h" for="ch" forName="Parent1" refType="h" fact="0.3799"/>
              <dgm:constr type="l" for="ch" forName="Accent6" refType="w" fact="0.8426"/>
              <dgm:constr type="t" for="ch" forName="Accent6" refType="h" fact="0.1072"/>
              <dgm:constr type="w" for="ch" forName="Accent6" refType="w" fact="0.1574"/>
              <dgm:constr type="h" for="ch" forName="Accent6" refType="h" fact="0.5699"/>
              <dgm:constr type="l" for="ch" forName="ParentBackground6" refType="w" fact="0.8479"/>
              <dgm:constr type="t" for="ch" forName="ParentBackground6" refType="h" fact="0.1262"/>
              <dgm:constr type="w" for="ch" forName="ParentBackground6" refType="w" fact="0.1469"/>
              <dgm:constr type="h" for="ch" forName="ParentBackground6" refType="h" fact="0.5319"/>
              <dgm:constr type="l" for="ch" forName="Child6" refType="w" fact="0.8479"/>
              <dgm:constr type="t" for="ch" forName="Child6" refType="h" fact="0.6876"/>
              <dgm:constr type="w" for="ch" forName="Child6" refType="w" fact="0.1469"/>
              <dgm:constr type="h" for="ch" forName="Child6" refType="h" fact="0.3124"/>
              <dgm:constr type="l" for="ch" forName="Accent5" refType="w" fact="0.6474"/>
              <dgm:constr type="t" for="ch" forName="Accent5" refType="h" fact="-0.0109"/>
              <dgm:constr type="w" for="ch" forName="Accent5" refType="w" fact="0.2226"/>
              <dgm:constr type="h" for="ch" forName="Accent5" refType="h" fact="0.806"/>
              <dgm:constr type="l" for="ch" forName="ParentBackground5" refType="w" fact="0.6853"/>
              <dgm:constr type="t" for="ch" forName="ParentBackground5" refType="h" fact="0.1262"/>
              <dgm:constr type="w" for="ch" forName="ParentBackground5" refType="w" fact="0.1469"/>
              <dgm:constr type="h" for="ch" forName="ParentBackground5" refType="h" fact="0.5319"/>
              <dgm:constr type="l" for="ch" forName="Child5" refType="w" fact="0.6853"/>
              <dgm:constr type="t" for="ch" forName="Child5" refType="h" fact="0.6876"/>
              <dgm:constr type="w" for="ch" forName="Child5" refType="w" fact="0.1469"/>
              <dgm:constr type="h" for="ch" forName="Child5" refType="h" fact="0.3124"/>
              <dgm:constr type="l" for="ch" forName="Accent4" refType="w" fact="0.4848"/>
              <dgm:constr type="t" for="ch" forName="Accent4" refType="h" fact="-0.0109"/>
              <dgm:constr type="w" for="ch" forName="Accent4" refType="w" fact="0.2226"/>
              <dgm:constr type="h" for="ch" forName="Accent4" refType="h" fact="0.806"/>
              <dgm:constr type="l" for="ch" forName="ParentBackground4" refType="w" fact="0.5227"/>
              <dgm:constr type="t" for="ch" forName="ParentBackground4" refType="h" fact="0.1262"/>
              <dgm:constr type="w" for="ch" forName="ParentBackground4" refType="w" fact="0.1469"/>
              <dgm:constr type="h" for="ch" forName="ParentBackground4" refType="h" fact="0.5319"/>
              <dgm:constr type="l" for="ch" forName="Child4" refType="w" fact="0.5227"/>
              <dgm:constr type="t" for="ch" forName="Child4" refType="h" fact="0.6876"/>
              <dgm:constr type="w" for="ch" forName="Child4" refType="w" fact="0.1469"/>
              <dgm:constr type="h" for="ch" forName="Child4" refType="h" fact="0.3124"/>
              <dgm:constr type="l" for="ch" forName="Accent3" refType="w" fact="0.3222"/>
              <dgm:constr type="t" for="ch" forName="Accent3" refType="h" fact="-0.0109"/>
              <dgm:constr type="w" for="ch" forName="Accent3" refType="w" fact="0.2226"/>
              <dgm:constr type="h" for="ch" forName="Accent3" refType="h" fact="0.806"/>
              <dgm:constr type="l" for="ch" forName="ParentBackground3" refType="w" fact="0.3601"/>
              <dgm:constr type="t" for="ch" forName="ParentBackground3" refType="h" fact="0.1262"/>
              <dgm:constr type="w" for="ch" forName="ParentBackground3" refType="w" fact="0.1469"/>
              <dgm:constr type="h" for="ch" forName="ParentBackground3" refType="h" fact="0.5319"/>
              <dgm:constr type="l" for="ch" forName="Child3" refType="w" fact="0.3601"/>
              <dgm:constr type="t" for="ch" forName="Child3" refType="h" fact="0.6876"/>
              <dgm:constr type="w" for="ch" forName="Child3" refType="w" fact="0.1469"/>
              <dgm:constr type="h" for="ch" forName="Child3" refType="h" fact="0.3124"/>
              <dgm:constr type="l" for="ch" forName="Accent2" refType="w" fact="0.1596"/>
              <dgm:constr type="t" for="ch" forName="Accent2" refType="h" fact="-0.0109"/>
              <dgm:constr type="w" for="ch" forName="Accent2" refType="w" fact="0.2226"/>
              <dgm:constr type="h" for="ch" forName="Accent2" refType="h" fact="0.806"/>
              <dgm:constr type="l" for="ch" forName="ParentBackground2" refType="w" fact="0.1975"/>
              <dgm:constr type="t" for="ch" forName="ParentBackground2" refType="h" fact="0.1262"/>
              <dgm:constr type="w" for="ch" forName="ParentBackground2" refType="w" fact="0.1469"/>
              <dgm:constr type="h" for="ch" forName="ParentBackground2" refType="h" fact="0.5319"/>
              <dgm:constr type="l" for="ch" forName="Child2" refType="w" fact="0.1975"/>
              <dgm:constr type="t" for="ch" forName="Child2" refType="h" fact="0.6876"/>
              <dgm:constr type="w" for="ch" forName="Child2" refType="w" fact="0.1469"/>
              <dgm:constr type="h" for="ch" forName="Child2" refType="h" fact="0.3124"/>
              <dgm:constr type="l" for="ch" forName="Accent1" refType="w" fact="-0.003"/>
              <dgm:constr type="t" for="ch" forName="Accent1" refType="h" fact="-0.0109"/>
              <dgm:constr type="w" for="ch" forName="Accent1" refType="w" fact="0.2226"/>
              <dgm:constr type="h" for="ch" forName="Accent1" refType="h" fact="0.806"/>
              <dgm:constr type="l" for="ch" forName="ParentBackground1" refType="w" fact="0.0348"/>
              <dgm:constr type="t" for="ch" forName="ParentBackground1" refType="h" fact="0.1262"/>
              <dgm:constr type="w" for="ch" forName="ParentBackground1" refType="w" fact="0.1469"/>
              <dgm:constr type="h" for="ch" forName="ParentBackground1" refType="h" fact="0.5319"/>
              <dgm:constr type="l" for="ch" forName="Child1" refType="w" fact="0.0348"/>
              <dgm:constr type="t" for="ch" forName="Child1" refType="h" fact="0.6876"/>
              <dgm:constr type="w" for="ch" forName="Child1" refType="w" fact="0.1469"/>
              <dgm:constr type="h" for="ch" forName="Child1" refType="h" fact="0.3124"/>
            </dgm:constrLst>
          </dgm:if>
          <dgm:if name="Name10" axis="ch" ptType="node" func="cnt" op="equ" val="7">
            <dgm:alg type="composite">
              <dgm:param type="ar" val="4.210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Parent7" refType="w" fact="0.8872"/>
              <dgm:constr type="t" for="ch" forName="Parent7" refType="h" fact="0.2022"/>
              <dgm:constr type="w" for="ch" forName="Parent7" refType="w" fact="0.0902"/>
              <dgm:constr type="h" for="ch" forName="Parent7" refType="h" fact="0.3799"/>
              <dgm:constr type="l" for="ch" forName="Parent6" refType="w" fact="0.7473"/>
              <dgm:constr type="t" for="ch" forName="Parent6" refType="h" fact="0.2022"/>
              <dgm:constr type="w" for="ch" forName="Parent6" refType="w" fact="0.0902"/>
              <dgm:constr type="h" for="ch" forName="Parent6" refType="h" fact="0.3799"/>
              <dgm:constr type="l" for="ch" forName="Parent5" refType="w" fact="0.6075"/>
              <dgm:constr type="t" for="ch" forName="Parent5" refType="h" fact="0.2022"/>
              <dgm:constr type="w" for="ch" forName="Parent5" refType="w" fact="0.0902"/>
              <dgm:constr type="h" for="ch" forName="Parent5" refType="h" fact="0.3799"/>
              <dgm:constr type="l" for="ch" forName="Parent4" refType="w" fact="0.4676"/>
              <dgm:constr type="t" for="ch" forName="Parent4" refType="h" fact="0.2022"/>
              <dgm:constr type="w" for="ch" forName="Parent4" refType="w" fact="0.0902"/>
              <dgm:constr type="h" for="ch" forName="Parent4" refType="h" fact="0.3799"/>
              <dgm:constr type="l" for="ch" forName="Parent3" refType="w" fact="0.3277"/>
              <dgm:constr type="t" for="ch" forName="Parent3" refType="h" fact="0.2022"/>
              <dgm:constr type="w" for="ch" forName="Parent3" refType="w" fact="0.0902"/>
              <dgm:constr type="h" for="ch" forName="Parent3" refType="h" fact="0.3799"/>
              <dgm:constr type="l" for="ch" forName="Parent2" refType="w" fact="0.1879"/>
              <dgm:constr type="t" for="ch" forName="Parent2" refType="h" fact="0.2022"/>
              <dgm:constr type="w" for="ch" forName="Parent2" refType="w" fact="0.0902"/>
              <dgm:constr type="h" for="ch" forName="Parent2" refType="h" fact="0.3799"/>
              <dgm:constr type="l" for="ch" forName="Parent1" refType="w" fact="0.048"/>
              <dgm:constr type="t" for="ch" forName="Parent1" refType="h" fact="0.2022"/>
              <dgm:constr type="w" for="ch" forName="Parent1" refType="w" fact="0.0902"/>
              <dgm:constr type="h" for="ch" forName="Parent1" refType="h" fact="0.3799"/>
              <dgm:constr type="l" for="ch" forName="Accent7" refType="w" fact="0.8646"/>
              <dgm:constr type="t" for="ch" forName="Accent7" refType="h" fact="0.1072"/>
              <dgm:constr type="w" for="ch" forName="Accent7" refType="w" fact="0.1354"/>
              <dgm:constr type="h" for="ch" forName="Accent7" refType="h" fact="0.5699"/>
              <dgm:constr type="l" for="ch" forName="ParentBackground7" refType="w" fact="0.8692"/>
              <dgm:constr type="t" for="ch" forName="ParentBackground7" refType="h" fact="0.1262"/>
              <dgm:constr type="w" for="ch" forName="ParentBackground7" refType="w" fact="0.1263"/>
              <dgm:constr type="h" for="ch" forName="ParentBackground7" refType="h" fact="0.5319"/>
              <dgm:constr type="l" for="ch" forName="Child7" refType="w" fact="0.8692"/>
              <dgm:constr type="t" for="ch" forName="Child7" refType="h" fact="0.6876"/>
              <dgm:constr type="w" for="ch" forName="Child7" refType="w" fact="0.1263"/>
              <dgm:constr type="h" for="ch" forName="Child7" refType="h" fact="0.3124"/>
              <dgm:constr type="l" for="ch" forName="Accent6" refType="w" fact="0.6967"/>
              <dgm:constr type="t" for="ch" forName="Accent6" refType="h" fact="-0.0109"/>
              <dgm:constr type="w" for="ch" forName="Accent6" refType="w" fact="0.1915"/>
              <dgm:constr type="h" for="ch" forName="Accent6" refType="h" fact="0.806"/>
              <dgm:constr type="l" for="ch" forName="ParentBackground6" refType="w" fact="0.7293"/>
              <dgm:constr type="t" for="ch" forName="ParentBackground6" refType="h" fact="0.1262"/>
              <dgm:constr type="w" for="ch" forName="ParentBackground6" refType="w" fact="0.1263"/>
              <dgm:constr type="h" for="ch" forName="ParentBackground6" refType="h" fact="0.5319"/>
              <dgm:constr type="l" for="ch" forName="Child6" refType="w" fact="0.7293"/>
              <dgm:constr type="t" for="ch" forName="Child6" refType="h" fact="0.6876"/>
              <dgm:constr type="w" for="ch" forName="Child6" refType="w" fact="0.1263"/>
              <dgm:constr type="h" for="ch" forName="Child6" refType="h" fact="0.3124"/>
              <dgm:constr type="l" for="ch" forName="Accent5" refType="w" fact="0.5569"/>
              <dgm:constr type="t" for="ch" forName="Accent5" refType="h" fact="-0.0109"/>
              <dgm:constr type="w" for="ch" forName="Accent5" refType="w" fact="0.1915"/>
              <dgm:constr type="h" for="ch" forName="Accent5" refType="h" fact="0.806"/>
              <dgm:constr type="l" for="ch" forName="ParentBackground5" refType="w" fact="0.5894"/>
              <dgm:constr type="t" for="ch" forName="ParentBackground5" refType="h" fact="0.1262"/>
              <dgm:constr type="w" for="ch" forName="ParentBackground5" refType="w" fact="0.1263"/>
              <dgm:constr type="h" for="ch" forName="ParentBackground5" refType="h" fact="0.5319"/>
              <dgm:constr type="l" for="ch" forName="Child5" refType="w" fact="0.5894"/>
              <dgm:constr type="t" for="ch" forName="Child5" refType="h" fact="0.6876"/>
              <dgm:constr type="w" for="ch" forName="Child5" refType="w" fact="0.1263"/>
              <dgm:constr type="h" for="ch" forName="Child5" refType="h" fact="0.3124"/>
              <dgm:constr type="l" for="ch" forName="Accent4" refType="w" fact="0.417"/>
              <dgm:constr type="t" for="ch" forName="Accent4" refType="h" fact="-0.0109"/>
              <dgm:constr type="w" for="ch" forName="Accent4" refType="w" fact="0.1915"/>
              <dgm:constr type="h" for="ch" forName="Accent4" refType="h" fact="0.806"/>
              <dgm:constr type="l" for="ch" forName="ParentBackground4" refType="w" fact="0.4496"/>
              <dgm:constr type="t" for="ch" forName="ParentBackground4" refType="h" fact="0.1262"/>
              <dgm:constr type="w" for="ch" forName="ParentBackground4" refType="w" fact="0.1263"/>
              <dgm:constr type="h" for="ch" forName="ParentBackground4" refType="h" fact="0.5319"/>
              <dgm:constr type="l" for="ch" forName="Child4" refType="w" fact="0.4496"/>
              <dgm:constr type="t" for="ch" forName="Child4" refType="h" fact="0.6876"/>
              <dgm:constr type="w" for="ch" forName="Child4" refType="w" fact="0.1263"/>
              <dgm:constr type="h" for="ch" forName="Child4" refType="h" fact="0.3124"/>
              <dgm:constr type="l" for="ch" forName="Accent3" refType="w" fact="0.2771"/>
              <dgm:constr type="t" for="ch" forName="Accent3" refType="h" fact="-0.0109"/>
              <dgm:constr type="w" for="ch" forName="Accent3" refType="w" fact="0.1915"/>
              <dgm:constr type="h" for="ch" forName="Accent3" refType="h" fact="0.806"/>
              <dgm:constr type="l" for="ch" forName="ParentBackground3" refType="w" fact="0.3097"/>
              <dgm:constr type="t" for="ch" forName="ParentBackground3" refType="h" fact="0.1262"/>
              <dgm:constr type="w" for="ch" forName="ParentBackground3" refType="w" fact="0.1263"/>
              <dgm:constr type="h" for="ch" forName="ParentBackground3" refType="h" fact="0.5319"/>
              <dgm:constr type="l" for="ch" forName="Child3" refType="w" fact="0.3097"/>
              <dgm:constr type="t" for="ch" forName="Child3" refType="h" fact="0.6876"/>
              <dgm:constr type="w" for="ch" forName="Child3" refType="w" fact="0.1263"/>
              <dgm:constr type="h" for="ch" forName="Child3" refType="h" fact="0.3124"/>
              <dgm:constr type="l" for="ch" forName="Accent2" refType="w" fact="0.1373"/>
              <dgm:constr type="t" for="ch" forName="Accent2" refType="h" fact="-0.0109"/>
              <dgm:constr type="w" for="ch" forName="Accent2" refType="w" fact="0.1915"/>
              <dgm:constr type="h" for="ch" forName="Accent2" refType="h" fact="0.806"/>
              <dgm:constr type="l" for="ch" forName="ParentBackground2" refType="w" fact="0.1698"/>
              <dgm:constr type="t" for="ch" forName="ParentBackground2" refType="h" fact="0.1262"/>
              <dgm:constr type="w" for="ch" forName="ParentBackground2" refType="w" fact="0.1263"/>
              <dgm:constr type="h" for="ch" forName="ParentBackground2" refType="h" fact="0.5319"/>
              <dgm:constr type="l" for="ch" forName="Child2" refType="w" fact="0.1698"/>
              <dgm:constr type="t" for="ch" forName="Child2" refType="h" fact="0.6876"/>
              <dgm:constr type="w" for="ch" forName="Child2" refType="w" fact="0.1263"/>
              <dgm:constr type="h" for="ch" forName="Child2" refType="h" fact="0.3124"/>
              <dgm:constr type="l" for="ch" forName="Accent1" refType="w" fact="-0.0026"/>
              <dgm:constr type="t" for="ch" forName="Accent1" refType="h" fact="-0.0109"/>
              <dgm:constr type="w" for="ch" forName="Accent1" refType="w" fact="0.1915"/>
              <dgm:constr type="h" for="ch" forName="Accent1" refType="h" fact="0.806"/>
              <dgm:constr type="l" for="ch" forName="ParentBackground1" refType="w" fact="0.03"/>
              <dgm:constr type="t" for="ch" forName="ParentBackground1" refType="h" fact="0.1262"/>
              <dgm:constr type="w" for="ch" forName="ParentBackground1" refType="w" fact="0.1263"/>
              <dgm:constr type="h" for="ch" forName="ParentBackground1" refType="h" fact="0.5319"/>
              <dgm:constr type="l" for="ch" forName="Child1" refType="w" fact="0.03"/>
              <dgm:constr type="t" for="ch" forName="Child1" refType="h" fact="0.6876"/>
              <dgm:constr type="w" for="ch" forName="Child1" refType="w" fact="0.1263"/>
              <dgm:constr type="h" for="ch" forName="Child1" refType="h" fact="0.3124"/>
            </dgm:constrLst>
          </dgm:if>
          <dgm:if name="Name11" axis="ch" ptType="node" func="cnt" op="equ" val="8">
            <dgm:alg type="composite">
              <dgm:param type="ar" val="4.799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l" for="ch" forName="Parent8" refType="w" fact="0.901"/>
              <dgm:constr type="t" for="ch" forName="Parent8" refType="h" fact="0.2022"/>
              <dgm:constr type="w" for="ch" forName="Parent8" refType="w" fact="0.0792"/>
              <dgm:constr type="h" for="ch" forName="Parent8" refType="h" fact="0.3799"/>
              <dgm:constr type="l" for="ch" forName="Parent7" refType="w" fact="0.7783"/>
              <dgm:constr type="t" for="ch" forName="Parent7" refType="h" fact="0.2022"/>
              <dgm:constr type="w" for="ch" forName="Parent7" refType="w" fact="0.0792"/>
              <dgm:constr type="h" for="ch" forName="Parent7" refType="h" fact="0.3799"/>
              <dgm:constr type="l" for="ch" forName="Parent6" refType="w" fact="0.6556"/>
              <dgm:constr type="t" for="ch" forName="Parent6" refType="h" fact="0.2022"/>
              <dgm:constr type="w" for="ch" forName="Parent6" refType="w" fact="0.0792"/>
              <dgm:constr type="h" for="ch" forName="Parent6" refType="h" fact="0.3799"/>
              <dgm:constr type="l" for="ch" forName="Parent5" refType="w" fact="0.5329"/>
              <dgm:constr type="t" for="ch" forName="Parent5" refType="h" fact="0.2022"/>
              <dgm:constr type="w" for="ch" forName="Parent5" refType="w" fact="0.0792"/>
              <dgm:constr type="h" for="ch" forName="Parent5" refType="h" fact="0.3799"/>
              <dgm:constr type="l" for="ch" forName="Parent4" refType="w" fact="0.4102"/>
              <dgm:constr type="t" for="ch" forName="Parent4" refType="h" fact="0.2022"/>
              <dgm:constr type="w" for="ch" forName="Parent4" refType="w" fact="0.0792"/>
              <dgm:constr type="h" for="ch" forName="Parent4" refType="h" fact="0.3799"/>
              <dgm:constr type="l" for="ch" forName="Parent3" refType="w" fact="0.2875"/>
              <dgm:constr type="t" for="ch" forName="Parent3" refType="h" fact="0.2022"/>
              <dgm:constr type="w" for="ch" forName="Parent3" refType="w" fact="0.0792"/>
              <dgm:constr type="h" for="ch" forName="Parent3" refType="h" fact="0.3799"/>
              <dgm:constr type="l" for="ch" forName="Parent2" refType="w" fact="0.1648"/>
              <dgm:constr type="t" for="ch" forName="Parent2" refType="h" fact="0.2022"/>
              <dgm:constr type="w" for="ch" forName="Parent2" refType="w" fact="0.0792"/>
              <dgm:constr type="h" for="ch" forName="Parent2" refType="h" fact="0.3799"/>
              <dgm:constr type="l" for="ch" forName="Parent1" refType="w" fact="0.0421"/>
              <dgm:constr type="t" for="ch" forName="Parent1" refType="h" fact="0.2022"/>
              <dgm:constr type="w" for="ch" forName="Parent1" refType="w" fact="0.0792"/>
              <dgm:constr type="h" for="ch" forName="Parent1" refType="h" fact="0.3799"/>
              <dgm:constr type="l" for="ch" forName="Accent8" refType="w" fact="0.8813"/>
              <dgm:constr type="t" for="ch" forName="Accent8" refType="h" fact="0.1072"/>
              <dgm:constr type="w" for="ch" forName="Accent8" refType="w" fact="0.1187"/>
              <dgm:constr type="h" for="ch" forName="Accent8" refType="h" fact="0.5699"/>
              <dgm:constr type="l" for="ch" forName="ParentBackground8" refType="w" fact="0.8852"/>
              <dgm:constr type="t" for="ch" forName="ParentBackground8" refType="h" fact="0.1262"/>
              <dgm:constr type="w" for="ch" forName="ParentBackground8" refType="w" fact="0.1108"/>
              <dgm:constr type="h" for="ch" forName="ParentBackground8" refType="h" fact="0.5319"/>
              <dgm:constr type="l" for="ch" forName="Child8" refType="w" fact="0.8852"/>
              <dgm:constr type="t" for="ch" forName="Child8" refType="h" fact="0.6876"/>
              <dgm:constr type="w" for="ch" forName="Child8" refType="w" fact="0.1108"/>
              <dgm:constr type="h" for="ch" forName="Child8" refType="h" fact="0.3124"/>
              <dgm:constr type="l" for="ch" forName="Accent7" refType="w" fact="0.7339"/>
              <dgm:constr type="t" for="ch" forName="Accent7" refType="h" fact="-0.0109"/>
              <dgm:constr type="w" for="ch" forName="Accent7" refType="w" fact="0.1679"/>
              <dgm:constr type="h" for="ch" forName="Accent7" refType="h" fact="0.806"/>
              <dgm:constr type="l" for="ch" forName="ParentBackground7" refType="w" fact="0.7625"/>
              <dgm:constr type="t" for="ch" forName="ParentBackground7" refType="h" fact="0.1262"/>
              <dgm:constr type="w" for="ch" forName="ParentBackground7" refType="w" fact="0.1108"/>
              <dgm:constr type="h" for="ch" forName="ParentBackground7" refType="h" fact="0.5319"/>
              <dgm:constr type="l" for="ch" forName="Child7" refType="w" fact="0.7625"/>
              <dgm:constr type="t" for="ch" forName="Child7" refType="h" fact="0.6876"/>
              <dgm:constr type="w" for="ch" forName="Child7" refType="w" fact="0.1108"/>
              <dgm:constr type="h" for="ch" forName="Child7" refType="h" fact="0.3124"/>
              <dgm:constr type="l" for="ch" forName="Accent6" refType="w" fact="0.6112"/>
              <dgm:constr type="t" for="ch" forName="Accent6" refType="h" fact="-0.0109"/>
              <dgm:constr type="w" for="ch" forName="Accent6" refType="w" fact="0.1679"/>
              <dgm:constr type="h" for="ch" forName="Accent6" refType="h" fact="0.806"/>
              <dgm:constr type="l" for="ch" forName="ParentBackground6" refType="w" fact="0.6398"/>
              <dgm:constr type="t" for="ch" forName="ParentBackground6" refType="h" fact="0.1262"/>
              <dgm:constr type="w" for="ch" forName="ParentBackground6" refType="w" fact="0.1108"/>
              <dgm:constr type="h" for="ch" forName="ParentBackground6" refType="h" fact="0.5319"/>
              <dgm:constr type="l" for="ch" forName="Child6" refType="w" fact="0.6398"/>
              <dgm:constr type="t" for="ch" forName="Child6" refType="h" fact="0.6876"/>
              <dgm:constr type="w" for="ch" forName="Child6" refType="w" fact="0.1108"/>
              <dgm:constr type="h" for="ch" forName="Child6" refType="h" fact="0.3124"/>
              <dgm:constr type="l" for="ch" forName="Accent5" refType="w" fact="0.4885"/>
              <dgm:constr type="t" for="ch" forName="Accent5" refType="h" fact="-0.0109"/>
              <dgm:constr type="w" for="ch" forName="Accent5" refType="w" fact="0.1679"/>
              <dgm:constr type="h" for="ch" forName="Accent5" refType="h" fact="0.806"/>
              <dgm:constr type="l" for="ch" forName="ParentBackground5" refType="w" fact="0.5171"/>
              <dgm:constr type="t" for="ch" forName="ParentBackground5" refType="h" fact="0.1262"/>
              <dgm:constr type="w" for="ch" forName="ParentBackground5" refType="w" fact="0.1108"/>
              <dgm:constr type="h" for="ch" forName="ParentBackground5" refType="h" fact="0.5319"/>
              <dgm:constr type="l" for="ch" forName="Child5" refType="w" fact="0.5171"/>
              <dgm:constr type="t" for="ch" forName="Child5" refType="h" fact="0.6876"/>
              <dgm:constr type="w" for="ch" forName="Child5" refType="w" fact="0.1108"/>
              <dgm:constr type="h" for="ch" forName="Child5" refType="h" fact="0.3124"/>
              <dgm:constr type="l" for="ch" forName="Accent4" refType="w" fact="0.3658"/>
              <dgm:constr type="t" for="ch" forName="Accent4" refType="h" fact="-0.0109"/>
              <dgm:constr type="w" for="ch" forName="Accent4" refType="w" fact="0.1679"/>
              <dgm:constr type="h" for="ch" forName="Accent4" refType="h" fact="0.806"/>
              <dgm:constr type="l" for="ch" forName="ParentBackground4" refType="w" fact="0.3944"/>
              <dgm:constr type="t" for="ch" forName="ParentBackground4" refType="h" fact="0.1262"/>
              <dgm:constr type="w" for="ch" forName="ParentBackground4" refType="w" fact="0.1108"/>
              <dgm:constr type="h" for="ch" forName="ParentBackground4" refType="h" fact="0.5319"/>
              <dgm:constr type="l" for="ch" forName="Child4" refType="w" fact="0.3944"/>
              <dgm:constr type="t" for="ch" forName="Child4" refType="h" fact="0.6876"/>
              <dgm:constr type="w" for="ch" forName="Child4" refType="w" fact="0.1108"/>
              <dgm:constr type="h" for="ch" forName="Child4" refType="h" fact="0.3124"/>
              <dgm:constr type="l" for="ch" forName="Accent3" refType="w" fact="0.2431"/>
              <dgm:constr type="t" for="ch" forName="Accent3" refType="h" fact="-0.0109"/>
              <dgm:constr type="w" for="ch" forName="Accent3" refType="w" fact="0.1679"/>
              <dgm:constr type="h" for="ch" forName="Accent3" refType="h" fact="0.806"/>
              <dgm:constr type="l" for="ch" forName="ParentBackground3" refType="w" fact="0.2717"/>
              <dgm:constr type="t" for="ch" forName="ParentBackground3" refType="h" fact="0.1262"/>
              <dgm:constr type="w" for="ch" forName="ParentBackground3" refType="w" fact="0.1108"/>
              <dgm:constr type="h" for="ch" forName="ParentBackground3" refType="h" fact="0.5319"/>
              <dgm:constr type="l" for="ch" forName="Child3" refType="w" fact="0.2717"/>
              <dgm:constr type="t" for="ch" forName="Child3" refType="h" fact="0.6876"/>
              <dgm:constr type="w" for="ch" forName="Child3" refType="w" fact="0.1108"/>
              <dgm:constr type="h" for="ch" forName="Child3" refType="h" fact="0.3124"/>
              <dgm:constr type="l" for="ch" forName="Accent2" refType="w" fact="0.1204"/>
              <dgm:constr type="t" for="ch" forName="Accent2" refType="h" fact="-0.0109"/>
              <dgm:constr type="w" for="ch" forName="Accent2" refType="w" fact="0.1679"/>
              <dgm:constr type="h" for="ch" forName="Accent2" refType="h" fact="0.806"/>
              <dgm:constr type="l" for="ch" forName="ParentBackground2" refType="w" fact="0.149"/>
              <dgm:constr type="t" for="ch" forName="ParentBackground2" refType="h" fact="0.1262"/>
              <dgm:constr type="w" for="ch" forName="ParentBackground2" refType="w" fact="0.1108"/>
              <dgm:constr type="h" for="ch" forName="ParentBackground2" refType="h" fact="0.5319"/>
              <dgm:constr type="l" for="ch" forName="Child2" refType="w" fact="0.149"/>
              <dgm:constr type="t" for="ch" forName="Child2" refType="h" fact="0.6876"/>
              <dgm:constr type="w" for="ch" forName="Child2" refType="w" fact="0.1108"/>
              <dgm:constr type="h" for="ch" forName="Child2" refType="h" fact="0.3124"/>
              <dgm:constr type="l" for="ch" forName="Accent1" refType="w" fact="-0.0023"/>
              <dgm:constr type="t" for="ch" forName="Accent1" refType="h" fact="-0.0109"/>
              <dgm:constr type="w" for="ch" forName="Accent1" refType="w" fact="0.1679"/>
              <dgm:constr type="h" for="ch" forName="Accent1" refType="h" fact="0.806"/>
              <dgm:constr type="l" for="ch" forName="ParentBackground1" refType="w" fact="0.0263"/>
              <dgm:constr type="t" for="ch" forName="ParentBackground1" refType="h" fact="0.1262"/>
              <dgm:constr type="w" for="ch" forName="ParentBackground1" refType="w" fact="0.1108"/>
              <dgm:constr type="h" for="ch" forName="ParentBackground1" refType="h" fact="0.5319"/>
              <dgm:constr type="l" for="ch" forName="Child1" refType="w" fact="0.0263"/>
              <dgm:constr type="t" for="ch" forName="Child1" refType="h" fact="0.6876"/>
              <dgm:constr type="w" for="ch" forName="Child1" refType="w" fact="0.1108"/>
              <dgm:constr type="h" for="ch" forName="Child1" refType="h" fact="0.3124"/>
            </dgm:constrLst>
          </dgm:if>
          <dgm:if name="Name12" axis="ch" ptType="node" func="cnt" op="equ" val="9">
            <dgm:alg type="composite">
              <dgm:param type="ar" val="5.38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l" for="ch" forName="Parent9" refType="w" fact="0.9119"/>
              <dgm:constr type="t" for="ch" forName="Parent9" refType="h" fact="0.2022"/>
              <dgm:constr type="w" for="ch" forName="Parent9" refType="w" fact="0.0705"/>
              <dgm:constr type="h" for="ch" forName="Parent9" refType="h" fact="0.3799"/>
              <dgm:constr type="l" for="ch" forName="Parent8" refType="w" fact="0.8026"/>
              <dgm:constr type="t" for="ch" forName="Parent8" refType="h" fact="0.2022"/>
              <dgm:constr type="w" for="ch" forName="Parent8" refType="w" fact="0.0705"/>
              <dgm:constr type="h" for="ch" forName="Parent8" refType="h" fact="0.3799"/>
              <dgm:constr type="l" for="ch" forName="Parent7" refType="w" fact="0.6933"/>
              <dgm:constr type="t" for="ch" forName="Parent7" refType="h" fact="0.2022"/>
              <dgm:constr type="w" for="ch" forName="Parent7" refType="w" fact="0.0705"/>
              <dgm:constr type="h" for="ch" forName="Parent7" refType="h" fact="0.3799"/>
              <dgm:constr type="l" for="ch" forName="Parent6" refType="w" fact="0.584"/>
              <dgm:constr type="t" for="ch" forName="Parent6" refType="h" fact="0.2022"/>
              <dgm:constr type="w" for="ch" forName="Parent6" refType="w" fact="0.0705"/>
              <dgm:constr type="h" for="ch" forName="Parent6" refType="h" fact="0.3799"/>
              <dgm:constr type="l" for="ch" forName="Parent5" refType="w" fact="0.4747"/>
              <dgm:constr type="t" for="ch" forName="Parent5" refType="h" fact="0.2022"/>
              <dgm:constr type="w" for="ch" forName="Parent5" refType="w" fact="0.0705"/>
              <dgm:constr type="h" for="ch" forName="Parent5" refType="h" fact="0.3799"/>
              <dgm:constr type="l" for="ch" forName="Parent4" refType="w" fact="0.3654"/>
              <dgm:constr type="t" for="ch" forName="Parent4" refType="h" fact="0.2022"/>
              <dgm:constr type="w" for="ch" forName="Parent4" refType="w" fact="0.0705"/>
              <dgm:constr type="h" for="ch" forName="Parent4" refType="h" fact="0.3799"/>
              <dgm:constr type="l" for="ch" forName="Parent3" refType="w" fact="0.2561"/>
              <dgm:constr type="t" for="ch" forName="Parent3" refType="h" fact="0.2022"/>
              <dgm:constr type="w" for="ch" forName="Parent3" refType="w" fact="0.0705"/>
              <dgm:constr type="h" for="ch" forName="Parent3" refType="h" fact="0.3799"/>
              <dgm:constr type="l" for="ch" forName="Parent2" refType="w" fact="0.1468"/>
              <dgm:constr type="t" for="ch" forName="Parent2" refType="h" fact="0.2022"/>
              <dgm:constr type="w" for="ch" forName="Parent2" refType="w" fact="0.0705"/>
              <dgm:constr type="h" for="ch" forName="Parent2" refType="h" fact="0.3799"/>
              <dgm:constr type="l" for="ch" forName="Parent1" refType="w" fact="0.0375"/>
              <dgm:constr type="t" for="ch" forName="Parent1" refType="h" fact="0.2022"/>
              <dgm:constr type="w" for="ch" forName="Parent1" refType="w" fact="0.0705"/>
              <dgm:constr type="h" for="ch" forName="Parent1" refType="h" fact="0.3799"/>
              <dgm:constr type="l" for="ch" forName="Accent9" refType="w" fact="0.8942"/>
              <dgm:constr type="t" for="ch" forName="Accent9" refType="h" fact="0.1072"/>
              <dgm:constr type="w" for="ch" forName="Accent9" refType="w" fact="0.1058"/>
              <dgm:constr type="h" for="ch" forName="Accent9" refType="h" fact="0.5699"/>
              <dgm:constr type="l" for="ch" forName="ParentBackground9" refType="w" fact="0.8978"/>
              <dgm:constr type="t" for="ch" forName="ParentBackground9" refType="h" fact="0.1262"/>
              <dgm:constr type="w" for="ch" forName="ParentBackground9" refType="w" fact="0.0987"/>
              <dgm:constr type="h" for="ch" forName="ParentBackground9" refType="h" fact="0.5319"/>
              <dgm:constr type="l" for="ch" forName="Child9" refType="w" fact="0.8978"/>
              <dgm:constr type="t" for="ch" forName="Child9" refType="h" fact="0.6876"/>
              <dgm:constr type="w" for="ch" forName="Child9" refType="w" fact="0.0987"/>
              <dgm:constr type="h" for="ch" forName="Child9" refType="h" fact="0.3124"/>
              <dgm:constr type="l" for="ch" forName="Accent8" refType="w" fact="0.763"/>
              <dgm:constr type="t" for="ch" forName="Accent8" refType="h" fact="-0.0109"/>
              <dgm:constr type="w" for="ch" forName="Accent8" refType="w" fact="0.1496"/>
              <dgm:constr type="h" for="ch" forName="Accent8" refType="h" fact="0.806"/>
              <dgm:constr type="l" for="ch" forName="ParentBackground8" refType="w" fact="0.7885"/>
              <dgm:constr type="t" for="ch" forName="ParentBackground8" refType="h" fact="0.1262"/>
              <dgm:constr type="w" for="ch" forName="ParentBackground8" refType="w" fact="0.0987"/>
              <dgm:constr type="h" for="ch" forName="ParentBackground8" refType="h" fact="0.5319"/>
              <dgm:constr type="l" for="ch" forName="Child8" refType="w" fact="0.7885"/>
              <dgm:constr type="t" for="ch" forName="Child8" refType="h" fact="0.6876"/>
              <dgm:constr type="w" for="ch" forName="Child8" refType="w" fact="0.0987"/>
              <dgm:constr type="h" for="ch" forName="Child8" refType="h" fact="0.3124"/>
              <dgm:constr type="l" for="ch" forName="Accent7" refType="w" fact="0.6538"/>
              <dgm:constr type="t" for="ch" forName="Accent7" refType="h" fact="-0.0109"/>
              <dgm:constr type="w" for="ch" forName="Accent7" refType="w" fact="0.1496"/>
              <dgm:constr type="h" for="ch" forName="Accent7" refType="h" fact="0.806"/>
              <dgm:constr type="l" for="ch" forName="ParentBackground7" refType="w" fact="0.6792"/>
              <dgm:constr type="t" for="ch" forName="ParentBackground7" refType="h" fact="0.1262"/>
              <dgm:constr type="w" for="ch" forName="ParentBackground7" refType="w" fact="0.0987"/>
              <dgm:constr type="h" for="ch" forName="ParentBackground7" refType="h" fact="0.5319"/>
              <dgm:constr type="l" for="ch" forName="Child7" refType="w" fact="0.6792"/>
              <dgm:constr type="t" for="ch" forName="Child7" refType="h" fact="0.6876"/>
              <dgm:constr type="w" for="ch" forName="Child7" refType="w" fact="0.0987"/>
              <dgm:constr type="h" for="ch" forName="Child7" refType="h" fact="0.3124"/>
              <dgm:constr type="l" for="ch" forName="Accent6" refType="w" fact="0.5445"/>
              <dgm:constr type="t" for="ch" forName="Accent6" refType="h" fact="-0.0109"/>
              <dgm:constr type="w" for="ch" forName="Accent6" refType="w" fact="0.1496"/>
              <dgm:constr type="h" for="ch" forName="Accent6" refType="h" fact="0.806"/>
              <dgm:constr type="l" for="ch" forName="ParentBackground6" refType="w" fact="0.5699"/>
              <dgm:constr type="t" for="ch" forName="ParentBackground6" refType="h" fact="0.1262"/>
              <dgm:constr type="w" for="ch" forName="ParentBackground6" refType="w" fact="0.0987"/>
              <dgm:constr type="h" for="ch" forName="ParentBackground6" refType="h" fact="0.5319"/>
              <dgm:constr type="l" for="ch" forName="Child6" refType="w" fact="0.5699"/>
              <dgm:constr type="t" for="ch" forName="Child6" refType="h" fact="0.6876"/>
              <dgm:constr type="w" for="ch" forName="Child6" refType="w" fact="0.0987"/>
              <dgm:constr type="h" for="ch" forName="Child6" refType="h" fact="0.3124"/>
              <dgm:constr type="l" for="ch" forName="Accent5" refType="w" fact="0.4352"/>
              <dgm:constr type="t" for="ch" forName="Accent5" refType="h" fact="-0.0109"/>
              <dgm:constr type="w" for="ch" forName="Accent5" refType="w" fact="0.1496"/>
              <dgm:constr type="h" for="ch" forName="Accent5" refType="h" fact="0.806"/>
              <dgm:constr type="l" for="ch" forName="ParentBackground5" refType="w" fact="0.4606"/>
              <dgm:constr type="t" for="ch" forName="ParentBackground5" refType="h" fact="0.1262"/>
              <dgm:constr type="w" for="ch" forName="ParentBackground5" refType="w" fact="0.0987"/>
              <dgm:constr type="h" for="ch" forName="ParentBackground5" refType="h" fact="0.5319"/>
              <dgm:constr type="l" for="ch" forName="Child5" refType="w" fact="0.4606"/>
              <dgm:constr type="t" for="ch" forName="Child5" refType="h" fact="0.6876"/>
              <dgm:constr type="w" for="ch" forName="Child5" refType="w" fact="0.0987"/>
              <dgm:constr type="h" for="ch" forName="Child5" refType="h" fact="0.3124"/>
              <dgm:constr type="l" for="ch" forName="Accent4" refType="w" fact="0.3259"/>
              <dgm:constr type="t" for="ch" forName="Accent4" refType="h" fact="-0.0109"/>
              <dgm:constr type="w" for="ch" forName="Accent4" refType="w" fact="0.1496"/>
              <dgm:constr type="h" for="ch" forName="Accent4" refType="h" fact="0.806"/>
              <dgm:constr type="l" for="ch" forName="ParentBackground4" refType="w" fact="0.3513"/>
              <dgm:constr type="t" for="ch" forName="ParentBackground4" refType="h" fact="0.1262"/>
              <dgm:constr type="w" for="ch" forName="ParentBackground4" refType="w" fact="0.0987"/>
              <dgm:constr type="h" for="ch" forName="ParentBackground4" refType="h" fact="0.5319"/>
              <dgm:constr type="l" for="ch" forName="Child4" refType="w" fact="0.3513"/>
              <dgm:constr type="t" for="ch" forName="Child4" refType="h" fact="0.6876"/>
              <dgm:constr type="w" for="ch" forName="Child4" refType="w" fact="0.0987"/>
              <dgm:constr type="h" for="ch" forName="Child4" refType="h" fact="0.3124"/>
              <dgm:constr type="l" for="ch" forName="Accent3" refType="w" fact="0.2166"/>
              <dgm:constr type="t" for="ch" forName="Accent3" refType="h" fact="-0.0109"/>
              <dgm:constr type="w" for="ch" forName="Accent3" refType="w" fact="0.1496"/>
              <dgm:constr type="h" for="ch" forName="Accent3" refType="h" fact="0.806"/>
              <dgm:constr type="l" for="ch" forName="ParentBackground3" refType="w" fact="0.242"/>
              <dgm:constr type="t" for="ch" forName="ParentBackground3" refType="h" fact="0.1262"/>
              <dgm:constr type="w" for="ch" forName="ParentBackground3" refType="w" fact="0.0987"/>
              <dgm:constr type="h" for="ch" forName="ParentBackground3" refType="h" fact="0.5319"/>
              <dgm:constr type="l" for="ch" forName="Child3" refType="w" fact="0.242"/>
              <dgm:constr type="t" for="ch" forName="Child3" refType="h" fact="0.6876"/>
              <dgm:constr type="w" for="ch" forName="Child3" refType="w" fact="0.0987"/>
              <dgm:constr type="h" for="ch" forName="Child3" refType="h" fact="0.3124"/>
              <dgm:constr type="l" for="ch" forName="Accent2" refType="w" fact="0.1073"/>
              <dgm:constr type="t" for="ch" forName="Accent2" refType="h" fact="-0.0109"/>
              <dgm:constr type="w" for="ch" forName="Accent2" refType="w" fact="0.1496"/>
              <dgm:constr type="h" for="ch" forName="Accent2" refType="h" fact="0.806"/>
              <dgm:constr type="l" for="ch" forName="ParentBackground2" refType="w" fact="0.1327"/>
              <dgm:constr type="t" for="ch" forName="ParentBackground2" refType="h" fact="0.1262"/>
              <dgm:constr type="w" for="ch" forName="ParentBackground2" refType="w" fact="0.0987"/>
              <dgm:constr type="h" for="ch" forName="ParentBackground2" refType="h" fact="0.5319"/>
              <dgm:constr type="l" for="ch" forName="Child2" refType="w" fact="0.1327"/>
              <dgm:constr type="t" for="ch" forName="Child2" refType="h" fact="0.6876"/>
              <dgm:constr type="w" for="ch" forName="Child2" refType="w" fact="0.0987"/>
              <dgm:constr type="h" for="ch" forName="Child2" refType="h" fact="0.3124"/>
              <dgm:constr type="l" for="ch" forName="Accent1" refType="w" fact="-0.002"/>
              <dgm:constr type="t" for="ch" forName="Accent1" refType="h" fact="-0.0109"/>
              <dgm:constr type="w" for="ch" forName="Accent1" refType="w" fact="0.1496"/>
              <dgm:constr type="h" for="ch" forName="Accent1" refType="h" fact="0.806"/>
              <dgm:constr type="l" for="ch" forName="ParentBackground1" refType="w" fact="0.0234"/>
              <dgm:constr type="t" for="ch" forName="ParentBackground1" refType="h" fact="0.1262"/>
              <dgm:constr type="w" for="ch" forName="ParentBackground1" refType="w" fact="0.0987"/>
              <dgm:constr type="h" for="ch" forName="ParentBackground1" refType="h" fact="0.5319"/>
              <dgm:constr type="l" for="ch" forName="Child1" refType="w" fact="0.0234"/>
              <dgm:constr type="t" for="ch" forName="Child1" refType="h" fact="0.6876"/>
              <dgm:constr type="w" for="ch" forName="Child1" refType="w" fact="0.0987"/>
              <dgm:constr type="h" for="ch" forName="Child1" refType="h" fact="0.3124"/>
            </dgm:constrLst>
          </dgm:if>
          <dgm:if name="Name13" axis="ch" ptType="node" func="cnt" op="equ" val="10">
            <dgm:alg type="composite">
              <dgm:param type="ar" val="5.976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7"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l" for="ch" forName="Parent10" refType="w" fact="0.9205"/>
              <dgm:constr type="t" for="ch" forName="Parent10" refType="h" fact="0.2022"/>
              <dgm:constr type="w" for="ch" forName="Parent10" refType="w" fact="0.0636"/>
              <dgm:constr type="h" for="ch" forName="Parent10" refType="h" fact="0.3799"/>
              <dgm:constr type="l" for="ch" forName="Parent9" refType="w" fact="0.822"/>
              <dgm:constr type="t" for="ch" forName="Parent9" refType="h" fact="0.2022"/>
              <dgm:constr type="w" for="ch" forName="Parent9" refType="w" fact="0.0636"/>
              <dgm:constr type="h" for="ch" forName="Parent9" refType="h" fact="0.3799"/>
              <dgm:constr type="l" for="ch" forName="Parent8" refType="w" fact="0.7235"/>
              <dgm:constr type="t" for="ch" forName="Parent8" refType="h" fact="0.2022"/>
              <dgm:constr type="w" for="ch" forName="Parent8" refType="w" fact="0.0636"/>
              <dgm:constr type="h" for="ch" forName="Parent8" refType="h" fact="0.3799"/>
              <dgm:constr type="l" for="ch" forName="Parent7" refType="w" fact="0.625"/>
              <dgm:constr type="t" for="ch" forName="Parent7" refType="h" fact="0.2022"/>
              <dgm:constr type="w" for="ch" forName="Parent7" refType="w" fact="0.0636"/>
              <dgm:constr type="h" for="ch" forName="Parent7" refType="h" fact="0.3799"/>
              <dgm:constr type="l" for="ch" forName="Parent6" refType="w" fact="0.5264"/>
              <dgm:constr type="t" for="ch" forName="Parent6" refType="h" fact="0.2022"/>
              <dgm:constr type="w" for="ch" forName="Parent6" refType="w" fact="0.0636"/>
              <dgm:constr type="h" for="ch" forName="Parent6" refType="h" fact="0.3799"/>
              <dgm:constr type="l" for="ch" forName="Parent5" refType="w" fact="0.4279"/>
              <dgm:constr type="t" for="ch" forName="Parent5" refType="h" fact="0.2022"/>
              <dgm:constr type="w" for="ch" forName="Parent5" refType="w" fact="0.0636"/>
              <dgm:constr type="h" for="ch" forName="Parent5" refType="h" fact="0.3799"/>
              <dgm:constr type="l" for="ch" forName="Parent4" refType="w" fact="0.3294"/>
              <dgm:constr type="t" for="ch" forName="Parent4" refType="h" fact="0.2022"/>
              <dgm:constr type="w" for="ch" forName="Parent4" refType="w" fact="0.0636"/>
              <dgm:constr type="h" for="ch" forName="Parent4" refType="h" fact="0.3799"/>
              <dgm:constr type="l" for="ch" forName="Parent3" refType="w" fact="0.2309"/>
              <dgm:constr type="t" for="ch" forName="Parent3" refType="h" fact="0.2022"/>
              <dgm:constr type="w" for="ch" forName="Parent3" refType="w" fact="0.0636"/>
              <dgm:constr type="h" for="ch" forName="Parent3" refType="h" fact="0.3799"/>
              <dgm:constr type="l" for="ch" forName="Parent2" refType="w" fact="0.1324"/>
              <dgm:constr type="t" for="ch" forName="Parent2" refType="h" fact="0.2022"/>
              <dgm:constr type="w" for="ch" forName="Parent2" refType="w" fact="0.0636"/>
              <dgm:constr type="h" for="ch" forName="Parent2" refType="h" fact="0.3799"/>
              <dgm:constr type="l" for="ch" forName="Parent1" refType="w" fact="0.0338"/>
              <dgm:constr type="t" for="ch" forName="Parent1" refType="h" fact="0.2022"/>
              <dgm:constr type="w" for="ch" forName="Parent1" refType="w" fact="0.0636"/>
              <dgm:constr type="h" for="ch" forName="Parent1" refType="h" fact="0.3799"/>
              <dgm:constr type="l" for="ch" forName="Accent10" refType="w" fact="0.9047"/>
              <dgm:constr type="t" for="ch" forName="Accent10" refType="h" fact="0.1072"/>
              <dgm:constr type="w" for="ch" forName="Accent10" refType="w" fact="0.0953"/>
              <dgm:constr type="h" for="ch" forName="Accent10" refType="h" fact="0.5699"/>
              <dgm:constr type="l" for="ch" forName="ParentBackground10" refType="w" fact="0.9078"/>
              <dgm:constr type="t" for="ch" forName="ParentBackground10" refType="h" fact="0.1262"/>
              <dgm:constr type="w" for="ch" forName="ParentBackground10" refType="w" fact="0.089"/>
              <dgm:constr type="h" for="ch" forName="ParentBackground10" refType="h" fact="0.5319"/>
              <dgm:constr type="l" for="ch" forName="Child10" refType="w" fact="0.9078"/>
              <dgm:constr type="t" for="ch" forName="Child10" refType="h" fact="0.6876"/>
              <dgm:constr type="w" for="ch" forName="Child10" refType="w" fact="0.089"/>
              <dgm:constr type="h" for="ch" forName="Child10" refType="h" fact="0.3124"/>
              <dgm:constr type="l" for="ch" forName="Accent9" refType="w" fact="0.7864"/>
              <dgm:constr type="t" for="ch" forName="Accent9" refType="h" fact="-0.0109"/>
              <dgm:constr type="w" for="ch" forName="Accent9" refType="w" fact="0.1348"/>
              <dgm:constr type="h" for="ch" forName="Accent9" refType="h" fact="0.806"/>
              <dgm:constr type="l" for="ch" forName="ParentBackground9" refType="w" fact="0.8093"/>
              <dgm:constr type="t" for="ch" forName="ParentBackground9" refType="h" fact="0.1262"/>
              <dgm:constr type="w" for="ch" forName="ParentBackground9" refType="w" fact="0.089"/>
              <dgm:constr type="h" for="ch" forName="ParentBackground9" refType="h" fact="0.5319"/>
              <dgm:constr type="l" for="ch" forName="Child9" refType="w" fact="0.8093"/>
              <dgm:constr type="t" for="ch" forName="Child9" refType="h" fact="0.6876"/>
              <dgm:constr type="w" for="ch" forName="Child9" refType="w" fact="0.089"/>
              <dgm:constr type="h" for="ch" forName="Child9" refType="h" fact="0.3124"/>
              <dgm:constr type="l" for="ch" forName="Accent8" refType="w" fact="0.6879"/>
              <dgm:constr type="t" for="ch" forName="Accent8" refType="h" fact="-0.0109"/>
              <dgm:constr type="w" for="ch" forName="Accent8" refType="w" fact="0.1348"/>
              <dgm:constr type="h" for="ch" forName="Accent8" refType="h" fact="0.806"/>
              <dgm:constr type="l" for="ch" forName="ParentBackground8" refType="w" fact="0.7108"/>
              <dgm:constr type="t" for="ch" forName="ParentBackground8" refType="h" fact="0.1262"/>
              <dgm:constr type="w" for="ch" forName="ParentBackground8" refType="w" fact="0.089"/>
              <dgm:constr type="h" for="ch" forName="ParentBackground8" refType="h" fact="0.5319"/>
              <dgm:constr type="l" for="ch" forName="Child8" refType="w" fact="0.7108"/>
              <dgm:constr type="t" for="ch" forName="Child8" refType="h" fact="0.6876"/>
              <dgm:constr type="w" for="ch" forName="Child8" refType="w" fact="0.089"/>
              <dgm:constr type="h" for="ch" forName="Child8" refType="h" fact="0.3124"/>
              <dgm:constr type="l" for="ch" forName="Accent7" refType="w" fact="0.5893"/>
              <dgm:constr type="t" for="ch" forName="Accent7" refType="h" fact="-0.0109"/>
              <dgm:constr type="w" for="ch" forName="Accent7" refType="w" fact="0.1348"/>
              <dgm:constr type="h" for="ch" forName="Accent7" refType="h" fact="0.806"/>
              <dgm:constr type="l" for="ch" forName="ParentBackground7" refType="w" fact="0.6123"/>
              <dgm:constr type="t" for="ch" forName="ParentBackground7" refType="h" fact="0.1262"/>
              <dgm:constr type="w" for="ch" forName="ParentBackground7" refType="w" fact="0.089"/>
              <dgm:constr type="h" for="ch" forName="ParentBackground7" refType="h" fact="0.5319"/>
              <dgm:constr type="l" for="ch" forName="Child7" refType="w" fact="0.6123"/>
              <dgm:constr type="t" for="ch" forName="Child7" refType="h" fact="0.6876"/>
              <dgm:constr type="w" for="ch" forName="Child7" refType="w" fact="0.089"/>
              <dgm:constr type="h" for="ch" forName="Child7" refType="h" fact="0.3124"/>
              <dgm:constr type="l" for="ch" forName="Accent6" refType="w" fact="0.4908"/>
              <dgm:constr type="t" for="ch" forName="Accent6" refType="h" fact="-0.0109"/>
              <dgm:constr type="w" for="ch" forName="Accent6" refType="w" fact="0.1348"/>
              <dgm:constr type="h" for="ch" forName="Accent6" refType="h" fact="0.806"/>
              <dgm:constr type="l" for="ch" forName="ParentBackground6" refType="w" fact="0.5137"/>
              <dgm:constr type="t" for="ch" forName="ParentBackground6" refType="h" fact="0.1262"/>
              <dgm:constr type="w" for="ch" forName="ParentBackground6" refType="w" fact="0.089"/>
              <dgm:constr type="h" for="ch" forName="ParentBackground6" refType="h" fact="0.5319"/>
              <dgm:constr type="l" for="ch" forName="Child6" refType="w" fact="0.5137"/>
              <dgm:constr type="t" for="ch" forName="Child6" refType="h" fact="0.6876"/>
              <dgm:constr type="w" for="ch" forName="Child6" refType="w" fact="0.089"/>
              <dgm:constr type="h" for="ch" forName="Child6" refType="h" fact="0.3124"/>
              <dgm:constr type="l" for="ch" forName="Accent5" refType="w" fact="0.3923"/>
              <dgm:constr type="t" for="ch" forName="Accent5" refType="h" fact="-0.0109"/>
              <dgm:constr type="w" for="ch" forName="Accent5" refType="w" fact="0.1348"/>
              <dgm:constr type="h" for="ch" forName="Accent5" refType="h" fact="0.806"/>
              <dgm:constr type="l" for="ch" forName="ParentBackground5" refType="w" fact="0.4152"/>
              <dgm:constr type="t" for="ch" forName="ParentBackground5" refType="h" fact="0.1262"/>
              <dgm:constr type="w" for="ch" forName="ParentBackground5" refType="w" fact="0.089"/>
              <dgm:constr type="h" for="ch" forName="ParentBackground5" refType="h" fact="0.5319"/>
              <dgm:constr type="l" for="ch" forName="Child5" refType="w" fact="0.4152"/>
              <dgm:constr type="t" for="ch" forName="Child5" refType="h" fact="0.6876"/>
              <dgm:constr type="w" for="ch" forName="Child5" refType="w" fact="0.089"/>
              <dgm:constr type="h" for="ch" forName="Child5" refType="h" fact="0.3124"/>
              <dgm:constr type="l" for="ch" forName="Accent4" refType="w" fact="0.2938"/>
              <dgm:constr type="t" for="ch" forName="Accent4" refType="h" fact="-0.0109"/>
              <dgm:constr type="w" for="ch" forName="Accent4" refType="w" fact="0.1348"/>
              <dgm:constr type="h" for="ch" forName="Accent4" refType="h" fact="0.806"/>
              <dgm:constr type="l" for="ch" forName="ParentBackground4" refType="w" fact="0.3167"/>
              <dgm:constr type="t" for="ch" forName="ParentBackground4" refType="h" fact="0.1262"/>
              <dgm:constr type="w" for="ch" forName="ParentBackground4" refType="w" fact="0.089"/>
              <dgm:constr type="h" for="ch" forName="ParentBackground4" refType="h" fact="0.5319"/>
              <dgm:constr type="l" for="ch" forName="Child4" refType="w" fact="0.3167"/>
              <dgm:constr type="t" for="ch" forName="Child4" refType="h" fact="0.6876"/>
              <dgm:constr type="w" for="ch" forName="Child4" refType="w" fact="0.089"/>
              <dgm:constr type="h" for="ch" forName="Child4" refType="h" fact="0.3124"/>
              <dgm:constr type="l" for="ch" forName="Accent3" refType="w" fact="0.1952"/>
              <dgm:constr type="t" for="ch" forName="Accent3" refType="h" fact="-0.0109"/>
              <dgm:constr type="w" for="ch" forName="Accent3" refType="w" fact="0.1348"/>
              <dgm:constr type="h" for="ch" forName="Accent3" refType="h" fact="0.806"/>
              <dgm:constr type="l" for="ch" forName="ParentBackground3" refType="w" fact="0.2182"/>
              <dgm:constr type="t" for="ch" forName="ParentBackground3" refType="h" fact="0.1262"/>
              <dgm:constr type="w" for="ch" forName="ParentBackground3" refType="w" fact="0.089"/>
              <dgm:constr type="h" for="ch" forName="ParentBackground3" refType="h" fact="0.5319"/>
              <dgm:constr type="l" for="ch" forName="Child3" refType="w" fact="0.2182"/>
              <dgm:constr type="t" for="ch" forName="Child3" refType="h" fact="0.6876"/>
              <dgm:constr type="w" for="ch" forName="Child3" refType="w" fact="0.089"/>
              <dgm:constr type="h" for="ch" forName="Child3" refType="h" fact="0.3124"/>
              <dgm:constr type="l" for="ch" forName="Accent2" refType="w" fact="0.0967"/>
              <dgm:constr type="t" for="ch" forName="Accent2" refType="h" fact="-0.0109"/>
              <dgm:constr type="w" for="ch" forName="Accent2" refType="w" fact="0.1348"/>
              <dgm:constr type="h" for="ch" forName="Accent2" refType="h" fact="0.806"/>
              <dgm:constr type="l" for="ch" forName="ParentBackground2" refType="w" fact="0.1196"/>
              <dgm:constr type="t" for="ch" forName="ParentBackground2" refType="h" fact="0.1262"/>
              <dgm:constr type="w" for="ch" forName="ParentBackground2" refType="w" fact="0.089"/>
              <dgm:constr type="h" for="ch" forName="ParentBackground2" refType="h" fact="0.5319"/>
              <dgm:constr type="l" for="ch" forName="Child2" refType="w" fact="0.1196"/>
              <dgm:constr type="t" for="ch" forName="Child2" refType="h" fact="0.6876"/>
              <dgm:constr type="w" for="ch" forName="Child2" refType="w" fact="0.089"/>
              <dgm:constr type="h" for="ch" forName="Child2" refType="h" fact="0.3124"/>
              <dgm:constr type="l" for="ch" forName="Accent1" refType="w" fact="-0.0018"/>
              <dgm:constr type="t" for="ch" forName="Accent1" refType="h" fact="-0.0109"/>
              <dgm:constr type="w" for="ch" forName="Accent1" refType="w" fact="0.1348"/>
              <dgm:constr type="h" for="ch" forName="Accent1" refType="h" fact="0.806"/>
              <dgm:constr type="l" for="ch" forName="ParentBackground1" refType="w" fact="0.0211"/>
              <dgm:constr type="t" for="ch" forName="ParentBackground1" refType="h" fact="0.1262"/>
              <dgm:constr type="w" for="ch" forName="ParentBackground1" refType="w" fact="0.089"/>
              <dgm:constr type="h" for="ch" forName="ParentBackground1" refType="h" fact="0.5319"/>
              <dgm:constr type="l" for="ch" forName="Child1" refType="w" fact="0.0211"/>
              <dgm:constr type="t" for="ch" forName="Child1" refType="h" fact="0.6876"/>
              <dgm:constr type="w" for="ch" forName="Child1" refType="w" fact="0.089"/>
              <dgm:constr type="h" for="ch" forName="Child1" refType="h" fact="0.3124"/>
            </dgm:constrLst>
          </dgm:if>
          <dgm:else name="Name14">
            <dgm:alg type="composite">
              <dgm:param type="ar" val="6.565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1"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1"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1"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1"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1"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6" op="lte"/>
              <dgm:constr type="primFontSz" for="des" forName="Child11"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1"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1"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1"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Child11" refType="primFontSz" refFor="des" refForName="Parent10" op="lte"/>
              <dgm:constr type="primFontSz" for="des" forName="Child1" refType="primFontSz" refFor="des" refForName="Parent11" op="lte"/>
              <dgm:constr type="primFontSz" for="des" forName="Child2" refType="primFontSz" refFor="des" refForName="Parent11" op="lte"/>
              <dgm:constr type="primFontSz" for="des" forName="Child3" refType="primFontSz" refFor="des" refForName="Parent11" op="lte"/>
              <dgm:constr type="primFontSz" for="des" forName="Child4" refType="primFontSz" refFor="des" refForName="Parent11" op="lte"/>
              <dgm:constr type="primFontSz" for="des" forName="Child5" refType="primFontSz" refFor="des" refForName="Parent11" op="lte"/>
              <dgm:constr type="primFontSz" for="des" forName="Child6" refType="primFontSz" refFor="des" refForName="Parent11" op="lte"/>
              <dgm:constr type="primFontSz" for="des" forName="Child7" refType="primFontSz" refFor="des" refForName="Parent11" op="lte"/>
              <dgm:constr type="primFontSz" for="des" forName="Child8" refType="primFontSz" refFor="des" refForName="Parent11" op="lte"/>
              <dgm:constr type="primFontSz" for="des" forName="Child9" refType="primFontSz" refFor="des" refForName="Parent11" op="lte"/>
              <dgm:constr type="primFontSz" for="des" forName="Child10" refType="primFontSz" refFor="des" refForName="Parent11" op="lte"/>
              <dgm:constr type="primFontSz" for="des" forName="Child11" refType="primFontSz" refFor="des" refForName="Parent11"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Parent11"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primFontSz" for="des" forName="Child11" refType="primFontSz" refFor="des" refForName="Child1" op="equ"/>
              <dgm:constr type="l" for="ch" forName="Parent11" refType="w" fact="0.9277"/>
              <dgm:constr type="t" for="ch" forName="Parent11" refType="h" fact="0.2022"/>
              <dgm:constr type="w" for="ch" forName="Parent11" refType="w" fact="0.0579"/>
              <dgm:constr type="h" for="ch" forName="Parent11" refType="h" fact="0.3799"/>
              <dgm:constr type="l" for="ch" forName="Parent10" refType="w" fact="0.838"/>
              <dgm:constr type="t" for="ch" forName="Parent10" refType="h" fact="0.2022"/>
              <dgm:constr type="w" for="ch" forName="Parent10" refType="w" fact="0.0579"/>
              <dgm:constr type="h" for="ch" forName="Parent10" refType="h" fact="0.3799"/>
              <dgm:constr type="l" for="ch" forName="Parent9" refType="w" fact="0.7483"/>
              <dgm:constr type="t" for="ch" forName="Parent9" refType="h" fact="0.2022"/>
              <dgm:constr type="w" for="ch" forName="Parent9" refType="w" fact="0.0579"/>
              <dgm:constr type="h" for="ch" forName="Parent9" refType="h" fact="0.3799"/>
              <dgm:constr type="l" for="ch" forName="Parent8" refType="w" fact="0.6586"/>
              <dgm:constr type="t" for="ch" forName="Parent8" refType="h" fact="0.2022"/>
              <dgm:constr type="w" for="ch" forName="Parent8" refType="w" fact="0.0579"/>
              <dgm:constr type="h" for="ch" forName="Parent8" refType="h" fact="0.3799"/>
              <dgm:constr type="l" for="ch" forName="Parent7" refType="w" fact="0.5689"/>
              <dgm:constr type="t" for="ch" forName="Parent7" refType="h" fact="0.2022"/>
              <dgm:constr type="w" for="ch" forName="Parent7" refType="w" fact="0.0579"/>
              <dgm:constr type="h" for="ch" forName="Parent7" refType="h" fact="0.3799"/>
              <dgm:constr type="l" for="ch" forName="Parent6" refType="w" fact="0.4792"/>
              <dgm:constr type="t" for="ch" forName="Parent6" refType="h" fact="0.2022"/>
              <dgm:constr type="w" for="ch" forName="Parent6" refType="w" fact="0.0579"/>
              <dgm:constr type="h" for="ch" forName="Parent6" refType="h" fact="0.3799"/>
              <dgm:constr type="l" for="ch" forName="Parent5" refType="w" fact="0.3895"/>
              <dgm:constr type="t" for="ch" forName="Parent5" refType="h" fact="0.2022"/>
              <dgm:constr type="w" for="ch" forName="Parent5" refType="w" fact="0.0579"/>
              <dgm:constr type="h" for="ch" forName="Parent5" refType="h" fact="0.3799"/>
              <dgm:constr type="l" for="ch" forName="Parent4" refType="w" fact="0.2999"/>
              <dgm:constr type="t" for="ch" forName="Parent4" refType="h" fact="0.2022"/>
              <dgm:constr type="w" for="ch" forName="Parent4" refType="w" fact="0.0579"/>
              <dgm:constr type="h" for="ch" forName="Parent4" refType="h" fact="0.3799"/>
              <dgm:constr type="l" for="ch" forName="Parent3" refType="w" fact="0.2102"/>
              <dgm:constr type="t" for="ch" forName="Parent3" refType="h" fact="0.2022"/>
              <dgm:constr type="w" for="ch" forName="Parent3" refType="w" fact="0.0579"/>
              <dgm:constr type="h" for="ch" forName="Parent3" refType="h" fact="0.3799"/>
              <dgm:constr type="l" for="ch" forName="Parent2" refType="w" fact="0.1205"/>
              <dgm:constr type="t" for="ch" forName="Parent2" refType="h" fact="0.2022"/>
              <dgm:constr type="w" for="ch" forName="Parent2" refType="w" fact="0.0579"/>
              <dgm:constr type="h" for="ch" forName="Parent2" refType="h" fact="0.3799"/>
              <dgm:constr type="l" for="ch" forName="Parent1" refType="w" fact="0.0308"/>
              <dgm:constr type="t" for="ch" forName="Parent1" refType="h" fact="0.2022"/>
              <dgm:constr type="w" for="ch" forName="Parent1" refType="w" fact="0.0579"/>
              <dgm:constr type="h" for="ch" forName="Parent1" refType="h" fact="0.3799"/>
              <dgm:constr type="l" for="ch" forName="Accent11" refType="w" fact="0.9132"/>
              <dgm:constr type="t" for="ch" forName="Accent11" refType="h" fact="0.1072"/>
              <dgm:constr type="w" for="ch" forName="Accent11" refType="w" fact="0.0868"/>
              <dgm:constr type="h" for="ch" forName="Accent11" refType="h" fact="0.5699"/>
              <dgm:constr type="l" for="ch" forName="ParentBackground11" refType="w" fact="0.9161"/>
              <dgm:constr type="t" for="ch" forName="ParentBackground11" refType="h" fact="0.1262"/>
              <dgm:constr type="w" for="ch" forName="ParentBackground11" refType="w" fact="0.081"/>
              <dgm:constr type="h" for="ch" forName="ParentBackground11" refType="h" fact="0.5319"/>
              <dgm:constr type="l" for="ch" forName="Child11" refType="w" fact="0.9161"/>
              <dgm:constr type="t" for="ch" forName="Child11" refType="h" fact="0.6876"/>
              <dgm:constr type="w" for="ch" forName="Child11" refType="w" fact="0.081"/>
              <dgm:constr type="h" for="ch" forName="Child11" refType="h" fact="0.3124"/>
              <dgm:constr type="l" for="ch" forName="Accent10" refType="w" fact="0.8055"/>
              <dgm:constr type="t" for="ch" forName="Accent10" refType="h" fact="-0.0109"/>
              <dgm:constr type="w" for="ch" forName="Accent10" refType="w" fact="0.1228"/>
              <dgm:constr type="h" for="ch" forName="Accent10" refType="h" fact="0.806"/>
              <dgm:constr type="l" for="ch" forName="ParentBackground10" refType="w" fact="0.8264"/>
              <dgm:constr type="t" for="ch" forName="ParentBackground10" refType="h" fact="0.1262"/>
              <dgm:constr type="w" for="ch" forName="ParentBackground10" refType="w" fact="0.081"/>
              <dgm:constr type="h" for="ch" forName="ParentBackground10" refType="h" fact="0.5319"/>
              <dgm:constr type="l" for="ch" forName="Child10" refType="w" fact="0.8264"/>
              <dgm:constr type="t" for="ch" forName="Child10" refType="h" fact="0.6876"/>
              <dgm:constr type="w" for="ch" forName="Child10" refType="w" fact="0.081"/>
              <dgm:constr type="h" for="ch" forName="Child10" refType="h" fact="0.3124"/>
              <dgm:constr type="l" for="ch" forName="Accent9" refType="w" fact="0.7158"/>
              <dgm:constr type="t" for="ch" forName="Accent9" refType="h" fact="-0.0109"/>
              <dgm:constr type="w" for="ch" forName="Accent9" refType="w" fact="0.1228"/>
              <dgm:constr type="h" for="ch" forName="Accent9" refType="h" fact="0.806"/>
              <dgm:constr type="l" for="ch" forName="ParentBackground9" refType="w" fact="0.7367"/>
              <dgm:constr type="t" for="ch" forName="ParentBackground9" refType="h" fact="0.1262"/>
              <dgm:constr type="w" for="ch" forName="ParentBackground9" refType="w" fact="0.081"/>
              <dgm:constr type="h" for="ch" forName="ParentBackground9" refType="h" fact="0.5319"/>
              <dgm:constr type="l" for="ch" forName="Child9" refType="w" fact="0.7367"/>
              <dgm:constr type="t" for="ch" forName="Child9" refType="h" fact="0.6876"/>
              <dgm:constr type="w" for="ch" forName="Child9" refType="w" fact="0.081"/>
              <dgm:constr type="h" for="ch" forName="Child9" refType="h" fact="0.3124"/>
              <dgm:constr type="l" for="ch" forName="Accent8" refType="w" fact="0.6261"/>
              <dgm:constr type="t" for="ch" forName="Accent8" refType="h" fact="-0.0109"/>
              <dgm:constr type="w" for="ch" forName="Accent8" refType="w" fact="0.1228"/>
              <dgm:constr type="h" for="ch" forName="Accent8" refType="h" fact="0.806"/>
              <dgm:constr type="l" for="ch" forName="ParentBackground8" refType="w" fact="0.647"/>
              <dgm:constr type="t" for="ch" forName="ParentBackground8" refType="h" fact="0.1262"/>
              <dgm:constr type="w" for="ch" forName="ParentBackground8" refType="w" fact="0.081"/>
              <dgm:constr type="h" for="ch" forName="ParentBackground8" refType="h" fact="0.5319"/>
              <dgm:constr type="l" for="ch" forName="Child8" refType="w" fact="0.647"/>
              <dgm:constr type="t" for="ch" forName="Child8" refType="h" fact="0.6876"/>
              <dgm:constr type="w" for="ch" forName="Child8" refType="w" fact="0.081"/>
              <dgm:constr type="h" for="ch" forName="Child8" refType="h" fact="0.3124"/>
              <dgm:constr type="l" for="ch" forName="Accent7" refType="w" fact="0.5364"/>
              <dgm:constr type="t" for="ch" forName="Accent7" refType="h" fact="-0.0109"/>
              <dgm:constr type="w" for="ch" forName="Accent7" refType="w" fact="0.1228"/>
              <dgm:constr type="h" for="ch" forName="Accent7" refType="h" fact="0.806"/>
              <dgm:constr type="l" for="ch" forName="ParentBackground7" refType="w" fact="0.5573"/>
              <dgm:constr type="t" for="ch" forName="ParentBackground7" refType="h" fact="0.1262"/>
              <dgm:constr type="w" for="ch" forName="ParentBackground7" refType="w" fact="0.081"/>
              <dgm:constr type="h" for="ch" forName="ParentBackground7" refType="h" fact="0.5319"/>
              <dgm:constr type="l" for="ch" forName="Child7" refType="w" fact="0.5573"/>
              <dgm:constr type="t" for="ch" forName="Child7" refType="h" fact="0.6876"/>
              <dgm:constr type="w" for="ch" forName="Child7" refType="w" fact="0.081"/>
              <dgm:constr type="h" for="ch" forName="Child7" refType="h" fact="0.3124"/>
              <dgm:constr type="l" for="ch" forName="Accent6" refType="w" fact="0.4467"/>
              <dgm:constr type="t" for="ch" forName="Accent6" refType="h" fact="-0.0109"/>
              <dgm:constr type="w" for="ch" forName="Accent6" refType="w" fact="0.1228"/>
              <dgm:constr type="h" for="ch" forName="Accent6" refType="h" fact="0.806"/>
              <dgm:constr type="l" for="ch" forName="ParentBackground6" refType="w" fact="0.4677"/>
              <dgm:constr type="t" for="ch" forName="ParentBackground6" refType="h" fact="0.1262"/>
              <dgm:constr type="w" for="ch" forName="ParentBackground6" refType="w" fact="0.081"/>
              <dgm:constr type="h" for="ch" forName="ParentBackground6" refType="h" fact="0.5319"/>
              <dgm:constr type="l" for="ch" forName="Child6" refType="w" fact="0.4677"/>
              <dgm:constr type="t" for="ch" forName="Child6" refType="h" fact="0.6876"/>
              <dgm:constr type="w" for="ch" forName="Child6" refType="w" fact="0.081"/>
              <dgm:constr type="h" for="ch" forName="Child6" refType="h" fact="0.3124"/>
              <dgm:constr type="l" for="ch" forName="Accent5" refType="w" fact="0.3571"/>
              <dgm:constr type="t" for="ch" forName="Accent5" refType="h" fact="-0.0109"/>
              <dgm:constr type="w" for="ch" forName="Accent5" refType="w" fact="0.1228"/>
              <dgm:constr type="h" for="ch" forName="Accent5" refType="h" fact="0.806"/>
              <dgm:constr type="l" for="ch" forName="ParentBackground5" refType="w" fact="0.378"/>
              <dgm:constr type="t" for="ch" forName="ParentBackground5" refType="h" fact="0.1262"/>
              <dgm:constr type="w" for="ch" forName="ParentBackground5" refType="w" fact="0.081"/>
              <dgm:constr type="h" for="ch" forName="ParentBackground5" refType="h" fact="0.5319"/>
              <dgm:constr type="l" for="ch" forName="Child5" refType="w" fact="0.378"/>
              <dgm:constr type="t" for="ch" forName="Child5" refType="h" fact="0.6876"/>
              <dgm:constr type="w" for="ch" forName="Child5" refType="w" fact="0.081"/>
              <dgm:constr type="h" for="ch" forName="Child5" refType="h" fact="0.3124"/>
              <dgm:constr type="l" for="ch" forName="Accent4" refType="w" fact="0.2674"/>
              <dgm:constr type="t" for="ch" forName="Accent4" refType="h" fact="-0.0109"/>
              <dgm:constr type="w" for="ch" forName="Accent4" refType="w" fact="0.1228"/>
              <dgm:constr type="h" for="ch" forName="Accent4" refType="h" fact="0.806"/>
              <dgm:constr type="l" for="ch" forName="ParentBackground4" refType="w" fact="0.2883"/>
              <dgm:constr type="t" for="ch" forName="ParentBackground4" refType="h" fact="0.1262"/>
              <dgm:constr type="w" for="ch" forName="ParentBackground4" refType="w" fact="0.081"/>
              <dgm:constr type="h" for="ch" forName="ParentBackground4" refType="h" fact="0.5319"/>
              <dgm:constr type="l" for="ch" forName="Child4" refType="w" fact="0.2883"/>
              <dgm:constr type="t" for="ch" forName="Child4" refType="h" fact="0.6876"/>
              <dgm:constr type="w" for="ch" forName="Child4" refType="w" fact="0.081"/>
              <dgm:constr type="h" for="ch" forName="Child4" refType="h" fact="0.3124"/>
              <dgm:constr type="l" for="ch" forName="Accent3" refType="w" fact="0.1777"/>
              <dgm:constr type="t" for="ch" forName="Accent3" refType="h" fact="-0.0109"/>
              <dgm:constr type="w" for="ch" forName="Accent3" refType="w" fact="0.1228"/>
              <dgm:constr type="h" for="ch" forName="Accent3" refType="h" fact="0.806"/>
              <dgm:constr type="l" for="ch" forName="ParentBackground3" refType="w" fact="0.1986"/>
              <dgm:constr type="t" for="ch" forName="ParentBackground3" refType="h" fact="0.1262"/>
              <dgm:constr type="w" for="ch" forName="ParentBackground3" refType="w" fact="0.081"/>
              <dgm:constr type="h" for="ch" forName="ParentBackground3" refType="h" fact="0.5319"/>
              <dgm:constr type="l" for="ch" forName="Child3" refType="w" fact="0.1986"/>
              <dgm:constr type="t" for="ch" forName="Child3" refType="h" fact="0.6876"/>
              <dgm:constr type="w" for="ch" forName="Child3" refType="w" fact="0.081"/>
              <dgm:constr type="h" for="ch" forName="Child3" refType="h" fact="0.3124"/>
              <dgm:constr type="l" for="ch" forName="Accent2" refType="w" fact="0.088"/>
              <dgm:constr type="t" for="ch" forName="Accent2" refType="h" fact="-0.0109"/>
              <dgm:constr type="w" for="ch" forName="Accent2" refType="w" fact="0.1228"/>
              <dgm:constr type="h" for="ch" forName="Accent2" refType="h" fact="0.806"/>
              <dgm:constr type="l" for="ch" forName="ParentBackground2" refType="w" fact="0.1089"/>
              <dgm:constr type="t" for="ch" forName="ParentBackground2" refType="h" fact="0.1262"/>
              <dgm:constr type="w" for="ch" forName="ParentBackground2" refType="w" fact="0.081"/>
              <dgm:constr type="h" for="ch" forName="ParentBackground2" refType="h" fact="0.5319"/>
              <dgm:constr type="l" for="ch" forName="Child2" refType="w" fact="0.1089"/>
              <dgm:constr type="t" for="ch" forName="Child2" refType="h" fact="0.6876"/>
              <dgm:constr type="w" for="ch" forName="Child2" refType="w" fact="0.081"/>
              <dgm:constr type="h" for="ch" forName="Child2" refType="h" fact="0.3124"/>
              <dgm:constr type="l" for="ch" forName="Accent1" refType="w" fact="-0.0017"/>
              <dgm:constr type="t" for="ch" forName="Accent1" refType="h" fact="-0.0109"/>
              <dgm:constr type="w" for="ch" forName="Accent1" refType="w" fact="0.1228"/>
              <dgm:constr type="h" for="ch" forName="Accent1" refType="h" fact="0.806"/>
              <dgm:constr type="l" for="ch" forName="ParentBackground1" refType="w" fact="0.0192"/>
              <dgm:constr type="t" for="ch" forName="ParentBackground1" refType="h" fact="0.1262"/>
              <dgm:constr type="w" for="ch" forName="ParentBackground1" refType="w" fact="0.081"/>
              <dgm:constr type="h" for="ch" forName="ParentBackground1" refType="h" fact="0.5319"/>
              <dgm:constr type="l" for="ch" forName="Child1" refType="w" fact="0.0192"/>
              <dgm:constr type="t" for="ch" forName="Child1" refType="h" fact="0.6876"/>
              <dgm:constr type="w" for="ch" forName="Child1" refType="w" fact="0.081"/>
              <dgm:constr type="h" for="ch" forName="Child1" refType="h" fact="0.3124"/>
            </dgm:constrLst>
          </dgm:else>
        </dgm:choose>
      </dgm:if>
      <dgm:else name="Name15">
        <dgm:choose name="Name16">
          <dgm:if name="Name17" axis="ch" ptType="node" func="cnt" op="equ" val="1">
            <dgm:alg type="composite">
              <dgm:param type="ar" val="0.6383"/>
            </dgm:alg>
            <dgm:constrLst>
              <dgm:constr type="primFontSz" for="des" forName="Child1" val="65"/>
              <dgm:constr type="primFontSz" for="des" forName="Parent1" val="65"/>
              <dgm:constr type="primFontSz" for="des" forName="Child1" refType="primFontSz" refFor="des" refForName="Parent1" op="lte"/>
              <dgm:constr type="l" for="ch" forName="Parent1" refType="w" fact="0.1667"/>
              <dgm:constr type="t" for="ch" forName="Parent1" refType="h" fact="0.1064"/>
              <dgm:constr type="w" for="ch" forName="Parent1" refType="w" fact="0.6667"/>
              <dgm:constr type="h" for="ch" forName="Parent1" refType="h" fact="0.4255"/>
              <dgm:constr type="l" for="ch" forName="Accent1" refType="w" fact="0"/>
              <dgm:constr type="t" for="ch" forName="Accent1" refType="h" fact="0"/>
              <dgm:constr type="w" for="ch" forName="Accent1" refType="w"/>
              <dgm:constr type="h" for="ch" forName="Accent1" refType="h" fact="0.6383"/>
              <dgm:constr type="l" for="ch" forName="ParentBackground1" refType="w" fact="0.0333"/>
              <dgm:constr type="t" for="ch" forName="ParentBackground1" refType="h" fact="0.0213"/>
              <dgm:constr type="w" for="ch" forName="ParentBackground1" refType="w" fact="0.9333"/>
              <dgm:constr type="h" for="ch" forName="ParentBackground1" refType="h" fact="0.5957"/>
              <dgm:constr type="l" for="ch" forName="Child1" refType="w" fact="0.0333"/>
              <dgm:constr type="t" for="ch" forName="Child1" refType="h" fact="0.6574"/>
              <dgm:constr type="w" for="ch" forName="Child1" refType="w" fact="0.9333"/>
              <dgm:constr type="h" for="ch" forName="Child1" refType="h" fact="0.3426"/>
            </dgm:constrLst>
          </dgm:if>
          <dgm:if name="Name18" axis="ch" ptType="node" func="cnt" op="equ" val="2">
            <dgm:alg type="composite">
              <dgm:param type="ar" val="1.265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r" for="ch" forName="Parent2" refType="w" fact="0.3751"/>
              <dgm:constr type="t" for="ch" forName="Parent2" refType="h" fact="0.2022"/>
              <dgm:constr type="w" for="ch" forName="Parent2" refType="w" fact="0.3001"/>
              <dgm:constr type="h" for="ch" forName="Parent2" refType="h" fact="0.3799"/>
              <dgm:constr type="r" for="ch" forName="Parent1" refType="w" fact="0.8403"/>
              <dgm:constr type="t" for="ch" forName="Parent1" refType="h" fact="0.2022"/>
              <dgm:constr type="w" for="ch" forName="Parent1" refType="w" fact="0.3001"/>
              <dgm:constr type="h" for="ch" forName="Parent1" refType="h" fact="0.3799"/>
              <dgm:constr type="r" for="ch" forName="Accent2" refType="w" fact="0.4502"/>
              <dgm:constr type="t" for="ch" forName="Accent2" refType="h" fact="0.1072"/>
              <dgm:constr type="w" for="ch" forName="Accent2" refType="w" fact="0.4502"/>
              <dgm:constr type="h" for="ch" forName="Accent2" refType="h" fact="0.5699"/>
              <dgm:constr type="r" for="ch" forName="ParentBackground2" refType="w" fact="0.4352"/>
              <dgm:constr type="t" for="ch" forName="ParentBackground2" refType="h" fact="0.1262"/>
              <dgm:constr type="w" for="ch" forName="ParentBackground2" refType="w" fact="0.4201"/>
              <dgm:constr type="h" for="ch" forName="ParentBackground2" refType="h" fact="0.5319"/>
              <dgm:constr type="r" for="ch" forName="Child2" refType="w" fact="0.4352"/>
              <dgm:constr type="t" for="ch" forName="Child2" refType="h" fact="0.6876"/>
              <dgm:constr type="w" for="ch" forName="Child2" refType="w" fact="0.4201"/>
              <dgm:constr type="h" for="ch" forName="Child2" refType="h" fact="0.3124"/>
              <dgm:constr type="r" for="ch" forName="Accent1" refType="w" fact="1.0086"/>
              <dgm:constr type="t" for="ch" forName="Accent1" refType="h" fact="-0.0109"/>
              <dgm:constr type="w" for="ch" forName="Accent1" refType="w" fact="0.6367"/>
              <dgm:constr type="h" for="ch" forName="Accent1" refType="h" fact="0.806"/>
              <dgm:constr type="r" for="ch" forName="ParentBackground1" refType="w" fact="0.9003"/>
              <dgm:constr type="t" for="ch" forName="ParentBackground1" refType="h" fact="0.1262"/>
              <dgm:constr type="w" for="ch" forName="ParentBackground1" refType="w" fact="0.4201"/>
              <dgm:constr type="h" for="ch" forName="ParentBackground1" refType="h" fact="0.5319"/>
              <dgm:constr type="r" for="ch" forName="Child1" refType="w" fact="0.9003"/>
              <dgm:constr type="t" for="ch" forName="Child1" refType="h" fact="0.6876"/>
              <dgm:constr type="w" for="ch" forName="Child1" refType="w" fact="0.4201"/>
              <dgm:constr type="h" for="ch" forName="Child1" refType="h" fact="0.3124"/>
            </dgm:constrLst>
          </dgm:if>
          <dgm:if name="Name19" axis="ch" ptType="node" func="cnt" op="equ" val="3">
            <dgm:alg type="composite">
              <dgm:param type="ar" val="1.854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r" for="ch" forName="Parent3" refType="w" fact="0.256"/>
              <dgm:constr type="t" for="ch" forName="Parent3" refType="h" fact="0.2022"/>
              <dgm:constr type="w" for="ch" forName="Parent3" refType="w" fact="0.2048"/>
              <dgm:constr type="h" for="ch" forName="Parent3" refType="h" fact="0.3799"/>
              <dgm:constr type="r" for="ch" forName="Parent2" refType="w" fact="0.5735"/>
              <dgm:constr type="t" for="ch" forName="Parent2" refType="h" fact="0.2022"/>
              <dgm:constr type="w" for="ch" forName="Parent2" refType="w" fact="0.2048"/>
              <dgm:constr type="h" for="ch" forName="Parent2" refType="h" fact="0.3799"/>
              <dgm:constr type="r" for="ch" forName="Parent1" refType="w" fact="0.891"/>
              <dgm:constr type="t" for="ch" forName="Parent1" refType="h" fact="0.2022"/>
              <dgm:constr type="w" for="ch" forName="Parent1" refType="w" fact="0.2048"/>
              <dgm:constr type="h" for="ch" forName="Parent1" refType="h" fact="0.3799"/>
              <dgm:constr type="r" for="ch" forName="Accent3" refType="w" fact="0.3072"/>
              <dgm:constr type="t" for="ch" forName="Accent3" refType="h" fact="0.1072"/>
              <dgm:constr type="w" for="ch" forName="Accent3" refType="w" fact="0.3072"/>
              <dgm:constr type="h" for="ch" forName="Accent3" refType="h" fact="0.5699"/>
              <dgm:constr type="r" for="ch" forName="ParentBackground3" refType="w" fact="0.297"/>
              <dgm:constr type="t" for="ch" forName="ParentBackground3" refType="h" fact="0.1262"/>
              <dgm:constr type="w" for="ch" forName="ParentBackground3" refType="w" fact="0.2868"/>
              <dgm:constr type="h" for="ch" forName="ParentBackground3" refType="h" fact="0.5319"/>
              <dgm:constr type="r" for="ch" forName="Child3" refType="w" fact="0.297"/>
              <dgm:constr type="t" for="ch" forName="Child3" refType="h" fact="0.6876"/>
              <dgm:constr type="w" for="ch" forName="Child3" refType="w" fact="0.2868"/>
              <dgm:constr type="h" for="ch" forName="Child3" refType="h" fact="0.3124"/>
              <dgm:constr type="r" for="ch" forName="Accent2" refType="w" fact="0.6878"/>
              <dgm:constr type="t" for="ch" forName="Accent2" refType="h" fact="-0.0109"/>
              <dgm:constr type="w" for="ch" forName="Accent2" refType="w" fact="0.4334"/>
              <dgm:constr type="h" for="ch" forName="Accent2" refType="h" fact="0.806"/>
              <dgm:constr type="r" for="ch" forName="ParentBackground2" refType="w" fact="0.6145"/>
              <dgm:constr type="t" for="ch" forName="ParentBackground2" refType="h" fact="0.1262"/>
              <dgm:constr type="w" for="ch" forName="ParentBackground2" refType="w" fact="0.2868"/>
              <dgm:constr type="h" for="ch" forName="ParentBackground2" refType="h" fact="0.5319"/>
              <dgm:constr type="r" for="ch" forName="Child2" refType="w" fact="0.6145"/>
              <dgm:constr type="t" for="ch" forName="Child2" refType="h" fact="0.6876"/>
              <dgm:constr type="w" for="ch" forName="Child2" refType="w" fact="0.2868"/>
              <dgm:constr type="h" for="ch" forName="Child2" refType="h" fact="0.3124"/>
              <dgm:constr type="r" for="ch" forName="Accent1" refType="w" fact="1.0053"/>
              <dgm:constr type="t" for="ch" forName="Accent1" refType="h" fact="-0.0109"/>
              <dgm:constr type="w" for="ch" forName="Accent1" refType="w" fact="0.4334"/>
              <dgm:constr type="h" for="ch" forName="Accent1" refType="h" fact="0.806"/>
              <dgm:constr type="r" for="ch" forName="ParentBackground1" refType="w" fact="0.932"/>
              <dgm:constr type="t" for="ch" forName="ParentBackground1" refType="h" fact="0.1262"/>
              <dgm:constr type="w" for="ch" forName="ParentBackground1" refType="w" fact="0.2868"/>
              <dgm:constr type="h" for="ch" forName="ParentBackground1" refType="h" fact="0.5319"/>
              <dgm:constr type="r" for="ch" forName="Child1" refType="w" fact="0.932"/>
              <dgm:constr type="t" for="ch" forName="Child1" refType="h" fact="0.6876"/>
              <dgm:constr type="w" for="ch" forName="Child1" refType="w" fact="0.2868"/>
              <dgm:constr type="h" for="ch" forName="Child1" refType="h" fact="0.3124"/>
            </dgm:constrLst>
          </dgm:if>
          <dgm:if name="Name20" axis="ch" ptType="node" func="cnt" op="equ" val="4">
            <dgm:alg type="composite">
              <dgm:param type="ar" val="2.4437"/>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Parent4" refType="w" fact="0.1943"/>
              <dgm:constr type="t" for="ch" forName="Parent4" refType="h" fact="0.2022"/>
              <dgm:constr type="w" for="ch" forName="Parent4" refType="w" fact="0.1555"/>
              <dgm:constr type="h" for="ch" forName="Parent4" refType="h" fact="0.3799"/>
              <dgm:constr type="r" for="ch" forName="Parent3" refType="w" fact="0.4353"/>
              <dgm:constr type="t" for="ch" forName="Parent3" refType="h" fact="0.2022"/>
              <dgm:constr type="w" for="ch" forName="Parent3" refType="w" fact="0.1555"/>
              <dgm:constr type="h" for="ch" forName="Parent3" refType="h" fact="0.3799"/>
              <dgm:constr type="r" for="ch" forName="Parent2" refType="w" fact="0.6763"/>
              <dgm:constr type="t" for="ch" forName="Parent2" refType="h" fact="0.2022"/>
              <dgm:constr type="w" for="ch" forName="Parent2" refType="w" fact="0.1555"/>
              <dgm:constr type="h" for="ch" forName="Parent2" refType="h" fact="0.3799"/>
              <dgm:constr type="r" for="ch" forName="Parent1" refType="w" fact="0.9173"/>
              <dgm:constr type="t" for="ch" forName="Parent1" refType="h" fact="0.2022"/>
              <dgm:constr type="w" for="ch" forName="Parent1" refType="w" fact="0.1555"/>
              <dgm:constr type="h" for="ch" forName="Parent1" refType="h" fact="0.3799"/>
              <dgm:constr type="r" for="ch" forName="Accent4" refType="w" fact="0.2332"/>
              <dgm:constr type="t" for="ch" forName="Accent4" refType="h" fact="0.1072"/>
              <dgm:constr type="w" for="ch" forName="Accent4" refType="w" fact="0.2332"/>
              <dgm:constr type="h" for="ch" forName="Accent4" refType="h" fact="0.5699"/>
              <dgm:constr type="r" for="ch" forName="ParentBackground4" refType="w" fact="0.2254"/>
              <dgm:constr type="t" for="ch" forName="ParentBackground4" refType="h" fact="0.1262"/>
              <dgm:constr type="w" for="ch" forName="ParentBackground4" refType="w" fact="0.2177"/>
              <dgm:constr type="h" for="ch" forName="ParentBackground4" refType="h" fact="0.5319"/>
              <dgm:constr type="r" for="ch" forName="Child4" refType="w" fact="0.2254"/>
              <dgm:constr type="t" for="ch" forName="Child4" refType="h" fact="0.6876"/>
              <dgm:constr type="w" for="ch" forName="Child4" refType="w" fact="0.2177"/>
              <dgm:constr type="h" for="ch" forName="Child4" refType="h" fact="0.3124"/>
              <dgm:constr type="r" for="ch" forName="Accent3" refType="w" fact="0.5235"/>
              <dgm:constr type="t" for="ch" forName="Accent3" refType="h" fact="-0.0109"/>
              <dgm:constr type="w" for="ch" forName="Accent3" refType="w" fact="0.3298"/>
              <dgm:constr type="h" for="ch" forName="Accent3" refType="h" fact="0.806"/>
              <dgm:constr type="r" for="ch" forName="ParentBackground3" refType="w" fact="0.4664"/>
              <dgm:constr type="t" for="ch" forName="ParentBackground3" refType="h" fact="0.1262"/>
              <dgm:constr type="w" for="ch" forName="ParentBackground3" refType="w" fact="0.2177"/>
              <dgm:constr type="h" for="ch" forName="ParentBackground3" refType="h" fact="0.5319"/>
              <dgm:constr type="r" for="ch" forName="Child3" refType="w" fact="0.4664"/>
              <dgm:constr type="t" for="ch" forName="Child3" refType="h" fact="0.6876"/>
              <dgm:constr type="w" for="ch" forName="Child3" refType="w" fact="0.2177"/>
              <dgm:constr type="h" for="ch" forName="Child3" refType="h" fact="0.3124"/>
              <dgm:constr type="r" for="ch" forName="Accent2" refType="w" fact="0.7635"/>
              <dgm:constr type="t" for="ch" forName="Accent2" refType="h" fact="-0.0109"/>
              <dgm:constr type="w" for="ch" forName="Accent2" refType="w" fact="0.3298"/>
              <dgm:constr type="h" for="ch" forName="Accent2" refType="h" fact="0.806"/>
              <dgm:constr type="r" for="ch" forName="ParentBackground2" refType="w" fact="0.7074"/>
              <dgm:constr type="t" for="ch" forName="ParentBackground2" refType="h" fact="0.1262"/>
              <dgm:constr type="w" for="ch" forName="ParentBackground2" refType="w" fact="0.2177"/>
              <dgm:constr type="h" for="ch" forName="ParentBackground2" refType="h" fact="0.5319"/>
              <dgm:constr type="r" for="ch" forName="Child2" refType="w" fact="0.7074"/>
              <dgm:constr type="t" for="ch" forName="Child2" refType="h" fact="0.6876"/>
              <dgm:constr type="w" for="ch" forName="Child2" refType="w" fact="0.2177"/>
              <dgm:constr type="h" for="ch" forName="Child2" refType="h" fact="0.3124"/>
              <dgm:constr type="r" for="ch" forName="Accent1" refType="w" fact="1.0045"/>
              <dgm:constr type="t" for="ch" forName="Accent1" refType="h" fact="-0.0109"/>
              <dgm:constr type="w" for="ch" forName="Accent1" refType="w" fact="0.3298"/>
              <dgm:constr type="h" for="ch" forName="Accent1" refType="h" fact="0.806"/>
              <dgm:constr type="r" for="ch" forName="ParentBackground1" refType="w" fact="0.9484"/>
              <dgm:constr type="t" for="ch" forName="ParentBackground1" refType="h" fact="0.1262"/>
              <dgm:constr type="w" for="ch" forName="ParentBackground1" refType="w" fact="0.2177"/>
              <dgm:constr type="h" for="ch" forName="ParentBackground1" refType="h" fact="0.5319"/>
              <dgm:constr type="r" for="ch" forName="Child1" refType="w" fact="0.9484"/>
              <dgm:constr type="t" for="ch" forName="Child1" refType="h" fact="0.6876"/>
              <dgm:constr type="w" for="ch" forName="Child1" refType="w" fact="0.2177"/>
              <dgm:constr type="h" for="ch" forName="Child1" refType="h" fact="0.3124"/>
            </dgm:constrLst>
          </dgm:if>
          <dgm:if name="Name21" axis="ch" ptType="node" func="cnt" op="equ" val="5">
            <dgm:alg type="composite">
              <dgm:param type="ar" val="3.0325"/>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Parent5" refType="w" fact="0.1566"/>
              <dgm:constr type="t" for="ch" forName="Parent5" refType="h" fact="0.2022"/>
              <dgm:constr type="w" for="ch" forName="Parent5" refType="w" fact="0.1253"/>
              <dgm:constr type="h" for="ch" forName="Parent5" refType="h" fact="0.3799"/>
              <dgm:constr type="r" for="ch" forName="Parent4" refType="w" fact="0.3508"/>
              <dgm:constr type="t" for="ch" forName="Parent4" refType="h" fact="0.2022"/>
              <dgm:constr type="w" for="ch" forName="Parent4" refType="w" fact="0.1253"/>
              <dgm:constr type="h" for="ch" forName="Parent4" refType="h" fact="0.3799"/>
              <dgm:constr type="r" for="ch" forName="Parent3" refType="w" fact="0.545"/>
              <dgm:constr type="t" for="ch" forName="Parent3" refType="h" fact="0.2022"/>
              <dgm:constr type="w" for="ch" forName="Parent3" refType="w" fact="0.1253"/>
              <dgm:constr type="h" for="ch" forName="Parent3" refType="h" fact="0.3799"/>
              <dgm:constr type="r" for="ch" forName="Parent2" refType="w" fact="0.7391"/>
              <dgm:constr type="t" for="ch" forName="Parent2" refType="h" fact="0.2022"/>
              <dgm:constr type="w" for="ch" forName="Parent2" refType="w" fact="0.1253"/>
              <dgm:constr type="h" for="ch" forName="Parent2" refType="h" fact="0.3799"/>
              <dgm:constr type="r" for="ch" forName="Parent1" refType="w" fact="0.9333"/>
              <dgm:constr type="t" for="ch" forName="Parent1" refType="h" fact="0.2022"/>
              <dgm:constr type="w" for="ch" forName="Parent1" refType="w" fact="0.1253"/>
              <dgm:constr type="h" for="ch" forName="Parent1" refType="h" fact="0.3799"/>
              <dgm:constr type="r" for="ch" forName="Accent5" refType="w" fact="0.1879"/>
              <dgm:constr type="t" for="ch" forName="Accent5" refType="h" fact="0.1072"/>
              <dgm:constr type="w" for="ch" forName="Accent5" refType="w" fact="0.1879"/>
              <dgm:constr type="h" for="ch" forName="Accent5" refType="h" fact="0.5699"/>
              <dgm:constr type="r" for="ch" forName="ParentBackground5" refType="w" fact="0.1817"/>
              <dgm:constr type="t" for="ch" forName="ParentBackground5" refType="h" fact="0.1262"/>
              <dgm:constr type="w" for="ch" forName="ParentBackground5" refType="w" fact="0.1754"/>
              <dgm:constr type="h" for="ch" forName="ParentBackground5" refType="h" fact="0.5319"/>
              <dgm:constr type="r" for="ch" forName="Child5" refType="w" fact="0.1817"/>
              <dgm:constr type="t" for="ch" forName="Child5" refType="h" fact="0.6876"/>
              <dgm:constr type="w" for="ch" forName="Child5" refType="w" fact="0.1754"/>
              <dgm:constr type="h" for="ch" forName="Child5" refType="h" fact="0.3124"/>
              <dgm:constr type="r" for="ch" forName="Accent4" refType="w" fact="0.4211"/>
              <dgm:constr type="t" for="ch" forName="Accent4" refType="h" fact="-0.0109"/>
              <dgm:constr type="w" for="ch" forName="Accent4" refType="w" fact="0.2657"/>
              <dgm:constr type="h" for="ch" forName="Accent4" refType="h" fact="0.806"/>
              <dgm:constr type="r" for="ch" forName="ParentBackground4" refType="w" fact="0.3758"/>
              <dgm:constr type="t" for="ch" forName="ParentBackground4" refType="h" fact="0.1262"/>
              <dgm:constr type="w" for="ch" forName="ParentBackground4" refType="w" fact="0.1754"/>
              <dgm:constr type="h" for="ch" forName="ParentBackground4" refType="h" fact="0.5319"/>
              <dgm:constr type="r" for="ch" forName="Child4" refType="w" fact="0.3758"/>
              <dgm:constr type="t" for="ch" forName="Child4" refType="h" fact="0.6876"/>
              <dgm:constr type="w" for="ch" forName="Child4" refType="w" fact="0.1754"/>
              <dgm:constr type="h" for="ch" forName="Child4" refType="h" fact="0.3124"/>
              <dgm:constr type="r" for="ch" forName="Accent3" refType="w" fact="0.6152"/>
              <dgm:constr type="t" for="ch" forName="Accent3" refType="h" fact="-0.0109"/>
              <dgm:constr type="w" for="ch" forName="Accent3" refType="w" fact="0.2657"/>
              <dgm:constr type="h" for="ch" forName="Accent3" refType="h" fact="0.806"/>
              <dgm:constr type="r" for="ch" forName="ParentBackground3" refType="w" fact="0.57"/>
              <dgm:constr type="t" for="ch" forName="ParentBackground3" refType="h" fact="0.1262"/>
              <dgm:constr type="w" for="ch" forName="ParentBackground3" refType="w" fact="0.1754"/>
              <dgm:constr type="h" for="ch" forName="ParentBackground3" refType="h" fact="0.5319"/>
              <dgm:constr type="r" for="ch" forName="Child3" refType="w" fact="0.57"/>
              <dgm:constr type="t" for="ch" forName="Child3" refType="h" fact="0.6876"/>
              <dgm:constr type="w" for="ch" forName="Child3" refType="w" fact="0.1754"/>
              <dgm:constr type="h" for="ch" forName="Child3" refType="h" fact="0.3124"/>
              <dgm:constr type="r" for="ch" forName="Accent2" refType="w" fact="0.8094"/>
              <dgm:constr type="t" for="ch" forName="Accent2" refType="h" fact="-0.0109"/>
              <dgm:constr type="w" for="ch" forName="Accent2" refType="w" fact="0.2657"/>
              <dgm:constr type="h" for="ch" forName="Accent2" refType="h" fact="0.806"/>
              <dgm:constr type="r" for="ch" forName="ParentBackground2" refType="w" fact="0.7642"/>
              <dgm:constr type="t" for="ch" forName="ParentBackground2" refType="h" fact="0.1262"/>
              <dgm:constr type="w" for="ch" forName="ParentBackground2" refType="w" fact="0.1754"/>
              <dgm:constr type="h" for="ch" forName="ParentBackground2" refType="h" fact="0.5319"/>
              <dgm:constr type="r" for="ch" forName="Child2" refType="w" fact="0.7642"/>
              <dgm:constr type="t" for="ch" forName="Child2" refType="h" fact="0.6876"/>
              <dgm:constr type="w" for="ch" forName="Child2" refType="w" fact="0.1754"/>
              <dgm:constr type="h" for="ch" forName="Child2" refType="h" fact="0.3124"/>
              <dgm:constr type="r" for="ch" forName="Accent1" refType="w" fact="1.0036"/>
              <dgm:constr type="t" for="ch" forName="Accent1" refType="h" fact="-0.0109"/>
              <dgm:constr type="w" for="ch" forName="Accent1" refType="w" fact="0.2657"/>
              <dgm:constr type="h" for="ch" forName="Accent1" refType="h" fact="0.806"/>
              <dgm:constr type="r" for="ch" forName="ParentBackground1" refType="w" fact="0.9584"/>
              <dgm:constr type="t" for="ch" forName="ParentBackground1" refType="h" fact="0.1262"/>
              <dgm:constr type="w" for="ch" forName="ParentBackground1" refType="w" fact="0.1754"/>
              <dgm:constr type="h" for="ch" forName="ParentBackground1" refType="h" fact="0.5319"/>
              <dgm:constr type="r" for="ch" forName="Child1" refType="w" fact="0.9584"/>
              <dgm:constr type="t" for="ch" forName="Child1" refType="h" fact="0.6876"/>
              <dgm:constr type="w" for="ch" forName="Child1" refType="w" fact="0.1754"/>
              <dgm:constr type="h" for="ch" forName="Child1" refType="h" fact="0.3124"/>
            </dgm:constrLst>
          </dgm:if>
          <dgm:if name="Name22" axis="ch" ptType="node" func="cnt" op="equ" val="6">
            <dgm:alg type="composite">
              <dgm:param type="ar" val="3.621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r" for="ch" forName="Parent6" refType="w" fact="0.1311"/>
              <dgm:constr type="t" for="ch" forName="Parent6" refType="h" fact="0.2022"/>
              <dgm:constr type="w" for="ch" forName="Parent6" refType="w" fact="0.1049"/>
              <dgm:constr type="h" for="ch" forName="Parent6" refType="h" fact="0.3799"/>
              <dgm:constr type="r" for="ch" forName="Parent5" refType="w" fact="0.2937"/>
              <dgm:constr type="t" for="ch" forName="Parent5" refType="h" fact="0.2022"/>
              <dgm:constr type="w" for="ch" forName="Parent5" refType="w" fact="0.1049"/>
              <dgm:constr type="h" for="ch" forName="Parent5" refType="h" fact="0.3799"/>
              <dgm:constr type="r" for="ch" forName="Parent4" refType="w" fact="0.4563"/>
              <dgm:constr type="t" for="ch" forName="Parent4" refType="h" fact="0.2022"/>
              <dgm:constr type="w" for="ch" forName="Parent4" refType="w" fact="0.1049"/>
              <dgm:constr type="h" for="ch" forName="Parent4" refType="h" fact="0.3799"/>
              <dgm:constr type="r" for="ch" forName="Parent3" refType="w" fact="0.619"/>
              <dgm:constr type="t" for="ch" forName="Parent3" refType="h" fact="0.2022"/>
              <dgm:constr type="w" for="ch" forName="Parent3" refType="w" fact="0.1049"/>
              <dgm:constr type="h" for="ch" forName="Parent3" refType="h" fact="0.3799"/>
              <dgm:constr type="r" for="ch" forName="Parent2" refType="w" fact="0.7816"/>
              <dgm:constr type="t" for="ch" forName="Parent2" refType="h" fact="0.2022"/>
              <dgm:constr type="w" for="ch" forName="Parent2" refType="w" fact="0.1049"/>
              <dgm:constr type="h" for="ch" forName="Parent2" refType="h" fact="0.3799"/>
              <dgm:constr type="r" for="ch" forName="Parent1" refType="w" fact="0.9442"/>
              <dgm:constr type="t" for="ch" forName="Parent1" refType="h" fact="0.2022"/>
              <dgm:constr type="w" for="ch" forName="Parent1" refType="w" fact="0.1049"/>
              <dgm:constr type="h" for="ch" forName="Parent1" refType="h" fact="0.3799"/>
              <dgm:constr type="r" for="ch" forName="Accent6" refType="w" fact="0.1574"/>
              <dgm:constr type="t" for="ch" forName="Accent6" refType="h" fact="0.1072"/>
              <dgm:constr type="w" for="ch" forName="Accent6" refType="w" fact="0.1574"/>
              <dgm:constr type="h" for="ch" forName="Accent6" refType="h" fact="0.5699"/>
              <dgm:constr type="r" for="ch" forName="ParentBackground6" refType="w" fact="0.1521"/>
              <dgm:constr type="t" for="ch" forName="ParentBackground6" refType="h" fact="0.1262"/>
              <dgm:constr type="w" for="ch" forName="ParentBackground6" refType="w" fact="0.1469"/>
              <dgm:constr type="h" for="ch" forName="ParentBackground6" refType="h" fact="0.5319"/>
              <dgm:constr type="r" for="ch" forName="Child6" refType="w" fact="0.1521"/>
              <dgm:constr type="t" for="ch" forName="Child6" refType="h" fact="0.6876"/>
              <dgm:constr type="w" for="ch" forName="Child6" refType="w" fact="0.1469"/>
              <dgm:constr type="h" for="ch" forName="Child6" refType="h" fact="0.3124"/>
              <dgm:constr type="r" for="ch" forName="Accent5" refType="w" fact="0.3526"/>
              <dgm:constr type="t" for="ch" forName="Accent5" refType="h" fact="-0.0109"/>
              <dgm:constr type="w" for="ch" forName="Accent5" refType="w" fact="0.2226"/>
              <dgm:constr type="h" for="ch" forName="Accent5" refType="h" fact="0.806"/>
              <dgm:constr type="r" for="ch" forName="ParentBackground5" refType="w" fact="0.3147"/>
              <dgm:constr type="t" for="ch" forName="ParentBackground5" refType="h" fact="0.1262"/>
              <dgm:constr type="w" for="ch" forName="ParentBackground5" refType="w" fact="0.1469"/>
              <dgm:constr type="h" for="ch" forName="ParentBackground5" refType="h" fact="0.5319"/>
              <dgm:constr type="r" for="ch" forName="Child5" refType="w" fact="0.3147"/>
              <dgm:constr type="t" for="ch" forName="Child5" refType="h" fact="0.6876"/>
              <dgm:constr type="w" for="ch" forName="Child5" refType="w" fact="0.1469"/>
              <dgm:constr type="h" for="ch" forName="Child5" refType="h" fact="0.3124"/>
              <dgm:constr type="r" for="ch" forName="Accent4" refType="w" fact="0.5152"/>
              <dgm:constr type="t" for="ch" forName="Accent4" refType="h" fact="-0.0109"/>
              <dgm:constr type="w" for="ch" forName="Accent4" refType="w" fact="0.2226"/>
              <dgm:constr type="h" for="ch" forName="Accent4" refType="h" fact="0.806"/>
              <dgm:constr type="r" for="ch" forName="ParentBackground4" refType="w" fact="0.4773"/>
              <dgm:constr type="t" for="ch" forName="ParentBackground4" refType="h" fact="0.1262"/>
              <dgm:constr type="w" for="ch" forName="ParentBackground4" refType="w" fact="0.1469"/>
              <dgm:constr type="h" for="ch" forName="ParentBackground4" refType="h" fact="0.5319"/>
              <dgm:constr type="r" for="ch" forName="Child4" refType="w" fact="0.4773"/>
              <dgm:constr type="t" for="ch" forName="Child4" refType="h" fact="0.6876"/>
              <dgm:constr type="w" for="ch" forName="Child4" refType="w" fact="0.1469"/>
              <dgm:constr type="h" for="ch" forName="Child4" refType="h" fact="0.3124"/>
              <dgm:constr type="r" for="ch" forName="Accent3" refType="w" fact="0.6778"/>
              <dgm:constr type="t" for="ch" forName="Accent3" refType="h" fact="-0.0109"/>
              <dgm:constr type="w" for="ch" forName="Accent3" refType="w" fact="0.2226"/>
              <dgm:constr type="h" for="ch" forName="Accent3" refType="h" fact="0.806"/>
              <dgm:constr type="r" for="ch" forName="ParentBackground3" refType="w" fact="0.6399"/>
              <dgm:constr type="t" for="ch" forName="ParentBackground3" refType="h" fact="0.1262"/>
              <dgm:constr type="w" for="ch" forName="ParentBackground3" refType="w" fact="0.1469"/>
              <dgm:constr type="h" for="ch" forName="ParentBackground3" refType="h" fact="0.5319"/>
              <dgm:constr type="r" for="ch" forName="Child3" refType="w" fact="0.6399"/>
              <dgm:constr type="t" for="ch" forName="Child3" refType="h" fact="0.6876"/>
              <dgm:constr type="w" for="ch" forName="Child3" refType="w" fact="0.1469"/>
              <dgm:constr type="h" for="ch" forName="Child3" refType="h" fact="0.3124"/>
              <dgm:constr type="r" for="ch" forName="Accent2" refType="w" fact="0.8404"/>
              <dgm:constr type="t" for="ch" forName="Accent2" refType="h" fact="-0.0109"/>
              <dgm:constr type="w" for="ch" forName="Accent2" refType="w" fact="0.2226"/>
              <dgm:constr type="h" for="ch" forName="Accent2" refType="h" fact="0.806"/>
              <dgm:constr type="r" for="ch" forName="ParentBackground2" refType="w" fact="0.8025"/>
              <dgm:constr type="t" for="ch" forName="ParentBackground2" refType="h" fact="0.1262"/>
              <dgm:constr type="w" for="ch" forName="ParentBackground2" refType="w" fact="0.1469"/>
              <dgm:constr type="h" for="ch" forName="ParentBackground2" refType="h" fact="0.5319"/>
              <dgm:constr type="r" for="ch" forName="Child2" refType="w" fact="0.8025"/>
              <dgm:constr type="t" for="ch" forName="Child2" refType="h" fact="0.6876"/>
              <dgm:constr type="w" for="ch" forName="Child2" refType="w" fact="0.1469"/>
              <dgm:constr type="h" for="ch" forName="Child2" refType="h" fact="0.3124"/>
              <dgm:constr type="r" for="ch" forName="Accent1" refType="w" fact="1.003"/>
              <dgm:constr type="t" for="ch" forName="Accent1" refType="h" fact="-0.0109"/>
              <dgm:constr type="w" for="ch" forName="Accent1" refType="w" fact="0.2226"/>
              <dgm:constr type="h" for="ch" forName="Accent1" refType="h" fact="0.806"/>
              <dgm:constr type="r" for="ch" forName="ParentBackground1" refType="w" fact="0.9652"/>
              <dgm:constr type="t" for="ch" forName="ParentBackground1" refType="h" fact="0.1262"/>
              <dgm:constr type="w" for="ch" forName="ParentBackground1" refType="w" fact="0.1469"/>
              <dgm:constr type="h" for="ch" forName="ParentBackground1" refType="h" fact="0.5319"/>
              <dgm:constr type="r" for="ch" forName="Child1" refType="w" fact="0.9652"/>
              <dgm:constr type="t" for="ch" forName="Child1" refType="h" fact="0.6876"/>
              <dgm:constr type="w" for="ch" forName="Child1" refType="w" fact="0.1469"/>
              <dgm:constr type="h" for="ch" forName="Child1" refType="h" fact="0.3124"/>
            </dgm:constrLst>
          </dgm:if>
          <dgm:if name="Name23" axis="ch" ptType="node" func="cnt" op="equ" val="7">
            <dgm:alg type="composite">
              <dgm:param type="ar" val="4.210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r" for="ch" forName="Parent7" refType="w" fact="0.1128"/>
              <dgm:constr type="t" for="ch" forName="Parent7" refType="h" fact="0.2022"/>
              <dgm:constr type="w" for="ch" forName="Parent7" refType="w" fact="0.0902"/>
              <dgm:constr type="h" for="ch" forName="Parent7" refType="h" fact="0.3799"/>
              <dgm:constr type="r" for="ch" forName="Parent6" refType="w" fact="0.2527"/>
              <dgm:constr type="t" for="ch" forName="Parent6" refType="h" fact="0.2022"/>
              <dgm:constr type="w" for="ch" forName="Parent6" refType="w" fact="0.0902"/>
              <dgm:constr type="h" for="ch" forName="Parent6" refType="h" fact="0.3799"/>
              <dgm:constr type="r" for="ch" forName="Parent5" refType="w" fact="0.3925"/>
              <dgm:constr type="t" for="ch" forName="Parent5" refType="h" fact="0.2022"/>
              <dgm:constr type="w" for="ch" forName="Parent5" refType="w" fact="0.0902"/>
              <dgm:constr type="h" for="ch" forName="Parent5" refType="h" fact="0.3799"/>
              <dgm:constr type="r" for="ch" forName="Parent4" refType="w" fact="0.5324"/>
              <dgm:constr type="t" for="ch" forName="Parent4" refType="h" fact="0.2022"/>
              <dgm:constr type="w" for="ch" forName="Parent4" refType="w" fact="0.0902"/>
              <dgm:constr type="h" for="ch" forName="Parent4" refType="h" fact="0.3799"/>
              <dgm:constr type="r" for="ch" forName="Parent3" refType="w" fact="0.6723"/>
              <dgm:constr type="t" for="ch" forName="Parent3" refType="h" fact="0.2022"/>
              <dgm:constr type="w" for="ch" forName="Parent3" refType="w" fact="0.0902"/>
              <dgm:constr type="h" for="ch" forName="Parent3" refType="h" fact="0.3799"/>
              <dgm:constr type="r" for="ch" forName="Parent2" refType="w" fact="0.8121"/>
              <dgm:constr type="t" for="ch" forName="Parent2" refType="h" fact="0.2022"/>
              <dgm:constr type="w" for="ch" forName="Parent2" refType="w" fact="0.0902"/>
              <dgm:constr type="h" for="ch" forName="Parent2" refType="h" fact="0.3799"/>
              <dgm:constr type="r" for="ch" forName="Parent1" refType="w" fact="0.952"/>
              <dgm:constr type="t" for="ch" forName="Parent1" refType="h" fact="0.2022"/>
              <dgm:constr type="w" for="ch" forName="Parent1" refType="w" fact="0.0902"/>
              <dgm:constr type="h" for="ch" forName="Parent1" refType="h" fact="0.3799"/>
              <dgm:constr type="r" for="ch" forName="Accent7" refType="w" fact="0.1354"/>
              <dgm:constr type="t" for="ch" forName="Accent7" refType="h" fact="0.1072"/>
              <dgm:constr type="w" for="ch" forName="Accent7" refType="w" fact="0.1354"/>
              <dgm:constr type="h" for="ch" forName="Accent7" refType="h" fact="0.5699"/>
              <dgm:constr type="r" for="ch" forName="ParentBackground7" refType="w" fact="0.1308"/>
              <dgm:constr type="t" for="ch" forName="ParentBackground7" refType="h" fact="0.1262"/>
              <dgm:constr type="w" for="ch" forName="ParentBackground7" refType="w" fact="0.1263"/>
              <dgm:constr type="h" for="ch" forName="ParentBackground7" refType="h" fact="0.5319"/>
              <dgm:constr type="r" for="ch" forName="Child7" refType="w" fact="0.1308"/>
              <dgm:constr type="t" for="ch" forName="Child7" refType="h" fact="0.6876"/>
              <dgm:constr type="w" for="ch" forName="Child7" refType="w" fact="0.1263"/>
              <dgm:constr type="h" for="ch" forName="Child7" refType="h" fact="0.3124"/>
              <dgm:constr type="r" for="ch" forName="Accent6" refType="w" fact="0.3033"/>
              <dgm:constr type="t" for="ch" forName="Accent6" refType="h" fact="-0.0109"/>
              <dgm:constr type="w" for="ch" forName="Accent6" refType="w" fact="0.1915"/>
              <dgm:constr type="h" for="ch" forName="Accent6" refType="h" fact="0.806"/>
              <dgm:constr type="r" for="ch" forName="ParentBackground6" refType="w" fact="0.2707"/>
              <dgm:constr type="t" for="ch" forName="ParentBackground6" refType="h" fact="0.1262"/>
              <dgm:constr type="w" for="ch" forName="ParentBackground6" refType="w" fact="0.1263"/>
              <dgm:constr type="h" for="ch" forName="ParentBackground6" refType="h" fact="0.5319"/>
              <dgm:constr type="r" for="ch" forName="Child6" refType="w" fact="0.2707"/>
              <dgm:constr type="t" for="ch" forName="Child6" refType="h" fact="0.6876"/>
              <dgm:constr type="w" for="ch" forName="Child6" refType="w" fact="0.1263"/>
              <dgm:constr type="h" for="ch" forName="Child6" refType="h" fact="0.3124"/>
              <dgm:constr type="r" for="ch" forName="Accent5" refType="w" fact="0.4431"/>
              <dgm:constr type="t" for="ch" forName="Accent5" refType="h" fact="-0.0109"/>
              <dgm:constr type="w" for="ch" forName="Accent5" refType="w" fact="0.1915"/>
              <dgm:constr type="h" for="ch" forName="Accent5" refType="h" fact="0.806"/>
              <dgm:constr type="r" for="ch" forName="ParentBackground5" refType="w" fact="0.4106"/>
              <dgm:constr type="t" for="ch" forName="ParentBackground5" refType="h" fact="0.1262"/>
              <dgm:constr type="w" for="ch" forName="ParentBackground5" refType="w" fact="0.1263"/>
              <dgm:constr type="h" for="ch" forName="ParentBackground5" refType="h" fact="0.5319"/>
              <dgm:constr type="r" for="ch" forName="Child5" refType="w" fact="0.4106"/>
              <dgm:constr type="t" for="ch" forName="Child5" refType="h" fact="0.6876"/>
              <dgm:constr type="w" for="ch" forName="Child5" refType="w" fact="0.1263"/>
              <dgm:constr type="h" for="ch" forName="Child5" refType="h" fact="0.3124"/>
              <dgm:constr type="r" for="ch" forName="Accent4" refType="w" fact="0.583"/>
              <dgm:constr type="t" for="ch" forName="Accent4" refType="h" fact="-0.0109"/>
              <dgm:constr type="w" for="ch" forName="Accent4" refType="w" fact="0.1915"/>
              <dgm:constr type="h" for="ch" forName="Accent4" refType="h" fact="0.806"/>
              <dgm:constr type="r" for="ch" forName="ParentBackground4" refType="w" fact="0.5504"/>
              <dgm:constr type="t" for="ch" forName="ParentBackground4" refType="h" fact="0.1262"/>
              <dgm:constr type="w" for="ch" forName="ParentBackground4" refType="w" fact="0.1263"/>
              <dgm:constr type="h" for="ch" forName="ParentBackground4" refType="h" fact="0.5319"/>
              <dgm:constr type="r" for="ch" forName="Child4" refType="w" fact="0.5504"/>
              <dgm:constr type="t" for="ch" forName="Child4" refType="h" fact="0.6876"/>
              <dgm:constr type="w" for="ch" forName="Child4" refType="w" fact="0.1263"/>
              <dgm:constr type="h" for="ch" forName="Child4" refType="h" fact="0.3124"/>
              <dgm:constr type="r" for="ch" forName="Accent3" refType="w" fact="0.7229"/>
              <dgm:constr type="t" for="ch" forName="Accent3" refType="h" fact="-0.0109"/>
              <dgm:constr type="w" for="ch" forName="Accent3" refType="w" fact="0.1915"/>
              <dgm:constr type="h" for="ch" forName="Accent3" refType="h" fact="0.806"/>
              <dgm:constr type="r" for="ch" forName="ParentBackground3" refType="w" fact="0.6903"/>
              <dgm:constr type="t" for="ch" forName="ParentBackground3" refType="h" fact="0.1262"/>
              <dgm:constr type="w" for="ch" forName="ParentBackground3" refType="w" fact="0.1263"/>
              <dgm:constr type="h" for="ch" forName="ParentBackground3" refType="h" fact="0.5319"/>
              <dgm:constr type="r" for="ch" forName="Child3" refType="w" fact="0.6903"/>
              <dgm:constr type="t" for="ch" forName="Child3" refType="h" fact="0.6876"/>
              <dgm:constr type="w" for="ch" forName="Child3" refType="w" fact="0.1263"/>
              <dgm:constr type="h" for="ch" forName="Child3" refType="h" fact="0.3124"/>
              <dgm:constr type="r" for="ch" forName="Accent2" refType="w" fact="0.8627"/>
              <dgm:constr type="t" for="ch" forName="Accent2" refType="h" fact="-0.0109"/>
              <dgm:constr type="w" for="ch" forName="Accent2" refType="w" fact="0.1915"/>
              <dgm:constr type="h" for="ch" forName="Accent2" refType="h" fact="0.806"/>
              <dgm:constr type="r" for="ch" forName="ParentBackground2" refType="w" fact="0.8302"/>
              <dgm:constr type="t" for="ch" forName="ParentBackground2" refType="h" fact="0.1262"/>
              <dgm:constr type="w" for="ch" forName="ParentBackground2" refType="w" fact="0.1263"/>
              <dgm:constr type="h" for="ch" forName="ParentBackground2" refType="h" fact="0.5319"/>
              <dgm:constr type="r" for="ch" forName="Child2" refType="w" fact="0.8302"/>
              <dgm:constr type="t" for="ch" forName="Child2" refType="h" fact="0.6876"/>
              <dgm:constr type="w" for="ch" forName="Child2" refType="w" fact="0.1263"/>
              <dgm:constr type="h" for="ch" forName="Child2" refType="h" fact="0.3124"/>
              <dgm:constr type="r" for="ch" forName="Accent1" refType="w" fact="1.0026"/>
              <dgm:constr type="t" for="ch" forName="Accent1" refType="h" fact="-0.0109"/>
              <dgm:constr type="w" for="ch" forName="Accent1" refType="w" fact="0.1915"/>
              <dgm:constr type="h" for="ch" forName="Accent1" refType="h" fact="0.806"/>
              <dgm:constr type="r" for="ch" forName="ParentBackground1" refType="w" fact="0.97"/>
              <dgm:constr type="t" for="ch" forName="ParentBackground1" refType="h" fact="0.1262"/>
              <dgm:constr type="w" for="ch" forName="ParentBackground1" refType="w" fact="0.1263"/>
              <dgm:constr type="h" for="ch" forName="ParentBackground1" refType="h" fact="0.5319"/>
              <dgm:constr type="r" for="ch" forName="Child1" refType="w" fact="0.97"/>
              <dgm:constr type="t" for="ch" forName="Child1" refType="h" fact="0.6876"/>
              <dgm:constr type="w" for="ch" forName="Child1" refType="w" fact="0.1263"/>
              <dgm:constr type="h" for="ch" forName="Child1" refType="h" fact="0.3124"/>
            </dgm:constrLst>
          </dgm:if>
          <dgm:if name="Name24" axis="ch" ptType="node" func="cnt" op="equ" val="8">
            <dgm:alg type="composite">
              <dgm:param type="ar" val="4.799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r" for="ch" forName="Parent8" refType="w" fact="0.099"/>
              <dgm:constr type="t" for="ch" forName="Parent8" refType="h" fact="0.2022"/>
              <dgm:constr type="w" for="ch" forName="Parent8" refType="w" fact="0.0792"/>
              <dgm:constr type="h" for="ch" forName="Parent8" refType="h" fact="0.3799"/>
              <dgm:constr type="r" for="ch" forName="Parent7" refType="w" fact="0.2217"/>
              <dgm:constr type="t" for="ch" forName="Parent7" refType="h" fact="0.2022"/>
              <dgm:constr type="w" for="ch" forName="Parent7" refType="w" fact="0.0792"/>
              <dgm:constr type="h" for="ch" forName="Parent7" refType="h" fact="0.3799"/>
              <dgm:constr type="r" for="ch" forName="Parent6" refType="w" fact="0.3444"/>
              <dgm:constr type="t" for="ch" forName="Parent6" refType="h" fact="0.2022"/>
              <dgm:constr type="w" for="ch" forName="Parent6" refType="w" fact="0.0792"/>
              <dgm:constr type="h" for="ch" forName="Parent6" refType="h" fact="0.3799"/>
              <dgm:constr type="r" for="ch" forName="Parent5" refType="w" fact="0.4671"/>
              <dgm:constr type="t" for="ch" forName="Parent5" refType="h" fact="0.2022"/>
              <dgm:constr type="w" for="ch" forName="Parent5" refType="w" fact="0.0792"/>
              <dgm:constr type="h" for="ch" forName="Parent5" refType="h" fact="0.3799"/>
              <dgm:constr type="r" for="ch" forName="Parent4" refType="w" fact="0.5898"/>
              <dgm:constr type="t" for="ch" forName="Parent4" refType="h" fact="0.2022"/>
              <dgm:constr type="w" for="ch" forName="Parent4" refType="w" fact="0.0792"/>
              <dgm:constr type="h" for="ch" forName="Parent4" refType="h" fact="0.3799"/>
              <dgm:constr type="r" for="ch" forName="Parent3" refType="w" fact="0.7125"/>
              <dgm:constr type="t" for="ch" forName="Parent3" refType="h" fact="0.2022"/>
              <dgm:constr type="w" for="ch" forName="Parent3" refType="w" fact="0.0792"/>
              <dgm:constr type="h" for="ch" forName="Parent3" refType="h" fact="0.3799"/>
              <dgm:constr type="r" for="ch" forName="Parent2" refType="w" fact="0.8352"/>
              <dgm:constr type="t" for="ch" forName="Parent2" refType="h" fact="0.2022"/>
              <dgm:constr type="w" for="ch" forName="Parent2" refType="w" fact="0.0792"/>
              <dgm:constr type="h" for="ch" forName="Parent2" refType="h" fact="0.3799"/>
              <dgm:constr type="r" for="ch" forName="Parent1" refType="w" fact="0.9579"/>
              <dgm:constr type="t" for="ch" forName="Parent1" refType="h" fact="0.2022"/>
              <dgm:constr type="w" for="ch" forName="Parent1" refType="w" fact="0.0792"/>
              <dgm:constr type="h" for="ch" forName="Parent1" refType="h" fact="0.3799"/>
              <dgm:constr type="r" for="ch" forName="Accent8" refType="w" fact="0.1187"/>
              <dgm:constr type="t" for="ch" forName="Accent8" refType="h" fact="0.1072"/>
              <dgm:constr type="w" for="ch" forName="Accent8" refType="w" fact="0.1187"/>
              <dgm:constr type="h" for="ch" forName="Accent8" refType="h" fact="0.5699"/>
              <dgm:constr type="r" for="ch" forName="ParentBackground8" refType="w" fact="0.1148"/>
              <dgm:constr type="t" for="ch" forName="ParentBackground8" refType="h" fact="0.1262"/>
              <dgm:constr type="w" for="ch" forName="ParentBackground8" refType="w" fact="0.1108"/>
              <dgm:constr type="h" for="ch" forName="ParentBackground8" refType="h" fact="0.5319"/>
              <dgm:constr type="r" for="ch" forName="Child8" refType="w" fact="0.1148"/>
              <dgm:constr type="t" for="ch" forName="Child8" refType="h" fact="0.6876"/>
              <dgm:constr type="w" for="ch" forName="Child8" refType="w" fact="0.1108"/>
              <dgm:constr type="h" for="ch" forName="Child8" refType="h" fact="0.3124"/>
              <dgm:constr type="r" for="ch" forName="Accent7" refType="w" fact="0.2661"/>
              <dgm:constr type="t" for="ch" forName="Accent7" refType="h" fact="-0.0109"/>
              <dgm:constr type="w" for="ch" forName="Accent7" refType="w" fact="0.1679"/>
              <dgm:constr type="h" for="ch" forName="Accent7" refType="h" fact="0.806"/>
              <dgm:constr type="r" for="ch" forName="ParentBackground7" refType="w" fact="0.2375"/>
              <dgm:constr type="t" for="ch" forName="ParentBackground7" refType="h" fact="0.1262"/>
              <dgm:constr type="w" for="ch" forName="ParentBackground7" refType="w" fact="0.1108"/>
              <dgm:constr type="h" for="ch" forName="ParentBackground7" refType="h" fact="0.5319"/>
              <dgm:constr type="r" for="ch" forName="Child7" refType="w" fact="0.2375"/>
              <dgm:constr type="t" for="ch" forName="Child7" refType="h" fact="0.6876"/>
              <dgm:constr type="w" for="ch" forName="Child7" refType="w" fact="0.1108"/>
              <dgm:constr type="h" for="ch" forName="Child7" refType="h" fact="0.3124"/>
              <dgm:constr type="r" for="ch" forName="Accent6" refType="w" fact="0.3888"/>
              <dgm:constr type="t" for="ch" forName="Accent6" refType="h" fact="-0.0109"/>
              <dgm:constr type="w" for="ch" forName="Accent6" refType="w" fact="0.1679"/>
              <dgm:constr type="h" for="ch" forName="Accent6" refType="h" fact="0.806"/>
              <dgm:constr type="r" for="ch" forName="ParentBackground6" refType="w" fact="0.3602"/>
              <dgm:constr type="t" for="ch" forName="ParentBackground6" refType="h" fact="0.1262"/>
              <dgm:constr type="w" for="ch" forName="ParentBackground6" refType="w" fact="0.1108"/>
              <dgm:constr type="h" for="ch" forName="ParentBackground6" refType="h" fact="0.5319"/>
              <dgm:constr type="r" for="ch" forName="Child6" refType="w" fact="0.3602"/>
              <dgm:constr type="t" for="ch" forName="Child6" refType="h" fact="0.6876"/>
              <dgm:constr type="w" for="ch" forName="Child6" refType="w" fact="0.1108"/>
              <dgm:constr type="h" for="ch" forName="Child6" refType="h" fact="0.3124"/>
              <dgm:constr type="r" for="ch" forName="Accent5" refType="w" fact="0.5115"/>
              <dgm:constr type="t" for="ch" forName="Accent5" refType="h" fact="-0.0109"/>
              <dgm:constr type="w" for="ch" forName="Accent5" refType="w" fact="0.1679"/>
              <dgm:constr type="h" for="ch" forName="Accent5" refType="h" fact="0.806"/>
              <dgm:constr type="r" for="ch" forName="ParentBackground5" refType="w" fact="0.4829"/>
              <dgm:constr type="t" for="ch" forName="ParentBackground5" refType="h" fact="0.1262"/>
              <dgm:constr type="w" for="ch" forName="ParentBackground5" refType="w" fact="0.1108"/>
              <dgm:constr type="h" for="ch" forName="ParentBackground5" refType="h" fact="0.5319"/>
              <dgm:constr type="r" for="ch" forName="Child5" refType="w" fact="0.4829"/>
              <dgm:constr type="t" for="ch" forName="Child5" refType="h" fact="0.6876"/>
              <dgm:constr type="w" for="ch" forName="Child5" refType="w" fact="0.1108"/>
              <dgm:constr type="h" for="ch" forName="Child5" refType="h" fact="0.3124"/>
              <dgm:constr type="r" for="ch" forName="Accent4" refType="w" fact="0.6342"/>
              <dgm:constr type="t" for="ch" forName="Accent4" refType="h" fact="-0.0109"/>
              <dgm:constr type="w" for="ch" forName="Accent4" refType="w" fact="0.1679"/>
              <dgm:constr type="h" for="ch" forName="Accent4" refType="h" fact="0.806"/>
              <dgm:constr type="r" for="ch" forName="ParentBackground4" refType="w" fact="0.6056"/>
              <dgm:constr type="t" for="ch" forName="ParentBackground4" refType="h" fact="0.1262"/>
              <dgm:constr type="w" for="ch" forName="ParentBackground4" refType="w" fact="0.1108"/>
              <dgm:constr type="h" for="ch" forName="ParentBackground4" refType="h" fact="0.5319"/>
              <dgm:constr type="r" for="ch" forName="Child4" refType="w" fact="0.6056"/>
              <dgm:constr type="t" for="ch" forName="Child4" refType="h" fact="0.6876"/>
              <dgm:constr type="w" for="ch" forName="Child4" refType="w" fact="0.1108"/>
              <dgm:constr type="h" for="ch" forName="Child4" refType="h" fact="0.3124"/>
              <dgm:constr type="r" for="ch" forName="Accent3" refType="w" fact="0.7569"/>
              <dgm:constr type="t" for="ch" forName="Accent3" refType="h" fact="-0.0109"/>
              <dgm:constr type="w" for="ch" forName="Accent3" refType="w" fact="0.1679"/>
              <dgm:constr type="h" for="ch" forName="Accent3" refType="h" fact="0.806"/>
              <dgm:constr type="r" for="ch" forName="ParentBackground3" refType="w" fact="0.7283"/>
              <dgm:constr type="t" for="ch" forName="ParentBackground3" refType="h" fact="0.1262"/>
              <dgm:constr type="w" for="ch" forName="ParentBackground3" refType="w" fact="0.1108"/>
              <dgm:constr type="h" for="ch" forName="ParentBackground3" refType="h" fact="0.5319"/>
              <dgm:constr type="r" for="ch" forName="Child3" refType="w" fact="0.7283"/>
              <dgm:constr type="t" for="ch" forName="Child3" refType="h" fact="0.6876"/>
              <dgm:constr type="w" for="ch" forName="Child3" refType="w" fact="0.1108"/>
              <dgm:constr type="h" for="ch" forName="Child3" refType="h" fact="0.3124"/>
              <dgm:constr type="r" for="ch" forName="Accent2" refType="w" fact="0.8796"/>
              <dgm:constr type="t" for="ch" forName="Accent2" refType="h" fact="-0.0109"/>
              <dgm:constr type="w" for="ch" forName="Accent2" refType="w" fact="0.1679"/>
              <dgm:constr type="h" for="ch" forName="Accent2" refType="h" fact="0.806"/>
              <dgm:constr type="r" for="ch" forName="ParentBackground2" refType="w" fact="0.851"/>
              <dgm:constr type="t" for="ch" forName="ParentBackground2" refType="h" fact="0.1262"/>
              <dgm:constr type="w" for="ch" forName="ParentBackground2" refType="w" fact="0.1108"/>
              <dgm:constr type="h" for="ch" forName="ParentBackground2" refType="h" fact="0.5319"/>
              <dgm:constr type="r" for="ch" forName="Child2" refType="w" fact="0.851"/>
              <dgm:constr type="t" for="ch" forName="Child2" refType="h" fact="0.6876"/>
              <dgm:constr type="w" for="ch" forName="Child2" refType="w" fact="0.1108"/>
              <dgm:constr type="h" for="ch" forName="Child2" refType="h" fact="0.3124"/>
              <dgm:constr type="r" for="ch" forName="Accent1" refType="w" fact="1.0023"/>
              <dgm:constr type="t" for="ch" forName="Accent1" refType="h" fact="-0.0109"/>
              <dgm:constr type="w" for="ch" forName="Accent1" refType="w" fact="0.1679"/>
              <dgm:constr type="h" for="ch" forName="Accent1" refType="h" fact="0.806"/>
              <dgm:constr type="r" for="ch" forName="ParentBackground1" refType="w" fact="0.9737"/>
              <dgm:constr type="t" for="ch" forName="ParentBackground1" refType="h" fact="0.1262"/>
              <dgm:constr type="w" for="ch" forName="ParentBackground1" refType="w" fact="0.1108"/>
              <dgm:constr type="h" for="ch" forName="ParentBackground1" refType="h" fact="0.5319"/>
              <dgm:constr type="r" for="ch" forName="Child1" refType="w" fact="0.9737"/>
              <dgm:constr type="t" for="ch" forName="Child1" refType="h" fact="0.6876"/>
              <dgm:constr type="w" for="ch" forName="Child1" refType="w" fact="0.1108"/>
              <dgm:constr type="h" for="ch" forName="Child1" refType="h" fact="0.3124"/>
            </dgm:constrLst>
          </dgm:if>
          <dgm:if name="Name25" axis="ch" ptType="node" func="cnt" op="equ" val="9">
            <dgm:alg type="composite">
              <dgm:param type="ar" val="5.38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r" for="ch" forName="Parent9" refType="w" fact="0.0881"/>
              <dgm:constr type="t" for="ch" forName="Parent9" refType="h" fact="0.2022"/>
              <dgm:constr type="w" for="ch" forName="Parent9" refType="w" fact="0.0705"/>
              <dgm:constr type="h" for="ch" forName="Parent9" refType="h" fact="0.3799"/>
              <dgm:constr type="r" for="ch" forName="Parent8" refType="w" fact="0.1974"/>
              <dgm:constr type="t" for="ch" forName="Parent8" refType="h" fact="0.2022"/>
              <dgm:constr type="w" for="ch" forName="Parent8" refType="w" fact="0.0705"/>
              <dgm:constr type="h" for="ch" forName="Parent8" refType="h" fact="0.3799"/>
              <dgm:constr type="r" for="ch" forName="Parent7" refType="w" fact="0.3067"/>
              <dgm:constr type="t" for="ch" forName="Parent7" refType="h" fact="0.2022"/>
              <dgm:constr type="w" for="ch" forName="Parent7" refType="w" fact="0.0705"/>
              <dgm:constr type="h" for="ch" forName="Parent7" refType="h" fact="0.3799"/>
              <dgm:constr type="r" for="ch" forName="Parent6" refType="w" fact="0.416"/>
              <dgm:constr type="t" for="ch" forName="Parent6" refType="h" fact="0.2022"/>
              <dgm:constr type="w" for="ch" forName="Parent6" refType="w" fact="0.0705"/>
              <dgm:constr type="h" for="ch" forName="Parent6" refType="h" fact="0.3799"/>
              <dgm:constr type="r" for="ch" forName="Parent5" refType="w" fact="0.5253"/>
              <dgm:constr type="t" for="ch" forName="Parent5" refType="h" fact="0.2022"/>
              <dgm:constr type="w" for="ch" forName="Parent5" refType="w" fact="0.0705"/>
              <dgm:constr type="h" for="ch" forName="Parent5" refType="h" fact="0.3799"/>
              <dgm:constr type="r" for="ch" forName="Parent4" refType="w" fact="0.6346"/>
              <dgm:constr type="t" for="ch" forName="Parent4" refType="h" fact="0.2022"/>
              <dgm:constr type="w" for="ch" forName="Parent4" refType="w" fact="0.0705"/>
              <dgm:constr type="h" for="ch" forName="Parent4" refType="h" fact="0.3799"/>
              <dgm:constr type="r" for="ch" forName="Parent3" refType="w" fact="0.7439"/>
              <dgm:constr type="t" for="ch" forName="Parent3" refType="h" fact="0.2022"/>
              <dgm:constr type="w" for="ch" forName="Parent3" refType="w" fact="0.0705"/>
              <dgm:constr type="h" for="ch" forName="Parent3" refType="h" fact="0.3799"/>
              <dgm:constr type="r" for="ch" forName="Parent2" refType="w" fact="0.8532"/>
              <dgm:constr type="t" for="ch" forName="Parent2" refType="h" fact="0.2022"/>
              <dgm:constr type="w" for="ch" forName="Parent2" refType="w" fact="0.0705"/>
              <dgm:constr type="h" for="ch" forName="Parent2" refType="h" fact="0.3799"/>
              <dgm:constr type="r" for="ch" forName="Parent1" refType="w" fact="0.9625"/>
              <dgm:constr type="t" for="ch" forName="Parent1" refType="h" fact="0.2022"/>
              <dgm:constr type="w" for="ch" forName="Parent1" refType="w" fact="0.0705"/>
              <dgm:constr type="h" for="ch" forName="Parent1" refType="h" fact="0.3799"/>
              <dgm:constr type="r" for="ch" forName="Accent9" refType="w" fact="0.1058"/>
              <dgm:constr type="t" for="ch" forName="Accent9" refType="h" fact="0.1072"/>
              <dgm:constr type="w" for="ch" forName="Accent9" refType="w" fact="0.1058"/>
              <dgm:constr type="h" for="ch" forName="Accent9" refType="h" fact="0.5699"/>
              <dgm:constr type="r" for="ch" forName="ParentBackground9" refType="w" fact="0.1022"/>
              <dgm:constr type="t" for="ch" forName="ParentBackground9" refType="h" fact="0.1262"/>
              <dgm:constr type="w" for="ch" forName="ParentBackground9" refType="w" fact="0.0987"/>
              <dgm:constr type="h" for="ch" forName="ParentBackground9" refType="h" fact="0.5319"/>
              <dgm:constr type="r" for="ch" forName="Child9" refType="w" fact="0.1022"/>
              <dgm:constr type="t" for="ch" forName="Child9" refType="h" fact="0.6876"/>
              <dgm:constr type="w" for="ch" forName="Child9" refType="w" fact="0.0987"/>
              <dgm:constr type="h" for="ch" forName="Child9" refType="h" fact="0.3124"/>
              <dgm:constr type="r" for="ch" forName="Accent8" refType="w" fact="0.237"/>
              <dgm:constr type="t" for="ch" forName="Accent8" refType="h" fact="-0.0109"/>
              <dgm:constr type="w" for="ch" forName="Accent8" refType="w" fact="0.1496"/>
              <dgm:constr type="h" for="ch" forName="Accent8" refType="h" fact="0.806"/>
              <dgm:constr type="r" for="ch" forName="ParentBackground8" refType="w" fact="0.2115"/>
              <dgm:constr type="t" for="ch" forName="ParentBackground8" refType="h" fact="0.1262"/>
              <dgm:constr type="w" for="ch" forName="ParentBackground8" refType="w" fact="0.0987"/>
              <dgm:constr type="h" for="ch" forName="ParentBackground8" refType="h" fact="0.5319"/>
              <dgm:constr type="r" for="ch" forName="Child8" refType="w" fact="0.2115"/>
              <dgm:constr type="t" for="ch" forName="Child8" refType="h" fact="0.6876"/>
              <dgm:constr type="w" for="ch" forName="Child8" refType="w" fact="0.0987"/>
              <dgm:constr type="h" for="ch" forName="Child8" refType="h" fact="0.3124"/>
              <dgm:constr type="r" for="ch" forName="Accent7" refType="w" fact="0.3462"/>
              <dgm:constr type="t" for="ch" forName="Accent7" refType="h" fact="-0.0109"/>
              <dgm:constr type="w" for="ch" forName="Accent7" refType="w" fact="0.1496"/>
              <dgm:constr type="h" for="ch" forName="Accent7" refType="h" fact="0.806"/>
              <dgm:constr type="r" for="ch" forName="ParentBackground7" refType="w" fact="0.3208"/>
              <dgm:constr type="t" for="ch" forName="ParentBackground7" refType="h" fact="0.1262"/>
              <dgm:constr type="w" for="ch" forName="ParentBackground7" refType="w" fact="0.0987"/>
              <dgm:constr type="h" for="ch" forName="ParentBackground7" refType="h" fact="0.5319"/>
              <dgm:constr type="r" for="ch" forName="Child7" refType="w" fact="0.3208"/>
              <dgm:constr type="t" for="ch" forName="Child7" refType="h" fact="0.6876"/>
              <dgm:constr type="w" for="ch" forName="Child7" refType="w" fact="0.0987"/>
              <dgm:constr type="h" for="ch" forName="Child7" refType="h" fact="0.3124"/>
              <dgm:constr type="r" for="ch" forName="Accent6" refType="w" fact="0.4555"/>
              <dgm:constr type="t" for="ch" forName="Accent6" refType="h" fact="-0.0109"/>
              <dgm:constr type="w" for="ch" forName="Accent6" refType="w" fact="0.1496"/>
              <dgm:constr type="h" for="ch" forName="Accent6" refType="h" fact="0.806"/>
              <dgm:constr type="r" for="ch" forName="ParentBackground6" refType="w" fact="0.4301"/>
              <dgm:constr type="t" for="ch" forName="ParentBackground6" refType="h" fact="0.1262"/>
              <dgm:constr type="w" for="ch" forName="ParentBackground6" refType="w" fact="0.0987"/>
              <dgm:constr type="h" for="ch" forName="ParentBackground6" refType="h" fact="0.5319"/>
              <dgm:constr type="r" for="ch" forName="Child6" refType="w" fact="0.4301"/>
              <dgm:constr type="t" for="ch" forName="Child6" refType="h" fact="0.6876"/>
              <dgm:constr type="w" for="ch" forName="Child6" refType="w" fact="0.0987"/>
              <dgm:constr type="h" for="ch" forName="Child6" refType="h" fact="0.3124"/>
              <dgm:constr type="r" for="ch" forName="Accent5" refType="w" fact="0.5648"/>
              <dgm:constr type="t" for="ch" forName="Accent5" refType="h" fact="-0.0109"/>
              <dgm:constr type="w" for="ch" forName="Accent5" refType="w" fact="0.1496"/>
              <dgm:constr type="h" for="ch" forName="Accent5" refType="h" fact="0.806"/>
              <dgm:constr type="r" for="ch" forName="ParentBackground5" refType="w" fact="0.5394"/>
              <dgm:constr type="t" for="ch" forName="ParentBackground5" refType="h" fact="0.1262"/>
              <dgm:constr type="w" for="ch" forName="ParentBackground5" refType="w" fact="0.0987"/>
              <dgm:constr type="h" for="ch" forName="ParentBackground5" refType="h" fact="0.5319"/>
              <dgm:constr type="r" for="ch" forName="Child5" refType="w" fact="0.5394"/>
              <dgm:constr type="t" for="ch" forName="Child5" refType="h" fact="0.6876"/>
              <dgm:constr type="w" for="ch" forName="Child5" refType="w" fact="0.0987"/>
              <dgm:constr type="h" for="ch" forName="Child5" refType="h" fact="0.3124"/>
              <dgm:constr type="r" for="ch" forName="Accent4" refType="w" fact="0.6741"/>
              <dgm:constr type="t" for="ch" forName="Accent4" refType="h" fact="-0.0109"/>
              <dgm:constr type="w" for="ch" forName="Accent4" refType="w" fact="0.1496"/>
              <dgm:constr type="h" for="ch" forName="Accent4" refType="h" fact="0.806"/>
              <dgm:constr type="r" for="ch" forName="ParentBackground4" refType="w" fact="0.6487"/>
              <dgm:constr type="t" for="ch" forName="ParentBackground4" refType="h" fact="0.1262"/>
              <dgm:constr type="w" for="ch" forName="ParentBackground4" refType="w" fact="0.0987"/>
              <dgm:constr type="h" for="ch" forName="ParentBackground4" refType="h" fact="0.5319"/>
              <dgm:constr type="r" for="ch" forName="Child4" refType="w" fact="0.6487"/>
              <dgm:constr type="t" for="ch" forName="Child4" refType="h" fact="0.6876"/>
              <dgm:constr type="w" for="ch" forName="Child4" refType="w" fact="0.0987"/>
              <dgm:constr type="h" for="ch" forName="Child4" refType="h" fact="0.3124"/>
              <dgm:constr type="r" for="ch" forName="Accent3" refType="w" fact="0.7834"/>
              <dgm:constr type="t" for="ch" forName="Accent3" refType="h" fact="-0.0109"/>
              <dgm:constr type="w" for="ch" forName="Accent3" refType="w" fact="0.1496"/>
              <dgm:constr type="h" for="ch" forName="Accent3" refType="h" fact="0.806"/>
              <dgm:constr type="r" for="ch" forName="ParentBackground3" refType="w" fact="0.758"/>
              <dgm:constr type="t" for="ch" forName="ParentBackground3" refType="h" fact="0.1262"/>
              <dgm:constr type="w" for="ch" forName="ParentBackground3" refType="w" fact="0.0987"/>
              <dgm:constr type="h" for="ch" forName="ParentBackground3" refType="h" fact="0.5319"/>
              <dgm:constr type="r" for="ch" forName="Child3" refType="w" fact="0.758"/>
              <dgm:constr type="t" for="ch" forName="Child3" refType="h" fact="0.6876"/>
              <dgm:constr type="w" for="ch" forName="Child3" refType="w" fact="0.0987"/>
              <dgm:constr type="h" for="ch" forName="Child3" refType="h" fact="0.3124"/>
              <dgm:constr type="r" for="ch" forName="Accent2" refType="w" fact="0.8927"/>
              <dgm:constr type="t" for="ch" forName="Accent2" refType="h" fact="-0.0109"/>
              <dgm:constr type="w" for="ch" forName="Accent2" refType="w" fact="0.1496"/>
              <dgm:constr type="h" for="ch" forName="Accent2" refType="h" fact="0.806"/>
              <dgm:constr type="r" for="ch" forName="ParentBackground2" refType="w" fact="0.8673"/>
              <dgm:constr type="t" for="ch" forName="ParentBackground2" refType="h" fact="0.1262"/>
              <dgm:constr type="w" for="ch" forName="ParentBackground2" refType="w" fact="0.0987"/>
              <dgm:constr type="h" for="ch" forName="ParentBackground2" refType="h" fact="0.5319"/>
              <dgm:constr type="r" for="ch" forName="Child2" refType="w" fact="0.8673"/>
              <dgm:constr type="t" for="ch" forName="Child2" refType="h" fact="0.6876"/>
              <dgm:constr type="w" for="ch" forName="Child2" refType="w" fact="0.0987"/>
              <dgm:constr type="h" for="ch" forName="Child2" refType="h" fact="0.3124"/>
              <dgm:constr type="r" for="ch" forName="Accent1" refType="w" fact="1.002"/>
              <dgm:constr type="t" for="ch" forName="Accent1" refType="h" fact="-0.0109"/>
              <dgm:constr type="w" for="ch" forName="Accent1" refType="w" fact="0.1496"/>
              <dgm:constr type="h" for="ch" forName="Accent1" refType="h" fact="0.806"/>
              <dgm:constr type="r" for="ch" forName="ParentBackground1" refType="w" fact="0.9765"/>
              <dgm:constr type="t" for="ch" forName="ParentBackground1" refType="h" fact="0.1262"/>
              <dgm:constr type="w" for="ch" forName="ParentBackground1" refType="w" fact="0.0987"/>
              <dgm:constr type="h" for="ch" forName="ParentBackground1" refType="h" fact="0.5319"/>
              <dgm:constr type="r" for="ch" forName="Child1" refType="w" fact="0.9765"/>
              <dgm:constr type="t" for="ch" forName="Child1" refType="h" fact="0.6876"/>
              <dgm:constr type="w" for="ch" forName="Child1" refType="w" fact="0.0987"/>
              <dgm:constr type="h" for="ch" forName="Child1" refType="h" fact="0.3124"/>
            </dgm:constrLst>
          </dgm:if>
          <dgm:if name="Name26" axis="ch" ptType="node" func="cnt" op="equ" val="10">
            <dgm:alg type="composite">
              <dgm:param type="ar" val="5.976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7"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r" for="ch" forName="Parent10" refType="w" fact="0.0795"/>
              <dgm:constr type="t" for="ch" forName="Parent10" refType="h" fact="0.2022"/>
              <dgm:constr type="w" for="ch" forName="Parent10" refType="w" fact="0.0636"/>
              <dgm:constr type="h" for="ch" forName="Parent10" refType="h" fact="0.3799"/>
              <dgm:constr type="r" for="ch" forName="Parent9" refType="w" fact="0.178"/>
              <dgm:constr type="t" for="ch" forName="Parent9" refType="h" fact="0.2022"/>
              <dgm:constr type="w" for="ch" forName="Parent9" refType="w" fact="0.0636"/>
              <dgm:constr type="h" for="ch" forName="Parent9" refType="h" fact="0.3799"/>
              <dgm:constr type="r" for="ch" forName="Parent8" refType="w" fact="0.2765"/>
              <dgm:constr type="t" for="ch" forName="Parent8" refType="h" fact="0.2022"/>
              <dgm:constr type="w" for="ch" forName="Parent8" refType="w" fact="0.0636"/>
              <dgm:constr type="h" for="ch" forName="Parent8" refType="h" fact="0.3799"/>
              <dgm:constr type="r" for="ch" forName="Parent7" refType="w" fact="0.375"/>
              <dgm:constr type="t" for="ch" forName="Parent7" refType="h" fact="0.2022"/>
              <dgm:constr type="w" for="ch" forName="Parent7" refType="w" fact="0.0636"/>
              <dgm:constr type="h" for="ch" forName="Parent7" refType="h" fact="0.3799"/>
              <dgm:constr type="r" for="ch" forName="Parent6" refType="w" fact="0.4736"/>
              <dgm:constr type="t" for="ch" forName="Parent6" refType="h" fact="0.2022"/>
              <dgm:constr type="w" for="ch" forName="Parent6" refType="w" fact="0.0636"/>
              <dgm:constr type="h" for="ch" forName="Parent6" refType="h" fact="0.3799"/>
              <dgm:constr type="r" for="ch" forName="Parent5" refType="w" fact="0.5721"/>
              <dgm:constr type="t" for="ch" forName="Parent5" refType="h" fact="0.2022"/>
              <dgm:constr type="w" for="ch" forName="Parent5" refType="w" fact="0.0636"/>
              <dgm:constr type="h" for="ch" forName="Parent5" refType="h" fact="0.3799"/>
              <dgm:constr type="r" for="ch" forName="Parent4" refType="w" fact="0.6706"/>
              <dgm:constr type="t" for="ch" forName="Parent4" refType="h" fact="0.2022"/>
              <dgm:constr type="w" for="ch" forName="Parent4" refType="w" fact="0.0636"/>
              <dgm:constr type="h" for="ch" forName="Parent4" refType="h" fact="0.3799"/>
              <dgm:constr type="r" for="ch" forName="Parent3" refType="w" fact="0.7691"/>
              <dgm:constr type="t" for="ch" forName="Parent3" refType="h" fact="0.2022"/>
              <dgm:constr type="w" for="ch" forName="Parent3" refType="w" fact="0.0636"/>
              <dgm:constr type="h" for="ch" forName="Parent3" refType="h" fact="0.3799"/>
              <dgm:constr type="r" for="ch" forName="Parent2" refType="w" fact="0.8676"/>
              <dgm:constr type="t" for="ch" forName="Parent2" refType="h" fact="0.2022"/>
              <dgm:constr type="w" for="ch" forName="Parent2" refType="w" fact="0.0636"/>
              <dgm:constr type="h" for="ch" forName="Parent2" refType="h" fact="0.3799"/>
              <dgm:constr type="r" for="ch" forName="Parent1" refType="w" fact="0.9662"/>
              <dgm:constr type="t" for="ch" forName="Parent1" refType="h" fact="0.2022"/>
              <dgm:constr type="w" for="ch" forName="Parent1" refType="w" fact="0.0636"/>
              <dgm:constr type="h" for="ch" forName="Parent1" refType="h" fact="0.3799"/>
              <dgm:constr type="r" for="ch" forName="Accent10" refType="w" fact="0.0953"/>
              <dgm:constr type="t" for="ch" forName="Accent10" refType="h" fact="0.1072"/>
              <dgm:constr type="w" for="ch" forName="Accent10" refType="w" fact="0.0953"/>
              <dgm:constr type="h" for="ch" forName="Accent10" refType="h" fact="0.5699"/>
              <dgm:constr type="r" for="ch" forName="ParentBackground10" refType="w" fact="0.0922"/>
              <dgm:constr type="t" for="ch" forName="ParentBackground10" refType="h" fact="0.1262"/>
              <dgm:constr type="w" for="ch" forName="ParentBackground10" refType="w" fact="0.089"/>
              <dgm:constr type="h" for="ch" forName="ParentBackground10" refType="h" fact="0.5319"/>
              <dgm:constr type="r" for="ch" forName="Child10" refType="w" fact="0.0922"/>
              <dgm:constr type="t" for="ch" forName="Child10" refType="h" fact="0.6876"/>
              <dgm:constr type="w" for="ch" forName="Child10" refType="w" fact="0.089"/>
              <dgm:constr type="h" for="ch" forName="Child10" refType="h" fact="0.3124"/>
              <dgm:constr type="r" for="ch" forName="Accent9" refType="w" fact="0.2136"/>
              <dgm:constr type="t" for="ch" forName="Accent9" refType="h" fact="-0.0109"/>
              <dgm:constr type="w" for="ch" forName="Accent9" refType="w" fact="0.1348"/>
              <dgm:constr type="h" for="ch" forName="Accent9" refType="h" fact="0.806"/>
              <dgm:constr type="r" for="ch" forName="ParentBackground9" refType="w" fact="0.1907"/>
              <dgm:constr type="t" for="ch" forName="ParentBackground9" refType="h" fact="0.1262"/>
              <dgm:constr type="w" for="ch" forName="ParentBackground9" refType="w" fact="0.089"/>
              <dgm:constr type="h" for="ch" forName="ParentBackground9" refType="h" fact="0.5319"/>
              <dgm:constr type="r" for="ch" forName="Child9" refType="w" fact="0.1907"/>
              <dgm:constr type="t" for="ch" forName="Child9" refType="h" fact="0.6876"/>
              <dgm:constr type="w" for="ch" forName="Child9" refType="w" fact="0.089"/>
              <dgm:constr type="h" for="ch" forName="Child9" refType="h" fact="0.3124"/>
              <dgm:constr type="r" for="ch" forName="Accent8" refType="w" fact="0.3121"/>
              <dgm:constr type="t" for="ch" forName="Accent8" refType="h" fact="-0.0109"/>
              <dgm:constr type="w" for="ch" forName="Accent8" refType="w" fact="0.1348"/>
              <dgm:constr type="h" for="ch" forName="Accent8" refType="h" fact="0.806"/>
              <dgm:constr type="r" for="ch" forName="ParentBackground8" refType="w" fact="0.2892"/>
              <dgm:constr type="t" for="ch" forName="ParentBackground8" refType="h" fact="0.1262"/>
              <dgm:constr type="w" for="ch" forName="ParentBackground8" refType="w" fact="0.089"/>
              <dgm:constr type="h" for="ch" forName="ParentBackground8" refType="h" fact="0.5319"/>
              <dgm:constr type="r" for="ch" forName="Child8" refType="w" fact="0.2892"/>
              <dgm:constr type="t" for="ch" forName="Child8" refType="h" fact="0.6876"/>
              <dgm:constr type="w" for="ch" forName="Child8" refType="w" fact="0.089"/>
              <dgm:constr type="h" for="ch" forName="Child8" refType="h" fact="0.3124"/>
              <dgm:constr type="r" for="ch" forName="Accent7" refType="w" fact="0.4107"/>
              <dgm:constr type="t" for="ch" forName="Accent7" refType="h" fact="-0.0109"/>
              <dgm:constr type="w" for="ch" forName="Accent7" refType="w" fact="0.1348"/>
              <dgm:constr type="h" for="ch" forName="Accent7" refType="h" fact="0.806"/>
              <dgm:constr type="r" for="ch" forName="ParentBackground7" refType="w" fact="0.3877"/>
              <dgm:constr type="t" for="ch" forName="ParentBackground7" refType="h" fact="0.1262"/>
              <dgm:constr type="w" for="ch" forName="ParentBackground7" refType="w" fact="0.089"/>
              <dgm:constr type="h" for="ch" forName="ParentBackground7" refType="h" fact="0.5319"/>
              <dgm:constr type="r" for="ch" forName="Child7" refType="w" fact="0.3877"/>
              <dgm:constr type="t" for="ch" forName="Child7" refType="h" fact="0.6876"/>
              <dgm:constr type="w" for="ch" forName="Child7" refType="w" fact="0.089"/>
              <dgm:constr type="h" for="ch" forName="Child7" refType="h" fact="0.3124"/>
              <dgm:constr type="r" for="ch" forName="Accent6" refType="w" fact="0.5092"/>
              <dgm:constr type="t" for="ch" forName="Accent6" refType="h" fact="-0.0109"/>
              <dgm:constr type="w" for="ch" forName="Accent6" refType="w" fact="0.1348"/>
              <dgm:constr type="h" for="ch" forName="Accent6" refType="h" fact="0.806"/>
              <dgm:constr type="r" for="ch" forName="ParentBackground6" refType="w" fact="0.4863"/>
              <dgm:constr type="t" for="ch" forName="ParentBackground6" refType="h" fact="0.1262"/>
              <dgm:constr type="w" for="ch" forName="ParentBackground6" refType="w" fact="0.089"/>
              <dgm:constr type="h" for="ch" forName="ParentBackground6" refType="h" fact="0.5319"/>
              <dgm:constr type="r" for="ch" forName="Child6" refType="w" fact="0.4863"/>
              <dgm:constr type="t" for="ch" forName="Child6" refType="h" fact="0.6876"/>
              <dgm:constr type="w" for="ch" forName="Child6" refType="w" fact="0.089"/>
              <dgm:constr type="h" for="ch" forName="Child6" refType="h" fact="0.3124"/>
              <dgm:constr type="r" for="ch" forName="Accent5" refType="w" fact="0.6077"/>
              <dgm:constr type="t" for="ch" forName="Accent5" refType="h" fact="-0.0109"/>
              <dgm:constr type="w" for="ch" forName="Accent5" refType="w" fact="0.1348"/>
              <dgm:constr type="h" for="ch" forName="Accent5" refType="h" fact="0.806"/>
              <dgm:constr type="r" for="ch" forName="ParentBackground5" refType="w" fact="0.5848"/>
              <dgm:constr type="t" for="ch" forName="ParentBackground5" refType="h" fact="0.1262"/>
              <dgm:constr type="w" for="ch" forName="ParentBackground5" refType="w" fact="0.089"/>
              <dgm:constr type="h" for="ch" forName="ParentBackground5" refType="h" fact="0.5319"/>
              <dgm:constr type="r" for="ch" forName="Child5" refType="w" fact="0.5848"/>
              <dgm:constr type="t" for="ch" forName="Child5" refType="h" fact="0.6876"/>
              <dgm:constr type="w" for="ch" forName="Child5" refType="w" fact="0.089"/>
              <dgm:constr type="h" for="ch" forName="Child5" refType="h" fact="0.3124"/>
              <dgm:constr type="r" for="ch" forName="Accent4" refType="w" fact="0.7062"/>
              <dgm:constr type="t" for="ch" forName="Accent4" refType="h" fact="-0.0109"/>
              <dgm:constr type="w" for="ch" forName="Accent4" refType="w" fact="0.1348"/>
              <dgm:constr type="h" for="ch" forName="Accent4" refType="h" fact="0.806"/>
              <dgm:constr type="r" for="ch" forName="ParentBackground4" refType="w" fact="0.6833"/>
              <dgm:constr type="t" for="ch" forName="ParentBackground4" refType="h" fact="0.1262"/>
              <dgm:constr type="w" for="ch" forName="ParentBackground4" refType="w" fact="0.089"/>
              <dgm:constr type="h" for="ch" forName="ParentBackground4" refType="h" fact="0.5319"/>
              <dgm:constr type="r" for="ch" forName="Child4" refType="w" fact="0.6833"/>
              <dgm:constr type="t" for="ch" forName="Child4" refType="h" fact="0.6876"/>
              <dgm:constr type="w" for="ch" forName="Child4" refType="w" fact="0.089"/>
              <dgm:constr type="h" for="ch" forName="Child4" refType="h" fact="0.3124"/>
              <dgm:constr type="r" for="ch" forName="Accent3" refType="w" fact="0.8048"/>
              <dgm:constr type="t" for="ch" forName="Accent3" refType="h" fact="-0.0109"/>
              <dgm:constr type="w" for="ch" forName="Accent3" refType="w" fact="0.1348"/>
              <dgm:constr type="h" for="ch" forName="Accent3" refType="h" fact="0.806"/>
              <dgm:constr type="r" for="ch" forName="ParentBackground3" refType="w" fact="0.7818"/>
              <dgm:constr type="t" for="ch" forName="ParentBackground3" refType="h" fact="0.1262"/>
              <dgm:constr type="w" for="ch" forName="ParentBackground3" refType="w" fact="0.089"/>
              <dgm:constr type="h" for="ch" forName="ParentBackground3" refType="h" fact="0.5319"/>
              <dgm:constr type="r" for="ch" forName="Child3" refType="w" fact="0.7818"/>
              <dgm:constr type="t" for="ch" forName="Child3" refType="h" fact="0.6876"/>
              <dgm:constr type="w" for="ch" forName="Child3" refType="w" fact="0.089"/>
              <dgm:constr type="h" for="ch" forName="Child3" refType="h" fact="0.3124"/>
              <dgm:constr type="r" for="ch" forName="Accent2" refType="w" fact="0.9033"/>
              <dgm:constr type="t" for="ch" forName="Accent2" refType="h" fact="-0.0109"/>
              <dgm:constr type="w" for="ch" forName="Accent2" refType="w" fact="0.1348"/>
              <dgm:constr type="h" for="ch" forName="Accent2" refType="h" fact="0.806"/>
              <dgm:constr type="r" for="ch" forName="ParentBackground2" refType="w" fact="0.8804"/>
              <dgm:constr type="t" for="ch" forName="ParentBackground2" refType="h" fact="0.1262"/>
              <dgm:constr type="w" for="ch" forName="ParentBackground2" refType="w" fact="0.089"/>
              <dgm:constr type="h" for="ch" forName="ParentBackground2" refType="h" fact="0.5319"/>
              <dgm:constr type="r" for="ch" forName="Child2" refType="w" fact="0.8804"/>
              <dgm:constr type="t" for="ch" forName="Child2" refType="h" fact="0.6876"/>
              <dgm:constr type="w" for="ch" forName="Child2" refType="w" fact="0.089"/>
              <dgm:constr type="h" for="ch" forName="Child2" refType="h" fact="0.3124"/>
              <dgm:constr type="r" for="ch" forName="Accent1" refType="w" fact="1.0018"/>
              <dgm:constr type="t" for="ch" forName="Accent1" refType="h" fact="-0.0109"/>
              <dgm:constr type="w" for="ch" forName="Accent1" refType="w" fact="0.1348"/>
              <dgm:constr type="h" for="ch" forName="Accent1" refType="h" fact="0.806"/>
              <dgm:constr type="r" for="ch" forName="ParentBackground1" refType="w" fact="0.9789"/>
              <dgm:constr type="t" for="ch" forName="ParentBackground1" refType="h" fact="0.1262"/>
              <dgm:constr type="w" for="ch" forName="ParentBackground1" refType="w" fact="0.089"/>
              <dgm:constr type="h" for="ch" forName="ParentBackground1" refType="h" fact="0.5319"/>
              <dgm:constr type="r" for="ch" forName="Child1" refType="w" fact="0.9789"/>
              <dgm:constr type="t" for="ch" forName="Child1" refType="h" fact="0.6876"/>
              <dgm:constr type="w" for="ch" forName="Child1" refType="w" fact="0.089"/>
              <dgm:constr type="h" for="ch" forName="Child1" refType="h" fact="0.3124"/>
            </dgm:constrLst>
          </dgm:if>
          <dgm:else name="Name27">
            <dgm:alg type="composite">
              <dgm:param type="ar" val="6.565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1"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1"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1"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1"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1"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6" op="lte"/>
              <dgm:constr type="primFontSz" for="des" forName="Child11"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1"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1"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1"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Child11" refType="primFontSz" refFor="des" refForName="Parent10" op="lte"/>
              <dgm:constr type="primFontSz" for="des" forName="Child1" refType="primFontSz" refFor="des" refForName="Parent11" op="lte"/>
              <dgm:constr type="primFontSz" for="des" forName="Child2" refType="primFontSz" refFor="des" refForName="Parent11" op="lte"/>
              <dgm:constr type="primFontSz" for="des" forName="Child3" refType="primFontSz" refFor="des" refForName="Parent11" op="lte"/>
              <dgm:constr type="primFontSz" for="des" forName="Child4" refType="primFontSz" refFor="des" refForName="Parent11" op="lte"/>
              <dgm:constr type="primFontSz" for="des" forName="Child5" refType="primFontSz" refFor="des" refForName="Parent11" op="lte"/>
              <dgm:constr type="primFontSz" for="des" forName="Child6" refType="primFontSz" refFor="des" refForName="Parent11" op="lte"/>
              <dgm:constr type="primFontSz" for="des" forName="Child7" refType="primFontSz" refFor="des" refForName="Parent11" op="lte"/>
              <dgm:constr type="primFontSz" for="des" forName="Child8" refType="primFontSz" refFor="des" refForName="Parent11" op="lte"/>
              <dgm:constr type="primFontSz" for="des" forName="Child9" refType="primFontSz" refFor="des" refForName="Parent11" op="lte"/>
              <dgm:constr type="primFontSz" for="des" forName="Child10" refType="primFontSz" refFor="des" refForName="Parent11" op="lte"/>
              <dgm:constr type="primFontSz" for="des" forName="Child11" refType="primFontSz" refFor="des" refForName="Parent11"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Parent11"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primFontSz" for="des" forName="Child11" refType="primFontSz" refFor="des" refForName="Child1" op="equ"/>
              <dgm:constr type="r" for="ch" forName="Parent11" refType="w" fact="0.0723"/>
              <dgm:constr type="t" for="ch" forName="Parent11" refType="h" fact="0.2022"/>
              <dgm:constr type="w" for="ch" forName="Parent11" refType="w" fact="0.0579"/>
              <dgm:constr type="h" for="ch" forName="Parent11" refType="h" fact="0.3799"/>
              <dgm:constr type="r" for="ch" forName="Parent10" refType="w" fact="0.162"/>
              <dgm:constr type="t" for="ch" forName="Parent10" refType="h" fact="0.2022"/>
              <dgm:constr type="w" for="ch" forName="Parent10" refType="w" fact="0.0579"/>
              <dgm:constr type="h" for="ch" forName="Parent10" refType="h" fact="0.3799"/>
              <dgm:constr type="r" for="ch" forName="Parent9" refType="w" fact="0.2517"/>
              <dgm:constr type="t" for="ch" forName="Parent9" refType="h" fact="0.2022"/>
              <dgm:constr type="w" for="ch" forName="Parent9" refType="w" fact="0.0579"/>
              <dgm:constr type="h" for="ch" forName="Parent9" refType="h" fact="0.3799"/>
              <dgm:constr type="r" for="ch" forName="Parent8" refType="w" fact="0.3414"/>
              <dgm:constr type="t" for="ch" forName="Parent8" refType="h" fact="0.2022"/>
              <dgm:constr type="w" for="ch" forName="Parent8" refType="w" fact="0.0579"/>
              <dgm:constr type="h" for="ch" forName="Parent8" refType="h" fact="0.3799"/>
              <dgm:constr type="r" for="ch" forName="Parent7" refType="w" fact="0.4311"/>
              <dgm:constr type="t" for="ch" forName="Parent7" refType="h" fact="0.2022"/>
              <dgm:constr type="w" for="ch" forName="Parent7" refType="w" fact="0.0579"/>
              <dgm:constr type="h" for="ch" forName="Parent7" refType="h" fact="0.3799"/>
              <dgm:constr type="r" for="ch" forName="Parent6" refType="w" fact="0.5208"/>
              <dgm:constr type="t" for="ch" forName="Parent6" refType="h" fact="0.2022"/>
              <dgm:constr type="w" for="ch" forName="Parent6" refType="w" fact="0.0579"/>
              <dgm:constr type="h" for="ch" forName="Parent6" refType="h" fact="0.3799"/>
              <dgm:constr type="r" for="ch" forName="Parent5" refType="w" fact="0.6105"/>
              <dgm:constr type="t" for="ch" forName="Parent5" refType="h" fact="0.2022"/>
              <dgm:constr type="w" for="ch" forName="Parent5" refType="w" fact="0.0579"/>
              <dgm:constr type="h" for="ch" forName="Parent5" refType="h" fact="0.3799"/>
              <dgm:constr type="r" for="ch" forName="Parent4" refType="w" fact="0.7001"/>
              <dgm:constr type="t" for="ch" forName="Parent4" refType="h" fact="0.2022"/>
              <dgm:constr type="w" for="ch" forName="Parent4" refType="w" fact="0.0579"/>
              <dgm:constr type="h" for="ch" forName="Parent4" refType="h" fact="0.3799"/>
              <dgm:constr type="r" for="ch" forName="Parent3" refType="w" fact="0.7898"/>
              <dgm:constr type="t" for="ch" forName="Parent3" refType="h" fact="0.2022"/>
              <dgm:constr type="w" for="ch" forName="Parent3" refType="w" fact="0.0579"/>
              <dgm:constr type="h" for="ch" forName="Parent3" refType="h" fact="0.3799"/>
              <dgm:constr type="r" for="ch" forName="Parent2" refType="w" fact="0.8795"/>
              <dgm:constr type="t" for="ch" forName="Parent2" refType="h" fact="0.2022"/>
              <dgm:constr type="w" for="ch" forName="Parent2" refType="w" fact="0.0579"/>
              <dgm:constr type="h" for="ch" forName="Parent2" refType="h" fact="0.3799"/>
              <dgm:constr type="r" for="ch" forName="Parent1" refType="w" fact="0.9692"/>
              <dgm:constr type="t" for="ch" forName="Parent1" refType="h" fact="0.2022"/>
              <dgm:constr type="w" for="ch" forName="Parent1" refType="w" fact="0.0579"/>
              <dgm:constr type="h" for="ch" forName="Parent1" refType="h" fact="0.3799"/>
              <dgm:constr type="r" for="ch" forName="Accent11" refType="w" fact="0.0868"/>
              <dgm:constr type="t" for="ch" forName="Accent11" refType="h" fact="0.1072"/>
              <dgm:constr type="w" for="ch" forName="Accent11" refType="w" fact="0.0868"/>
              <dgm:constr type="h" for="ch" forName="Accent11" refType="h" fact="0.5699"/>
              <dgm:constr type="r" for="ch" forName="ParentBackground11" refType="w" fact="0.0839"/>
              <dgm:constr type="t" for="ch" forName="ParentBackground11" refType="h" fact="0.1262"/>
              <dgm:constr type="w" for="ch" forName="ParentBackground11" refType="w" fact="0.081"/>
              <dgm:constr type="h" for="ch" forName="ParentBackground11" refType="h" fact="0.5319"/>
              <dgm:constr type="r" for="ch" forName="Child11" refType="w" fact="0.0839"/>
              <dgm:constr type="t" for="ch" forName="Child11" refType="h" fact="0.6876"/>
              <dgm:constr type="w" for="ch" forName="Child11" refType="w" fact="0.081"/>
              <dgm:constr type="h" for="ch" forName="Child11" refType="h" fact="0.3124"/>
              <dgm:constr type="r" for="ch" forName="Accent10" refType="w" fact="0.1945"/>
              <dgm:constr type="t" for="ch" forName="Accent10" refType="h" fact="-0.0109"/>
              <dgm:constr type="w" for="ch" forName="Accent10" refType="w" fact="0.1228"/>
              <dgm:constr type="h" for="ch" forName="Accent10" refType="h" fact="0.806"/>
              <dgm:constr type="r" for="ch" forName="ParentBackground10" refType="w" fact="0.1736"/>
              <dgm:constr type="t" for="ch" forName="ParentBackground10" refType="h" fact="0.1262"/>
              <dgm:constr type="w" for="ch" forName="ParentBackground10" refType="w" fact="0.081"/>
              <dgm:constr type="h" for="ch" forName="ParentBackground10" refType="h" fact="0.5319"/>
              <dgm:constr type="r" for="ch" forName="Child10" refType="w" fact="0.1736"/>
              <dgm:constr type="t" for="ch" forName="Child10" refType="h" fact="0.6876"/>
              <dgm:constr type="w" for="ch" forName="Child10" refType="w" fact="0.081"/>
              <dgm:constr type="h" for="ch" forName="Child10" refType="h" fact="0.3124"/>
              <dgm:constr type="r" for="ch" forName="Accent9" refType="w" fact="0.2842"/>
              <dgm:constr type="t" for="ch" forName="Accent9" refType="h" fact="-0.0109"/>
              <dgm:constr type="w" for="ch" forName="Accent9" refType="w" fact="0.1228"/>
              <dgm:constr type="h" for="ch" forName="Accent9" refType="h" fact="0.806"/>
              <dgm:constr type="r" for="ch" forName="ParentBackground9" refType="w" fact="0.2633"/>
              <dgm:constr type="t" for="ch" forName="ParentBackground9" refType="h" fact="0.1262"/>
              <dgm:constr type="w" for="ch" forName="ParentBackground9" refType="w" fact="0.081"/>
              <dgm:constr type="h" for="ch" forName="ParentBackground9" refType="h" fact="0.5319"/>
              <dgm:constr type="r" for="ch" forName="Child9" refType="w" fact="0.2633"/>
              <dgm:constr type="t" for="ch" forName="Child9" refType="h" fact="0.6876"/>
              <dgm:constr type="w" for="ch" forName="Child9" refType="w" fact="0.081"/>
              <dgm:constr type="h" for="ch" forName="Child9" refType="h" fact="0.3124"/>
              <dgm:constr type="r" for="ch" forName="Accent8" refType="w" fact="0.3739"/>
              <dgm:constr type="t" for="ch" forName="Accent8" refType="h" fact="-0.0109"/>
              <dgm:constr type="w" for="ch" forName="Accent8" refType="w" fact="0.1228"/>
              <dgm:constr type="h" for="ch" forName="Accent8" refType="h" fact="0.806"/>
              <dgm:constr type="r" for="ch" forName="ParentBackground8" refType="w" fact="0.353"/>
              <dgm:constr type="t" for="ch" forName="ParentBackground8" refType="h" fact="0.1262"/>
              <dgm:constr type="w" for="ch" forName="ParentBackground8" refType="w" fact="0.081"/>
              <dgm:constr type="h" for="ch" forName="ParentBackground8" refType="h" fact="0.5319"/>
              <dgm:constr type="r" for="ch" forName="Child8" refType="w" fact="0.353"/>
              <dgm:constr type="t" for="ch" forName="Child8" refType="h" fact="0.6876"/>
              <dgm:constr type="w" for="ch" forName="Child8" refType="w" fact="0.081"/>
              <dgm:constr type="h" for="ch" forName="Child8" refType="h" fact="0.3124"/>
              <dgm:constr type="r" for="ch" forName="Accent7" refType="w" fact="0.4636"/>
              <dgm:constr type="t" for="ch" forName="Accent7" refType="h" fact="-0.0109"/>
              <dgm:constr type="w" for="ch" forName="Accent7" refType="w" fact="0.1228"/>
              <dgm:constr type="h" for="ch" forName="Accent7" refType="h" fact="0.806"/>
              <dgm:constr type="r" for="ch" forName="ParentBackground7" refType="w" fact="0.4427"/>
              <dgm:constr type="t" for="ch" forName="ParentBackground7" refType="h" fact="0.1262"/>
              <dgm:constr type="w" for="ch" forName="ParentBackground7" refType="w" fact="0.081"/>
              <dgm:constr type="h" for="ch" forName="ParentBackground7" refType="h" fact="0.5319"/>
              <dgm:constr type="r" for="ch" forName="Child7" refType="w" fact="0.4427"/>
              <dgm:constr type="t" for="ch" forName="Child7" refType="h" fact="0.6876"/>
              <dgm:constr type="w" for="ch" forName="Child7" refType="w" fact="0.081"/>
              <dgm:constr type="h" for="ch" forName="Child7" refType="h" fact="0.3124"/>
              <dgm:constr type="r" for="ch" forName="Accent6" refType="w" fact="0.5533"/>
              <dgm:constr type="t" for="ch" forName="Accent6" refType="h" fact="-0.0109"/>
              <dgm:constr type="w" for="ch" forName="Accent6" refType="w" fact="0.1228"/>
              <dgm:constr type="h" for="ch" forName="Accent6" refType="h" fact="0.806"/>
              <dgm:constr type="r" for="ch" forName="ParentBackground6" refType="w" fact="0.5323"/>
              <dgm:constr type="t" for="ch" forName="ParentBackground6" refType="h" fact="0.1262"/>
              <dgm:constr type="w" for="ch" forName="ParentBackground6" refType="w" fact="0.081"/>
              <dgm:constr type="h" for="ch" forName="ParentBackground6" refType="h" fact="0.5319"/>
              <dgm:constr type="r" for="ch" forName="Child6" refType="w" fact="0.5323"/>
              <dgm:constr type="t" for="ch" forName="Child6" refType="h" fact="0.6876"/>
              <dgm:constr type="w" for="ch" forName="Child6" refType="w" fact="0.081"/>
              <dgm:constr type="h" for="ch" forName="Child6" refType="h" fact="0.3124"/>
              <dgm:constr type="r" for="ch" forName="Accent5" refType="w" fact="0.6429"/>
              <dgm:constr type="t" for="ch" forName="Accent5" refType="h" fact="-0.0109"/>
              <dgm:constr type="w" for="ch" forName="Accent5" refType="w" fact="0.1228"/>
              <dgm:constr type="h" for="ch" forName="Accent5" refType="h" fact="0.806"/>
              <dgm:constr type="r" for="ch" forName="ParentBackground5" refType="w" fact="0.622"/>
              <dgm:constr type="t" for="ch" forName="ParentBackground5" refType="h" fact="0.1262"/>
              <dgm:constr type="w" for="ch" forName="ParentBackground5" refType="w" fact="0.081"/>
              <dgm:constr type="h" for="ch" forName="ParentBackground5" refType="h" fact="0.5319"/>
              <dgm:constr type="r" for="ch" forName="Child5" refType="w" fact="0.622"/>
              <dgm:constr type="t" for="ch" forName="Child5" refType="h" fact="0.6876"/>
              <dgm:constr type="w" for="ch" forName="Child5" refType="w" fact="0.081"/>
              <dgm:constr type="h" for="ch" forName="Child5" refType="h" fact="0.3124"/>
              <dgm:constr type="r" for="ch" forName="Accent4" refType="w" fact="0.7326"/>
              <dgm:constr type="t" for="ch" forName="Accent4" refType="h" fact="-0.0109"/>
              <dgm:constr type="w" for="ch" forName="Accent4" refType="w" fact="0.1228"/>
              <dgm:constr type="h" for="ch" forName="Accent4" refType="h" fact="0.806"/>
              <dgm:constr type="r" for="ch" forName="ParentBackground4" refType="w" fact="0.7117"/>
              <dgm:constr type="t" for="ch" forName="ParentBackground4" refType="h" fact="0.1262"/>
              <dgm:constr type="w" for="ch" forName="ParentBackground4" refType="w" fact="0.081"/>
              <dgm:constr type="h" for="ch" forName="ParentBackground4" refType="h" fact="0.5319"/>
              <dgm:constr type="r" for="ch" forName="Child4" refType="w" fact="0.7117"/>
              <dgm:constr type="t" for="ch" forName="Child4" refType="h" fact="0.6876"/>
              <dgm:constr type="w" for="ch" forName="Child4" refType="w" fact="0.081"/>
              <dgm:constr type="h" for="ch" forName="Child4" refType="h" fact="0.3124"/>
              <dgm:constr type="r" for="ch" forName="Accent3" refType="w" fact="0.8223"/>
              <dgm:constr type="t" for="ch" forName="Accent3" refType="h" fact="-0.0109"/>
              <dgm:constr type="w" for="ch" forName="Accent3" refType="w" fact="0.1228"/>
              <dgm:constr type="h" for="ch" forName="Accent3" refType="h" fact="0.806"/>
              <dgm:constr type="r" for="ch" forName="ParentBackground3" refType="w" fact="0.8014"/>
              <dgm:constr type="t" for="ch" forName="ParentBackground3" refType="h" fact="0.1262"/>
              <dgm:constr type="w" for="ch" forName="ParentBackground3" refType="w" fact="0.081"/>
              <dgm:constr type="h" for="ch" forName="ParentBackground3" refType="h" fact="0.5319"/>
              <dgm:constr type="r" for="ch" forName="Child3" refType="w" fact="0.8014"/>
              <dgm:constr type="t" for="ch" forName="Child3" refType="h" fact="0.6876"/>
              <dgm:constr type="w" for="ch" forName="Child3" refType="w" fact="0.081"/>
              <dgm:constr type="h" for="ch" forName="Child3" refType="h" fact="0.3124"/>
              <dgm:constr type="r" for="ch" forName="Accent2" refType="w" fact="0.912"/>
              <dgm:constr type="t" for="ch" forName="Accent2" refType="h" fact="-0.0109"/>
              <dgm:constr type="w" for="ch" forName="Accent2" refType="w" fact="0.1228"/>
              <dgm:constr type="h" for="ch" forName="Accent2" refType="h" fact="0.806"/>
              <dgm:constr type="r" for="ch" forName="ParentBackground2" refType="w" fact="0.8911"/>
              <dgm:constr type="t" for="ch" forName="ParentBackground2" refType="h" fact="0.1262"/>
              <dgm:constr type="w" for="ch" forName="ParentBackground2" refType="w" fact="0.081"/>
              <dgm:constr type="h" for="ch" forName="ParentBackground2" refType="h" fact="0.5319"/>
              <dgm:constr type="r" for="ch" forName="Child2" refType="w" fact="0.8911"/>
              <dgm:constr type="t" for="ch" forName="Child2" refType="h" fact="0.6876"/>
              <dgm:constr type="w" for="ch" forName="Child2" refType="w" fact="0.081"/>
              <dgm:constr type="h" for="ch" forName="Child2" refType="h" fact="0.3124"/>
              <dgm:constr type="r" for="ch" forName="Accent1" refType="w" fact="1.0017"/>
              <dgm:constr type="t" for="ch" forName="Accent1" refType="h" fact="-0.0109"/>
              <dgm:constr type="w" for="ch" forName="Accent1" refType="w" fact="0.1228"/>
              <dgm:constr type="h" for="ch" forName="Accent1" refType="h" fact="0.806"/>
              <dgm:constr type="r" for="ch" forName="ParentBackground1" refType="w" fact="0.9808"/>
              <dgm:constr type="t" for="ch" forName="ParentBackground1" refType="h" fact="0.1262"/>
              <dgm:constr type="w" for="ch" forName="ParentBackground1" refType="w" fact="0.081"/>
              <dgm:constr type="h" for="ch" forName="ParentBackground1" refType="h" fact="0.5319"/>
              <dgm:constr type="r" for="ch" forName="Child1" refType="w" fact="0.9808"/>
              <dgm:constr type="t" for="ch" forName="Child1" refType="h" fact="0.6876"/>
              <dgm:constr type="w" for="ch" forName="Child1" refType="w" fact="0.081"/>
              <dgm:constr type="h" for="ch" forName="Child1" refType="h" fact="0.3124"/>
            </dgm:constrLst>
          </dgm:else>
        </dgm:choose>
      </dgm:else>
    </dgm:choose>
    <dgm:forEach name="wrapper" axis="self" ptType="parTrans">
      <dgm:forEach name="accentRepeat" axis="self">
        <dgm:layoutNode name="Accent" styleLbl="node1">
          <dgm:alg type="sp"/>
          <dgm:choose name="Name28">
            <dgm:if name="Name29" axis="followSib" ptType="node" func="cnt" op="equ" val="0">
              <dgm:shape xmlns:r="http://schemas.openxmlformats.org/officeDocument/2006/relationships" type="ellipse" r:blip="">
                <dgm:adjLst/>
              </dgm:shape>
            </dgm:if>
            <dgm:else name="Name30">
              <dgm:choose name="Name31">
                <dgm:if name="Name32" axis="precedSib" ptType="node" func="cnt" op="equ" val="10">
                  <dgm:shape xmlns:r="http://schemas.openxmlformats.org/officeDocument/2006/relationships" type="ellipse" r:blip="">
                    <dgm:adjLst/>
                  </dgm:shape>
                </dgm:if>
                <dgm:else name="Name33">
                  <dgm:choose name="Name34">
                    <dgm:if name="Name35" func="var" arg="dir" op="equ" val="norm">
                      <dgm:shape xmlns:r="http://schemas.openxmlformats.org/officeDocument/2006/relationships" rot="45" type="teardrop" r:blip="">
                        <dgm:adjLst>
                          <dgm:adj idx="1" val="1"/>
                        </dgm:adjLst>
                      </dgm:shape>
                    </dgm:if>
                    <dgm:else name="Name36">
                      <dgm:shape xmlns:r="http://schemas.openxmlformats.org/officeDocument/2006/relationships" rot="225" type="teardrop" r:blip="">
                        <dgm:adjLst>
                          <dgm:adj idx="1" val="1"/>
                        </dgm:adjLst>
                      </dgm:shape>
                    </dgm:else>
                  </dgm:choose>
                </dgm:else>
              </dgm:choose>
            </dgm:else>
          </dgm:choose>
          <dgm:presOf/>
        </dgm:layoutNode>
      </dgm:forEach>
      <dgm:forEach name="parentBackgroundRepeat" axis="self">
        <dgm:layoutNode name="ParentBackground" styleLbl="fgAcc1">
          <dgm:alg type="sp"/>
          <dgm:shape xmlns:r="http://schemas.openxmlformats.org/officeDocument/2006/relationships" type="ellipse" r:blip="">
            <dgm:adjLst/>
          </dgm:shape>
          <dgm:presOf axis="self" ptType="node"/>
        </dgm:layoutNode>
      </dgm:forEach>
    </dgm:forEach>
    <dgm:forEach name="Name37" axis="ch" ptType="node" st="11" cnt="1">
      <dgm:layoutNode name="Accent11">
        <dgm:alg type="sp"/>
        <dgm:shape xmlns:r="http://schemas.openxmlformats.org/officeDocument/2006/relationships" r:blip="">
          <dgm:adjLst/>
        </dgm:shape>
        <dgm:presOf/>
        <dgm:constrLst/>
        <dgm:forEach name="Name38" ref="accentRepeat"/>
      </dgm:layoutNode>
      <dgm:layoutNode name="ParentBackground11">
        <dgm:alg type="sp"/>
        <dgm:shape xmlns:r="http://schemas.openxmlformats.org/officeDocument/2006/relationships" r:blip="">
          <dgm:adjLst/>
        </dgm:shape>
        <dgm:presOf/>
        <dgm:forEach name="Name39" ref="parentBackgroundRepeat"/>
      </dgm:layoutNode>
      <dgm:choose name="Name40">
        <dgm:if name="Name41" axis="ch" ptType="node" func="cnt" op="gte" val="1">
          <dgm:layoutNode name="Child11"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2"/>
      </dgm:choose>
      <dgm:layoutNode name="Parent11"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43" axis="ch" ptType="node" st="10" cnt="1">
      <dgm:layoutNode name="Accent10">
        <dgm:alg type="sp"/>
        <dgm:shape xmlns:r="http://schemas.openxmlformats.org/officeDocument/2006/relationships" r:blip="">
          <dgm:adjLst/>
        </dgm:shape>
        <dgm:presOf/>
        <dgm:constrLst/>
        <dgm:forEach name="Name44" ref="accentRepeat"/>
      </dgm:layoutNode>
      <dgm:layoutNode name="ParentBackground10">
        <dgm:alg type="sp"/>
        <dgm:shape xmlns:r="http://schemas.openxmlformats.org/officeDocument/2006/relationships" r:blip="">
          <dgm:adjLst/>
        </dgm:shape>
        <dgm:presOf/>
        <dgm:forEach name="Name45" ref="parentBackgroundRepeat"/>
      </dgm:layoutNode>
      <dgm:choose name="Name46">
        <dgm:if name="Name47" axis="ch" ptType="node" func="cnt" op="gte" val="1">
          <dgm:layoutNode name="Child10"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8"/>
      </dgm:choose>
      <dgm:layoutNode name="Parent10"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49" axis="ch" ptType="node" st="9" cnt="1">
      <dgm:layoutNode name="Accent9">
        <dgm:alg type="sp"/>
        <dgm:shape xmlns:r="http://schemas.openxmlformats.org/officeDocument/2006/relationships" r:blip="">
          <dgm:adjLst/>
        </dgm:shape>
        <dgm:presOf/>
        <dgm:constrLst/>
        <dgm:forEach name="Name50" ref="accentRepeat"/>
      </dgm:layoutNode>
      <dgm:layoutNode name="ParentBackground9">
        <dgm:alg type="sp"/>
        <dgm:shape xmlns:r="http://schemas.openxmlformats.org/officeDocument/2006/relationships" r:blip="">
          <dgm:adjLst/>
        </dgm:shape>
        <dgm:presOf/>
        <dgm:forEach name="Name51" ref="parentBackgroundRepeat"/>
      </dgm:layoutNode>
      <dgm:choose name="Name52">
        <dgm:if name="Name53" axis="ch" ptType="node" func="cnt" op="gte" val="1">
          <dgm:layoutNode name="Child9"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4"/>
      </dgm:choose>
      <dgm:layoutNode name="Parent9"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55" axis="ch" ptType="node" st="8" cnt="1">
      <dgm:layoutNode name="Accent8">
        <dgm:alg type="sp"/>
        <dgm:shape xmlns:r="http://schemas.openxmlformats.org/officeDocument/2006/relationships" r:blip="">
          <dgm:adjLst/>
        </dgm:shape>
        <dgm:presOf/>
        <dgm:constrLst/>
        <dgm:forEach name="Name56" ref="accentRepeat"/>
      </dgm:layoutNode>
      <dgm:layoutNode name="ParentBackground8">
        <dgm:alg type="sp"/>
        <dgm:shape xmlns:r="http://schemas.openxmlformats.org/officeDocument/2006/relationships" r:blip="">
          <dgm:adjLst/>
        </dgm:shape>
        <dgm:presOf/>
        <dgm:forEach name="Name57" ref="parentBackgroundRepeat"/>
      </dgm:layoutNode>
      <dgm:choose name="Name58">
        <dgm:if name="Name59" axis="ch" ptType="node" func="cnt" op="gte" val="1">
          <dgm:layoutNode name="Child8"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0"/>
      </dgm:choose>
      <dgm:layoutNode name="Parent8"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61" axis="ch" ptType="node" st="7" cnt="1">
      <dgm:layoutNode name="Accent7">
        <dgm:alg type="sp"/>
        <dgm:shape xmlns:r="http://schemas.openxmlformats.org/officeDocument/2006/relationships" r:blip="">
          <dgm:adjLst/>
        </dgm:shape>
        <dgm:presOf/>
        <dgm:constrLst/>
        <dgm:forEach name="Name62" ref="accentRepeat"/>
      </dgm:layoutNode>
      <dgm:layoutNode name="ParentBackground7">
        <dgm:alg type="sp"/>
        <dgm:shape xmlns:r="http://schemas.openxmlformats.org/officeDocument/2006/relationships" r:blip="">
          <dgm:adjLst/>
        </dgm:shape>
        <dgm:presOf/>
        <dgm:forEach name="Name63" ref="parentBackgroundRepeat"/>
      </dgm:layoutNode>
      <dgm:choose name="Name64">
        <dgm:if name="Name65" axis="ch" ptType="node" func="cnt" op="gte" val="1">
          <dgm:layoutNode name="Child7"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6"/>
      </dgm:choose>
      <dgm:layoutNode name="Parent7"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67" axis="ch" ptType="node" st="6" cnt="1">
      <dgm:layoutNode name="Accent6">
        <dgm:alg type="sp"/>
        <dgm:shape xmlns:r="http://schemas.openxmlformats.org/officeDocument/2006/relationships" r:blip="">
          <dgm:adjLst/>
        </dgm:shape>
        <dgm:presOf/>
        <dgm:constrLst/>
        <dgm:forEach name="Name68" ref="accentRepeat"/>
      </dgm:layoutNode>
      <dgm:layoutNode name="ParentBackground6">
        <dgm:alg type="sp"/>
        <dgm:shape xmlns:r="http://schemas.openxmlformats.org/officeDocument/2006/relationships" r:blip="">
          <dgm:adjLst/>
        </dgm:shape>
        <dgm:presOf/>
        <dgm:forEach name="Name69" ref="parentBackgroundRepeat"/>
      </dgm:layoutNode>
      <dgm:choose name="Name70">
        <dgm:if name="Name71" axis="ch" ptType="node" func="cnt" op="gte" val="1">
          <dgm:layoutNode name="Child6"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2"/>
      </dgm:choose>
      <dgm:layoutNode name="Parent6"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73" axis="ch" ptType="node" st="5" cnt="1">
      <dgm:layoutNode name="Accent5">
        <dgm:alg type="sp"/>
        <dgm:shape xmlns:r="http://schemas.openxmlformats.org/officeDocument/2006/relationships" r:blip="">
          <dgm:adjLst/>
        </dgm:shape>
        <dgm:presOf/>
        <dgm:constrLst/>
        <dgm:forEach name="Name74" ref="accentRepeat"/>
      </dgm:layoutNode>
      <dgm:layoutNode name="ParentBackground5">
        <dgm:alg type="sp"/>
        <dgm:shape xmlns:r="http://schemas.openxmlformats.org/officeDocument/2006/relationships" r:blip="">
          <dgm:adjLst/>
        </dgm:shape>
        <dgm:presOf/>
        <dgm:forEach name="Name75" ref="parentBackgroundRepeat"/>
      </dgm:layoutNode>
      <dgm:choose name="Name76">
        <dgm:if name="Name77" axis="ch" ptType="node" func="cnt" op="gte" val="1">
          <dgm:layoutNode name="Child5"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8"/>
      </dgm:choose>
      <dgm:layoutNode name="Parent5"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79" axis="ch" ptType="node" st="4" cnt="1">
      <dgm:layoutNode name="Accent4">
        <dgm:alg type="sp"/>
        <dgm:shape xmlns:r="http://schemas.openxmlformats.org/officeDocument/2006/relationships" r:blip="">
          <dgm:adjLst/>
        </dgm:shape>
        <dgm:presOf/>
        <dgm:constrLst/>
        <dgm:forEach name="Name80" ref="accentRepeat"/>
      </dgm:layoutNode>
      <dgm:layoutNode name="ParentBackground4">
        <dgm:alg type="sp"/>
        <dgm:shape xmlns:r="http://schemas.openxmlformats.org/officeDocument/2006/relationships" r:blip="">
          <dgm:adjLst/>
        </dgm:shape>
        <dgm:presOf/>
        <dgm:forEach name="Name81" ref="parentBackgroundRepeat"/>
      </dgm:layoutNode>
      <dgm:choose name="Name82">
        <dgm:if name="Name83" axis="ch" ptType="node" func="cnt" op="gte" val="1">
          <dgm:layoutNode name="Child4"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4"/>
      </dgm:choose>
      <dgm:layoutNode name="Parent4"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85" axis="ch" ptType="node" st="3" cnt="1">
      <dgm:layoutNode name="Accent3">
        <dgm:alg type="sp"/>
        <dgm:shape xmlns:r="http://schemas.openxmlformats.org/officeDocument/2006/relationships" r:blip="">
          <dgm:adjLst/>
        </dgm:shape>
        <dgm:presOf/>
        <dgm:constrLst/>
        <dgm:forEach name="Name86" ref="accentRepeat"/>
      </dgm:layoutNode>
      <dgm:layoutNode name="ParentBackground3">
        <dgm:alg type="sp"/>
        <dgm:shape xmlns:r="http://schemas.openxmlformats.org/officeDocument/2006/relationships" r:blip="">
          <dgm:adjLst/>
        </dgm:shape>
        <dgm:presOf/>
        <dgm:forEach name="Name87" ref="parentBackgroundRepeat"/>
      </dgm:layoutNode>
      <dgm:choose name="Name88">
        <dgm:if name="Name89" axis="ch" ptType="node" func="cnt" op="gte" val="1">
          <dgm:layoutNode name="Child3"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0"/>
      </dgm:choose>
      <dgm:layoutNode name="Parent3"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91" axis="ch" ptType="node" st="2" cnt="1">
      <dgm:layoutNode name="Accent2">
        <dgm:alg type="sp"/>
        <dgm:shape xmlns:r="http://schemas.openxmlformats.org/officeDocument/2006/relationships" r:blip="">
          <dgm:adjLst/>
        </dgm:shape>
        <dgm:presOf/>
        <dgm:constrLst/>
        <dgm:forEach name="Name92" ref="accentRepeat"/>
      </dgm:layoutNode>
      <dgm:layoutNode name="ParentBackground2" styleLbl="fgAcc1">
        <dgm:alg type="sp"/>
        <dgm:shape xmlns:r="http://schemas.openxmlformats.org/officeDocument/2006/relationships" r:blip="">
          <dgm:adjLst/>
        </dgm:shape>
        <dgm:presOf/>
        <dgm:forEach name="Name93" ref="parentBackgroundRepeat"/>
      </dgm:layoutNode>
      <dgm:choose name="Name94">
        <dgm:if name="Name95" axis="ch" ptType="node" func="cnt" op="gte" val="1">
          <dgm:layoutNode name="Child2"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6"/>
      </dgm:choose>
      <dgm:layoutNode name="Parent2"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97" axis="ch" ptType="node" cnt="1">
      <dgm:layoutNode name="Accent1">
        <dgm:alg type="sp"/>
        <dgm:shape xmlns:r="http://schemas.openxmlformats.org/officeDocument/2006/relationships" r:blip="">
          <dgm:adjLst/>
        </dgm:shape>
        <dgm:presOf/>
        <dgm:constrLst/>
        <dgm:forEach name="Name98" ref="accentRepeat"/>
      </dgm:layoutNode>
      <dgm:layoutNode name="ParentBackground1">
        <dgm:alg type="sp"/>
        <dgm:shape xmlns:r="http://schemas.openxmlformats.org/officeDocument/2006/relationships" r:blip="">
          <dgm:adjLst/>
        </dgm:shape>
        <dgm:presOf/>
        <dgm:forEach name="Name99" ref="parentBackgroundRepeat"/>
      </dgm:layoutNode>
      <dgm:choose name="Name100">
        <dgm:if name="Name101" axis="ch" ptType="node" func="cnt" op="gte" val="1">
          <dgm:layoutNode name="Child1"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02"/>
      </dgm:choose>
      <dgm:layoutNode name="Parent1"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_rels/drawing2.xml.rels><?xml version="1.0" encoding="UTF-8" standalone="yes"?>
<Relationships xmlns="http://schemas.openxmlformats.org/package/2006/relationships"><Relationship Id="rId2" Type="http://schemas.openxmlformats.org/officeDocument/2006/relationships/image" Target="../media/image32.png"/><Relationship Id="rId1" Type="http://schemas.openxmlformats.org/officeDocument/2006/relationships/image" Target="../media/image31.png"/></Relationships>
</file>

<file path=word/drawings/drawing1.xml><?xml version="1.0" encoding="utf-8"?>
<c:userShapes xmlns:c="http://schemas.openxmlformats.org/drawingml/2006/chart">
  <cdr:relSizeAnchor xmlns:cdr="http://schemas.openxmlformats.org/drawingml/2006/chartDrawing">
    <cdr:from>
      <cdr:x>0.38406</cdr:x>
      <cdr:y>0.41821</cdr:y>
    </cdr:from>
    <cdr:to>
      <cdr:x>0.39912</cdr:x>
      <cdr:y>0.49645</cdr:y>
    </cdr:to>
    <cdr:sp macro="" textlink="">
      <cdr:nvSpPr>
        <cdr:cNvPr id="2" name="Šipka dolů 1"/>
        <cdr:cNvSpPr/>
      </cdr:nvSpPr>
      <cdr:spPr>
        <a:xfrm xmlns:a="http://schemas.openxmlformats.org/drawingml/2006/main">
          <a:off x="2212477" y="1259036"/>
          <a:ext cx="86757" cy="235544"/>
        </a:xfrm>
        <a:prstGeom xmlns:a="http://schemas.openxmlformats.org/drawingml/2006/main" prst="downArrow">
          <a:avLst/>
        </a:prstGeom>
        <a:solidFill xmlns:a="http://schemas.openxmlformats.org/drawingml/2006/main">
          <a:schemeClr val="accent2">
            <a:lumMod val="40000"/>
            <a:lumOff val="60000"/>
          </a:schemeClr>
        </a:solidFill>
        <a:ln xmlns:a="http://schemas.openxmlformats.org/drawingml/2006/main">
          <a:solidFill>
            <a:schemeClr val="accent2"/>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tlCol="0" anchor="t"/>
        <a:lstStyle xmlns:a="http://schemas.openxmlformats.org/drawingml/2006/main"/>
        <a:p xmlns:a="http://schemas.openxmlformats.org/drawingml/2006/main">
          <a:endParaRPr lang="cs-CZ"/>
        </a:p>
      </cdr:txBody>
    </cdr:sp>
  </cdr:relSizeAnchor>
  <cdr:relSizeAnchor xmlns:cdr="http://schemas.openxmlformats.org/drawingml/2006/chartDrawing">
    <cdr:from>
      <cdr:x>0.50744</cdr:x>
      <cdr:y>0.47998</cdr:y>
    </cdr:from>
    <cdr:to>
      <cdr:x>0.5225</cdr:x>
      <cdr:y>0.55822</cdr:y>
    </cdr:to>
    <cdr:sp macro="" textlink="">
      <cdr:nvSpPr>
        <cdr:cNvPr id="3" name="Šipka dolů 2"/>
        <cdr:cNvSpPr/>
      </cdr:nvSpPr>
      <cdr:spPr>
        <a:xfrm xmlns:a="http://schemas.openxmlformats.org/drawingml/2006/main">
          <a:off x="2923236" y="1445008"/>
          <a:ext cx="86757" cy="235544"/>
        </a:xfrm>
        <a:prstGeom xmlns:a="http://schemas.openxmlformats.org/drawingml/2006/main" prst="downArrow">
          <a:avLst/>
        </a:prstGeom>
        <a:solidFill xmlns:a="http://schemas.openxmlformats.org/drawingml/2006/main">
          <a:schemeClr val="accent2">
            <a:lumMod val="40000"/>
            <a:lumOff val="60000"/>
          </a:schemeClr>
        </a:solidFill>
        <a:ln xmlns:a="http://schemas.openxmlformats.org/drawingml/2006/main">
          <a:solidFill>
            <a:schemeClr val="accent2"/>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sp>
  </cdr:relSizeAnchor>
</c:userShapes>
</file>

<file path=word/drawings/drawing2.xml><?xml version="1.0" encoding="utf-8"?>
<c:userShapes xmlns:c="http://schemas.openxmlformats.org/drawingml/2006/chart">
  <cdr:relSizeAnchor xmlns:cdr="http://schemas.openxmlformats.org/drawingml/2006/chartDrawing">
    <cdr:from>
      <cdr:x>0.00882</cdr:x>
      <cdr:y>0.01084</cdr:y>
    </cdr:from>
    <cdr:to>
      <cdr:x>0.28847</cdr:x>
      <cdr:y>0.2015</cdr:y>
    </cdr:to>
    <cdr:grpSp>
      <cdr:nvGrpSpPr>
        <cdr:cNvPr id="2" name="Skupina 1"/>
        <cdr:cNvGrpSpPr/>
      </cdr:nvGrpSpPr>
      <cdr:grpSpPr>
        <a:xfrm xmlns:a="http://schemas.openxmlformats.org/drawingml/2006/main">
          <a:off x="50800" y="50800"/>
          <a:ext cx="1610994" cy="893887"/>
          <a:chOff x="0" y="0"/>
          <a:chExt cx="1609877" cy="896674"/>
        </a:xfrm>
      </cdr:grpSpPr>
      <cdr:grpSp>
        <cdr:nvGrpSpPr>
          <cdr:cNvPr id="3" name="Skupina 2"/>
          <cdr:cNvGrpSpPr/>
        </cdr:nvGrpSpPr>
        <cdr:grpSpPr>
          <a:xfrm xmlns:a="http://schemas.openxmlformats.org/drawingml/2006/main">
            <a:off x="0" y="0"/>
            <a:ext cx="1609877" cy="896674"/>
            <a:chOff x="0" y="0"/>
            <a:chExt cx="1608414" cy="886729"/>
          </a:xfrm>
        </cdr:grpSpPr>
        <cdr:pic>
          <cdr:nvPicPr>
            <cdr:cNvPr id="9" name="Obrázek 8"/>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38620" r="63057" b="53310"/>
            <a:stretch xmlns:a="http://schemas.openxmlformats.org/drawingml/2006/main"/>
          </cdr:blipFill>
          <cdr:spPr>
            <a:xfrm xmlns:a="http://schemas.openxmlformats.org/drawingml/2006/main">
              <a:off x="0" y="72684"/>
              <a:ext cx="303174" cy="814045"/>
            </a:xfrm>
            <a:prstGeom xmlns:a="http://schemas.openxmlformats.org/drawingml/2006/main" prst="rect">
              <a:avLst/>
            </a:prstGeom>
          </cdr:spPr>
        </cdr:pic>
        <cdr:sp macro="" textlink="">
          <cdr:nvSpPr>
            <cdr:cNvPr id="10" name="TextovéPole 7"/>
            <cdr:cNvSpPr txBox="1"/>
          </cdr:nvSpPr>
          <cdr:spPr>
            <a:xfrm xmlns:a="http://schemas.openxmlformats.org/drawingml/2006/main">
              <a:off x="208078" y="0"/>
              <a:ext cx="127164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sp>
        <cdr:sp macro="" textlink="">
          <cdr:nvSpPr>
            <cdr:cNvPr id="11" name="TextovéPole 9"/>
            <cdr:cNvSpPr txBox="1"/>
          </cdr:nvSpPr>
          <cdr:spPr>
            <a:xfrm xmlns:a="http://schemas.openxmlformats.org/drawingml/2006/main">
              <a:off x="214083" y="369258"/>
              <a:ext cx="1206216"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sp>
        <cdr:sp macro="" textlink="">
          <cdr:nvSpPr>
            <cdr:cNvPr id="12" name="TextovéPole 10"/>
            <cdr:cNvSpPr txBox="1"/>
          </cdr:nvSpPr>
          <cdr:spPr>
            <a:xfrm xmlns:a="http://schemas.openxmlformats.org/drawingml/2006/main">
              <a:off x="205152" y="171530"/>
              <a:ext cx="140326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sp>
        <cdr:sp macro="" textlink="">
          <cdr:nvSpPr>
            <cdr:cNvPr id="13" name="TextovéPole 11"/>
            <cdr:cNvSpPr txBox="1"/>
          </cdr:nvSpPr>
          <cdr:spPr>
            <a:xfrm xmlns:a="http://schemas.openxmlformats.org/drawingml/2006/main">
              <a:off x="207149" y="556791"/>
              <a:ext cx="127785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sp>
      </cdr:grpSp>
      <cdr:grpSp>
        <cdr:nvGrpSpPr>
          <cdr:cNvPr id="4" name="Skupina 3"/>
          <cdr:cNvGrpSpPr/>
        </cdr:nvGrpSpPr>
        <cdr:grpSpPr>
          <a:xfrm xmlns:a="http://schemas.openxmlformats.org/drawingml/2006/main">
            <a:off x="0" y="23348"/>
            <a:ext cx="303449" cy="829659"/>
            <a:chOff x="0" y="23275"/>
            <a:chExt cx="303660" cy="827080"/>
          </a:xfrm>
        </cdr:grpSpPr>
        <cdr:pic>
          <cdr:nvPicPr>
            <cdr:cNvPr id="5" name="Obrázek 4"/>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38620" r="63057" b="53310"/>
            <a:stretch xmlns:a="http://schemas.openxmlformats.org/drawingml/2006/main"/>
          </cdr:blipFill>
          <cdr:spPr>
            <a:xfrm xmlns:a="http://schemas.openxmlformats.org/drawingml/2006/main">
              <a:off x="0" y="23275"/>
              <a:ext cx="303660" cy="827080"/>
            </a:xfrm>
            <a:prstGeom xmlns:a="http://schemas.openxmlformats.org/drawingml/2006/main" prst="rect">
              <a:avLst/>
            </a:prstGeom>
          </cdr:spPr>
        </cdr:pic>
        <cdr:pic>
          <cdr:nvPicPr>
            <cdr:cNvPr id="6" name="Obrázek 5"/>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4327" r="63131" b="53310"/>
            <a:stretch xmlns:a="http://schemas.openxmlformats.org/drawingml/2006/main"/>
          </cdr:blipFill>
          <cdr:spPr>
            <a:xfrm xmlns:a="http://schemas.openxmlformats.org/drawingml/2006/main">
              <a:off x="8015" y="206018"/>
              <a:ext cx="275818" cy="241616"/>
            </a:xfrm>
            <a:prstGeom xmlns:a="http://schemas.openxmlformats.org/drawingml/2006/main" prst="rect">
              <a:avLst/>
            </a:prstGeom>
          </cdr:spPr>
        </cdr:pic>
        <cdr:pic>
          <cdr:nvPicPr>
            <cdr:cNvPr id="7" name="Obrázek 6"/>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0421" r="63085" b="57417"/>
            <a:stretch xmlns:a="http://schemas.openxmlformats.org/drawingml/2006/main"/>
          </cdr:blipFill>
          <cdr:spPr>
            <a:xfrm xmlns:a="http://schemas.openxmlformats.org/drawingml/2006/main">
              <a:off x="5412" y="405138"/>
              <a:ext cx="293077" cy="221102"/>
            </a:xfrm>
            <a:prstGeom xmlns:a="http://schemas.openxmlformats.org/drawingml/2006/main" prst="rect">
              <a:avLst/>
            </a:prstGeom>
          </cdr:spPr>
        </cdr:pic>
        <cdr:pic>
          <cdr:nvPicPr>
            <cdr:cNvPr id="8" name="Obrázek 7"/>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2367" r="63184" b="55615"/>
            <a:stretch xmlns:a="http://schemas.openxmlformats.org/drawingml/2006/main"/>
          </cdr:blipFill>
          <cdr:spPr>
            <a:xfrm xmlns:a="http://schemas.openxmlformats.org/drawingml/2006/main">
              <a:off x="14893" y="604257"/>
              <a:ext cx="256443" cy="206446"/>
            </a:xfrm>
            <a:prstGeom xmlns:a="http://schemas.openxmlformats.org/drawingml/2006/main" prst="rect">
              <a:avLst/>
            </a:prstGeom>
          </cdr:spPr>
        </cdr:pic>
      </cdr:grpSp>
    </cdr:grpSp>
  </cdr:relSizeAnchor>
  <cdr:relSizeAnchor xmlns:cdr="http://schemas.openxmlformats.org/drawingml/2006/chartDrawing">
    <cdr:from>
      <cdr:x>0.01237</cdr:x>
      <cdr:y>0</cdr:y>
    </cdr:from>
    <cdr:to>
      <cdr:x>0.29282</cdr:x>
      <cdr:y>0.19116</cdr:y>
    </cdr:to>
    <cdr:pic>
      <cdr:nvPicPr>
        <cdr:cNvPr id="14" name="chart"/>
        <cdr:cNvPicPr>
          <a:picLocks xmlns:a="http://schemas.openxmlformats.org/drawingml/2006/main" noChangeAspect="1"/>
        </cdr:cNvPicPr>
      </cdr:nvPicPr>
      <cdr:blipFill>
        <a:blip xmlns:a="http://schemas.openxmlformats.org/drawingml/2006/main" xmlns:r="http://schemas.openxmlformats.org/officeDocument/2006/relationships" r:embed="rId2"/>
        <a:stretch xmlns:a="http://schemas.openxmlformats.org/drawingml/2006/main">
          <a:fillRect/>
        </a:stretch>
      </cdr:blipFill>
      <cdr:spPr>
        <a:xfrm xmlns:a="http://schemas.openxmlformats.org/drawingml/2006/main">
          <a:off x="71252" y="-3503221"/>
          <a:ext cx="1615594" cy="896197"/>
        </a:xfrm>
        <a:prstGeom xmlns:a="http://schemas.openxmlformats.org/drawingml/2006/main" prst="rect">
          <a:avLst/>
        </a:prstGeom>
      </cdr:spPr>
    </cdr:pic>
  </cdr:relSizeAnchor>
</c:userShape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A70EB5-CCA0-4A53-8555-058851AC50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1654</TotalTime>
  <Pages>93</Pages>
  <Words>21846</Words>
  <Characters>128896</Characters>
  <Application>Microsoft Office Word</Application>
  <DocSecurity>0</DocSecurity>
  <Lines>1074</Lines>
  <Paragraphs>300</Paragraphs>
  <ScaleCrop>false</ScaleCrop>
  <HeadingPairs>
    <vt:vector size="2" baseType="variant">
      <vt:variant>
        <vt:lpstr>Název</vt:lpstr>
      </vt:variant>
      <vt:variant>
        <vt:i4>1</vt:i4>
      </vt:variant>
    </vt:vector>
  </HeadingPairs>
  <TitlesOfParts>
    <vt:vector size="1" baseType="lpstr">
      <vt:lpstr/>
    </vt:vector>
  </TitlesOfParts>
  <Company>Úřad vlády ČR</Company>
  <LinksUpToDate>false</LinksUpToDate>
  <CharactersWithSpaces>150442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Kureková Lucie</dc:creator>
  <cp:lastModifiedBy>Kureková Lucie</cp:lastModifiedBy>
  <cp:revision>14</cp:revision>
  <cp:lastPrinted>2017-12-20T10:11:00Z</cp:lastPrinted>
  <dcterms:created xsi:type="dcterms:W3CDTF">2018-11-08T12:28:00Z</dcterms:created>
  <dcterms:modified xsi:type="dcterms:W3CDTF">2018-11-14T14:53:00Z</dcterms:modified>
</cp:coreProperties>
</file>