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B50D59" w:rsidRDefault="002F6F8A" w:rsidP="00850745">
      <w:pPr>
        <w:pBdr>
          <w:bottom w:val="single" w:sz="6" w:space="1" w:color="auto"/>
        </w:pBdr>
        <w:spacing w:after="120"/>
        <w:jc w:val="center"/>
        <w:rPr>
          <w:rFonts w:ascii="Arial" w:hAnsi="Arial" w:cs="Arial"/>
          <w:b/>
          <w:color w:val="0070C0"/>
          <w:sz w:val="28"/>
          <w:szCs w:val="28"/>
        </w:rPr>
      </w:pPr>
      <w:r w:rsidRPr="00B50D59">
        <w:rPr>
          <w:rFonts w:ascii="Arial" w:hAnsi="Arial" w:cs="Arial"/>
          <w:b/>
          <w:color w:val="0070C0"/>
          <w:sz w:val="28"/>
          <w:szCs w:val="28"/>
        </w:rPr>
        <w:t>Stanovisko Rady pro výzkum, vývoj a inovace k </w:t>
      </w:r>
      <w:r w:rsidR="003E64BF" w:rsidRPr="00B50D59">
        <w:rPr>
          <w:rFonts w:ascii="Arial" w:hAnsi="Arial" w:cs="Arial"/>
          <w:b/>
          <w:color w:val="0070C0"/>
          <w:sz w:val="28"/>
          <w:szCs w:val="28"/>
        </w:rPr>
        <w:t xml:space="preserve">programu </w:t>
      </w:r>
      <w:r w:rsidR="00B50D59" w:rsidRPr="00B50D59">
        <w:rPr>
          <w:rFonts w:ascii="Arial" w:hAnsi="Arial" w:cs="Arial"/>
          <w:b/>
          <w:color w:val="0070C0"/>
          <w:sz w:val="28"/>
          <w:szCs w:val="28"/>
        </w:rPr>
        <w:t xml:space="preserve">Ambice - </w:t>
      </w:r>
      <w:r w:rsidR="003E64BF" w:rsidRPr="00B50D59">
        <w:rPr>
          <w:rFonts w:ascii="Arial" w:hAnsi="Arial" w:cs="Arial"/>
          <w:b/>
          <w:color w:val="0070C0"/>
          <w:sz w:val="28"/>
          <w:szCs w:val="28"/>
        </w:rPr>
        <w:t xml:space="preserve"> podpora rozvoje </w:t>
      </w:r>
      <w:r w:rsidR="00B50D59" w:rsidRPr="00B50D59">
        <w:rPr>
          <w:rFonts w:ascii="Arial" w:hAnsi="Arial" w:cs="Arial"/>
          <w:b/>
          <w:color w:val="0070C0"/>
          <w:sz w:val="28"/>
          <w:szCs w:val="28"/>
        </w:rPr>
        <w:t>oblastí, ve kterých ozbrojené složky dosahují významných výsledků v rámci NATO a EU</w:t>
      </w:r>
    </w:p>
    <w:p w:rsidR="002F6F8A" w:rsidRPr="00B50D59" w:rsidRDefault="001D724F" w:rsidP="00BF4656">
      <w:pPr>
        <w:pStyle w:val="Odstavecseseznamem"/>
        <w:numPr>
          <w:ilvl w:val="0"/>
          <w:numId w:val="1"/>
        </w:numPr>
        <w:spacing w:after="120"/>
        <w:jc w:val="both"/>
        <w:rPr>
          <w:rFonts w:ascii="Arial" w:hAnsi="Arial" w:cs="Arial"/>
          <w:b/>
          <w:color w:val="0070C0"/>
        </w:rPr>
      </w:pPr>
      <w:r w:rsidRPr="00B50D59">
        <w:rPr>
          <w:rFonts w:ascii="Arial" w:hAnsi="Arial" w:cs="Arial"/>
          <w:b/>
          <w:color w:val="0070C0"/>
        </w:rPr>
        <w:t xml:space="preserve">Způsob </w:t>
      </w:r>
      <w:r w:rsidR="00C31178" w:rsidRPr="00B50D59">
        <w:rPr>
          <w:rFonts w:ascii="Arial" w:hAnsi="Arial" w:cs="Arial"/>
          <w:b/>
          <w:color w:val="0070C0"/>
        </w:rPr>
        <w:t xml:space="preserve">předložení </w:t>
      </w:r>
      <w:r w:rsidR="000F2DDE" w:rsidRPr="00B50D59">
        <w:rPr>
          <w:rFonts w:ascii="Arial" w:hAnsi="Arial" w:cs="Arial"/>
          <w:b/>
          <w:color w:val="0070C0"/>
        </w:rPr>
        <w:t xml:space="preserve">a projednání </w:t>
      </w:r>
      <w:r w:rsidRPr="00B50D59">
        <w:rPr>
          <w:rFonts w:ascii="Arial" w:hAnsi="Arial" w:cs="Arial"/>
          <w:b/>
          <w:color w:val="0070C0"/>
        </w:rPr>
        <w:t>návrhu</w:t>
      </w:r>
    </w:p>
    <w:p w:rsidR="00B50D59" w:rsidRDefault="00B50D59" w:rsidP="00065359">
      <w:pPr>
        <w:spacing w:after="120"/>
        <w:ind w:left="6"/>
        <w:jc w:val="both"/>
        <w:rPr>
          <w:rFonts w:ascii="Arial" w:hAnsi="Arial" w:cs="Arial"/>
        </w:rPr>
      </w:pPr>
      <w:r w:rsidRPr="00B50D59">
        <w:rPr>
          <w:rFonts w:ascii="Arial" w:hAnsi="Arial" w:cs="Arial"/>
        </w:rPr>
        <w:t xml:space="preserve">Náměstek ministra obrany Mgr. Daniel </w:t>
      </w:r>
      <w:proofErr w:type="gramStart"/>
      <w:r w:rsidRPr="00B50D59">
        <w:rPr>
          <w:rFonts w:ascii="Arial" w:hAnsi="Arial" w:cs="Arial"/>
        </w:rPr>
        <w:t>Koštoval předložil</w:t>
      </w:r>
      <w:proofErr w:type="gramEnd"/>
      <w:r w:rsidRPr="00B50D59">
        <w:rPr>
          <w:rFonts w:ascii="Arial" w:hAnsi="Arial" w:cs="Arial"/>
        </w:rPr>
        <w:t xml:space="preserve"> dopisem ze dne 30. října 2018 čj. MO 294815/2018-1350 ke stanovisku Rady pro výzkum, vývoj a inovace (dále jen „</w:t>
      </w:r>
      <w:r w:rsidR="00537979" w:rsidRPr="00B50D59">
        <w:rPr>
          <w:rFonts w:ascii="Arial" w:hAnsi="Arial" w:cs="Arial"/>
        </w:rPr>
        <w:t>Rada“) návrh</w:t>
      </w:r>
      <w:r w:rsidRPr="00B50D59">
        <w:rPr>
          <w:rFonts w:ascii="Arial" w:hAnsi="Arial" w:cs="Arial"/>
        </w:rPr>
        <w:t xml:space="preserve"> nového programu výzkumu a vývoje Ministerstva obrany České republiky (dále jen „MO“) s názvem „Ambice – podpora rozvoje oblastí, ve</w:t>
      </w:r>
      <w:r w:rsidR="00537979">
        <w:rPr>
          <w:rFonts w:ascii="Arial" w:hAnsi="Arial" w:cs="Arial"/>
        </w:rPr>
        <w:t> k</w:t>
      </w:r>
      <w:r w:rsidRPr="00B50D59">
        <w:rPr>
          <w:rFonts w:ascii="Arial" w:hAnsi="Arial" w:cs="Arial"/>
        </w:rPr>
        <w:t xml:space="preserve">terých ozbrojené složky dosahují významných výsledků v rámci NATO a EU“ (dále jen „program“). </w:t>
      </w:r>
    </w:p>
    <w:p w:rsidR="00065359" w:rsidRDefault="00065359" w:rsidP="00065359">
      <w:pPr>
        <w:spacing w:after="120"/>
        <w:ind w:left="6"/>
        <w:jc w:val="both"/>
        <w:rPr>
          <w:rFonts w:ascii="Arial" w:hAnsi="Arial" w:cs="Arial"/>
        </w:rPr>
      </w:pPr>
      <w:r>
        <w:rPr>
          <w:rFonts w:ascii="Arial" w:hAnsi="Arial" w:cs="Arial"/>
        </w:rPr>
        <w:t xml:space="preserve">Předložený návrh programu byl projednán, doplněn a upraven po jednání zpravodaje doc. Ing. Jaroslava </w:t>
      </w:r>
      <w:proofErr w:type="spellStart"/>
      <w:r>
        <w:rPr>
          <w:rFonts w:ascii="Arial" w:hAnsi="Arial" w:cs="Arial"/>
        </w:rPr>
        <w:t>Machana</w:t>
      </w:r>
      <w:proofErr w:type="spellEnd"/>
      <w:r>
        <w:rPr>
          <w:rFonts w:ascii="Arial" w:hAnsi="Arial" w:cs="Arial"/>
        </w:rPr>
        <w:t>, se zástupci MO a pracovníky odboru Rady pro výzkum, vývoj a inovace Úřadu vlády ČR</w:t>
      </w:r>
      <w:r w:rsidR="00537979">
        <w:rPr>
          <w:rFonts w:ascii="Arial" w:hAnsi="Arial" w:cs="Arial"/>
        </w:rPr>
        <w:t xml:space="preserve">, které se konalo dne 19. 12. 2018. </w:t>
      </w:r>
      <w:r>
        <w:rPr>
          <w:rFonts w:ascii="Arial" w:hAnsi="Arial" w:cs="Arial"/>
        </w:rPr>
        <w:t xml:space="preserve"> </w:t>
      </w:r>
    </w:p>
    <w:p w:rsidR="00E83722" w:rsidRPr="00AA5B41" w:rsidRDefault="00E83722" w:rsidP="00E83722">
      <w:pPr>
        <w:pStyle w:val="Odstavecseseznamem"/>
        <w:numPr>
          <w:ilvl w:val="0"/>
          <w:numId w:val="1"/>
        </w:numPr>
        <w:spacing w:after="120"/>
        <w:jc w:val="both"/>
        <w:rPr>
          <w:rFonts w:ascii="Arial" w:hAnsi="Arial" w:cs="Arial"/>
          <w:b/>
          <w:color w:val="0070C0"/>
        </w:rPr>
      </w:pPr>
      <w:r w:rsidRPr="00AA5B41">
        <w:rPr>
          <w:rFonts w:ascii="Arial" w:hAnsi="Arial" w:cs="Arial"/>
          <w:b/>
          <w:color w:val="0070C0"/>
        </w:rPr>
        <w:t>K návrhu programu</w:t>
      </w:r>
    </w:p>
    <w:p w:rsidR="00AA5B41" w:rsidRPr="00AA5B41" w:rsidRDefault="00AA5B41" w:rsidP="00AA5B41">
      <w:pPr>
        <w:pStyle w:val="Zkladntext2"/>
        <w:spacing w:after="120"/>
        <w:jc w:val="both"/>
        <w:rPr>
          <w:rFonts w:ascii="Arial" w:hAnsi="Arial" w:cs="Arial"/>
          <w:color w:val="000000"/>
          <w:szCs w:val="24"/>
        </w:rPr>
      </w:pPr>
      <w:r w:rsidRPr="00AA5B41">
        <w:rPr>
          <w:rFonts w:ascii="Arial" w:hAnsi="Arial" w:cs="Arial"/>
          <w:szCs w:val="24"/>
        </w:rPr>
        <w:t xml:space="preserve">Program </w:t>
      </w:r>
      <w:r w:rsidR="00537979">
        <w:rPr>
          <w:rFonts w:ascii="Arial" w:hAnsi="Arial" w:cs="Arial"/>
          <w:szCs w:val="24"/>
        </w:rPr>
        <w:t>se předkládá podle</w:t>
      </w:r>
      <w:r w:rsidRPr="00AA5B41">
        <w:rPr>
          <w:rFonts w:ascii="Arial" w:hAnsi="Arial" w:cs="Arial"/>
          <w:szCs w:val="24"/>
        </w:rPr>
        <w:t xml:space="preserve"> § 5 odst. 2 zákona č. 130/2002 Sb., o podpoře výzkumu, experimentálního vývoje a inovací</w:t>
      </w:r>
      <w:r w:rsidRPr="00AA5B41">
        <w:rPr>
          <w:rFonts w:ascii="Arial" w:hAnsi="Arial" w:cs="Arial"/>
          <w:color w:val="000000"/>
          <w:szCs w:val="24"/>
        </w:rPr>
        <w:t xml:space="preserve"> z veřejných prostředků a o změně některých souvisejících zákonů (zákon o podpoře výzkumu, experimentálního vývoje a inovací), ve znění pozdějších předpisů (dále jen „zákon </w:t>
      </w:r>
      <w:r w:rsidRPr="00AA5B41">
        <w:rPr>
          <w:rFonts w:ascii="Arial" w:hAnsi="Arial" w:cs="Arial"/>
          <w:szCs w:val="24"/>
        </w:rPr>
        <w:t>o podpoře výzkumu, experimentálního vývoje a inovací</w:t>
      </w:r>
      <w:r w:rsidRPr="00AA5B41">
        <w:rPr>
          <w:rFonts w:ascii="Arial" w:hAnsi="Arial" w:cs="Arial"/>
          <w:color w:val="000000"/>
          <w:szCs w:val="24"/>
        </w:rPr>
        <w:t>“).</w:t>
      </w:r>
    </w:p>
    <w:p w:rsidR="00AA5B41" w:rsidRPr="00AA5B41" w:rsidRDefault="00AA5B41" w:rsidP="00AA5B41">
      <w:pPr>
        <w:spacing w:after="120"/>
        <w:jc w:val="both"/>
        <w:rPr>
          <w:rFonts w:ascii="Arial" w:hAnsi="Arial" w:cs="Arial"/>
        </w:rPr>
      </w:pPr>
      <w:r w:rsidRPr="00AA5B41">
        <w:rPr>
          <w:rFonts w:ascii="Arial" w:hAnsi="Arial" w:cs="Arial"/>
        </w:rPr>
        <w:t>Návrh programu byl projednán na 342. zasedání Rady, které se konalo 23. ledna 2019.</w:t>
      </w:r>
    </w:p>
    <w:p w:rsidR="00AA5B41" w:rsidRPr="00AA5B41" w:rsidRDefault="00AA5B41" w:rsidP="00AA5B41">
      <w:pPr>
        <w:pStyle w:val="Odstavecseseznamem"/>
        <w:numPr>
          <w:ilvl w:val="0"/>
          <w:numId w:val="1"/>
        </w:numPr>
        <w:spacing w:after="120"/>
        <w:jc w:val="both"/>
        <w:rPr>
          <w:rFonts w:ascii="Arial" w:hAnsi="Arial" w:cs="Arial"/>
          <w:b/>
          <w:color w:val="0070C0"/>
        </w:rPr>
      </w:pPr>
      <w:r w:rsidRPr="00AA5B41">
        <w:rPr>
          <w:rFonts w:ascii="Arial" w:hAnsi="Arial" w:cs="Arial"/>
          <w:b/>
          <w:color w:val="0070C0"/>
        </w:rPr>
        <w:t>Soulad se zákonem o podpoře výzkumu, experimentálního vývoje a inovací</w:t>
      </w:r>
    </w:p>
    <w:p w:rsidR="00AA5B41" w:rsidRPr="00AA5B41" w:rsidRDefault="00AA5B41" w:rsidP="00AA5B41">
      <w:pPr>
        <w:pStyle w:val="Zkladntext2"/>
        <w:keepNext/>
        <w:spacing w:after="120"/>
        <w:jc w:val="both"/>
        <w:rPr>
          <w:rFonts w:ascii="Arial" w:hAnsi="Arial" w:cs="Arial"/>
          <w:szCs w:val="24"/>
        </w:rPr>
      </w:pPr>
      <w:r w:rsidRPr="00AA5B41">
        <w:rPr>
          <w:rFonts w:ascii="Arial" w:hAnsi="Arial" w:cs="Arial"/>
          <w:szCs w:val="24"/>
        </w:rPr>
        <w:t>Rada hodnotí náležitosti programu ve smyslu § 5 odst. 2 zákona o podpoře výzkumu, experimentálního vývoje a inovací na nové programy výzkumu, experimentálního vývoje a inovací takto:</w:t>
      </w:r>
    </w:p>
    <w:p w:rsidR="00AA5B41" w:rsidRPr="00AA5B41" w:rsidRDefault="00AA5B41" w:rsidP="00AA5B41">
      <w:pPr>
        <w:pStyle w:val="Zkladntext2"/>
        <w:keepNext/>
        <w:numPr>
          <w:ilvl w:val="0"/>
          <w:numId w:val="16"/>
        </w:numPr>
        <w:spacing w:after="120"/>
        <w:jc w:val="both"/>
        <w:rPr>
          <w:rFonts w:ascii="Arial" w:hAnsi="Arial" w:cs="Arial"/>
          <w:szCs w:val="24"/>
          <w:u w:val="single"/>
        </w:rPr>
      </w:pPr>
      <w:r w:rsidRPr="00AA5B41">
        <w:rPr>
          <w:rFonts w:ascii="Arial" w:hAnsi="Arial" w:cs="Arial"/>
          <w:szCs w:val="24"/>
          <w:u w:val="single"/>
        </w:rPr>
        <w:t>Identifikační údaje Programu, členění na podprogramy, termín vyhlášení a</w:t>
      </w:r>
      <w:r w:rsidR="00537979">
        <w:rPr>
          <w:rFonts w:ascii="Arial" w:hAnsi="Arial" w:cs="Arial"/>
          <w:szCs w:val="24"/>
          <w:u w:val="single"/>
        </w:rPr>
        <w:t> </w:t>
      </w:r>
      <w:r w:rsidRPr="00AA5B41">
        <w:rPr>
          <w:rFonts w:ascii="Arial" w:hAnsi="Arial" w:cs="Arial"/>
          <w:szCs w:val="24"/>
          <w:u w:val="single"/>
        </w:rPr>
        <w:t>doba trvání:</w:t>
      </w:r>
    </w:p>
    <w:p w:rsidR="00AA5B41" w:rsidRPr="00AA5B41" w:rsidRDefault="00AA5B41" w:rsidP="00537979">
      <w:pPr>
        <w:numPr>
          <w:ilvl w:val="0"/>
          <w:numId w:val="14"/>
        </w:numPr>
        <w:spacing w:after="120"/>
        <w:jc w:val="both"/>
        <w:rPr>
          <w:rFonts w:ascii="Arial" w:hAnsi="Arial" w:cs="Arial"/>
          <w:b/>
        </w:rPr>
      </w:pPr>
      <w:r w:rsidRPr="00AA5B41">
        <w:rPr>
          <w:rFonts w:ascii="Arial" w:hAnsi="Arial" w:cs="Arial"/>
        </w:rPr>
        <w:t xml:space="preserve">Název Programu je </w:t>
      </w:r>
      <w:r w:rsidRPr="00AA5B41">
        <w:rPr>
          <w:rFonts w:ascii="Arial" w:hAnsi="Arial" w:cs="Arial"/>
          <w:i/>
        </w:rPr>
        <w:t>„Ambice - podpora rozvoje oblastí, ve kterých ozbrojené složky dosahují významných výsledků v rámci NATO a EU“</w:t>
      </w:r>
    </w:p>
    <w:p w:rsidR="00AA5B41" w:rsidRPr="00AA5B41" w:rsidRDefault="00AA5B41" w:rsidP="00537979">
      <w:pPr>
        <w:pStyle w:val="Default"/>
        <w:numPr>
          <w:ilvl w:val="0"/>
          <w:numId w:val="14"/>
        </w:numPr>
        <w:spacing w:after="120"/>
        <w:jc w:val="both"/>
        <w:rPr>
          <w:rFonts w:ascii="Arial" w:hAnsi="Arial" w:cs="Arial"/>
        </w:rPr>
      </w:pPr>
      <w:r w:rsidRPr="00AA5B41">
        <w:rPr>
          <w:rFonts w:ascii="Arial" w:hAnsi="Arial" w:cs="Arial"/>
        </w:rPr>
        <w:t xml:space="preserve">Rada přiděluje Programu pro účely evidence v informačním systému výzkumu, experimentálního vývoje a inovací identifikační kód : </w:t>
      </w:r>
      <w:r w:rsidRPr="00AA5B41">
        <w:rPr>
          <w:rFonts w:ascii="Arial" w:hAnsi="Arial" w:cs="Arial"/>
          <w:i/>
        </w:rPr>
        <w:t>(bude doplněno po projednání Radou)</w:t>
      </w:r>
      <w:r w:rsidRPr="00AA5B41">
        <w:rPr>
          <w:rFonts w:ascii="Arial" w:hAnsi="Arial" w:cs="Arial"/>
        </w:rPr>
        <w:t xml:space="preserve"> </w:t>
      </w:r>
    </w:p>
    <w:p w:rsidR="00AA5B41" w:rsidRPr="00AA5B41" w:rsidRDefault="00AA5B41" w:rsidP="00537979">
      <w:pPr>
        <w:pStyle w:val="Zkladntext2"/>
        <w:keepNext/>
        <w:numPr>
          <w:ilvl w:val="0"/>
          <w:numId w:val="14"/>
        </w:numPr>
        <w:spacing w:after="120"/>
        <w:jc w:val="both"/>
        <w:rPr>
          <w:rFonts w:ascii="Arial" w:hAnsi="Arial" w:cs="Arial"/>
          <w:szCs w:val="24"/>
        </w:rPr>
      </w:pPr>
      <w:r w:rsidRPr="00AA5B41">
        <w:rPr>
          <w:rFonts w:ascii="Arial" w:hAnsi="Arial" w:cs="Arial"/>
          <w:szCs w:val="24"/>
        </w:rPr>
        <w:t>program není členěn na podprogramy</w:t>
      </w:r>
    </w:p>
    <w:p w:rsidR="00AA5B41" w:rsidRPr="00AA5B41" w:rsidRDefault="00AA5B41" w:rsidP="00537979">
      <w:pPr>
        <w:pStyle w:val="Zkladntext2"/>
        <w:keepNext/>
        <w:numPr>
          <w:ilvl w:val="0"/>
          <w:numId w:val="14"/>
        </w:numPr>
        <w:spacing w:after="120"/>
        <w:jc w:val="both"/>
        <w:rPr>
          <w:rFonts w:ascii="Arial" w:hAnsi="Arial" w:cs="Arial"/>
          <w:szCs w:val="24"/>
        </w:rPr>
      </w:pPr>
      <w:r w:rsidRPr="00AA5B41">
        <w:rPr>
          <w:rFonts w:ascii="Arial" w:hAnsi="Arial" w:cs="Arial"/>
          <w:szCs w:val="24"/>
        </w:rPr>
        <w:t>Poskytovatelem podpory bude MO</w:t>
      </w:r>
    </w:p>
    <w:p w:rsidR="00AA5B41" w:rsidRPr="00537979" w:rsidRDefault="00AA5B41" w:rsidP="00537979">
      <w:pPr>
        <w:pStyle w:val="Default"/>
        <w:keepNext/>
        <w:numPr>
          <w:ilvl w:val="0"/>
          <w:numId w:val="15"/>
        </w:numPr>
        <w:spacing w:after="120"/>
        <w:jc w:val="both"/>
        <w:rPr>
          <w:rFonts w:ascii="Arial" w:eastAsiaTheme="minorHAnsi" w:hAnsi="Arial" w:cs="Arial"/>
          <w:lang w:eastAsia="en-US"/>
        </w:rPr>
      </w:pPr>
      <w:r w:rsidRPr="00537979">
        <w:rPr>
          <w:rFonts w:ascii="Arial" w:hAnsi="Arial" w:cs="Arial"/>
        </w:rPr>
        <w:t xml:space="preserve">Doba trvání programu je stanovena na roky 2020 - 2026, tj. 7 let. </w:t>
      </w:r>
      <w:r w:rsidRPr="00537979">
        <w:rPr>
          <w:rFonts w:ascii="Arial" w:eastAsiaTheme="minorHAnsi" w:hAnsi="Arial" w:cs="Arial"/>
          <w:lang w:eastAsia="en-US"/>
        </w:rPr>
        <w:t xml:space="preserve">Minimální délka řešení projektů bude 1 rok, maximální 4 roky. Program bude vyhlášen v roce 2020, kdy budou zadány první projekty, ukončeny budou nejpozději k 31. prosinci 2026. </w:t>
      </w:r>
    </w:p>
    <w:p w:rsidR="00AA5B41" w:rsidRPr="00AA5B41" w:rsidRDefault="00AA5B41" w:rsidP="00AA5B41">
      <w:pPr>
        <w:pStyle w:val="Zkladntext2"/>
        <w:keepNext/>
        <w:numPr>
          <w:ilvl w:val="0"/>
          <w:numId w:val="16"/>
        </w:numPr>
        <w:spacing w:after="120"/>
        <w:jc w:val="both"/>
        <w:rPr>
          <w:rFonts w:ascii="Arial" w:hAnsi="Arial" w:cs="Arial"/>
          <w:szCs w:val="24"/>
          <w:u w:val="single"/>
        </w:rPr>
      </w:pPr>
      <w:r w:rsidRPr="00AA5B41">
        <w:rPr>
          <w:rFonts w:ascii="Arial" w:hAnsi="Arial" w:cs="Arial"/>
          <w:szCs w:val="24"/>
          <w:u w:val="single"/>
        </w:rPr>
        <w:t>Celkové výdaje na uskutečnění programu, členění v jednotlivých letech:</w:t>
      </w:r>
    </w:p>
    <w:p w:rsidR="00AA5B41" w:rsidRPr="00AA5B41" w:rsidRDefault="00AA5B41" w:rsidP="00AA5B41">
      <w:pPr>
        <w:pStyle w:val="Default"/>
        <w:spacing w:after="120"/>
        <w:jc w:val="both"/>
        <w:rPr>
          <w:rFonts w:ascii="Arial" w:hAnsi="Arial" w:cs="Arial"/>
        </w:rPr>
      </w:pPr>
      <w:r w:rsidRPr="00AA5B41">
        <w:rPr>
          <w:rFonts w:ascii="Arial" w:hAnsi="Arial" w:cs="Arial"/>
        </w:rPr>
        <w:t>Celkové výdaje na uskutečnění Programu v jednotlivých letech jsou plánovány ve</w:t>
      </w:r>
      <w:r>
        <w:rPr>
          <w:rFonts w:ascii="Arial" w:hAnsi="Arial" w:cs="Arial"/>
        </w:rPr>
        <w:t> </w:t>
      </w:r>
      <w:r w:rsidRPr="00AA5B41">
        <w:rPr>
          <w:rFonts w:ascii="Arial" w:hAnsi="Arial" w:cs="Arial"/>
        </w:rPr>
        <w:t>výši 1 </w:t>
      </w:r>
      <w:r>
        <w:rPr>
          <w:rFonts w:ascii="Arial" w:hAnsi="Arial" w:cs="Arial"/>
        </w:rPr>
        <w:t>335</w:t>
      </w:r>
      <w:r w:rsidR="00B15F79">
        <w:rPr>
          <w:rFonts w:ascii="Arial" w:hAnsi="Arial" w:cs="Arial"/>
        </w:rPr>
        <w:t> </w:t>
      </w:r>
      <w:r w:rsidRPr="00AA5B41">
        <w:rPr>
          <w:rFonts w:ascii="Arial" w:hAnsi="Arial" w:cs="Arial"/>
        </w:rPr>
        <w:t>240</w:t>
      </w:r>
      <w:r w:rsidR="00B15F79">
        <w:rPr>
          <w:rFonts w:ascii="Arial" w:hAnsi="Arial" w:cs="Arial"/>
        </w:rPr>
        <w:t xml:space="preserve"> tis</w:t>
      </w:r>
      <w:r w:rsidRPr="00AA5B41">
        <w:rPr>
          <w:rFonts w:ascii="Arial" w:hAnsi="Arial" w:cs="Arial"/>
        </w:rPr>
        <w:t>.</w:t>
      </w:r>
      <w:r w:rsidR="00B15F79">
        <w:rPr>
          <w:rFonts w:ascii="Arial" w:hAnsi="Arial" w:cs="Arial"/>
        </w:rPr>
        <w:t xml:space="preserve"> Kč.</w:t>
      </w:r>
      <w:r w:rsidRPr="00AA5B41">
        <w:rPr>
          <w:rFonts w:ascii="Arial" w:hAnsi="Arial" w:cs="Arial"/>
        </w:rPr>
        <w:t xml:space="preserve"> </w:t>
      </w:r>
    </w:p>
    <w:p w:rsidR="00AA5B41" w:rsidRPr="00D42393" w:rsidRDefault="00AA5B41" w:rsidP="00223E36">
      <w:pPr>
        <w:keepNext/>
        <w:spacing w:after="120"/>
        <w:jc w:val="both"/>
        <w:rPr>
          <w:rFonts w:ascii="Arial" w:hAnsi="Arial" w:cs="Arial"/>
          <w:b/>
          <w:sz w:val="22"/>
          <w:szCs w:val="22"/>
        </w:rPr>
      </w:pPr>
      <w:r w:rsidRPr="00D42393">
        <w:rPr>
          <w:rFonts w:ascii="Arial" w:hAnsi="Arial" w:cs="Arial"/>
          <w:b/>
          <w:sz w:val="22"/>
          <w:szCs w:val="22"/>
        </w:rPr>
        <w:lastRenderedPageBreak/>
        <w:t>Přehled celkových nákladů v jednotlivých letech (v tis. Kč):</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850"/>
        <w:gridCol w:w="851"/>
        <w:gridCol w:w="850"/>
        <w:gridCol w:w="851"/>
        <w:gridCol w:w="850"/>
        <w:gridCol w:w="851"/>
        <w:gridCol w:w="1300"/>
      </w:tblGrid>
      <w:tr w:rsidR="00AA5B41" w:rsidRPr="00D42393" w:rsidTr="00223E36">
        <w:trPr>
          <w:trHeight w:val="299"/>
          <w:jc w:val="center"/>
        </w:trPr>
        <w:tc>
          <w:tcPr>
            <w:tcW w:w="1242" w:type="dxa"/>
            <w:shd w:val="clear" w:color="auto" w:fill="FFFF00"/>
            <w:noWrap/>
            <w:vAlign w:val="center"/>
            <w:hideMark/>
          </w:tcPr>
          <w:p w:rsidR="00AA5B41" w:rsidRPr="00D42393" w:rsidRDefault="00AA5B41" w:rsidP="00223E36">
            <w:pPr>
              <w:spacing w:before="80" w:after="80"/>
              <w:jc w:val="both"/>
              <w:rPr>
                <w:rFonts w:ascii="Arial" w:hAnsi="Arial" w:cs="Arial"/>
                <w:color w:val="000000"/>
                <w:sz w:val="17"/>
                <w:szCs w:val="17"/>
              </w:rPr>
            </w:pPr>
            <w:r w:rsidRPr="00D42393">
              <w:rPr>
                <w:rFonts w:ascii="Arial" w:hAnsi="Arial" w:cs="Arial"/>
                <w:color w:val="000000"/>
                <w:sz w:val="17"/>
                <w:szCs w:val="17"/>
              </w:rPr>
              <w:t>rok</w:t>
            </w:r>
          </w:p>
        </w:tc>
        <w:tc>
          <w:tcPr>
            <w:tcW w:w="851"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2020</w:t>
            </w:r>
          </w:p>
        </w:tc>
        <w:tc>
          <w:tcPr>
            <w:tcW w:w="850"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2021</w:t>
            </w:r>
          </w:p>
        </w:tc>
        <w:tc>
          <w:tcPr>
            <w:tcW w:w="851"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2022</w:t>
            </w:r>
          </w:p>
        </w:tc>
        <w:tc>
          <w:tcPr>
            <w:tcW w:w="850"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2023</w:t>
            </w:r>
          </w:p>
        </w:tc>
        <w:tc>
          <w:tcPr>
            <w:tcW w:w="851"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2024</w:t>
            </w:r>
          </w:p>
        </w:tc>
        <w:tc>
          <w:tcPr>
            <w:tcW w:w="850"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2025</w:t>
            </w:r>
          </w:p>
        </w:tc>
        <w:tc>
          <w:tcPr>
            <w:tcW w:w="851" w:type="dxa"/>
            <w:shd w:val="clear" w:color="auto" w:fill="FFFF00"/>
            <w:noWrap/>
            <w:vAlign w:val="bottom"/>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2026</w:t>
            </w:r>
          </w:p>
        </w:tc>
        <w:tc>
          <w:tcPr>
            <w:tcW w:w="1300" w:type="dxa"/>
            <w:shd w:val="clear" w:color="auto" w:fill="FFFF00"/>
            <w:noWrap/>
            <w:vAlign w:val="center"/>
            <w:hideMark/>
          </w:tcPr>
          <w:p w:rsidR="00AA5B41" w:rsidRPr="00D42393" w:rsidRDefault="00AA5B41" w:rsidP="00223E36">
            <w:pPr>
              <w:spacing w:before="80" w:after="80"/>
              <w:jc w:val="both"/>
              <w:rPr>
                <w:rFonts w:ascii="Arial" w:hAnsi="Arial" w:cs="Arial"/>
                <w:b/>
                <w:color w:val="000000"/>
                <w:sz w:val="17"/>
                <w:szCs w:val="17"/>
              </w:rPr>
            </w:pPr>
            <w:r w:rsidRPr="00D42393">
              <w:rPr>
                <w:rFonts w:ascii="Arial" w:hAnsi="Arial" w:cs="Arial"/>
                <w:b/>
                <w:color w:val="000000"/>
                <w:sz w:val="17"/>
                <w:szCs w:val="17"/>
              </w:rPr>
              <w:t>celkem</w:t>
            </w:r>
          </w:p>
        </w:tc>
      </w:tr>
      <w:tr w:rsidR="00AA5B41" w:rsidRPr="00D42393" w:rsidTr="00223E36">
        <w:trPr>
          <w:trHeight w:val="299"/>
          <w:jc w:val="center"/>
        </w:trPr>
        <w:tc>
          <w:tcPr>
            <w:tcW w:w="1242" w:type="dxa"/>
            <w:shd w:val="clear" w:color="auto" w:fill="auto"/>
            <w:noWrap/>
            <w:vAlign w:val="center"/>
            <w:hideMark/>
          </w:tcPr>
          <w:p w:rsidR="00AA5B41" w:rsidRPr="00D42393" w:rsidRDefault="00AA5B41" w:rsidP="00223E36">
            <w:pPr>
              <w:jc w:val="both"/>
              <w:rPr>
                <w:rFonts w:ascii="Arial" w:hAnsi="Arial" w:cs="Arial"/>
                <w:b/>
                <w:color w:val="000000"/>
                <w:sz w:val="17"/>
                <w:szCs w:val="17"/>
              </w:rPr>
            </w:pPr>
            <w:r w:rsidRPr="00D42393">
              <w:rPr>
                <w:rFonts w:ascii="Arial" w:hAnsi="Arial" w:cs="Arial"/>
                <w:b/>
                <w:color w:val="000000"/>
                <w:sz w:val="17"/>
                <w:szCs w:val="17"/>
              </w:rPr>
              <w:t>státní rozpočet</w:t>
            </w:r>
          </w:p>
        </w:tc>
        <w:tc>
          <w:tcPr>
            <w:tcW w:w="851"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sidRPr="00D42393">
              <w:rPr>
                <w:rFonts w:ascii="Arial" w:hAnsi="Arial" w:cs="Arial"/>
                <w:bCs/>
                <w:color w:val="000000"/>
                <w:sz w:val="17"/>
                <w:szCs w:val="17"/>
              </w:rPr>
              <w:t>20 000</w:t>
            </w:r>
          </w:p>
        </w:tc>
        <w:tc>
          <w:tcPr>
            <w:tcW w:w="850"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sidRPr="00D42393">
              <w:rPr>
                <w:rFonts w:ascii="Arial" w:hAnsi="Arial" w:cs="Arial"/>
                <w:bCs/>
                <w:color w:val="000000"/>
                <w:sz w:val="17"/>
                <w:szCs w:val="17"/>
              </w:rPr>
              <w:t>140 000</w:t>
            </w:r>
          </w:p>
        </w:tc>
        <w:tc>
          <w:tcPr>
            <w:tcW w:w="851"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sidRPr="00D42393">
              <w:rPr>
                <w:rFonts w:ascii="Arial" w:hAnsi="Arial" w:cs="Arial"/>
                <w:bCs/>
                <w:color w:val="000000"/>
                <w:sz w:val="17"/>
                <w:szCs w:val="17"/>
              </w:rPr>
              <w:t>230 240</w:t>
            </w:r>
          </w:p>
        </w:tc>
        <w:tc>
          <w:tcPr>
            <w:tcW w:w="850"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sidRPr="00D42393">
              <w:rPr>
                <w:rFonts w:ascii="Arial" w:hAnsi="Arial" w:cs="Arial"/>
                <w:bCs/>
                <w:color w:val="000000"/>
                <w:sz w:val="17"/>
                <w:szCs w:val="17"/>
              </w:rPr>
              <w:t>340 000</w:t>
            </w:r>
          </w:p>
        </w:tc>
        <w:tc>
          <w:tcPr>
            <w:tcW w:w="851"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sidRPr="00D42393">
              <w:rPr>
                <w:rFonts w:ascii="Arial" w:hAnsi="Arial" w:cs="Arial"/>
                <w:bCs/>
                <w:color w:val="000000"/>
                <w:sz w:val="17"/>
                <w:szCs w:val="17"/>
              </w:rPr>
              <w:t>3</w:t>
            </w:r>
            <w:r>
              <w:rPr>
                <w:rFonts w:ascii="Arial" w:hAnsi="Arial" w:cs="Arial"/>
                <w:bCs/>
                <w:color w:val="000000"/>
                <w:sz w:val="17"/>
                <w:szCs w:val="17"/>
              </w:rPr>
              <w:t>2</w:t>
            </w:r>
            <w:r w:rsidRPr="00D42393">
              <w:rPr>
                <w:rFonts w:ascii="Arial" w:hAnsi="Arial" w:cs="Arial"/>
                <w:bCs/>
                <w:color w:val="000000"/>
                <w:sz w:val="17"/>
                <w:szCs w:val="17"/>
              </w:rPr>
              <w:t>5 000</w:t>
            </w:r>
          </w:p>
        </w:tc>
        <w:tc>
          <w:tcPr>
            <w:tcW w:w="850"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Pr>
                <w:rFonts w:ascii="Arial" w:hAnsi="Arial" w:cs="Arial"/>
                <w:bCs/>
                <w:color w:val="000000"/>
                <w:sz w:val="17"/>
                <w:szCs w:val="17"/>
              </w:rPr>
              <w:t>185</w:t>
            </w:r>
            <w:r w:rsidRPr="00D42393">
              <w:rPr>
                <w:rFonts w:ascii="Arial" w:hAnsi="Arial" w:cs="Arial"/>
                <w:bCs/>
                <w:color w:val="000000"/>
                <w:sz w:val="17"/>
                <w:szCs w:val="17"/>
              </w:rPr>
              <w:t xml:space="preserve"> 000</w:t>
            </w:r>
          </w:p>
        </w:tc>
        <w:tc>
          <w:tcPr>
            <w:tcW w:w="851" w:type="dxa"/>
            <w:shd w:val="clear" w:color="auto" w:fill="auto"/>
            <w:noWrap/>
            <w:vAlign w:val="bottom"/>
          </w:tcPr>
          <w:p w:rsidR="00AA5B41" w:rsidRPr="00D42393" w:rsidRDefault="00AA5B41" w:rsidP="00223E36">
            <w:pPr>
              <w:spacing w:after="80"/>
              <w:jc w:val="both"/>
              <w:rPr>
                <w:rFonts w:ascii="Arial" w:hAnsi="Arial" w:cs="Arial"/>
                <w:bCs/>
                <w:color w:val="000000"/>
                <w:sz w:val="17"/>
                <w:szCs w:val="17"/>
              </w:rPr>
            </w:pPr>
            <w:r>
              <w:rPr>
                <w:rFonts w:ascii="Arial" w:hAnsi="Arial" w:cs="Arial"/>
                <w:bCs/>
                <w:color w:val="000000"/>
                <w:sz w:val="17"/>
                <w:szCs w:val="17"/>
              </w:rPr>
              <w:t>95</w:t>
            </w:r>
            <w:r w:rsidRPr="00D42393">
              <w:rPr>
                <w:rFonts w:ascii="Arial" w:hAnsi="Arial" w:cs="Arial"/>
                <w:bCs/>
                <w:color w:val="000000"/>
                <w:sz w:val="17"/>
                <w:szCs w:val="17"/>
              </w:rPr>
              <w:t xml:space="preserve"> 000</w:t>
            </w:r>
          </w:p>
        </w:tc>
        <w:tc>
          <w:tcPr>
            <w:tcW w:w="1300" w:type="dxa"/>
            <w:shd w:val="clear" w:color="auto" w:fill="auto"/>
            <w:noWrap/>
            <w:vAlign w:val="bottom"/>
          </w:tcPr>
          <w:p w:rsidR="00AA5B41" w:rsidRPr="00D42393" w:rsidRDefault="00AA5B41" w:rsidP="00223E36">
            <w:pPr>
              <w:spacing w:after="80"/>
              <w:jc w:val="both"/>
              <w:rPr>
                <w:rFonts w:ascii="Arial" w:hAnsi="Arial" w:cs="Arial"/>
                <w:b/>
                <w:bCs/>
                <w:color w:val="000000"/>
                <w:sz w:val="17"/>
                <w:szCs w:val="17"/>
              </w:rPr>
            </w:pPr>
            <w:r w:rsidRPr="00D42393">
              <w:rPr>
                <w:rFonts w:ascii="Arial" w:hAnsi="Arial" w:cs="Arial"/>
                <w:b/>
                <w:bCs/>
                <w:color w:val="000000"/>
                <w:sz w:val="17"/>
                <w:szCs w:val="17"/>
              </w:rPr>
              <w:t>1</w:t>
            </w:r>
            <w:r>
              <w:rPr>
                <w:rFonts w:ascii="Arial" w:hAnsi="Arial" w:cs="Arial"/>
                <w:b/>
                <w:bCs/>
                <w:color w:val="000000"/>
                <w:sz w:val="17"/>
                <w:szCs w:val="17"/>
              </w:rPr>
              <w:t xml:space="preserve"> 335</w:t>
            </w:r>
            <w:r w:rsidRPr="00D42393">
              <w:rPr>
                <w:rFonts w:ascii="Arial" w:hAnsi="Arial" w:cs="Arial"/>
                <w:b/>
                <w:bCs/>
                <w:color w:val="000000"/>
                <w:sz w:val="17"/>
                <w:szCs w:val="17"/>
              </w:rPr>
              <w:t xml:space="preserve"> 240</w:t>
            </w:r>
          </w:p>
        </w:tc>
      </w:tr>
    </w:tbl>
    <w:p w:rsidR="00AA5B41" w:rsidRPr="0063116B" w:rsidRDefault="00AA5B41" w:rsidP="00AA5B41">
      <w:pPr>
        <w:autoSpaceDE w:val="0"/>
        <w:autoSpaceDN w:val="0"/>
        <w:adjustRightInd w:val="0"/>
        <w:rPr>
          <w:rFonts w:eastAsiaTheme="minorHAnsi"/>
          <w:color w:val="000000"/>
          <w:lang w:eastAsia="en-US"/>
        </w:rPr>
      </w:pPr>
    </w:p>
    <w:p w:rsidR="00AA5B41" w:rsidRPr="00EB31AB" w:rsidRDefault="00AA5B41" w:rsidP="00AA5B41">
      <w:pPr>
        <w:pStyle w:val="Zkladntext2"/>
        <w:numPr>
          <w:ilvl w:val="0"/>
          <w:numId w:val="16"/>
        </w:numPr>
        <w:spacing w:after="120"/>
        <w:jc w:val="both"/>
        <w:rPr>
          <w:rFonts w:ascii="Arial" w:hAnsi="Arial" w:cs="Arial"/>
          <w:szCs w:val="24"/>
          <w:u w:val="single"/>
        </w:rPr>
      </w:pPr>
      <w:r w:rsidRPr="00EB31AB">
        <w:rPr>
          <w:rFonts w:ascii="Arial" w:eastAsiaTheme="minorHAnsi" w:hAnsi="Arial" w:cs="Arial"/>
          <w:szCs w:val="24"/>
          <w:u w:val="single"/>
          <w:lang w:eastAsia="en-US"/>
        </w:rPr>
        <w:t>Vymezení způsobilých nákladů, nejvyšší povolení intenzita podpory a její odůvodnění a další povinnosti stanovené přímo použitelnými předpisy Evropské unie:</w:t>
      </w:r>
    </w:p>
    <w:p w:rsidR="00AA5B41" w:rsidRPr="00EB31AB" w:rsidRDefault="00AA5B41" w:rsidP="00AA5B41">
      <w:pPr>
        <w:pStyle w:val="Zkladntext2"/>
        <w:spacing w:after="120"/>
        <w:jc w:val="both"/>
        <w:rPr>
          <w:rFonts w:ascii="Arial" w:hAnsi="Arial" w:cs="Arial"/>
          <w:szCs w:val="24"/>
          <w:u w:val="single"/>
        </w:rPr>
      </w:pPr>
      <w:r w:rsidRPr="00EB31AB">
        <w:rPr>
          <w:rFonts w:ascii="Arial" w:eastAsiaTheme="minorHAnsi" w:hAnsi="Arial" w:cs="Arial"/>
          <w:szCs w:val="24"/>
          <w:u w:val="single"/>
          <w:lang w:eastAsia="en-US"/>
        </w:rPr>
        <w:t>Způsobilé náklady</w:t>
      </w:r>
      <w:r w:rsidRPr="00EB31AB">
        <w:rPr>
          <w:rFonts w:ascii="Arial" w:eastAsiaTheme="minorHAnsi" w:hAnsi="Arial" w:cs="Arial"/>
          <w:szCs w:val="24"/>
          <w:lang w:eastAsia="en-US"/>
        </w:rPr>
        <w:t xml:space="preserve"> budou specifikovány v zadávací dokumentaci ke každému zadání projektu.</w:t>
      </w:r>
    </w:p>
    <w:p w:rsidR="00AA5B41" w:rsidRPr="00EB31AB" w:rsidRDefault="00AA5B41" w:rsidP="00AA5B41">
      <w:pPr>
        <w:pStyle w:val="Zkladntext2"/>
        <w:spacing w:after="120"/>
        <w:jc w:val="both"/>
        <w:rPr>
          <w:rFonts w:ascii="Arial" w:hAnsi="Arial" w:cs="Arial"/>
          <w:szCs w:val="24"/>
        </w:rPr>
      </w:pPr>
      <w:r w:rsidRPr="00EB31AB">
        <w:rPr>
          <w:rFonts w:ascii="Arial" w:hAnsi="Arial" w:cs="Arial"/>
          <w:szCs w:val="24"/>
          <w:u w:val="single"/>
        </w:rPr>
        <w:t>Nejvyšší povolená intenzita podpory a její odůvodnění</w:t>
      </w:r>
      <w:r w:rsidRPr="00EB31AB">
        <w:rPr>
          <w:rFonts w:ascii="Arial" w:hAnsi="Arial" w:cs="Arial"/>
          <w:szCs w:val="24"/>
        </w:rPr>
        <w:t xml:space="preserve"> – není uvedena. Vzhledem k tomu, že se jedná o zadávání jednotlivých veřejných zakázek, míra podpory je stanovena na 100 % uznaných nákladů.</w:t>
      </w:r>
    </w:p>
    <w:p w:rsidR="00AA5B41" w:rsidRPr="00EB31AB" w:rsidRDefault="00AA5B41" w:rsidP="00AA5B41">
      <w:pPr>
        <w:pStyle w:val="Zkladntext2"/>
        <w:spacing w:after="120"/>
        <w:jc w:val="both"/>
        <w:rPr>
          <w:rFonts w:ascii="Arial" w:hAnsi="Arial" w:cs="Arial"/>
          <w:szCs w:val="24"/>
        </w:rPr>
      </w:pPr>
      <w:r w:rsidRPr="00EB31AB">
        <w:rPr>
          <w:rFonts w:ascii="Arial" w:hAnsi="Arial" w:cs="Arial"/>
          <w:szCs w:val="24"/>
          <w:u w:val="single"/>
        </w:rPr>
        <w:t>Soulad s evropskými předpisy</w:t>
      </w:r>
      <w:r w:rsidRPr="00EB31AB">
        <w:rPr>
          <w:rFonts w:ascii="Arial" w:hAnsi="Arial" w:cs="Arial"/>
          <w:szCs w:val="24"/>
        </w:rPr>
        <w:t xml:space="preserve"> -  </w:t>
      </w:r>
      <w:r w:rsidR="00223E36" w:rsidRPr="00EB31AB">
        <w:rPr>
          <w:rFonts w:ascii="Arial" w:hAnsi="Arial" w:cs="Arial"/>
          <w:szCs w:val="24"/>
        </w:rPr>
        <w:t xml:space="preserve">protože </w:t>
      </w:r>
      <w:r w:rsidRPr="00EB31AB">
        <w:rPr>
          <w:rFonts w:ascii="Arial" w:hAnsi="Arial" w:cs="Arial"/>
          <w:szCs w:val="24"/>
        </w:rPr>
        <w:t>se jedná o program – soubor veřejných zakázek ve</w:t>
      </w:r>
      <w:r w:rsidR="00223E36" w:rsidRPr="00EB31AB">
        <w:rPr>
          <w:rFonts w:ascii="Arial" w:hAnsi="Arial" w:cs="Arial"/>
          <w:szCs w:val="24"/>
        </w:rPr>
        <w:t> </w:t>
      </w:r>
      <w:r w:rsidRPr="00EB31AB">
        <w:rPr>
          <w:rFonts w:ascii="Arial" w:hAnsi="Arial" w:cs="Arial"/>
          <w:szCs w:val="24"/>
        </w:rPr>
        <w:t>výzkumu, experimentálním vývoji a inovacích, které budou zadávány podle zákona č. 137/2006 Sb., o veřejných zakázkách, se soulad s Rámcem Společenství pro státní podporu výzkumu, vývoje a inovací neposuzuje – podpora poskytovaná ve formě veřejných zakázek není státní podporou ve smyslu Článku 87 odst. 1 Smlouvy o založení ES.</w:t>
      </w:r>
    </w:p>
    <w:p w:rsidR="00223E36" w:rsidRPr="00EB31AB" w:rsidRDefault="00223E36" w:rsidP="00223E36">
      <w:pPr>
        <w:pStyle w:val="Zkladntext2"/>
        <w:numPr>
          <w:ilvl w:val="0"/>
          <w:numId w:val="16"/>
        </w:numPr>
        <w:spacing w:after="120"/>
        <w:jc w:val="both"/>
        <w:rPr>
          <w:rFonts w:ascii="Arial" w:hAnsi="Arial" w:cs="Arial"/>
          <w:szCs w:val="24"/>
          <w:u w:val="single"/>
        </w:rPr>
      </w:pPr>
      <w:r w:rsidRPr="00EB31AB">
        <w:rPr>
          <w:rFonts w:ascii="Arial" w:hAnsi="Arial" w:cs="Arial"/>
          <w:szCs w:val="24"/>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223E36" w:rsidRPr="00EB31AB" w:rsidRDefault="00223E36" w:rsidP="00223E36">
      <w:pPr>
        <w:pStyle w:val="Default"/>
        <w:spacing w:after="120"/>
        <w:jc w:val="both"/>
        <w:rPr>
          <w:rFonts w:ascii="Arial" w:eastAsiaTheme="minorHAnsi" w:hAnsi="Arial" w:cs="Arial"/>
          <w:lang w:eastAsia="en-US"/>
        </w:rPr>
      </w:pPr>
      <w:r w:rsidRPr="00EB31AB">
        <w:rPr>
          <w:rFonts w:ascii="Arial" w:hAnsi="Arial" w:cs="Arial"/>
          <w:u w:val="single"/>
        </w:rPr>
        <w:t>Cíle programu</w:t>
      </w:r>
      <w:r w:rsidRPr="00EB31AB">
        <w:rPr>
          <w:rFonts w:ascii="Arial" w:hAnsi="Arial" w:cs="Arial"/>
        </w:rPr>
        <w:t xml:space="preserve"> – uvedeny, h</w:t>
      </w:r>
      <w:r w:rsidRPr="00EB31AB">
        <w:rPr>
          <w:rFonts w:ascii="Arial" w:eastAsiaTheme="minorHAnsi" w:hAnsi="Arial" w:cs="Arial"/>
          <w:lang w:eastAsia="en-US"/>
        </w:rPr>
        <w:t>lavním cílem programu je zajištění obranyschopnosti země a dosažení deklarovaných politicko-vojenských ambicí ČR formou rozvoje schopností ozbrojených složek</w:t>
      </w:r>
      <w:r w:rsidRPr="00EB31AB">
        <w:rPr>
          <w:rStyle w:val="Znakapoznpodarou"/>
          <w:rFonts w:ascii="Arial" w:eastAsiaTheme="minorHAnsi" w:hAnsi="Arial" w:cs="Arial"/>
          <w:lang w:eastAsia="en-US"/>
        </w:rPr>
        <w:footnoteReference w:id="1"/>
      </w:r>
      <w:r w:rsidRPr="00EB31AB">
        <w:rPr>
          <w:rFonts w:ascii="Arial" w:eastAsiaTheme="minorHAnsi" w:hAnsi="Arial" w:cs="Arial"/>
          <w:lang w:eastAsia="en-US"/>
        </w:rPr>
        <w:t xml:space="preserve"> ČR a složek MO. </w:t>
      </w:r>
    </w:p>
    <w:p w:rsidR="00223E36" w:rsidRPr="00EB31AB" w:rsidRDefault="00223E36" w:rsidP="00223E36">
      <w:pPr>
        <w:autoSpaceDE w:val="0"/>
        <w:autoSpaceDN w:val="0"/>
        <w:adjustRightInd w:val="0"/>
        <w:spacing w:after="120"/>
        <w:jc w:val="both"/>
        <w:rPr>
          <w:rFonts w:ascii="Arial" w:eastAsiaTheme="minorHAnsi" w:hAnsi="Arial" w:cs="Arial"/>
          <w:lang w:eastAsia="en-US"/>
        </w:rPr>
      </w:pPr>
      <w:r w:rsidRPr="00EB31AB">
        <w:rPr>
          <w:rFonts w:ascii="Arial" w:eastAsiaTheme="minorHAnsi" w:hAnsi="Arial" w:cs="Arial"/>
          <w:lang w:eastAsia="en-US"/>
        </w:rPr>
        <w:t xml:space="preserve">Program bude naplňován realizací projektů obranného výzkumu, vývoje a inovací, vycházejících z přesně vymezených potřeb a požadavků MO v sedmi oblastech, které jsou dále specifikovány do 32 podoblastí. </w:t>
      </w:r>
    </w:p>
    <w:p w:rsidR="00EB31AB" w:rsidRDefault="00223E36" w:rsidP="00EB31AB">
      <w:pPr>
        <w:pStyle w:val="Zkladntext2"/>
        <w:spacing w:after="120"/>
        <w:jc w:val="both"/>
        <w:rPr>
          <w:rFonts w:ascii="Arial" w:hAnsi="Arial" w:cs="Arial"/>
          <w:szCs w:val="24"/>
        </w:rPr>
      </w:pPr>
      <w:r w:rsidRPr="00EB31AB">
        <w:rPr>
          <w:rFonts w:ascii="Arial" w:hAnsi="Arial" w:cs="Arial"/>
          <w:szCs w:val="24"/>
          <w:u w:val="single"/>
        </w:rPr>
        <w:t>Kritéria splnění cílů programu</w:t>
      </w:r>
      <w:r w:rsidRPr="00EB31AB">
        <w:rPr>
          <w:rFonts w:ascii="Arial" w:hAnsi="Arial" w:cs="Arial"/>
          <w:szCs w:val="24"/>
        </w:rPr>
        <w:t xml:space="preserve"> – uvedena v části 1</w:t>
      </w:r>
      <w:r w:rsidR="00303920" w:rsidRPr="00EB31AB">
        <w:rPr>
          <w:rFonts w:ascii="Arial" w:hAnsi="Arial" w:cs="Arial"/>
          <w:szCs w:val="24"/>
        </w:rPr>
        <w:t>6</w:t>
      </w:r>
      <w:r w:rsidRPr="00EB31AB">
        <w:rPr>
          <w:rFonts w:ascii="Arial" w:hAnsi="Arial" w:cs="Arial"/>
          <w:szCs w:val="24"/>
        </w:rPr>
        <w:t xml:space="preserve">.2 návrhu programu, dosažení hlavního i dílčích cílů Programu bude vyhodnocováno v souladu s Metodikou hodnocení výzkumných organizací a hodnocení programů účelové podpory výzkumu, vývoje a inovací, která byla schválena usnesením vlády ze dne 8. února 2017 č. 107. Dosažení cílů bude vyhodnocováno na základě souboru indikátorů určených pro monitorování průběhu plnění programu a hodnocení jeho celkové výkonnosti a úspěšnosti. </w:t>
      </w:r>
    </w:p>
    <w:p w:rsidR="00EB31AB" w:rsidRDefault="00223E36" w:rsidP="00EB31AB">
      <w:pPr>
        <w:pStyle w:val="Zkladntext2"/>
        <w:spacing w:after="120"/>
        <w:jc w:val="both"/>
        <w:rPr>
          <w:rFonts w:ascii="Arial" w:hAnsi="Arial" w:cs="Arial"/>
          <w:szCs w:val="24"/>
        </w:rPr>
      </w:pPr>
      <w:r w:rsidRPr="00EB31AB">
        <w:rPr>
          <w:rFonts w:ascii="Arial" w:hAnsi="Arial" w:cs="Arial"/>
          <w:szCs w:val="24"/>
          <w:u w:val="single"/>
        </w:rPr>
        <w:t>Srovnání se současným stavem v České republice a v zahraničí</w:t>
      </w:r>
      <w:r w:rsidRPr="00EB31AB">
        <w:rPr>
          <w:rFonts w:ascii="Arial" w:hAnsi="Arial" w:cs="Arial"/>
          <w:szCs w:val="24"/>
        </w:rPr>
        <w:t xml:space="preserve"> – uvedeno v části 8 návrhu programu. </w:t>
      </w:r>
    </w:p>
    <w:p w:rsidR="00EB31AB" w:rsidRDefault="00223E36" w:rsidP="00EB31AB">
      <w:pPr>
        <w:pStyle w:val="Zkladntext2"/>
        <w:spacing w:after="120"/>
        <w:jc w:val="both"/>
        <w:rPr>
          <w:rFonts w:ascii="Arial" w:hAnsi="Arial" w:cs="Arial"/>
          <w:szCs w:val="24"/>
        </w:rPr>
      </w:pPr>
      <w:r w:rsidRPr="00EB31AB">
        <w:rPr>
          <w:rFonts w:ascii="Arial" w:hAnsi="Arial" w:cs="Arial"/>
          <w:szCs w:val="24"/>
          <w:u w:val="single"/>
        </w:rPr>
        <w:t>Očekávané výsledky</w:t>
      </w:r>
      <w:r w:rsidRPr="00EB31AB">
        <w:rPr>
          <w:rFonts w:ascii="Arial" w:hAnsi="Arial" w:cs="Arial"/>
          <w:szCs w:val="24"/>
        </w:rPr>
        <w:t xml:space="preserve"> – MO předpokládá, že 80 % ze 45 řešených projektů bude úspěšně dokončeno a z celkového počtu výsledků jich bude 60 % využitelných pro naplňování potřeb MO.</w:t>
      </w:r>
    </w:p>
    <w:p w:rsidR="00223E36" w:rsidRPr="00EB31AB" w:rsidRDefault="00223E36" w:rsidP="00EB31AB">
      <w:pPr>
        <w:pStyle w:val="Zkladntext2"/>
        <w:spacing w:after="120"/>
        <w:jc w:val="both"/>
        <w:rPr>
          <w:rFonts w:ascii="Arial" w:eastAsiaTheme="minorHAnsi" w:hAnsi="Arial" w:cs="Arial"/>
          <w:szCs w:val="24"/>
          <w:lang w:eastAsia="en-US"/>
        </w:rPr>
      </w:pPr>
      <w:r w:rsidRPr="00EB31AB">
        <w:rPr>
          <w:rFonts w:ascii="Arial" w:eastAsiaTheme="minorHAnsi" w:hAnsi="Arial" w:cs="Arial"/>
          <w:szCs w:val="24"/>
          <w:u w:val="single"/>
          <w:lang w:eastAsia="en-US"/>
        </w:rPr>
        <w:lastRenderedPageBreak/>
        <w:t>Očekávané přínosy</w:t>
      </w:r>
      <w:r w:rsidRPr="00EB31AB">
        <w:rPr>
          <w:rFonts w:ascii="Arial" w:eastAsiaTheme="minorHAnsi" w:hAnsi="Arial" w:cs="Arial"/>
          <w:szCs w:val="24"/>
          <w:lang w:eastAsia="en-US"/>
        </w:rPr>
        <w:t xml:space="preserve"> programu budou hodnoceny podle: celkového počtu výsledků, počtu výsledků zavedených do praxe u uživatele resp. uživatelů, počtu výsledků, které uživatel přiřadí položkám systému hodnocení schopností. </w:t>
      </w:r>
    </w:p>
    <w:p w:rsidR="00303920" w:rsidRPr="00EB31AB" w:rsidRDefault="00303920" w:rsidP="00303920">
      <w:pPr>
        <w:pStyle w:val="Zkladntext2"/>
        <w:keepNext/>
        <w:numPr>
          <w:ilvl w:val="0"/>
          <w:numId w:val="16"/>
        </w:numPr>
        <w:spacing w:after="120"/>
        <w:ind w:left="714" w:hanging="357"/>
        <w:jc w:val="both"/>
        <w:rPr>
          <w:rFonts w:ascii="Arial" w:hAnsi="Arial" w:cs="Arial"/>
          <w:szCs w:val="24"/>
          <w:u w:val="single"/>
        </w:rPr>
      </w:pPr>
      <w:r w:rsidRPr="00EB31AB">
        <w:rPr>
          <w:rFonts w:ascii="Arial" w:hAnsi="Arial" w:cs="Arial"/>
          <w:szCs w:val="24"/>
          <w:u w:val="single"/>
        </w:rPr>
        <w:t>Informace o právním rámci veřejné podpory, podle něhož budou veřejné prostředky poskytovány</w:t>
      </w:r>
    </w:p>
    <w:p w:rsidR="00303920" w:rsidRPr="00EB31AB" w:rsidRDefault="00303920" w:rsidP="00303920">
      <w:pPr>
        <w:autoSpaceDE w:val="0"/>
        <w:autoSpaceDN w:val="0"/>
        <w:adjustRightInd w:val="0"/>
        <w:spacing w:after="120"/>
        <w:rPr>
          <w:rFonts w:ascii="Arial" w:eastAsiaTheme="minorHAnsi" w:hAnsi="Arial" w:cs="Arial"/>
          <w:lang w:eastAsia="en-US"/>
        </w:rPr>
      </w:pPr>
      <w:r w:rsidRPr="00EB31AB">
        <w:rPr>
          <w:rFonts w:ascii="Arial" w:eastAsiaTheme="minorHAnsi" w:hAnsi="Arial" w:cs="Arial"/>
          <w:lang w:eastAsia="en-US"/>
        </w:rPr>
        <w:t xml:space="preserve">Program se bude řídit a bude realizován podle: </w:t>
      </w:r>
    </w:p>
    <w:p w:rsidR="00303920" w:rsidRPr="00EB31AB" w:rsidRDefault="00303920" w:rsidP="00303920">
      <w:pPr>
        <w:pStyle w:val="Odstavecseseznamem"/>
        <w:numPr>
          <w:ilvl w:val="0"/>
          <w:numId w:val="21"/>
        </w:numPr>
        <w:autoSpaceDE w:val="0"/>
        <w:autoSpaceDN w:val="0"/>
        <w:adjustRightInd w:val="0"/>
        <w:spacing w:after="120"/>
        <w:ind w:left="1434" w:hanging="357"/>
        <w:contextualSpacing w:val="0"/>
        <w:jc w:val="both"/>
        <w:rPr>
          <w:rFonts w:ascii="Arial" w:eastAsiaTheme="minorHAnsi" w:hAnsi="Arial" w:cs="Arial"/>
          <w:lang w:eastAsia="en-US"/>
        </w:rPr>
      </w:pPr>
      <w:r w:rsidRPr="00EB31AB">
        <w:rPr>
          <w:rFonts w:ascii="Arial" w:eastAsiaTheme="minorHAnsi" w:hAnsi="Arial" w:cs="Arial"/>
          <w:lang w:eastAsia="en-US"/>
        </w:rPr>
        <w:t xml:space="preserve">zákona </w:t>
      </w:r>
      <w:r w:rsidRPr="00EB31AB">
        <w:rPr>
          <w:rFonts w:ascii="Arial" w:hAnsi="Arial" w:cs="Arial"/>
          <w:color w:val="000000"/>
        </w:rPr>
        <w:t xml:space="preserve">zákon </w:t>
      </w:r>
      <w:r w:rsidRPr="00EB31AB">
        <w:rPr>
          <w:rFonts w:ascii="Arial" w:hAnsi="Arial" w:cs="Arial"/>
        </w:rPr>
        <w:t>o podpoře výzkumu, experimentálního vývoje a inovací,</w:t>
      </w:r>
      <w:r w:rsidRPr="00EB31AB">
        <w:rPr>
          <w:rFonts w:ascii="Arial" w:eastAsiaTheme="minorHAnsi" w:hAnsi="Arial" w:cs="Arial"/>
          <w:lang w:eastAsia="en-US"/>
        </w:rPr>
        <w:t xml:space="preserve"> </w:t>
      </w:r>
    </w:p>
    <w:p w:rsidR="00303920" w:rsidRPr="00EB31AB" w:rsidRDefault="00303920" w:rsidP="00303920">
      <w:pPr>
        <w:pStyle w:val="Odstavecseseznamem"/>
        <w:numPr>
          <w:ilvl w:val="0"/>
          <w:numId w:val="21"/>
        </w:numPr>
        <w:autoSpaceDE w:val="0"/>
        <w:autoSpaceDN w:val="0"/>
        <w:adjustRightInd w:val="0"/>
        <w:spacing w:after="120"/>
        <w:ind w:left="1434" w:hanging="357"/>
        <w:contextualSpacing w:val="0"/>
        <w:jc w:val="both"/>
        <w:rPr>
          <w:rFonts w:ascii="Arial" w:eastAsiaTheme="minorHAnsi" w:hAnsi="Arial" w:cs="Arial"/>
          <w:lang w:eastAsia="en-US"/>
        </w:rPr>
      </w:pPr>
      <w:r w:rsidRPr="00EB31AB">
        <w:rPr>
          <w:rFonts w:ascii="Arial" w:eastAsiaTheme="minorHAnsi" w:hAnsi="Arial" w:cs="Arial"/>
          <w:lang w:eastAsia="en-US"/>
        </w:rPr>
        <w:t xml:space="preserve">zákona č. 134/2016 Sb., o zadávání veřejných zakázek, ve znění pozdějších předpisů, </w:t>
      </w:r>
    </w:p>
    <w:p w:rsidR="00303920" w:rsidRPr="00EB31AB" w:rsidRDefault="00303920" w:rsidP="00303920">
      <w:pPr>
        <w:pStyle w:val="Odstavecseseznamem"/>
        <w:numPr>
          <w:ilvl w:val="0"/>
          <w:numId w:val="21"/>
        </w:numPr>
        <w:autoSpaceDE w:val="0"/>
        <w:autoSpaceDN w:val="0"/>
        <w:adjustRightInd w:val="0"/>
        <w:spacing w:after="120"/>
        <w:ind w:left="1434" w:hanging="357"/>
        <w:contextualSpacing w:val="0"/>
        <w:jc w:val="both"/>
        <w:rPr>
          <w:rFonts w:ascii="Arial" w:eastAsiaTheme="minorHAnsi" w:hAnsi="Arial" w:cs="Arial"/>
          <w:lang w:eastAsia="en-US"/>
        </w:rPr>
      </w:pPr>
      <w:r w:rsidRPr="00EB31AB">
        <w:rPr>
          <w:rFonts w:ascii="Arial" w:eastAsiaTheme="minorHAnsi" w:hAnsi="Arial" w:cs="Arial"/>
          <w:lang w:eastAsia="en-US"/>
        </w:rPr>
        <w:t xml:space="preserve">Rozkazu ministra obrany č. 34/2011 Věstníku, Obranný aplikovaný výzkum a vývoj v rezortu Ministerstva obrany a ostatních souvisejících vnitřních předpisů, </w:t>
      </w:r>
    </w:p>
    <w:p w:rsidR="00303920" w:rsidRPr="00EB31AB" w:rsidRDefault="00A553BB" w:rsidP="00303920">
      <w:pPr>
        <w:keepNext/>
        <w:spacing w:after="120"/>
        <w:rPr>
          <w:rFonts w:ascii="Arial" w:hAnsi="Arial" w:cs="Arial"/>
          <w:b/>
          <w:u w:val="single"/>
        </w:rPr>
      </w:pPr>
      <w:r w:rsidRPr="00EB31AB">
        <w:rPr>
          <w:rFonts w:ascii="Arial" w:hAnsi="Arial" w:cs="Arial"/>
          <w:b/>
          <w:color w:val="0070C0"/>
        </w:rPr>
        <w:t>Souhrnné a věcné zhodnocení materiálu Radou</w:t>
      </w:r>
    </w:p>
    <w:p w:rsidR="00303920" w:rsidRPr="00EB31AB" w:rsidRDefault="00303920" w:rsidP="00A553BB">
      <w:pPr>
        <w:keepNext/>
        <w:numPr>
          <w:ilvl w:val="0"/>
          <w:numId w:val="1"/>
        </w:numPr>
        <w:spacing w:after="120"/>
        <w:rPr>
          <w:rFonts w:ascii="Arial" w:hAnsi="Arial" w:cs="Arial"/>
          <w:b/>
          <w:color w:val="0070C0"/>
        </w:rPr>
      </w:pPr>
      <w:r w:rsidRPr="00EB31AB">
        <w:rPr>
          <w:rFonts w:ascii="Arial" w:hAnsi="Arial" w:cs="Arial"/>
          <w:b/>
          <w:color w:val="0070C0"/>
        </w:rPr>
        <w:t>Obecně</w:t>
      </w:r>
      <w:r w:rsidR="00A553BB" w:rsidRPr="00EB31AB">
        <w:rPr>
          <w:rFonts w:ascii="Arial" w:hAnsi="Arial" w:cs="Arial"/>
          <w:b/>
          <w:color w:val="0070C0"/>
        </w:rPr>
        <w:t xml:space="preserve"> k </w:t>
      </w:r>
      <w:r w:rsidRPr="00EB31AB">
        <w:rPr>
          <w:rFonts w:ascii="Arial" w:hAnsi="Arial" w:cs="Arial"/>
          <w:b/>
          <w:color w:val="0070C0"/>
        </w:rPr>
        <w:t>materiálu</w:t>
      </w:r>
    </w:p>
    <w:p w:rsidR="00303920" w:rsidRPr="00EB31AB" w:rsidRDefault="00303920" w:rsidP="00303920">
      <w:pPr>
        <w:pStyle w:val="Zkladntextodsazen"/>
        <w:spacing w:before="120"/>
        <w:ind w:left="0"/>
        <w:jc w:val="both"/>
        <w:rPr>
          <w:rFonts w:ascii="Arial" w:hAnsi="Arial" w:cs="Arial"/>
          <w:color w:val="000000"/>
        </w:rPr>
      </w:pPr>
      <w:r w:rsidRPr="00EB31AB">
        <w:rPr>
          <w:rFonts w:ascii="Arial" w:hAnsi="Arial" w:cs="Arial"/>
          <w:color w:val="000000"/>
        </w:rPr>
        <w:t>Ze zaměření programu vyplývá jeho celospolečenský dopad v oblasti zabezpečení obranyschopnosti a bezpečnosti státu.</w:t>
      </w:r>
    </w:p>
    <w:p w:rsidR="00303920" w:rsidRPr="00EB31AB" w:rsidRDefault="00303920" w:rsidP="00303920">
      <w:pPr>
        <w:pStyle w:val="Zkladntextodsazen"/>
        <w:spacing w:before="120"/>
        <w:ind w:left="0"/>
        <w:jc w:val="both"/>
        <w:rPr>
          <w:rFonts w:ascii="Arial" w:hAnsi="Arial" w:cs="Arial"/>
        </w:rPr>
      </w:pPr>
      <w:r w:rsidRPr="00EB31AB">
        <w:rPr>
          <w:rFonts w:ascii="Arial" w:hAnsi="Arial" w:cs="Arial"/>
          <w:color w:val="000000"/>
        </w:rPr>
        <w:t>Realizací programu budou zabezpečeny cíle a úkoly formulované v Koncepci obranného aplikovaného výzkumu, vývoje a inovací na období 2016 až 2022 (schválené usnesením vlády ze dne 21. 3. 2016 č. 246) a cílů Národních priorit orientovaného výzkumu, experimentálního vývoje a inovací (schválené usnesením vlády ze dne 19. 7. 2012 č. 552). P</w:t>
      </w:r>
      <w:r w:rsidRPr="00EB31AB">
        <w:rPr>
          <w:rFonts w:ascii="Arial" w:hAnsi="Arial" w:cs="Arial"/>
        </w:rPr>
        <w:t>rogram pokrývá cíle prioritní oblasti kapitoly 3.6.4 „Obrana, obranyschopnost a nasazení ozbrojených sil ČR“, jak v obecných požadavcích na provázání a koordinaci prioritních oblastí, principů hodnocení a aplikací výsledků, tak i ve věcné oblasti, kterou je rozvoj schopností ozbrojených složek a jemu odpovídajících dílčích cílů, jmenovitě vývoj nových zbraňových a</w:t>
      </w:r>
      <w:r w:rsidR="00EB31AB">
        <w:rPr>
          <w:rFonts w:ascii="Arial" w:hAnsi="Arial" w:cs="Arial"/>
        </w:rPr>
        <w:t> </w:t>
      </w:r>
      <w:r w:rsidRPr="00EB31AB">
        <w:rPr>
          <w:rFonts w:ascii="Arial" w:hAnsi="Arial" w:cs="Arial"/>
        </w:rPr>
        <w:t>obranných systémů, přeprava, mobilita a udržitelnost sil, podpora velení a řízení, rozvoj komunikačních a informačních systémů a kybernetická obrana.</w:t>
      </w:r>
    </w:p>
    <w:p w:rsidR="00303920" w:rsidRPr="00EB31AB" w:rsidRDefault="00303920" w:rsidP="00EB31AB">
      <w:pPr>
        <w:autoSpaceDE w:val="0"/>
        <w:autoSpaceDN w:val="0"/>
        <w:adjustRightInd w:val="0"/>
        <w:spacing w:after="120"/>
        <w:jc w:val="both"/>
        <w:rPr>
          <w:rFonts w:ascii="Arial" w:eastAsiaTheme="minorHAnsi" w:hAnsi="Arial" w:cs="Arial"/>
          <w:lang w:eastAsia="en-US"/>
        </w:rPr>
      </w:pPr>
      <w:r w:rsidRPr="00EB31AB">
        <w:rPr>
          <w:rFonts w:ascii="Arial" w:eastAsiaTheme="minorHAnsi" w:hAnsi="Arial" w:cs="Arial"/>
          <w:lang w:eastAsia="en-US"/>
        </w:rPr>
        <w:t>Program svým zaměřením a cíli navazuje na již ukončené programy „Podpora dosažených operačních schopností ozbrojených sil České republiky“ realizovaný souborem veřejných zakázek a na zkušenosti a výsledky dosažené v rámci programu „Obranný a aplikovaný výzkum, experimentální vývoj a inovace“. Mimo to ve své formulaci cílů i způsobů hodnocení výsledků a dopadů plně čerpá ze zkušeností z</w:t>
      </w:r>
      <w:r w:rsidR="00EB31AB">
        <w:rPr>
          <w:rFonts w:ascii="Arial" w:eastAsiaTheme="minorHAnsi" w:hAnsi="Arial" w:cs="Arial"/>
          <w:lang w:eastAsia="en-US"/>
        </w:rPr>
        <w:t> </w:t>
      </w:r>
      <w:r w:rsidRPr="00EB31AB">
        <w:rPr>
          <w:rFonts w:ascii="Arial" w:eastAsiaTheme="minorHAnsi" w:hAnsi="Arial" w:cs="Arial"/>
          <w:lang w:eastAsia="en-US"/>
        </w:rPr>
        <w:t>realizace zakázek v programu „Rozvoj ozbrojených sil České republiky“ (2015-2022). Konzistentně rozvíjí potřeby stanovené v uvedených programech, zabezpečuje plnění shodných nebo velmi si blízkých cílů a rozvíjí a doplňuje je o</w:t>
      </w:r>
      <w:r w:rsidR="00EB31AB">
        <w:rPr>
          <w:rFonts w:ascii="Arial" w:eastAsiaTheme="minorHAnsi" w:hAnsi="Arial" w:cs="Arial"/>
          <w:lang w:eastAsia="en-US"/>
        </w:rPr>
        <w:t> </w:t>
      </w:r>
      <w:r w:rsidRPr="00EB31AB">
        <w:rPr>
          <w:rFonts w:ascii="Arial" w:eastAsiaTheme="minorHAnsi" w:hAnsi="Arial" w:cs="Arial"/>
          <w:lang w:eastAsia="en-US"/>
        </w:rPr>
        <w:t xml:space="preserve">oblasti, které vyplývají z nových potřeb nebo rozšiřují a prohlubují plnění dlouhodobých relativně stabilních ambicí rozvoje MO a </w:t>
      </w:r>
      <w:r w:rsidR="00EB31AB">
        <w:rPr>
          <w:rFonts w:ascii="Arial" w:eastAsiaTheme="minorHAnsi" w:hAnsi="Arial" w:cs="Arial"/>
          <w:lang w:eastAsia="en-US"/>
        </w:rPr>
        <w:t>ozbrojených složek</w:t>
      </w:r>
      <w:r w:rsidRPr="00EB31AB">
        <w:rPr>
          <w:rFonts w:ascii="Arial" w:eastAsiaTheme="minorHAnsi" w:hAnsi="Arial" w:cs="Arial"/>
          <w:lang w:eastAsia="en-US"/>
        </w:rPr>
        <w:t xml:space="preserve"> v</w:t>
      </w:r>
      <w:r w:rsidR="00EB31AB">
        <w:rPr>
          <w:rFonts w:ascii="Arial" w:eastAsiaTheme="minorHAnsi" w:hAnsi="Arial" w:cs="Arial"/>
          <w:lang w:eastAsia="en-US"/>
        </w:rPr>
        <w:t> </w:t>
      </w:r>
      <w:r w:rsidRPr="00EB31AB">
        <w:rPr>
          <w:rFonts w:ascii="Arial" w:eastAsiaTheme="minorHAnsi" w:hAnsi="Arial" w:cs="Arial"/>
          <w:lang w:eastAsia="en-US"/>
        </w:rPr>
        <w:t xml:space="preserve">konkrétních dílčích oblastech. </w:t>
      </w:r>
    </w:p>
    <w:p w:rsidR="00303920" w:rsidRPr="00EB31AB" w:rsidRDefault="00303920" w:rsidP="00303920">
      <w:pPr>
        <w:autoSpaceDE w:val="0"/>
        <w:autoSpaceDN w:val="0"/>
        <w:adjustRightInd w:val="0"/>
        <w:spacing w:after="120"/>
        <w:jc w:val="both"/>
        <w:rPr>
          <w:rFonts w:ascii="Arial" w:eastAsiaTheme="minorHAnsi" w:hAnsi="Arial" w:cs="Arial"/>
          <w:lang w:eastAsia="en-US"/>
        </w:rPr>
      </w:pPr>
      <w:r w:rsidRPr="00EB31AB">
        <w:rPr>
          <w:rFonts w:ascii="Arial" w:eastAsiaTheme="minorHAnsi" w:hAnsi="Arial" w:cs="Arial"/>
          <w:lang w:eastAsia="en-US"/>
        </w:rPr>
        <w:t xml:space="preserve">Program napomáhá rozvoji schopností ozbrojených složek, který je dán politickým zadáním, dostupnými peněžními prostředky a rozložením těchto prostředků v čase společně s legislativními podmínkami. </w:t>
      </w:r>
    </w:p>
    <w:p w:rsidR="00303920" w:rsidRPr="00EB31AB" w:rsidRDefault="00303920" w:rsidP="00303920">
      <w:pPr>
        <w:pStyle w:val="Zkladntext2"/>
        <w:spacing w:after="120"/>
        <w:jc w:val="both"/>
        <w:rPr>
          <w:rFonts w:ascii="Arial" w:hAnsi="Arial" w:cs="Arial"/>
          <w:szCs w:val="24"/>
        </w:rPr>
      </w:pPr>
      <w:r w:rsidRPr="00EB31AB">
        <w:rPr>
          <w:rFonts w:ascii="Arial" w:hAnsi="Arial" w:cs="Arial"/>
          <w:szCs w:val="24"/>
        </w:rPr>
        <w:t>V návrhu programu je uvedeno finanční naplnění (využití výsledků) programu (85 %), minimální počet řešených projektů bude 45, ze kterých bude úspěšně dokončeno 80</w:t>
      </w:r>
      <w:r w:rsidR="00EB31AB">
        <w:rPr>
          <w:rFonts w:ascii="Arial" w:hAnsi="Arial" w:cs="Arial"/>
          <w:szCs w:val="24"/>
        </w:rPr>
        <w:t> </w:t>
      </w:r>
      <w:r w:rsidRPr="00EB31AB">
        <w:rPr>
          <w:rFonts w:ascii="Arial" w:hAnsi="Arial" w:cs="Arial"/>
          <w:szCs w:val="24"/>
        </w:rPr>
        <w:t>% a stejný počet výsledků má také převzít uživatel k využití.</w:t>
      </w:r>
    </w:p>
    <w:p w:rsidR="00303920" w:rsidRDefault="00303920" w:rsidP="00303920">
      <w:pPr>
        <w:pStyle w:val="Zkladntext2"/>
        <w:spacing w:after="120"/>
        <w:jc w:val="both"/>
        <w:rPr>
          <w:rFonts w:ascii="Arial" w:hAnsi="Arial" w:cs="Arial"/>
          <w:szCs w:val="24"/>
        </w:rPr>
      </w:pPr>
      <w:r w:rsidRPr="00EB31AB">
        <w:rPr>
          <w:rFonts w:ascii="Arial" w:hAnsi="Arial" w:cs="Arial"/>
          <w:szCs w:val="24"/>
        </w:rPr>
        <w:lastRenderedPageBreak/>
        <w:t>Program se nepřekrývá s jiným programem MO a vzhledem ke své jednoznačnosti (pokrývá potřeby resortu obrany) ani s jinými programy účelové podpory.</w:t>
      </w:r>
    </w:p>
    <w:p w:rsidR="00F32B25" w:rsidRPr="00EB31AB" w:rsidRDefault="00F32B25" w:rsidP="00303920">
      <w:pPr>
        <w:pStyle w:val="Zkladntext2"/>
        <w:spacing w:after="120"/>
        <w:jc w:val="both"/>
        <w:rPr>
          <w:rFonts w:ascii="Arial" w:hAnsi="Arial" w:cs="Arial"/>
          <w:szCs w:val="24"/>
        </w:rPr>
      </w:pPr>
      <w:r>
        <w:rPr>
          <w:rFonts w:ascii="Arial" w:hAnsi="Arial" w:cs="Arial"/>
          <w:szCs w:val="24"/>
        </w:rPr>
        <w:t>Návrh programu byl projednán Komisí pro hodnocení výsledků výzkumných organizací a ukončených programů, která vyslovila souhlas s jeho předložením na </w:t>
      </w:r>
      <w:bookmarkStart w:id="0" w:name="_GoBack"/>
      <w:bookmarkEnd w:id="0"/>
      <w:r>
        <w:rPr>
          <w:rFonts w:ascii="Arial" w:hAnsi="Arial" w:cs="Arial"/>
          <w:szCs w:val="24"/>
        </w:rPr>
        <w:t>zasedání Rady.</w:t>
      </w:r>
    </w:p>
    <w:p w:rsidR="00A553BB" w:rsidRPr="00EB31AB" w:rsidRDefault="00A553BB" w:rsidP="00A553BB">
      <w:pPr>
        <w:keepNext/>
        <w:numPr>
          <w:ilvl w:val="0"/>
          <w:numId w:val="1"/>
        </w:numPr>
        <w:spacing w:after="120"/>
        <w:rPr>
          <w:rFonts w:ascii="Arial" w:hAnsi="Arial" w:cs="Arial"/>
          <w:b/>
          <w:color w:val="0070C0"/>
        </w:rPr>
      </w:pPr>
      <w:r w:rsidRPr="00EB31AB">
        <w:rPr>
          <w:rFonts w:ascii="Arial" w:hAnsi="Arial" w:cs="Arial"/>
          <w:b/>
          <w:color w:val="0070C0"/>
        </w:rPr>
        <w:t>Připomínky k materiálu</w:t>
      </w:r>
    </w:p>
    <w:p w:rsidR="00A553BB" w:rsidRDefault="00A553BB" w:rsidP="00A553BB">
      <w:pPr>
        <w:pStyle w:val="Zkladntext2"/>
        <w:numPr>
          <w:ilvl w:val="0"/>
          <w:numId w:val="23"/>
        </w:numPr>
        <w:spacing w:after="120"/>
        <w:jc w:val="both"/>
        <w:rPr>
          <w:rFonts w:ascii="Arial" w:hAnsi="Arial" w:cs="Arial"/>
          <w:sz w:val="22"/>
          <w:szCs w:val="22"/>
          <w:u w:val="single"/>
        </w:rPr>
      </w:pPr>
      <w:r w:rsidRPr="0016134B">
        <w:rPr>
          <w:rFonts w:ascii="Arial" w:hAnsi="Arial" w:cs="Arial"/>
          <w:sz w:val="22"/>
          <w:szCs w:val="22"/>
          <w:u w:val="single"/>
        </w:rPr>
        <w:t>Zásadní připomínka k návrhu usnesení vlády</w:t>
      </w:r>
    </w:p>
    <w:p w:rsidR="00A553BB" w:rsidRPr="00B04915" w:rsidRDefault="00A553BB" w:rsidP="00A553BB">
      <w:pPr>
        <w:pStyle w:val="Zkladntext2"/>
        <w:spacing w:after="120"/>
        <w:ind w:left="720"/>
        <w:jc w:val="both"/>
        <w:rPr>
          <w:rFonts w:ascii="Arial" w:hAnsi="Arial" w:cs="Arial"/>
          <w:sz w:val="22"/>
          <w:szCs w:val="22"/>
        </w:rPr>
      </w:pPr>
      <w:r w:rsidRPr="00B04915">
        <w:rPr>
          <w:rFonts w:ascii="Arial" w:hAnsi="Arial" w:cs="Arial"/>
          <w:sz w:val="22"/>
          <w:szCs w:val="22"/>
        </w:rPr>
        <w:t>Rada žádá bod č. I. návrhu usnesení vlády doplnit o větu: „Financování programu bude zajištěno dle možností státního rozpočtu.</w:t>
      </w:r>
      <w:r>
        <w:rPr>
          <w:rFonts w:ascii="Arial" w:hAnsi="Arial" w:cs="Arial"/>
          <w:sz w:val="22"/>
          <w:szCs w:val="22"/>
        </w:rPr>
        <w:t>“</w:t>
      </w:r>
    </w:p>
    <w:p w:rsidR="00A553BB" w:rsidRDefault="00A553BB" w:rsidP="00A553BB">
      <w:pPr>
        <w:pStyle w:val="Zkladntext2"/>
        <w:numPr>
          <w:ilvl w:val="0"/>
          <w:numId w:val="23"/>
        </w:numPr>
        <w:spacing w:after="120"/>
        <w:jc w:val="both"/>
        <w:rPr>
          <w:rFonts w:ascii="Arial" w:hAnsi="Arial" w:cs="Arial"/>
          <w:sz w:val="22"/>
          <w:szCs w:val="22"/>
          <w:u w:val="single"/>
        </w:rPr>
      </w:pPr>
      <w:r w:rsidRPr="0016134B">
        <w:rPr>
          <w:rFonts w:ascii="Arial" w:hAnsi="Arial" w:cs="Arial"/>
          <w:sz w:val="22"/>
          <w:szCs w:val="22"/>
          <w:u w:val="single"/>
        </w:rPr>
        <w:t>Zásadní připomínka k návrhu usnesení vlády</w:t>
      </w:r>
    </w:p>
    <w:p w:rsidR="00A553BB" w:rsidRPr="00F43638" w:rsidRDefault="00A553BB" w:rsidP="00A553BB">
      <w:pPr>
        <w:pStyle w:val="Zkladntext2"/>
        <w:spacing w:after="120"/>
        <w:ind w:firstLine="708"/>
        <w:jc w:val="both"/>
        <w:rPr>
          <w:rFonts w:ascii="Arial" w:hAnsi="Arial" w:cs="Arial"/>
          <w:sz w:val="22"/>
          <w:szCs w:val="22"/>
        </w:rPr>
      </w:pPr>
      <w:r w:rsidRPr="00F43638">
        <w:rPr>
          <w:rFonts w:ascii="Arial" w:hAnsi="Arial" w:cs="Arial"/>
          <w:sz w:val="22"/>
          <w:szCs w:val="22"/>
        </w:rPr>
        <w:t xml:space="preserve">Rada žádá o úpravu bodu II. návrhu usnesení vlády </w:t>
      </w:r>
      <w:proofErr w:type="gramStart"/>
      <w:r w:rsidRPr="00F43638">
        <w:rPr>
          <w:rFonts w:ascii="Arial" w:hAnsi="Arial" w:cs="Arial"/>
          <w:sz w:val="22"/>
          <w:szCs w:val="22"/>
        </w:rPr>
        <w:t>na</w:t>
      </w:r>
      <w:proofErr w:type="gramEnd"/>
      <w:r w:rsidRPr="00F43638">
        <w:rPr>
          <w:rFonts w:ascii="Arial" w:hAnsi="Arial" w:cs="Arial"/>
          <w:sz w:val="22"/>
          <w:szCs w:val="22"/>
        </w:rPr>
        <w:t>:</w:t>
      </w:r>
    </w:p>
    <w:p w:rsidR="00A553BB" w:rsidRPr="00CE3BD0" w:rsidRDefault="00A553BB" w:rsidP="00A553BB">
      <w:pPr>
        <w:tabs>
          <w:tab w:val="left" w:pos="709"/>
          <w:tab w:val="left" w:pos="2268"/>
        </w:tabs>
        <w:spacing w:after="120"/>
        <w:ind w:left="709"/>
        <w:jc w:val="both"/>
        <w:rPr>
          <w:rFonts w:ascii="Arial" w:hAnsi="Arial" w:cs="Arial"/>
          <w:i/>
          <w:sz w:val="22"/>
          <w:szCs w:val="22"/>
        </w:rPr>
      </w:pPr>
      <w:r w:rsidRPr="00CE3BD0">
        <w:rPr>
          <w:rFonts w:ascii="Arial" w:hAnsi="Arial" w:cs="Arial"/>
          <w:i/>
          <w:sz w:val="22"/>
          <w:szCs w:val="22"/>
        </w:rPr>
        <w:t>„Vláda ukládá ministru obrany průběžně zajišťovat zadávání veřejných zakázek ve výzkumu, experimentálním vývoji a inovacích pro potřeby státu v rámci Programu, který je uveden v bodu I tohoto usnesení.“</w:t>
      </w:r>
    </w:p>
    <w:p w:rsidR="00A553BB" w:rsidRPr="00BD4932" w:rsidRDefault="00A553BB" w:rsidP="00A553BB">
      <w:pPr>
        <w:pStyle w:val="Zkladntext2"/>
        <w:numPr>
          <w:ilvl w:val="0"/>
          <w:numId w:val="23"/>
        </w:numPr>
        <w:spacing w:after="120"/>
        <w:jc w:val="both"/>
        <w:rPr>
          <w:rFonts w:ascii="Arial" w:hAnsi="Arial" w:cs="Arial"/>
          <w:sz w:val="22"/>
          <w:szCs w:val="22"/>
          <w:u w:val="single"/>
        </w:rPr>
      </w:pPr>
      <w:r>
        <w:rPr>
          <w:rFonts w:ascii="Arial" w:hAnsi="Arial" w:cs="Arial"/>
          <w:sz w:val="22"/>
          <w:szCs w:val="22"/>
          <w:u w:val="single"/>
        </w:rPr>
        <w:t>Zásadní připomínka k předkládací zprávě</w:t>
      </w:r>
    </w:p>
    <w:p w:rsidR="00A553BB" w:rsidRDefault="00A553BB" w:rsidP="00A553BB">
      <w:pPr>
        <w:pStyle w:val="Zkladntext2"/>
        <w:spacing w:after="120"/>
        <w:ind w:left="720"/>
        <w:jc w:val="both"/>
        <w:rPr>
          <w:rFonts w:ascii="Arial" w:hAnsi="Arial" w:cs="Arial"/>
          <w:sz w:val="22"/>
          <w:szCs w:val="22"/>
          <w:u w:val="single"/>
        </w:rPr>
      </w:pPr>
      <w:r w:rsidRPr="00F43638">
        <w:rPr>
          <w:rFonts w:ascii="Arial" w:hAnsi="Arial" w:cs="Arial"/>
          <w:sz w:val="22"/>
          <w:szCs w:val="22"/>
        </w:rPr>
        <w:t xml:space="preserve">Rada žádá o opravu začátku 2. věty ve 3. odstavci předkládací zprávy </w:t>
      </w:r>
      <w:proofErr w:type="gramStart"/>
      <w:r w:rsidRPr="00F43638">
        <w:rPr>
          <w:rFonts w:ascii="Arial" w:hAnsi="Arial" w:cs="Arial"/>
          <w:sz w:val="22"/>
          <w:szCs w:val="22"/>
        </w:rPr>
        <w:t>na</w:t>
      </w:r>
      <w:proofErr w:type="gramEnd"/>
      <w:r w:rsidRPr="00F43638">
        <w:rPr>
          <w:rFonts w:ascii="Arial" w:hAnsi="Arial" w:cs="Arial"/>
          <w:sz w:val="22"/>
          <w:szCs w:val="22"/>
        </w:rPr>
        <w:t>: „</w:t>
      </w:r>
      <w:r w:rsidRPr="00F43638">
        <w:rPr>
          <w:rFonts w:ascii="Arial" w:hAnsi="Arial" w:cs="Arial"/>
          <w:color w:val="000000"/>
          <w:sz w:val="22"/>
          <w:szCs w:val="22"/>
        </w:rPr>
        <w:t>Program je navržen tak, aby zabezpečil výzkumnou podporu cílů a úkolů formulovaných v Dlouhodobém výhledu pro obranu 2030, který byl schválen usnesením vlády z 21.</w:t>
      </w:r>
      <w:r>
        <w:rPr>
          <w:rFonts w:ascii="Arial" w:hAnsi="Arial" w:cs="Arial"/>
          <w:color w:val="000000"/>
          <w:sz w:val="22"/>
          <w:szCs w:val="22"/>
        </w:rPr>
        <w:t> </w:t>
      </w:r>
      <w:r w:rsidRPr="00F43638">
        <w:rPr>
          <w:rFonts w:ascii="Arial" w:hAnsi="Arial" w:cs="Arial"/>
          <w:color w:val="000000"/>
          <w:sz w:val="22"/>
          <w:szCs w:val="22"/>
        </w:rPr>
        <w:t>2. 2015 č. 1095, Koncepci výstavby Armády České republiky schválenou usnesením vlády ze dne 21. 12. 2015 č. 1094</w:t>
      </w:r>
      <w:r>
        <w:rPr>
          <w:rFonts w:ascii="Arial" w:hAnsi="Arial" w:cs="Arial"/>
          <w:color w:val="000000"/>
          <w:sz w:val="22"/>
          <w:szCs w:val="22"/>
        </w:rPr>
        <w:t xml:space="preserve"> a</w:t>
      </w:r>
      <w:r w:rsidRPr="00F43638">
        <w:rPr>
          <w:rFonts w:ascii="Arial" w:hAnsi="Arial" w:cs="Arial"/>
          <w:color w:val="000000"/>
          <w:sz w:val="22"/>
          <w:szCs w:val="22"/>
        </w:rPr>
        <w:t xml:space="preserve"> realizaci cílů Koncepce obranného aplikovaného výzkumu, vývoje a inovací na období 2016 až 2022, schválenou usnesením vlády ze dne 21. 3. 2016 č. 246.</w:t>
      </w:r>
      <w:r>
        <w:rPr>
          <w:rFonts w:ascii="Arial" w:hAnsi="Arial" w:cs="Arial"/>
          <w:color w:val="000000"/>
          <w:sz w:val="22"/>
          <w:szCs w:val="22"/>
        </w:rPr>
        <w:t>“</w:t>
      </w:r>
      <w:r w:rsidRPr="00F43638">
        <w:rPr>
          <w:rFonts w:ascii="Arial" w:hAnsi="Arial" w:cs="Arial"/>
          <w:sz w:val="22"/>
          <w:szCs w:val="22"/>
          <w:u w:val="single"/>
        </w:rPr>
        <w:t xml:space="preserve"> </w:t>
      </w:r>
    </w:p>
    <w:p w:rsidR="00A553BB" w:rsidRPr="00AA4C00" w:rsidRDefault="00A553BB" w:rsidP="00AA4C00">
      <w:pPr>
        <w:keepNext/>
        <w:numPr>
          <w:ilvl w:val="0"/>
          <w:numId w:val="1"/>
        </w:numPr>
        <w:tabs>
          <w:tab w:val="num" w:pos="720"/>
        </w:tabs>
        <w:spacing w:after="120"/>
        <w:rPr>
          <w:rFonts w:ascii="Arial" w:hAnsi="Arial" w:cs="Arial"/>
          <w:b/>
          <w:color w:val="0070C0"/>
        </w:rPr>
      </w:pPr>
      <w:r w:rsidRPr="00AA4C00">
        <w:rPr>
          <w:rFonts w:ascii="Arial" w:hAnsi="Arial" w:cs="Arial"/>
          <w:b/>
          <w:color w:val="0070C0"/>
        </w:rPr>
        <w:t>Závěr</w:t>
      </w:r>
    </w:p>
    <w:p w:rsidR="00A553BB" w:rsidRPr="00423BB4" w:rsidRDefault="00A553BB" w:rsidP="00A553BB">
      <w:pPr>
        <w:keepNext/>
        <w:tabs>
          <w:tab w:val="left" w:pos="540"/>
        </w:tabs>
        <w:spacing w:after="120"/>
        <w:ind w:left="540"/>
        <w:rPr>
          <w:rFonts w:ascii="Arial" w:hAnsi="Arial" w:cs="Arial"/>
          <w:b/>
          <w:sz w:val="22"/>
          <w:szCs w:val="22"/>
        </w:rPr>
      </w:pPr>
      <w:r w:rsidRPr="00423BB4">
        <w:rPr>
          <w:rFonts w:ascii="Arial" w:hAnsi="Arial" w:cs="Arial"/>
          <w:b/>
          <w:sz w:val="22"/>
          <w:szCs w:val="22"/>
        </w:rPr>
        <w:t>Rada</w:t>
      </w:r>
    </w:p>
    <w:p w:rsidR="00A553BB" w:rsidRPr="00423BB4" w:rsidRDefault="00A553BB" w:rsidP="00A553BB">
      <w:pPr>
        <w:pStyle w:val="Zkladntext2"/>
        <w:numPr>
          <w:ilvl w:val="2"/>
          <w:numId w:val="22"/>
        </w:numPr>
        <w:tabs>
          <w:tab w:val="clear" w:pos="2160"/>
        </w:tabs>
        <w:spacing w:after="120"/>
        <w:ind w:left="1425" w:hanging="513"/>
        <w:jc w:val="both"/>
        <w:rPr>
          <w:rFonts w:ascii="Arial" w:hAnsi="Arial" w:cs="Arial"/>
          <w:sz w:val="22"/>
          <w:szCs w:val="22"/>
        </w:rPr>
      </w:pPr>
      <w:bookmarkStart w:id="1" w:name="OLE_LINK1"/>
      <w:r w:rsidRPr="00423BB4">
        <w:rPr>
          <w:rFonts w:ascii="Arial" w:hAnsi="Arial" w:cs="Arial"/>
          <w:b/>
          <w:sz w:val="22"/>
          <w:szCs w:val="22"/>
        </w:rPr>
        <w:t>souhlasí</w:t>
      </w:r>
      <w:r w:rsidRPr="00423BB4">
        <w:rPr>
          <w:rFonts w:ascii="Arial" w:hAnsi="Arial" w:cs="Arial"/>
          <w:sz w:val="22"/>
          <w:szCs w:val="22"/>
        </w:rPr>
        <w:t xml:space="preserve"> s návrhem programu a </w:t>
      </w:r>
      <w:r w:rsidRPr="00423BB4">
        <w:rPr>
          <w:rFonts w:ascii="Arial" w:hAnsi="Arial" w:cs="Arial"/>
          <w:b/>
          <w:sz w:val="22"/>
          <w:szCs w:val="22"/>
        </w:rPr>
        <w:t>doporučuje</w:t>
      </w:r>
      <w:r w:rsidRPr="00423BB4">
        <w:rPr>
          <w:rFonts w:ascii="Arial" w:hAnsi="Arial" w:cs="Arial"/>
          <w:sz w:val="22"/>
          <w:szCs w:val="22"/>
        </w:rPr>
        <w:t xml:space="preserve"> poskytovateli zapracovat připomínky a předložit návrh Programu vládě,</w:t>
      </w:r>
    </w:p>
    <w:p w:rsidR="00A553BB" w:rsidRPr="00423BB4" w:rsidRDefault="00A553BB" w:rsidP="00A553BB">
      <w:pPr>
        <w:pStyle w:val="Zkladntext2"/>
        <w:numPr>
          <w:ilvl w:val="2"/>
          <w:numId w:val="22"/>
        </w:numPr>
        <w:tabs>
          <w:tab w:val="clear" w:pos="2160"/>
        </w:tabs>
        <w:spacing w:after="120"/>
        <w:ind w:left="1425" w:hanging="513"/>
        <w:jc w:val="both"/>
        <w:rPr>
          <w:rFonts w:ascii="Arial" w:hAnsi="Arial" w:cs="Arial"/>
          <w:sz w:val="22"/>
          <w:szCs w:val="22"/>
        </w:rPr>
      </w:pPr>
      <w:r w:rsidRPr="00423BB4">
        <w:rPr>
          <w:rFonts w:ascii="Arial" w:hAnsi="Arial" w:cs="Arial"/>
          <w:b/>
          <w:sz w:val="22"/>
          <w:szCs w:val="22"/>
        </w:rPr>
        <w:t>doporučuje</w:t>
      </w:r>
      <w:r w:rsidRPr="00423BB4">
        <w:rPr>
          <w:rFonts w:ascii="Arial" w:hAnsi="Arial" w:cs="Arial"/>
          <w:sz w:val="22"/>
          <w:szCs w:val="22"/>
        </w:rPr>
        <w:t xml:space="preserve"> vládě schválit návrh Programu ve znění se zapracovanými připomínkami.</w:t>
      </w:r>
    </w:p>
    <w:p w:rsidR="00A553BB" w:rsidRPr="00542358" w:rsidRDefault="00A553BB" w:rsidP="00A553BB">
      <w:pPr>
        <w:pStyle w:val="Zkladntext"/>
        <w:jc w:val="both"/>
        <w:rPr>
          <w:highlight w:val="cyan"/>
        </w:rPr>
      </w:pPr>
    </w:p>
    <w:p w:rsidR="00A553BB" w:rsidRPr="00542358" w:rsidRDefault="00A553BB" w:rsidP="00A553BB">
      <w:pPr>
        <w:pStyle w:val="Zkladntext"/>
        <w:jc w:val="both"/>
        <w:rPr>
          <w:highlight w:val="cyan"/>
        </w:rPr>
      </w:pPr>
    </w:p>
    <w:p w:rsidR="00A553BB" w:rsidRPr="00B04915" w:rsidRDefault="00A553BB" w:rsidP="00A553BB">
      <w:pPr>
        <w:pStyle w:val="Zkladntext"/>
        <w:jc w:val="both"/>
        <w:rPr>
          <w:rFonts w:ascii="Arial" w:hAnsi="Arial" w:cs="Arial"/>
          <w:sz w:val="22"/>
          <w:szCs w:val="22"/>
        </w:rPr>
      </w:pPr>
      <w:r w:rsidRPr="00B04915">
        <w:rPr>
          <w:rFonts w:ascii="Arial" w:hAnsi="Arial" w:cs="Arial"/>
        </w:rPr>
        <w:t>V Praze dne 23. ledna 2019</w:t>
      </w:r>
      <w:bookmarkEnd w:id="1"/>
    </w:p>
    <w:sectPr w:rsidR="00A553BB" w:rsidRPr="00B04915"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75B" w:rsidRDefault="00AA575B" w:rsidP="008F77F6">
      <w:r>
        <w:separator/>
      </w:r>
    </w:p>
  </w:endnote>
  <w:endnote w:type="continuationSeparator" w:id="0">
    <w:p w:rsidR="00AA575B" w:rsidRDefault="00AA575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BB4" w:rsidRDefault="00480BB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w:t>
    </w:r>
    <w:r w:rsidR="0095446E">
      <w:rPr>
        <w:rFonts w:ascii="Arial" w:hAnsi="Arial" w:cs="Arial"/>
        <w:sz w:val="18"/>
        <w:szCs w:val="18"/>
      </w:rPr>
      <w:t xml:space="preserve">programu </w:t>
    </w:r>
    <w:r w:rsidR="00EB31AB">
      <w:rPr>
        <w:rFonts w:ascii="Arial" w:hAnsi="Arial" w:cs="Arial"/>
        <w:sz w:val="18"/>
        <w:szCs w:val="18"/>
      </w:rPr>
      <w:t>Ambice – podpora rozvoje oblastí, ve kterých ozbrojené složky dosahují významných výsledků v rámci NATO a EU</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F32B25">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F32B25">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32B2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32B25">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75B" w:rsidRDefault="00AA575B" w:rsidP="008F77F6">
      <w:r>
        <w:separator/>
      </w:r>
    </w:p>
  </w:footnote>
  <w:footnote w:type="continuationSeparator" w:id="0">
    <w:p w:rsidR="00AA575B" w:rsidRDefault="00AA575B" w:rsidP="008F77F6">
      <w:r>
        <w:continuationSeparator/>
      </w:r>
    </w:p>
  </w:footnote>
  <w:footnote w:id="1">
    <w:p w:rsidR="00223E36" w:rsidRPr="00537979" w:rsidRDefault="00223E36">
      <w:pPr>
        <w:pStyle w:val="Textpoznpodarou"/>
        <w:rPr>
          <w:rFonts w:ascii="Arial" w:hAnsi="Arial" w:cs="Arial"/>
          <w:i w:val="0"/>
          <w:sz w:val="16"/>
          <w:szCs w:val="16"/>
        </w:rPr>
      </w:pPr>
      <w:r w:rsidRPr="00537979">
        <w:rPr>
          <w:rStyle w:val="Znakapoznpodarou"/>
          <w:rFonts w:ascii="Arial" w:hAnsi="Arial" w:cs="Arial"/>
          <w:i w:val="0"/>
          <w:sz w:val="16"/>
          <w:szCs w:val="16"/>
        </w:rPr>
        <w:footnoteRef/>
      </w:r>
      <w:r w:rsidRPr="00537979">
        <w:rPr>
          <w:rFonts w:ascii="Arial" w:hAnsi="Arial" w:cs="Arial"/>
          <w:i w:val="0"/>
          <w:sz w:val="16"/>
          <w:szCs w:val="16"/>
        </w:rPr>
        <w:t xml:space="preserve"> Armáda ČR, Vojenská policie, Vojenské zpravodajství, Vojenská kandelář prezidenta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BB4" w:rsidRDefault="00480BB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C5636B" wp14:editId="0F83FA15">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0931C0B" wp14:editId="36A7B5C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B50D59" w:rsidP="00B50D59">
          <w:pPr>
            <w:pStyle w:val="Zhlav"/>
            <w:jc w:val="center"/>
            <w:rPr>
              <w:rFonts w:ascii="Arial" w:hAnsi="Arial" w:cs="Arial"/>
              <w:b/>
              <w:color w:val="0070C0"/>
              <w:sz w:val="28"/>
              <w:szCs w:val="28"/>
            </w:rPr>
          </w:pPr>
          <w:r>
            <w:rPr>
              <w:rFonts w:ascii="Arial" w:hAnsi="Arial" w:cs="Arial"/>
              <w:b/>
              <w:color w:val="0070C0"/>
              <w:sz w:val="28"/>
              <w:szCs w:val="28"/>
            </w:rPr>
            <w:t>342</w:t>
          </w:r>
          <w:r w:rsidR="00992D1E">
            <w:rPr>
              <w:rFonts w:ascii="Arial" w:hAnsi="Arial" w:cs="Arial"/>
              <w:b/>
              <w:color w:val="0070C0"/>
              <w:sz w:val="28"/>
              <w:szCs w:val="28"/>
            </w:rPr>
            <w:t>/A</w:t>
          </w:r>
          <w:r w:rsidR="00480BB4">
            <w:rPr>
              <w:rFonts w:ascii="Arial" w:hAnsi="Arial" w:cs="Arial"/>
              <w:b/>
              <w:color w:val="0070C0"/>
              <w:sz w:val="28"/>
              <w:szCs w:val="28"/>
            </w:rPr>
            <w:t>6</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37DC3404"/>
    <w:multiLevelType w:val="hybridMultilevel"/>
    <w:tmpl w:val="1D26BB26"/>
    <w:lvl w:ilvl="0" w:tplc="8E945F7A">
      <w:start w:val="1"/>
      <w:numFmt w:val="upperRoman"/>
      <w:lvlText w:val="%1)"/>
      <w:lvlJc w:val="left"/>
      <w:pPr>
        <w:tabs>
          <w:tab w:val="num" w:pos="862"/>
        </w:tabs>
        <w:ind w:left="862" w:hanging="720"/>
      </w:pPr>
      <w:rPr>
        <w:rFonts w:hint="default"/>
        <w:b/>
        <w:color w:val="0070C0"/>
        <w:sz w:val="24"/>
        <w:szCs w:val="24"/>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A4D4920"/>
    <w:multiLevelType w:val="hybridMultilevel"/>
    <w:tmpl w:val="E48671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53E246FA"/>
    <w:multiLevelType w:val="hybridMultilevel"/>
    <w:tmpl w:val="278EE9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EB20B2"/>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C7C7AF2"/>
    <w:multiLevelType w:val="hybridMultilevel"/>
    <w:tmpl w:val="02480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0"/>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0"/>
  </w:num>
  <w:num w:numId="4">
    <w:abstractNumId w:val="0"/>
  </w:num>
  <w:num w:numId="5">
    <w:abstractNumId w:val="15"/>
  </w:num>
  <w:num w:numId="6">
    <w:abstractNumId w:val="1"/>
  </w:num>
  <w:num w:numId="7">
    <w:abstractNumId w:val="5"/>
  </w:num>
  <w:num w:numId="8">
    <w:abstractNumId w:val="20"/>
  </w:num>
  <w:num w:numId="9">
    <w:abstractNumId w:val="13"/>
  </w:num>
  <w:num w:numId="10">
    <w:abstractNumId w:val="3"/>
  </w:num>
  <w:num w:numId="11">
    <w:abstractNumId w:val="18"/>
  </w:num>
  <w:num w:numId="12">
    <w:abstractNumId w:val="7"/>
  </w:num>
  <w:num w:numId="13">
    <w:abstractNumId w:val="8"/>
  </w:num>
  <w:num w:numId="14">
    <w:abstractNumId w:val="4"/>
  </w:num>
  <w:num w:numId="15">
    <w:abstractNumId w:val="6"/>
  </w:num>
  <w:num w:numId="16">
    <w:abstractNumId w:val="2"/>
  </w:num>
  <w:num w:numId="17">
    <w:abstractNumId w:val="14"/>
  </w:num>
  <w:num w:numId="18">
    <w:abstractNumId w:val="21"/>
  </w:num>
  <w:num w:numId="19">
    <w:abstractNumId w:val="9"/>
  </w:num>
  <w:num w:numId="20">
    <w:abstractNumId w:val="12"/>
  </w:num>
  <w:num w:numId="21">
    <w:abstractNumId w:val="16"/>
  </w:num>
  <w:num w:numId="22">
    <w:abstractNumId w:val="11"/>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5359"/>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39EC"/>
    <w:rsid w:val="001311D9"/>
    <w:rsid w:val="00134AB8"/>
    <w:rsid w:val="00137469"/>
    <w:rsid w:val="001420BD"/>
    <w:rsid w:val="00145E4B"/>
    <w:rsid w:val="00155707"/>
    <w:rsid w:val="00156958"/>
    <w:rsid w:val="00157F91"/>
    <w:rsid w:val="00157FA2"/>
    <w:rsid w:val="0016389F"/>
    <w:rsid w:val="00165472"/>
    <w:rsid w:val="00172C14"/>
    <w:rsid w:val="001776F2"/>
    <w:rsid w:val="0018206E"/>
    <w:rsid w:val="00196263"/>
    <w:rsid w:val="001A0A6A"/>
    <w:rsid w:val="001B2C32"/>
    <w:rsid w:val="001B4AE4"/>
    <w:rsid w:val="001B7F9C"/>
    <w:rsid w:val="001C0C52"/>
    <w:rsid w:val="001C1730"/>
    <w:rsid w:val="001C3033"/>
    <w:rsid w:val="001C5BAB"/>
    <w:rsid w:val="001C5C6D"/>
    <w:rsid w:val="001C77AA"/>
    <w:rsid w:val="001D02A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36"/>
    <w:rsid w:val="00223EE3"/>
    <w:rsid w:val="00225139"/>
    <w:rsid w:val="002331D0"/>
    <w:rsid w:val="00237006"/>
    <w:rsid w:val="0024039E"/>
    <w:rsid w:val="00253EDD"/>
    <w:rsid w:val="002551EE"/>
    <w:rsid w:val="00255552"/>
    <w:rsid w:val="00256B33"/>
    <w:rsid w:val="00257696"/>
    <w:rsid w:val="00265A36"/>
    <w:rsid w:val="00267BED"/>
    <w:rsid w:val="00272598"/>
    <w:rsid w:val="002735E0"/>
    <w:rsid w:val="00277193"/>
    <w:rsid w:val="002807F8"/>
    <w:rsid w:val="0029015F"/>
    <w:rsid w:val="002936AE"/>
    <w:rsid w:val="0029560D"/>
    <w:rsid w:val="0029614C"/>
    <w:rsid w:val="002A315B"/>
    <w:rsid w:val="002A3AEC"/>
    <w:rsid w:val="002B4879"/>
    <w:rsid w:val="002B7654"/>
    <w:rsid w:val="002C05DA"/>
    <w:rsid w:val="002C4087"/>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301405"/>
    <w:rsid w:val="00303920"/>
    <w:rsid w:val="00311735"/>
    <w:rsid w:val="003121C0"/>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A645E"/>
    <w:rsid w:val="003C2A8E"/>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233D"/>
    <w:rsid w:val="00443996"/>
    <w:rsid w:val="004571D0"/>
    <w:rsid w:val="00462DFB"/>
    <w:rsid w:val="004636DD"/>
    <w:rsid w:val="00465972"/>
    <w:rsid w:val="00467196"/>
    <w:rsid w:val="004704D5"/>
    <w:rsid w:val="0047132A"/>
    <w:rsid w:val="00471871"/>
    <w:rsid w:val="00471DE1"/>
    <w:rsid w:val="0047328F"/>
    <w:rsid w:val="004732B0"/>
    <w:rsid w:val="00474D68"/>
    <w:rsid w:val="00480BB4"/>
    <w:rsid w:val="0048222D"/>
    <w:rsid w:val="00484810"/>
    <w:rsid w:val="004853B5"/>
    <w:rsid w:val="00485A47"/>
    <w:rsid w:val="004A1DA6"/>
    <w:rsid w:val="004A2EA2"/>
    <w:rsid w:val="004A31B5"/>
    <w:rsid w:val="004A4BBD"/>
    <w:rsid w:val="004B01E2"/>
    <w:rsid w:val="004B2C2B"/>
    <w:rsid w:val="004B398E"/>
    <w:rsid w:val="004D5EDD"/>
    <w:rsid w:val="004F3897"/>
    <w:rsid w:val="004F5E61"/>
    <w:rsid w:val="005007BB"/>
    <w:rsid w:val="0050093F"/>
    <w:rsid w:val="00502882"/>
    <w:rsid w:val="00510F08"/>
    <w:rsid w:val="0051163E"/>
    <w:rsid w:val="0051425F"/>
    <w:rsid w:val="00515CDD"/>
    <w:rsid w:val="00520AC1"/>
    <w:rsid w:val="00521430"/>
    <w:rsid w:val="00522D1F"/>
    <w:rsid w:val="0053700E"/>
    <w:rsid w:val="00537979"/>
    <w:rsid w:val="00537A52"/>
    <w:rsid w:val="00543B26"/>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1F0E"/>
    <w:rsid w:val="00582077"/>
    <w:rsid w:val="0058484D"/>
    <w:rsid w:val="0058713F"/>
    <w:rsid w:val="00597898"/>
    <w:rsid w:val="005B644A"/>
    <w:rsid w:val="005B6556"/>
    <w:rsid w:val="005C1664"/>
    <w:rsid w:val="005C3E1F"/>
    <w:rsid w:val="005D4B41"/>
    <w:rsid w:val="005D4D5A"/>
    <w:rsid w:val="005E30D9"/>
    <w:rsid w:val="005E43C2"/>
    <w:rsid w:val="005E4F01"/>
    <w:rsid w:val="005E5800"/>
    <w:rsid w:val="005F3F8D"/>
    <w:rsid w:val="005F59C6"/>
    <w:rsid w:val="005F7D1A"/>
    <w:rsid w:val="00611E9C"/>
    <w:rsid w:val="00613258"/>
    <w:rsid w:val="00616978"/>
    <w:rsid w:val="00624324"/>
    <w:rsid w:val="0062732B"/>
    <w:rsid w:val="00630B5C"/>
    <w:rsid w:val="00631E5E"/>
    <w:rsid w:val="00632B6A"/>
    <w:rsid w:val="00633048"/>
    <w:rsid w:val="00635659"/>
    <w:rsid w:val="00637376"/>
    <w:rsid w:val="00640FB1"/>
    <w:rsid w:val="00643A6E"/>
    <w:rsid w:val="00657701"/>
    <w:rsid w:val="00657AB6"/>
    <w:rsid w:val="006652E4"/>
    <w:rsid w:val="00672354"/>
    <w:rsid w:val="00672F31"/>
    <w:rsid w:val="00674BCD"/>
    <w:rsid w:val="0068373C"/>
    <w:rsid w:val="0068387D"/>
    <w:rsid w:val="00691CE7"/>
    <w:rsid w:val="00692D78"/>
    <w:rsid w:val="00693042"/>
    <w:rsid w:val="006A0620"/>
    <w:rsid w:val="006A0F9A"/>
    <w:rsid w:val="006A63AE"/>
    <w:rsid w:val="006B070A"/>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63E2"/>
    <w:rsid w:val="00765DD0"/>
    <w:rsid w:val="00767640"/>
    <w:rsid w:val="0077340C"/>
    <w:rsid w:val="00774201"/>
    <w:rsid w:val="00780E3B"/>
    <w:rsid w:val="00781EDF"/>
    <w:rsid w:val="00790503"/>
    <w:rsid w:val="00793521"/>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8790F"/>
    <w:rsid w:val="00897865"/>
    <w:rsid w:val="008B4F7E"/>
    <w:rsid w:val="008C1300"/>
    <w:rsid w:val="008C6068"/>
    <w:rsid w:val="008D0383"/>
    <w:rsid w:val="008D26AB"/>
    <w:rsid w:val="008D3619"/>
    <w:rsid w:val="008D40CF"/>
    <w:rsid w:val="008D4DC0"/>
    <w:rsid w:val="008D7E37"/>
    <w:rsid w:val="008E100B"/>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AE1"/>
    <w:rsid w:val="00991BF3"/>
    <w:rsid w:val="009921F3"/>
    <w:rsid w:val="00992D1E"/>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2489"/>
    <w:rsid w:val="00A13DD5"/>
    <w:rsid w:val="00A16E9E"/>
    <w:rsid w:val="00A22273"/>
    <w:rsid w:val="00A30498"/>
    <w:rsid w:val="00A31635"/>
    <w:rsid w:val="00A35C53"/>
    <w:rsid w:val="00A40E47"/>
    <w:rsid w:val="00A46558"/>
    <w:rsid w:val="00A509CE"/>
    <w:rsid w:val="00A52DCD"/>
    <w:rsid w:val="00A553BB"/>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4C00"/>
    <w:rsid w:val="00AA575B"/>
    <w:rsid w:val="00AA5B41"/>
    <w:rsid w:val="00AA6A69"/>
    <w:rsid w:val="00AB2174"/>
    <w:rsid w:val="00AB376F"/>
    <w:rsid w:val="00AB3883"/>
    <w:rsid w:val="00AC3573"/>
    <w:rsid w:val="00AC46AB"/>
    <w:rsid w:val="00AD0885"/>
    <w:rsid w:val="00AD0F20"/>
    <w:rsid w:val="00AD5458"/>
    <w:rsid w:val="00AE64B9"/>
    <w:rsid w:val="00AE67A4"/>
    <w:rsid w:val="00AF11E9"/>
    <w:rsid w:val="00AF2BE7"/>
    <w:rsid w:val="00AF56BB"/>
    <w:rsid w:val="00AF6FA5"/>
    <w:rsid w:val="00B0059D"/>
    <w:rsid w:val="00B03049"/>
    <w:rsid w:val="00B0327E"/>
    <w:rsid w:val="00B05FF6"/>
    <w:rsid w:val="00B066DC"/>
    <w:rsid w:val="00B13B82"/>
    <w:rsid w:val="00B15F79"/>
    <w:rsid w:val="00B21311"/>
    <w:rsid w:val="00B22EEC"/>
    <w:rsid w:val="00B23C06"/>
    <w:rsid w:val="00B24392"/>
    <w:rsid w:val="00B343F2"/>
    <w:rsid w:val="00B40A2E"/>
    <w:rsid w:val="00B44812"/>
    <w:rsid w:val="00B45C4C"/>
    <w:rsid w:val="00B47221"/>
    <w:rsid w:val="00B47C17"/>
    <w:rsid w:val="00B50D59"/>
    <w:rsid w:val="00B5151B"/>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788B"/>
    <w:rsid w:val="00B91917"/>
    <w:rsid w:val="00B92BC6"/>
    <w:rsid w:val="00B93C97"/>
    <w:rsid w:val="00B94122"/>
    <w:rsid w:val="00B9623D"/>
    <w:rsid w:val="00BA1D20"/>
    <w:rsid w:val="00BA441F"/>
    <w:rsid w:val="00BC5357"/>
    <w:rsid w:val="00BC5DB0"/>
    <w:rsid w:val="00BC643D"/>
    <w:rsid w:val="00BD0A1A"/>
    <w:rsid w:val="00BD1A7C"/>
    <w:rsid w:val="00BD36C5"/>
    <w:rsid w:val="00BD43BC"/>
    <w:rsid w:val="00BD790D"/>
    <w:rsid w:val="00BE1919"/>
    <w:rsid w:val="00BE2942"/>
    <w:rsid w:val="00BE41BB"/>
    <w:rsid w:val="00BE449F"/>
    <w:rsid w:val="00BE4538"/>
    <w:rsid w:val="00BF4656"/>
    <w:rsid w:val="00BF4A32"/>
    <w:rsid w:val="00C01BDD"/>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C722B"/>
    <w:rsid w:val="00CD02DE"/>
    <w:rsid w:val="00CD4315"/>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2EDB"/>
    <w:rsid w:val="00D754D2"/>
    <w:rsid w:val="00D76653"/>
    <w:rsid w:val="00D8246C"/>
    <w:rsid w:val="00D8642A"/>
    <w:rsid w:val="00D9034E"/>
    <w:rsid w:val="00D916F8"/>
    <w:rsid w:val="00D924C1"/>
    <w:rsid w:val="00D9474C"/>
    <w:rsid w:val="00D96196"/>
    <w:rsid w:val="00D96A42"/>
    <w:rsid w:val="00DA6781"/>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E02D21"/>
    <w:rsid w:val="00E04019"/>
    <w:rsid w:val="00E04F9B"/>
    <w:rsid w:val="00E14892"/>
    <w:rsid w:val="00E150A3"/>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B31AB"/>
    <w:rsid w:val="00EB609D"/>
    <w:rsid w:val="00EC1176"/>
    <w:rsid w:val="00EC23C5"/>
    <w:rsid w:val="00EC365B"/>
    <w:rsid w:val="00EC4248"/>
    <w:rsid w:val="00ED18DC"/>
    <w:rsid w:val="00ED27D0"/>
    <w:rsid w:val="00ED2AAD"/>
    <w:rsid w:val="00ED4F7E"/>
    <w:rsid w:val="00ED6B77"/>
    <w:rsid w:val="00F0128E"/>
    <w:rsid w:val="00F021B4"/>
    <w:rsid w:val="00F02379"/>
    <w:rsid w:val="00F0322E"/>
    <w:rsid w:val="00F04601"/>
    <w:rsid w:val="00F1028B"/>
    <w:rsid w:val="00F133AD"/>
    <w:rsid w:val="00F15401"/>
    <w:rsid w:val="00F23E2A"/>
    <w:rsid w:val="00F246CC"/>
    <w:rsid w:val="00F306C5"/>
    <w:rsid w:val="00F310C7"/>
    <w:rsid w:val="00F32B25"/>
    <w:rsid w:val="00F34B69"/>
    <w:rsid w:val="00F412B3"/>
    <w:rsid w:val="00F4565E"/>
    <w:rsid w:val="00F561C6"/>
    <w:rsid w:val="00F63DBE"/>
    <w:rsid w:val="00F6415B"/>
    <w:rsid w:val="00F72E6E"/>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3B9C"/>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375206606">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4AE9D-1973-4BB0-94FF-B591793A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4</Pages>
  <Words>1353</Words>
  <Characters>7983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9</cp:revision>
  <cp:lastPrinted>2019-01-08T13:51:00Z</cp:lastPrinted>
  <dcterms:created xsi:type="dcterms:W3CDTF">2019-01-08T08:53:00Z</dcterms:created>
  <dcterms:modified xsi:type="dcterms:W3CDTF">2019-01-14T09:16:00Z</dcterms:modified>
</cp:coreProperties>
</file>