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FD6C4" w14:textId="77777777" w:rsidR="00721232" w:rsidRPr="00DF122B" w:rsidRDefault="00721232" w:rsidP="00721232">
      <w:pPr>
        <w:spacing w:after="0" w:line="240" w:lineRule="auto"/>
        <w:jc w:val="center"/>
        <w:rPr>
          <w:b/>
          <w:sz w:val="40"/>
        </w:rPr>
      </w:pPr>
      <w:r>
        <w:rPr>
          <w:b/>
          <w:sz w:val="40"/>
        </w:rPr>
        <w:t xml:space="preserve">FINANČNÍ </w:t>
      </w:r>
      <w:proofErr w:type="gramStart"/>
      <w:r>
        <w:rPr>
          <w:b/>
          <w:sz w:val="40"/>
        </w:rPr>
        <w:t>NÁSTROJE -</w:t>
      </w:r>
      <w:r w:rsidRPr="00DF122B">
        <w:rPr>
          <w:b/>
          <w:sz w:val="40"/>
        </w:rPr>
        <w:t xml:space="preserve"> ČMZRB</w:t>
      </w:r>
      <w:proofErr w:type="gramEnd"/>
    </w:p>
    <w:p w14:paraId="679F21F9" w14:textId="77777777" w:rsidR="00721232" w:rsidRDefault="00721232" w:rsidP="00721232">
      <w:pPr>
        <w:spacing w:after="0" w:line="240" w:lineRule="auto"/>
        <w:rPr>
          <w:b/>
        </w:rPr>
      </w:pPr>
    </w:p>
    <w:p w14:paraId="5EE74890" w14:textId="60ABBE96" w:rsidR="00721232" w:rsidRPr="00B61AB9" w:rsidRDefault="00721232" w:rsidP="00B61AB9">
      <w:pPr>
        <w:spacing w:after="0" w:line="240" w:lineRule="auto"/>
        <w:rPr>
          <w:b/>
          <w:sz w:val="24"/>
          <w:szCs w:val="24"/>
        </w:rPr>
      </w:pPr>
      <w:proofErr w:type="gramStart"/>
      <w:r w:rsidRPr="00B61AB9">
        <w:rPr>
          <w:b/>
          <w:sz w:val="24"/>
          <w:szCs w:val="24"/>
        </w:rPr>
        <w:t xml:space="preserve">Pilíř:  </w:t>
      </w:r>
      <w:r w:rsidRPr="00B61AB9">
        <w:rPr>
          <w:b/>
          <w:sz w:val="24"/>
          <w:szCs w:val="24"/>
        </w:rPr>
        <w:tab/>
      </w:r>
      <w:proofErr w:type="gramEnd"/>
      <w:r w:rsidR="00B61AB9" w:rsidRPr="00B61AB9">
        <w:rPr>
          <w:b/>
          <w:sz w:val="24"/>
          <w:szCs w:val="24"/>
        </w:rPr>
        <w:tab/>
      </w:r>
      <w:r w:rsidRPr="00B61AB9">
        <w:rPr>
          <w:b/>
          <w:sz w:val="24"/>
          <w:szCs w:val="24"/>
        </w:rPr>
        <w:t>3. Národní start-up a spin-</w:t>
      </w:r>
      <w:proofErr w:type="spellStart"/>
      <w:r w:rsidRPr="00B61AB9">
        <w:rPr>
          <w:b/>
          <w:sz w:val="24"/>
          <w:szCs w:val="24"/>
        </w:rPr>
        <w:t>off</w:t>
      </w:r>
      <w:proofErr w:type="spellEnd"/>
      <w:r w:rsidRPr="00B61AB9">
        <w:rPr>
          <w:b/>
          <w:sz w:val="24"/>
          <w:szCs w:val="24"/>
        </w:rPr>
        <w:t xml:space="preserve"> prostředí</w:t>
      </w:r>
    </w:p>
    <w:p w14:paraId="313B1980" w14:textId="60AD1921" w:rsidR="00B61AB9" w:rsidRPr="00B61AB9" w:rsidRDefault="00B61AB9" w:rsidP="00AC068F">
      <w:pPr>
        <w:spacing w:after="0" w:line="240" w:lineRule="auto"/>
        <w:ind w:left="1418" w:hanging="1418"/>
        <w:rPr>
          <w:sz w:val="24"/>
          <w:szCs w:val="24"/>
        </w:rPr>
      </w:pPr>
      <w:r w:rsidRPr="00B61AB9">
        <w:rPr>
          <w:b/>
          <w:sz w:val="24"/>
          <w:szCs w:val="24"/>
        </w:rPr>
        <w:t>Nástroje:</w:t>
      </w:r>
      <w:r w:rsidRPr="00B61AB9">
        <w:rPr>
          <w:b/>
          <w:sz w:val="24"/>
          <w:szCs w:val="24"/>
        </w:rPr>
        <w:tab/>
      </w:r>
      <w:r w:rsidRPr="00B61AB9">
        <w:rPr>
          <w:sz w:val="24"/>
          <w:szCs w:val="24"/>
        </w:rPr>
        <w:t xml:space="preserve">Vytvoření programů ČMZRB pro financování </w:t>
      </w:r>
      <w:proofErr w:type="spellStart"/>
      <w:r w:rsidRPr="00B61AB9">
        <w:rPr>
          <w:sz w:val="24"/>
          <w:szCs w:val="24"/>
        </w:rPr>
        <w:t>startups</w:t>
      </w:r>
      <w:proofErr w:type="spellEnd"/>
      <w:r w:rsidRPr="00B61AB9">
        <w:rPr>
          <w:sz w:val="24"/>
          <w:szCs w:val="24"/>
        </w:rPr>
        <w:t xml:space="preserve">, včetně zapojení MSP pro zakládání vlastních </w:t>
      </w:r>
      <w:proofErr w:type="spellStart"/>
      <w:r w:rsidRPr="00B61AB9">
        <w:rPr>
          <w:sz w:val="24"/>
          <w:szCs w:val="24"/>
        </w:rPr>
        <w:t>startups</w:t>
      </w:r>
      <w:proofErr w:type="spellEnd"/>
      <w:r w:rsidR="00AC068F">
        <w:rPr>
          <w:sz w:val="24"/>
          <w:szCs w:val="24"/>
        </w:rPr>
        <w:t xml:space="preserve">; </w:t>
      </w:r>
      <w:proofErr w:type="spellStart"/>
      <w:r w:rsidRPr="00B61AB9">
        <w:rPr>
          <w:sz w:val="24"/>
          <w:szCs w:val="24"/>
        </w:rPr>
        <w:t>Proof-of-Concept</w:t>
      </w:r>
      <w:proofErr w:type="spellEnd"/>
      <w:r w:rsidRPr="00B61AB9">
        <w:rPr>
          <w:sz w:val="24"/>
          <w:szCs w:val="24"/>
        </w:rPr>
        <w:t xml:space="preserve"> Fond</w:t>
      </w:r>
      <w:r w:rsidR="00AC068F">
        <w:rPr>
          <w:sz w:val="24"/>
          <w:szCs w:val="24"/>
        </w:rPr>
        <w:t xml:space="preserve">; </w:t>
      </w:r>
      <w:r w:rsidRPr="00B61AB9">
        <w:rPr>
          <w:sz w:val="24"/>
          <w:szCs w:val="24"/>
        </w:rPr>
        <w:t>Vytvoření investičních schémat dle mezinárodních modelů</w:t>
      </w:r>
    </w:p>
    <w:p w14:paraId="22F24F4B" w14:textId="48DDDC89" w:rsidR="00AD6EE4" w:rsidRDefault="00AD6EE4" w:rsidP="009043BE">
      <w:pPr>
        <w:spacing w:before="120" w:after="0" w:line="240" w:lineRule="auto"/>
        <w:jc w:val="both"/>
        <w:rPr>
          <w:sz w:val="24"/>
          <w:szCs w:val="24"/>
        </w:rPr>
      </w:pPr>
      <w:r w:rsidRPr="00AC068F">
        <w:rPr>
          <w:b/>
          <w:sz w:val="24"/>
          <w:szCs w:val="24"/>
        </w:rPr>
        <w:t>Cíl</w:t>
      </w:r>
      <w:r w:rsidR="00AC068F">
        <w:rPr>
          <w:b/>
          <w:sz w:val="24"/>
          <w:szCs w:val="24"/>
        </w:rPr>
        <w:t xml:space="preserve">: </w:t>
      </w:r>
      <w:r w:rsidR="00AC068F" w:rsidRPr="00AC068F">
        <w:rPr>
          <w:sz w:val="24"/>
          <w:szCs w:val="24"/>
        </w:rPr>
        <w:t>R</w:t>
      </w:r>
      <w:r w:rsidRPr="00B61AB9">
        <w:rPr>
          <w:sz w:val="24"/>
          <w:szCs w:val="24"/>
        </w:rPr>
        <w:t>ozšířit nabídku financování pro začínající podnikatele (start-upy) s využitím národní rozvojové banky (Českomoravská záruční a rozvojová banka)</w:t>
      </w:r>
      <w:r w:rsidR="00AC068F">
        <w:rPr>
          <w:sz w:val="24"/>
          <w:szCs w:val="24"/>
        </w:rPr>
        <w:t>.</w:t>
      </w:r>
    </w:p>
    <w:p w14:paraId="46371A92" w14:textId="30A921A5" w:rsidR="00280D8F" w:rsidRDefault="00B851B6" w:rsidP="00506DFE">
      <w:pPr>
        <w:spacing w:before="120" w:after="120" w:line="240" w:lineRule="auto"/>
        <w:jc w:val="both"/>
        <w:rPr>
          <w:sz w:val="24"/>
          <w:szCs w:val="24"/>
        </w:rPr>
      </w:pPr>
      <w:r w:rsidRPr="00B61AB9">
        <w:rPr>
          <w:b/>
          <w:sz w:val="24"/>
          <w:szCs w:val="24"/>
        </w:rPr>
        <w:t>Zdůvodnění</w:t>
      </w:r>
      <w:r w:rsidR="00ED429E" w:rsidRPr="00B61AB9">
        <w:rPr>
          <w:b/>
          <w:sz w:val="24"/>
          <w:szCs w:val="24"/>
        </w:rPr>
        <w:t xml:space="preserve"> potřeby</w:t>
      </w:r>
      <w:r w:rsidR="00937DE9" w:rsidRPr="00B61AB9">
        <w:rPr>
          <w:b/>
          <w:sz w:val="24"/>
          <w:szCs w:val="24"/>
        </w:rPr>
        <w:t>:</w:t>
      </w:r>
      <w:r w:rsidR="00AC068F">
        <w:rPr>
          <w:b/>
          <w:sz w:val="24"/>
          <w:szCs w:val="24"/>
        </w:rPr>
        <w:t xml:space="preserve"> </w:t>
      </w:r>
      <w:r w:rsidR="00C72CDE" w:rsidRPr="00B61AB9">
        <w:rPr>
          <w:sz w:val="24"/>
          <w:szCs w:val="24"/>
        </w:rPr>
        <w:t>Začínající m</w:t>
      </w:r>
      <w:r w:rsidR="00F70887" w:rsidRPr="00B61AB9">
        <w:rPr>
          <w:sz w:val="24"/>
          <w:szCs w:val="24"/>
        </w:rPr>
        <w:t xml:space="preserve">alé podniky získávají v </w:t>
      </w:r>
      <w:r w:rsidR="00C72CDE" w:rsidRPr="00B61AB9">
        <w:rPr>
          <w:rStyle w:val="fontstyle01"/>
          <w:sz w:val="24"/>
          <w:szCs w:val="24"/>
        </w:rPr>
        <w:t>České republice</w:t>
      </w:r>
      <w:r w:rsidR="00F70887" w:rsidRPr="00B61AB9">
        <w:rPr>
          <w:sz w:val="24"/>
          <w:szCs w:val="24"/>
        </w:rPr>
        <w:t xml:space="preserve"> peníze na svůj vznik a rozvoj stále velmi obtížně. Startup se musí většinou spolehnout na vlastní zdroje nebo na tzv. </w:t>
      </w:r>
      <w:proofErr w:type="gramStart"/>
      <w:r w:rsidR="00AC068F">
        <w:rPr>
          <w:sz w:val="24"/>
          <w:szCs w:val="24"/>
        </w:rPr>
        <w:t>3</w:t>
      </w:r>
      <w:r w:rsidR="00F70887" w:rsidRPr="00B61AB9">
        <w:rPr>
          <w:sz w:val="24"/>
          <w:szCs w:val="24"/>
        </w:rPr>
        <w:t>F</w:t>
      </w:r>
      <w:proofErr w:type="gramEnd"/>
      <w:r w:rsidR="00AC068F">
        <w:rPr>
          <w:sz w:val="24"/>
          <w:szCs w:val="24"/>
        </w:rPr>
        <w:t>.</w:t>
      </w:r>
      <w:r w:rsidR="00F70887" w:rsidRPr="00B61AB9">
        <w:rPr>
          <w:sz w:val="24"/>
          <w:szCs w:val="24"/>
        </w:rPr>
        <w:t xml:space="preserve"> </w:t>
      </w:r>
      <w:r w:rsidR="002E5166" w:rsidRPr="00B61AB9">
        <w:rPr>
          <w:rFonts w:cstheme="minorHAnsi"/>
          <w:sz w:val="24"/>
          <w:szCs w:val="24"/>
        </w:rPr>
        <w:t>V současném českém start-</w:t>
      </w:r>
      <w:proofErr w:type="spellStart"/>
      <w:r w:rsidR="002E5166" w:rsidRPr="00B61AB9">
        <w:rPr>
          <w:rFonts w:cstheme="minorHAnsi"/>
          <w:sz w:val="24"/>
          <w:szCs w:val="24"/>
        </w:rPr>
        <w:t>upovém</w:t>
      </w:r>
      <w:proofErr w:type="spellEnd"/>
      <w:r w:rsidR="002E5166" w:rsidRPr="00B61AB9">
        <w:rPr>
          <w:rFonts w:cstheme="minorHAnsi"/>
          <w:sz w:val="24"/>
          <w:szCs w:val="24"/>
        </w:rPr>
        <w:t xml:space="preserve"> ekosystému zatím až na ojedinělé výjimky chybí standardní </w:t>
      </w:r>
      <w:r w:rsidR="002E5166" w:rsidRPr="00B61AB9">
        <w:rPr>
          <w:rFonts w:cstheme="minorHAnsi"/>
          <w:b/>
          <w:i/>
          <w:sz w:val="24"/>
          <w:szCs w:val="24"/>
        </w:rPr>
        <w:t>bankovní financování</w:t>
      </w:r>
      <w:r w:rsidR="002E5166" w:rsidRPr="00B61AB9">
        <w:rPr>
          <w:rFonts w:cstheme="minorHAnsi"/>
          <w:sz w:val="24"/>
          <w:szCs w:val="24"/>
        </w:rPr>
        <w:t xml:space="preserve"> firem ve fázi start-up, které reflektuje </w:t>
      </w:r>
      <w:r w:rsidR="000A6FAE" w:rsidRPr="00B61AB9">
        <w:rPr>
          <w:rFonts w:cstheme="minorHAnsi"/>
          <w:sz w:val="24"/>
          <w:szCs w:val="24"/>
        </w:rPr>
        <w:t xml:space="preserve">zvýšené riziko začínajících projektů, </w:t>
      </w:r>
      <w:r w:rsidR="002E5166" w:rsidRPr="00B61AB9">
        <w:rPr>
          <w:rFonts w:cstheme="minorHAnsi"/>
          <w:sz w:val="24"/>
          <w:szCs w:val="24"/>
        </w:rPr>
        <w:t>absenci relevantní firemní historie, nedostatečné zajištění pro poskytnutí úvěru</w:t>
      </w:r>
      <w:r w:rsidR="000A6FAE" w:rsidRPr="00B61AB9">
        <w:rPr>
          <w:rFonts w:cstheme="minorHAnsi"/>
          <w:sz w:val="24"/>
          <w:szCs w:val="24"/>
        </w:rPr>
        <w:t xml:space="preserve"> a obecně konzervativnější přístup českých bank k financování podnikatelů</w:t>
      </w:r>
      <w:r w:rsidR="00937DE9" w:rsidRPr="00B61AB9">
        <w:rPr>
          <w:rFonts w:cstheme="minorHAnsi"/>
          <w:sz w:val="24"/>
          <w:szCs w:val="24"/>
        </w:rPr>
        <w:t xml:space="preserve">, ale také absenci strategického přístupu na podporu vzniku, rozvoje a financování start-upů ze strany státu. </w:t>
      </w:r>
      <w:r w:rsidR="000A6FAE" w:rsidRPr="00B61AB9">
        <w:rPr>
          <w:rFonts w:cstheme="minorHAnsi"/>
          <w:sz w:val="24"/>
          <w:szCs w:val="24"/>
        </w:rPr>
        <w:t>Financování start-upů proto představuje tržní selhání, jehož řešení by měla napomoci intervence státu</w:t>
      </w:r>
      <w:r w:rsidR="00937DE9" w:rsidRPr="00B61AB9">
        <w:rPr>
          <w:rFonts w:cstheme="minorHAnsi"/>
          <w:sz w:val="24"/>
          <w:szCs w:val="24"/>
        </w:rPr>
        <w:t>.</w:t>
      </w:r>
      <w:r w:rsidR="00280D8F" w:rsidRPr="00B61AB9">
        <w:rPr>
          <w:rFonts w:cstheme="minorHAnsi"/>
          <w:sz w:val="24"/>
          <w:szCs w:val="24"/>
        </w:rPr>
        <w:t xml:space="preserve"> </w:t>
      </w:r>
      <w:r w:rsidR="00280D8F" w:rsidRPr="00B61AB9">
        <w:rPr>
          <w:sz w:val="24"/>
          <w:szCs w:val="24"/>
        </w:rPr>
        <w:t xml:space="preserve">V rámci </w:t>
      </w:r>
      <w:r w:rsidR="00280D8F" w:rsidRPr="00B61AB9">
        <w:rPr>
          <w:b/>
          <w:i/>
          <w:sz w:val="24"/>
          <w:szCs w:val="24"/>
        </w:rPr>
        <w:t>dluhového financování</w:t>
      </w:r>
      <w:r w:rsidR="00280D8F" w:rsidRPr="00B61AB9">
        <w:rPr>
          <w:sz w:val="24"/>
          <w:szCs w:val="24"/>
        </w:rPr>
        <w:t xml:space="preserve"> byl v</w:t>
      </w:r>
      <w:r w:rsidR="002A7B76" w:rsidRPr="00B61AB9">
        <w:rPr>
          <w:sz w:val="24"/>
          <w:szCs w:val="24"/>
        </w:rPr>
        <w:t xml:space="preserve"> dubnu </w:t>
      </w:r>
      <w:r w:rsidR="00280D8F" w:rsidRPr="00B61AB9">
        <w:rPr>
          <w:sz w:val="24"/>
          <w:szCs w:val="24"/>
        </w:rPr>
        <w:t>letošní</w:t>
      </w:r>
      <w:r w:rsidR="002A7B76" w:rsidRPr="00B61AB9">
        <w:rPr>
          <w:sz w:val="24"/>
          <w:szCs w:val="24"/>
        </w:rPr>
        <w:t>ho</w:t>
      </w:r>
      <w:r w:rsidR="00280D8F" w:rsidRPr="00B61AB9">
        <w:rPr>
          <w:sz w:val="24"/>
          <w:szCs w:val="24"/>
        </w:rPr>
        <w:t xml:space="preserve"> r</w:t>
      </w:r>
      <w:r w:rsidR="002A7B76" w:rsidRPr="00B61AB9">
        <w:rPr>
          <w:sz w:val="24"/>
          <w:szCs w:val="24"/>
        </w:rPr>
        <w:t>oku</w:t>
      </w:r>
      <w:r w:rsidR="00280D8F" w:rsidRPr="00B61AB9">
        <w:rPr>
          <w:sz w:val="24"/>
          <w:szCs w:val="24"/>
        </w:rPr>
        <w:t xml:space="preserve"> spuštěn úvěrový program INFIN </w:t>
      </w:r>
      <w:r w:rsidR="002A7B76" w:rsidRPr="00B61AB9">
        <w:rPr>
          <w:sz w:val="24"/>
          <w:szCs w:val="24"/>
        </w:rPr>
        <w:t>pro projekty realizované na území hl. m. Prahy</w:t>
      </w:r>
      <w:r w:rsidR="00280D8F" w:rsidRPr="00B61AB9">
        <w:rPr>
          <w:sz w:val="24"/>
          <w:szCs w:val="24"/>
        </w:rPr>
        <w:t>. Start-upy budou tvořit ale „jen“ 10 % cílového portfolia.</w:t>
      </w:r>
      <w:r w:rsidR="0030051F" w:rsidRPr="00B61AB9">
        <w:rPr>
          <w:sz w:val="24"/>
          <w:szCs w:val="24"/>
        </w:rPr>
        <w:t xml:space="preserve"> Trh </w:t>
      </w:r>
      <w:r w:rsidR="0030051F" w:rsidRPr="00B61AB9">
        <w:rPr>
          <w:b/>
          <w:i/>
          <w:sz w:val="24"/>
          <w:szCs w:val="24"/>
        </w:rPr>
        <w:t>rizikového kapitálu</w:t>
      </w:r>
      <w:r w:rsidR="0030051F" w:rsidRPr="00B61AB9">
        <w:rPr>
          <w:sz w:val="24"/>
          <w:szCs w:val="24"/>
        </w:rPr>
        <w:t xml:space="preserve"> je v ČR ve srovnání s ostatními státy EU velmi málo rozvinutý, a to zejména </w:t>
      </w:r>
      <w:r w:rsidR="006C7AC4" w:rsidRPr="00B61AB9">
        <w:rPr>
          <w:sz w:val="24"/>
          <w:szCs w:val="24"/>
        </w:rPr>
        <w:t>investic do</w:t>
      </w:r>
      <w:r w:rsidR="0030051F" w:rsidRPr="00B61AB9">
        <w:rPr>
          <w:sz w:val="24"/>
          <w:szCs w:val="24"/>
        </w:rPr>
        <w:t xml:space="preserve"> „idea“ a „</w:t>
      </w:r>
      <w:proofErr w:type="spellStart"/>
      <w:r w:rsidR="0030051F" w:rsidRPr="00B61AB9">
        <w:rPr>
          <w:sz w:val="24"/>
          <w:szCs w:val="24"/>
        </w:rPr>
        <w:t>pre-seed</w:t>
      </w:r>
      <w:proofErr w:type="spellEnd"/>
      <w:r w:rsidR="0030051F" w:rsidRPr="00B61AB9">
        <w:rPr>
          <w:sz w:val="24"/>
          <w:szCs w:val="24"/>
        </w:rPr>
        <w:t>“ fáze. V současné době neexistují tzv. „</w:t>
      </w:r>
      <w:proofErr w:type="spellStart"/>
      <w:r w:rsidR="0030051F" w:rsidRPr="00B61AB9">
        <w:rPr>
          <w:sz w:val="24"/>
          <w:szCs w:val="24"/>
        </w:rPr>
        <w:t>smart</w:t>
      </w:r>
      <w:proofErr w:type="spellEnd"/>
      <w:r w:rsidR="0030051F" w:rsidRPr="00B61AB9">
        <w:rPr>
          <w:sz w:val="24"/>
          <w:szCs w:val="24"/>
        </w:rPr>
        <w:t xml:space="preserve"> </w:t>
      </w:r>
      <w:proofErr w:type="spellStart"/>
      <w:r w:rsidR="0030051F" w:rsidRPr="00B61AB9">
        <w:rPr>
          <w:sz w:val="24"/>
          <w:szCs w:val="24"/>
        </w:rPr>
        <w:t>money</w:t>
      </w:r>
      <w:proofErr w:type="spellEnd"/>
      <w:r w:rsidR="0030051F" w:rsidRPr="00B61AB9">
        <w:rPr>
          <w:sz w:val="24"/>
          <w:szCs w:val="24"/>
        </w:rPr>
        <w:t>“ tedy jednoduchá možnost získání financování.  Státu se konkrétní programy nedaří realizovat a pro soukromý sektor (banky) jde o velmi rizikové investice.</w:t>
      </w:r>
    </w:p>
    <w:tbl>
      <w:tblPr>
        <w:tblStyle w:val="Mkatabulky"/>
        <w:tblW w:w="93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5572"/>
        <w:gridCol w:w="1559"/>
        <w:gridCol w:w="1696"/>
      </w:tblGrid>
      <w:tr w:rsidR="00416953" w:rsidRPr="00E038CC" w14:paraId="3626C411" w14:textId="77777777" w:rsidTr="00E038CC">
        <w:tc>
          <w:tcPr>
            <w:tcW w:w="522" w:type="dxa"/>
          </w:tcPr>
          <w:p w14:paraId="44F576A9" w14:textId="4CFEE98A" w:rsidR="00416953" w:rsidRPr="00E038CC" w:rsidRDefault="00416953" w:rsidP="0017692F">
            <w:pPr>
              <w:rPr>
                <w:sz w:val="23"/>
                <w:szCs w:val="23"/>
              </w:rPr>
            </w:pPr>
          </w:p>
        </w:tc>
        <w:tc>
          <w:tcPr>
            <w:tcW w:w="5572" w:type="dxa"/>
            <w:vAlign w:val="center"/>
          </w:tcPr>
          <w:p w14:paraId="17D61ABF" w14:textId="5E7D3FAB" w:rsidR="00416953" w:rsidRPr="00E038CC" w:rsidRDefault="00553934" w:rsidP="00CB0BD4">
            <w:pPr>
              <w:spacing w:after="120"/>
              <w:rPr>
                <w:b/>
                <w:sz w:val="23"/>
                <w:szCs w:val="23"/>
              </w:rPr>
            </w:pPr>
            <w:r w:rsidRPr="00E038CC">
              <w:rPr>
                <w:b/>
                <w:sz w:val="23"/>
                <w:szCs w:val="23"/>
              </w:rPr>
              <w:t>Formy provedení</w:t>
            </w:r>
            <w:r w:rsidR="00506DFE" w:rsidRPr="00E038CC">
              <w:rPr>
                <w:b/>
                <w:sz w:val="23"/>
                <w:szCs w:val="23"/>
              </w:rPr>
              <w:t>:</w:t>
            </w:r>
          </w:p>
        </w:tc>
        <w:tc>
          <w:tcPr>
            <w:tcW w:w="1559" w:type="dxa"/>
            <w:vAlign w:val="center"/>
          </w:tcPr>
          <w:p w14:paraId="0BCCD3B4" w14:textId="22835F3A" w:rsidR="00416953" w:rsidRPr="00E038CC" w:rsidRDefault="00553934" w:rsidP="00CB0BD4">
            <w:pPr>
              <w:spacing w:after="120"/>
              <w:rPr>
                <w:b/>
                <w:sz w:val="23"/>
                <w:szCs w:val="23"/>
              </w:rPr>
            </w:pPr>
            <w:r w:rsidRPr="00E038CC">
              <w:rPr>
                <w:b/>
                <w:sz w:val="23"/>
                <w:szCs w:val="23"/>
              </w:rPr>
              <w:t>Časov</w:t>
            </w:r>
            <w:r w:rsidR="00506DFE" w:rsidRPr="00E038CC">
              <w:rPr>
                <w:b/>
                <w:sz w:val="23"/>
                <w:szCs w:val="23"/>
              </w:rPr>
              <w:t xml:space="preserve">é </w:t>
            </w:r>
            <w:r w:rsidRPr="00E038CC">
              <w:rPr>
                <w:b/>
                <w:sz w:val="23"/>
                <w:szCs w:val="23"/>
              </w:rPr>
              <w:t>milník</w:t>
            </w:r>
            <w:r w:rsidR="00506DFE" w:rsidRPr="00E038CC">
              <w:rPr>
                <w:b/>
                <w:sz w:val="23"/>
                <w:szCs w:val="23"/>
              </w:rPr>
              <w:t>y:</w:t>
            </w:r>
          </w:p>
        </w:tc>
        <w:tc>
          <w:tcPr>
            <w:tcW w:w="1696" w:type="dxa"/>
            <w:vAlign w:val="center"/>
          </w:tcPr>
          <w:p w14:paraId="4BE24A5A" w14:textId="24E8F1BD" w:rsidR="00416953" w:rsidRPr="00E038CC" w:rsidRDefault="00553934" w:rsidP="00CB0BD4">
            <w:pPr>
              <w:spacing w:after="120"/>
              <w:rPr>
                <w:b/>
                <w:sz w:val="23"/>
                <w:szCs w:val="23"/>
              </w:rPr>
            </w:pPr>
            <w:r w:rsidRPr="00E038CC">
              <w:rPr>
                <w:b/>
                <w:sz w:val="23"/>
                <w:szCs w:val="23"/>
              </w:rPr>
              <w:t>Finanční požadavky</w:t>
            </w:r>
            <w:r w:rsidR="00506DFE" w:rsidRPr="00E038CC">
              <w:rPr>
                <w:b/>
                <w:sz w:val="23"/>
                <w:szCs w:val="23"/>
              </w:rPr>
              <w:t>:</w:t>
            </w:r>
          </w:p>
        </w:tc>
      </w:tr>
      <w:tr w:rsidR="00416953" w:rsidRPr="00E038CC" w14:paraId="749C5BCD" w14:textId="77777777" w:rsidTr="00E038CC">
        <w:tc>
          <w:tcPr>
            <w:tcW w:w="522" w:type="dxa"/>
          </w:tcPr>
          <w:p w14:paraId="0C40D7CB" w14:textId="0C91B9D6" w:rsidR="00416953" w:rsidRPr="00E038CC" w:rsidRDefault="00416953" w:rsidP="005D7010">
            <w:pPr>
              <w:rPr>
                <w:sz w:val="23"/>
                <w:szCs w:val="23"/>
              </w:rPr>
            </w:pPr>
            <w:r w:rsidRPr="00E038CC">
              <w:rPr>
                <w:sz w:val="23"/>
                <w:szCs w:val="23"/>
              </w:rPr>
              <w:t>a)</w:t>
            </w:r>
          </w:p>
        </w:tc>
        <w:tc>
          <w:tcPr>
            <w:tcW w:w="5572" w:type="dxa"/>
          </w:tcPr>
          <w:p w14:paraId="2EA32B50" w14:textId="797D7C1E" w:rsidR="00416953" w:rsidRPr="00E038CC" w:rsidRDefault="00416953" w:rsidP="004652C8">
            <w:pPr>
              <w:jc w:val="both"/>
              <w:rPr>
                <w:sz w:val="23"/>
                <w:szCs w:val="23"/>
              </w:rPr>
            </w:pPr>
            <w:r w:rsidRPr="00E038CC">
              <w:rPr>
                <w:rFonts w:cstheme="minorHAnsi"/>
                <w:sz w:val="23"/>
                <w:szCs w:val="23"/>
              </w:rPr>
              <w:t>Rozšíření programu INFIN o tzv. program S-PODNIK pro sociální podnikatele, který umožní podpořit i začínající sociální podnikatele.</w:t>
            </w:r>
          </w:p>
        </w:tc>
        <w:tc>
          <w:tcPr>
            <w:tcW w:w="1559" w:type="dxa"/>
          </w:tcPr>
          <w:p w14:paraId="44C1681D" w14:textId="3C0F4A24" w:rsidR="00416953" w:rsidRPr="00E038CC" w:rsidRDefault="00416953" w:rsidP="005D7010">
            <w:pPr>
              <w:rPr>
                <w:sz w:val="23"/>
                <w:szCs w:val="23"/>
              </w:rPr>
            </w:pPr>
            <w:r w:rsidRPr="00E038CC">
              <w:rPr>
                <w:sz w:val="23"/>
                <w:szCs w:val="23"/>
              </w:rPr>
              <w:t>12/2019</w:t>
            </w:r>
          </w:p>
        </w:tc>
        <w:tc>
          <w:tcPr>
            <w:tcW w:w="1696" w:type="dxa"/>
          </w:tcPr>
          <w:p w14:paraId="4AC40863" w14:textId="319C2770" w:rsidR="00416953" w:rsidRPr="00E038CC" w:rsidRDefault="00416953" w:rsidP="005D7010">
            <w:pPr>
              <w:rPr>
                <w:sz w:val="23"/>
                <w:szCs w:val="23"/>
              </w:rPr>
            </w:pPr>
            <w:r w:rsidRPr="00E038CC">
              <w:rPr>
                <w:sz w:val="23"/>
                <w:szCs w:val="23"/>
              </w:rPr>
              <w:t xml:space="preserve">Hrazeno z ESIF </w:t>
            </w:r>
          </w:p>
        </w:tc>
      </w:tr>
      <w:tr w:rsidR="00416953" w:rsidRPr="00E038CC" w14:paraId="4D5EF85B" w14:textId="77777777" w:rsidTr="00E038CC">
        <w:tc>
          <w:tcPr>
            <w:tcW w:w="522" w:type="dxa"/>
          </w:tcPr>
          <w:p w14:paraId="37EF0566" w14:textId="370FB1D3" w:rsidR="00416953" w:rsidRPr="00E038CC" w:rsidRDefault="00416953" w:rsidP="0017692F">
            <w:pPr>
              <w:rPr>
                <w:sz w:val="23"/>
                <w:szCs w:val="23"/>
              </w:rPr>
            </w:pPr>
            <w:r w:rsidRPr="00E038CC">
              <w:rPr>
                <w:sz w:val="23"/>
                <w:szCs w:val="23"/>
              </w:rPr>
              <w:t>b)</w:t>
            </w:r>
          </w:p>
        </w:tc>
        <w:tc>
          <w:tcPr>
            <w:tcW w:w="5572" w:type="dxa"/>
          </w:tcPr>
          <w:p w14:paraId="67AEE1C2" w14:textId="1E8BB5D6" w:rsidR="00416953" w:rsidRPr="00E038CC" w:rsidRDefault="00416953" w:rsidP="004652C8">
            <w:pPr>
              <w:jc w:val="both"/>
              <w:rPr>
                <w:sz w:val="23"/>
                <w:szCs w:val="23"/>
              </w:rPr>
            </w:pPr>
            <w:r w:rsidRPr="00E038CC">
              <w:rPr>
                <w:rFonts w:cstheme="minorHAnsi"/>
                <w:sz w:val="23"/>
                <w:szCs w:val="23"/>
              </w:rPr>
              <w:t xml:space="preserve">Zavádění nových dluhových finančních nástrojů. ČMZRB připravuje v programech EXPANZE – úvěry a EXPANZE – záruky aktivitu pro start-upy za zvýhodněných podmínek. </w:t>
            </w:r>
          </w:p>
        </w:tc>
        <w:tc>
          <w:tcPr>
            <w:tcW w:w="1559" w:type="dxa"/>
          </w:tcPr>
          <w:p w14:paraId="3B17C929" w14:textId="34640444" w:rsidR="00416953" w:rsidRPr="00E038CC" w:rsidRDefault="00416953" w:rsidP="0017692F">
            <w:pPr>
              <w:rPr>
                <w:sz w:val="23"/>
                <w:szCs w:val="23"/>
              </w:rPr>
            </w:pPr>
            <w:r w:rsidRPr="00E038CC">
              <w:rPr>
                <w:sz w:val="23"/>
                <w:szCs w:val="23"/>
              </w:rPr>
              <w:t>12/2020</w:t>
            </w:r>
          </w:p>
        </w:tc>
        <w:tc>
          <w:tcPr>
            <w:tcW w:w="1696" w:type="dxa"/>
          </w:tcPr>
          <w:p w14:paraId="1A8D0323" w14:textId="01FC59D9" w:rsidR="00416953" w:rsidRPr="00E038CC" w:rsidRDefault="00416953" w:rsidP="0017692F">
            <w:pPr>
              <w:rPr>
                <w:sz w:val="23"/>
                <w:szCs w:val="23"/>
              </w:rPr>
            </w:pPr>
            <w:r w:rsidRPr="00E038CC">
              <w:rPr>
                <w:sz w:val="23"/>
                <w:szCs w:val="23"/>
              </w:rPr>
              <w:t>Hrazeno z ESIF (OPPIK)</w:t>
            </w:r>
          </w:p>
        </w:tc>
      </w:tr>
      <w:tr w:rsidR="00416953" w:rsidRPr="00E038CC" w14:paraId="35AAD333" w14:textId="77777777" w:rsidTr="00E038CC">
        <w:tc>
          <w:tcPr>
            <w:tcW w:w="522" w:type="dxa"/>
          </w:tcPr>
          <w:p w14:paraId="5E3B17BA" w14:textId="1CEEFF56" w:rsidR="00416953" w:rsidRPr="00E038CC" w:rsidRDefault="00416953" w:rsidP="00E25D21">
            <w:pPr>
              <w:rPr>
                <w:sz w:val="23"/>
                <w:szCs w:val="23"/>
              </w:rPr>
            </w:pPr>
            <w:r w:rsidRPr="00E038CC">
              <w:rPr>
                <w:sz w:val="23"/>
                <w:szCs w:val="23"/>
              </w:rPr>
              <w:t>c)</w:t>
            </w:r>
          </w:p>
        </w:tc>
        <w:tc>
          <w:tcPr>
            <w:tcW w:w="5572" w:type="dxa"/>
          </w:tcPr>
          <w:p w14:paraId="1C0A2E90" w14:textId="191BCB5B" w:rsidR="00416953" w:rsidRPr="00E038CC" w:rsidRDefault="00416953" w:rsidP="00E25D21">
            <w:pPr>
              <w:rPr>
                <w:sz w:val="23"/>
                <w:szCs w:val="23"/>
              </w:rPr>
            </w:pPr>
            <w:r w:rsidRPr="00E038CC">
              <w:rPr>
                <w:sz w:val="23"/>
                <w:szCs w:val="23"/>
              </w:rPr>
              <w:t xml:space="preserve">Studie proveditelnosti návrhu založení </w:t>
            </w:r>
            <w:proofErr w:type="spellStart"/>
            <w:r w:rsidRPr="00E038CC">
              <w:rPr>
                <w:sz w:val="23"/>
                <w:szCs w:val="23"/>
              </w:rPr>
              <w:t>pre-seed</w:t>
            </w:r>
            <w:proofErr w:type="spellEnd"/>
            <w:r w:rsidRPr="00E038CC">
              <w:rPr>
                <w:sz w:val="23"/>
                <w:szCs w:val="23"/>
              </w:rPr>
              <w:t xml:space="preserve"> fondu, tj. zavádění kapitálových finančních nástrojů. Fond</w:t>
            </w:r>
            <w:r w:rsidRPr="00E038CC">
              <w:rPr>
                <w:rStyle w:val="Znakapoznpodarou"/>
                <w:sz w:val="23"/>
                <w:szCs w:val="23"/>
              </w:rPr>
              <w:footnoteReference w:id="1"/>
            </w:r>
            <w:r w:rsidRPr="00E038CC">
              <w:rPr>
                <w:sz w:val="23"/>
                <w:szCs w:val="23"/>
              </w:rPr>
              <w:t xml:space="preserve"> by mohl doplnit stávající a připravované kapitálové nástroje ČMZRB, které se zaměřují na podporu firem ve fázi </w:t>
            </w:r>
            <w:proofErr w:type="spellStart"/>
            <w:r w:rsidRPr="00E038CC">
              <w:rPr>
                <w:sz w:val="23"/>
                <w:szCs w:val="23"/>
              </w:rPr>
              <w:t>scale</w:t>
            </w:r>
            <w:proofErr w:type="spellEnd"/>
            <w:r w:rsidRPr="00E038CC">
              <w:rPr>
                <w:sz w:val="23"/>
                <w:szCs w:val="23"/>
              </w:rPr>
              <w:t>-up</w:t>
            </w:r>
            <w:r w:rsidRPr="00E038CC">
              <w:rPr>
                <w:rStyle w:val="Znakapoznpodarou"/>
                <w:sz w:val="23"/>
                <w:szCs w:val="23"/>
              </w:rPr>
              <w:footnoteReference w:id="2"/>
            </w:r>
            <w:r w:rsidRPr="00E038CC">
              <w:rPr>
                <w:sz w:val="23"/>
                <w:szCs w:val="23"/>
              </w:rPr>
              <w:t>.</w:t>
            </w:r>
          </w:p>
        </w:tc>
        <w:tc>
          <w:tcPr>
            <w:tcW w:w="1559" w:type="dxa"/>
          </w:tcPr>
          <w:p w14:paraId="4DA904AE" w14:textId="0A906ECC" w:rsidR="00416953" w:rsidRPr="00E038CC" w:rsidRDefault="00416953" w:rsidP="00E25D21">
            <w:pPr>
              <w:rPr>
                <w:sz w:val="23"/>
                <w:szCs w:val="23"/>
              </w:rPr>
            </w:pPr>
            <w:r w:rsidRPr="00E038CC">
              <w:rPr>
                <w:sz w:val="23"/>
                <w:szCs w:val="23"/>
              </w:rPr>
              <w:t>12/2020</w:t>
            </w:r>
          </w:p>
        </w:tc>
        <w:tc>
          <w:tcPr>
            <w:tcW w:w="1696" w:type="dxa"/>
          </w:tcPr>
          <w:p w14:paraId="68257428" w14:textId="4D2EBC76" w:rsidR="00416953" w:rsidRPr="00E038CC" w:rsidRDefault="00416953" w:rsidP="00E25D21">
            <w:pPr>
              <w:rPr>
                <w:sz w:val="23"/>
                <w:szCs w:val="23"/>
              </w:rPr>
            </w:pPr>
            <w:r w:rsidRPr="00E038CC">
              <w:rPr>
                <w:sz w:val="23"/>
                <w:szCs w:val="23"/>
              </w:rPr>
              <w:t>Stávající (N/A)</w:t>
            </w:r>
          </w:p>
        </w:tc>
      </w:tr>
      <w:tr w:rsidR="00416953" w:rsidRPr="00E038CC" w14:paraId="3C3753BB" w14:textId="77777777" w:rsidTr="00E038CC">
        <w:tc>
          <w:tcPr>
            <w:tcW w:w="522" w:type="dxa"/>
          </w:tcPr>
          <w:p w14:paraId="426CA7B3" w14:textId="55AEB67C" w:rsidR="00416953" w:rsidRPr="00E038CC" w:rsidRDefault="00416953" w:rsidP="0017692F">
            <w:pPr>
              <w:rPr>
                <w:sz w:val="23"/>
                <w:szCs w:val="23"/>
              </w:rPr>
            </w:pPr>
            <w:r w:rsidRPr="00E038CC">
              <w:rPr>
                <w:sz w:val="23"/>
                <w:szCs w:val="23"/>
              </w:rPr>
              <w:t>d)</w:t>
            </w:r>
          </w:p>
        </w:tc>
        <w:tc>
          <w:tcPr>
            <w:tcW w:w="5572" w:type="dxa"/>
          </w:tcPr>
          <w:p w14:paraId="5D6A431C" w14:textId="08AFA949" w:rsidR="00416953" w:rsidRPr="00E038CC" w:rsidRDefault="00416953" w:rsidP="0017692F">
            <w:pPr>
              <w:rPr>
                <w:sz w:val="23"/>
                <w:szCs w:val="23"/>
              </w:rPr>
            </w:pPr>
            <w:r w:rsidRPr="00E038CC">
              <w:rPr>
                <w:sz w:val="23"/>
                <w:szCs w:val="23"/>
              </w:rPr>
              <w:t>Zpracování návrhu na nové finanční nástroje na podporu start-upů pro období 2021-27 (v návaznosti na ex-antu analýzu finančních nástrojů programu OPK)</w:t>
            </w:r>
            <w:r w:rsidRPr="00E038CC">
              <w:rPr>
                <w:rStyle w:val="Znakapoznpodarou"/>
                <w:sz w:val="23"/>
                <w:szCs w:val="23"/>
              </w:rPr>
              <w:footnoteReference w:id="3"/>
            </w:r>
          </w:p>
        </w:tc>
        <w:tc>
          <w:tcPr>
            <w:tcW w:w="1559" w:type="dxa"/>
          </w:tcPr>
          <w:p w14:paraId="509D7525" w14:textId="4AAF43CD" w:rsidR="00416953" w:rsidRPr="00E038CC" w:rsidRDefault="00416953" w:rsidP="00F77B92">
            <w:pPr>
              <w:rPr>
                <w:sz w:val="23"/>
                <w:szCs w:val="23"/>
              </w:rPr>
            </w:pPr>
            <w:r w:rsidRPr="00E038CC">
              <w:rPr>
                <w:sz w:val="23"/>
                <w:szCs w:val="23"/>
              </w:rPr>
              <w:t xml:space="preserve">12/2021 </w:t>
            </w:r>
          </w:p>
        </w:tc>
        <w:tc>
          <w:tcPr>
            <w:tcW w:w="1696" w:type="dxa"/>
          </w:tcPr>
          <w:p w14:paraId="43A3DC77" w14:textId="7813508B" w:rsidR="00416953" w:rsidRPr="00E038CC" w:rsidRDefault="00416953" w:rsidP="0017692F">
            <w:pPr>
              <w:rPr>
                <w:sz w:val="23"/>
                <w:szCs w:val="23"/>
              </w:rPr>
            </w:pPr>
            <w:r w:rsidRPr="00E038CC">
              <w:rPr>
                <w:sz w:val="23"/>
                <w:szCs w:val="23"/>
              </w:rPr>
              <w:t>Využití ESIF</w:t>
            </w:r>
          </w:p>
        </w:tc>
      </w:tr>
      <w:tr w:rsidR="00416953" w:rsidRPr="00E038CC" w14:paraId="0A8B470A" w14:textId="77777777" w:rsidTr="00E038CC">
        <w:tc>
          <w:tcPr>
            <w:tcW w:w="522" w:type="dxa"/>
          </w:tcPr>
          <w:p w14:paraId="3193F072" w14:textId="6EF62BFA" w:rsidR="00416953" w:rsidRPr="00E038CC" w:rsidRDefault="00416953" w:rsidP="0017692F">
            <w:pPr>
              <w:rPr>
                <w:sz w:val="23"/>
                <w:szCs w:val="23"/>
              </w:rPr>
            </w:pPr>
            <w:r w:rsidRPr="00E038CC">
              <w:rPr>
                <w:sz w:val="23"/>
                <w:szCs w:val="23"/>
              </w:rPr>
              <w:t>e)</w:t>
            </w:r>
          </w:p>
        </w:tc>
        <w:tc>
          <w:tcPr>
            <w:tcW w:w="5572" w:type="dxa"/>
          </w:tcPr>
          <w:p w14:paraId="137C2088" w14:textId="67FA4ED8" w:rsidR="00416953" w:rsidRPr="00E038CC" w:rsidRDefault="00416953" w:rsidP="00F77B92">
            <w:pPr>
              <w:rPr>
                <w:sz w:val="23"/>
                <w:szCs w:val="23"/>
              </w:rPr>
            </w:pPr>
            <w:r w:rsidRPr="00E038CC">
              <w:rPr>
                <w:sz w:val="23"/>
                <w:szCs w:val="23"/>
              </w:rPr>
              <w:t>Realizace n</w:t>
            </w:r>
            <w:bookmarkStart w:id="0" w:name="_GoBack"/>
            <w:bookmarkEnd w:id="0"/>
            <w:r w:rsidRPr="00E038CC">
              <w:rPr>
                <w:sz w:val="23"/>
                <w:szCs w:val="23"/>
              </w:rPr>
              <w:t>ových finančních nástrojů dle bodu (c a d)</w:t>
            </w:r>
          </w:p>
        </w:tc>
        <w:tc>
          <w:tcPr>
            <w:tcW w:w="1559" w:type="dxa"/>
          </w:tcPr>
          <w:p w14:paraId="1BF8B017" w14:textId="329F9ADA" w:rsidR="00416953" w:rsidRPr="00E038CC" w:rsidRDefault="00416953" w:rsidP="0017692F">
            <w:pPr>
              <w:rPr>
                <w:sz w:val="23"/>
                <w:szCs w:val="23"/>
              </w:rPr>
            </w:pPr>
            <w:r w:rsidRPr="00E038CC">
              <w:rPr>
                <w:sz w:val="23"/>
                <w:szCs w:val="23"/>
              </w:rPr>
              <w:t>Od 2022</w:t>
            </w:r>
            <w:r w:rsidRPr="00E038CC">
              <w:rPr>
                <w:rStyle w:val="Znakapoznpodarou"/>
                <w:sz w:val="23"/>
                <w:szCs w:val="23"/>
              </w:rPr>
              <w:footnoteReference w:id="4"/>
            </w:r>
            <w:r w:rsidRPr="00E038CC">
              <w:rPr>
                <w:sz w:val="23"/>
                <w:szCs w:val="23"/>
              </w:rPr>
              <w:t xml:space="preserve"> </w:t>
            </w:r>
          </w:p>
        </w:tc>
        <w:tc>
          <w:tcPr>
            <w:tcW w:w="1696" w:type="dxa"/>
          </w:tcPr>
          <w:p w14:paraId="2E881C0D" w14:textId="4842D537" w:rsidR="00416953" w:rsidRPr="00E038CC" w:rsidRDefault="00416953" w:rsidP="0017692F">
            <w:pPr>
              <w:rPr>
                <w:sz w:val="23"/>
                <w:szCs w:val="23"/>
              </w:rPr>
            </w:pPr>
            <w:r w:rsidRPr="00E038CC">
              <w:rPr>
                <w:sz w:val="23"/>
                <w:szCs w:val="23"/>
              </w:rPr>
              <w:t>Využití ESIF / SR</w:t>
            </w:r>
          </w:p>
        </w:tc>
      </w:tr>
    </w:tbl>
    <w:p w14:paraId="281E7159" w14:textId="77777777" w:rsidR="004652C8" w:rsidRPr="00B61AB9" w:rsidRDefault="004652C8" w:rsidP="00F94C14">
      <w:pPr>
        <w:spacing w:after="0" w:line="240" w:lineRule="auto"/>
        <w:rPr>
          <w:sz w:val="24"/>
          <w:szCs w:val="24"/>
        </w:rPr>
      </w:pPr>
    </w:p>
    <w:sectPr w:rsidR="004652C8" w:rsidRPr="00B61AB9" w:rsidSect="00A042B8">
      <w:headerReference w:type="default" r:id="rId8"/>
      <w:pgSz w:w="11906" w:h="16838"/>
      <w:pgMar w:top="1418" w:right="1134"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9DECE" w14:textId="77777777" w:rsidR="00474D37" w:rsidRDefault="00474D37" w:rsidP="00E53C57">
      <w:pPr>
        <w:spacing w:after="0" w:line="240" w:lineRule="auto"/>
      </w:pPr>
      <w:r>
        <w:separator/>
      </w:r>
    </w:p>
  </w:endnote>
  <w:endnote w:type="continuationSeparator" w:id="0">
    <w:p w14:paraId="07D447E7" w14:textId="77777777" w:rsidR="00474D37" w:rsidRDefault="00474D37" w:rsidP="00E53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E448B" w14:textId="77777777" w:rsidR="00474D37" w:rsidRDefault="00474D37" w:rsidP="00E53C57">
      <w:pPr>
        <w:spacing w:after="0" w:line="240" w:lineRule="auto"/>
      </w:pPr>
      <w:r>
        <w:separator/>
      </w:r>
    </w:p>
  </w:footnote>
  <w:footnote w:type="continuationSeparator" w:id="0">
    <w:p w14:paraId="7218F184" w14:textId="77777777" w:rsidR="00474D37" w:rsidRDefault="00474D37" w:rsidP="00E53C57">
      <w:pPr>
        <w:spacing w:after="0" w:line="240" w:lineRule="auto"/>
      </w:pPr>
      <w:r>
        <w:continuationSeparator/>
      </w:r>
    </w:p>
  </w:footnote>
  <w:footnote w:id="1">
    <w:p w14:paraId="6533849F" w14:textId="7200FA5E" w:rsidR="00416953" w:rsidRPr="004C5F0B" w:rsidRDefault="00416953">
      <w:pPr>
        <w:pStyle w:val="Textpoznpodarou"/>
        <w:rPr>
          <w:sz w:val="14"/>
        </w:rPr>
      </w:pPr>
      <w:r w:rsidRPr="00114C62">
        <w:rPr>
          <w:rStyle w:val="Znakapoznpodarou"/>
          <w:sz w:val="16"/>
        </w:rPr>
        <w:footnoteRef/>
      </w:r>
      <w:r w:rsidRPr="00114C62">
        <w:rPr>
          <w:sz w:val="16"/>
        </w:rPr>
        <w:t xml:space="preserve"> </w:t>
      </w:r>
      <w:r w:rsidRPr="004C5F0B">
        <w:rPr>
          <w:sz w:val="14"/>
        </w:rPr>
        <w:t xml:space="preserve">Nově založená dceřiná společnost ČMZRB investiční, a. s. zahajuje jednání s Evropským investičním fondem (EIF), Ministerstvem průmyslu a obchodu (MPO) a Czech Private </w:t>
      </w:r>
      <w:proofErr w:type="spellStart"/>
      <w:r w:rsidRPr="004C5F0B">
        <w:rPr>
          <w:sz w:val="14"/>
        </w:rPr>
        <w:t>Equity</w:t>
      </w:r>
      <w:proofErr w:type="spellEnd"/>
      <w:r w:rsidRPr="004C5F0B">
        <w:rPr>
          <w:sz w:val="14"/>
        </w:rPr>
        <w:t xml:space="preserve"> &amp; Venture </w:t>
      </w:r>
      <w:proofErr w:type="spellStart"/>
      <w:r w:rsidRPr="004C5F0B">
        <w:rPr>
          <w:sz w:val="14"/>
        </w:rPr>
        <w:t>Capital</w:t>
      </w:r>
      <w:proofErr w:type="spellEnd"/>
      <w:r w:rsidRPr="004C5F0B">
        <w:rPr>
          <w:sz w:val="14"/>
        </w:rPr>
        <w:t xml:space="preserve"> </w:t>
      </w:r>
      <w:proofErr w:type="spellStart"/>
      <w:r w:rsidRPr="004C5F0B">
        <w:rPr>
          <w:sz w:val="14"/>
        </w:rPr>
        <w:t>Association</w:t>
      </w:r>
      <w:proofErr w:type="spellEnd"/>
      <w:r w:rsidRPr="004C5F0B">
        <w:rPr>
          <w:sz w:val="14"/>
        </w:rPr>
        <w:t xml:space="preserve"> (CVCA) o možnosti spuštění </w:t>
      </w:r>
      <w:proofErr w:type="spellStart"/>
      <w:r w:rsidRPr="004C5F0B">
        <w:rPr>
          <w:sz w:val="14"/>
        </w:rPr>
        <w:t>pre-seed</w:t>
      </w:r>
      <w:proofErr w:type="spellEnd"/>
      <w:r w:rsidRPr="004C5F0B">
        <w:rPr>
          <w:sz w:val="14"/>
        </w:rPr>
        <w:t xml:space="preserve"> fondu.</w:t>
      </w:r>
    </w:p>
  </w:footnote>
  <w:footnote w:id="2">
    <w:p w14:paraId="5A5530CF" w14:textId="23C07D45" w:rsidR="00416953" w:rsidRPr="004C5F0B" w:rsidRDefault="00416953">
      <w:pPr>
        <w:pStyle w:val="Textpoznpodarou"/>
        <w:rPr>
          <w:sz w:val="14"/>
          <w:szCs w:val="16"/>
        </w:rPr>
      </w:pPr>
      <w:r w:rsidRPr="004C5F0B">
        <w:rPr>
          <w:rStyle w:val="Znakapoznpodarou"/>
          <w:sz w:val="14"/>
          <w:szCs w:val="16"/>
        </w:rPr>
        <w:footnoteRef/>
      </w:r>
      <w:r w:rsidRPr="004C5F0B">
        <w:rPr>
          <w:sz w:val="14"/>
          <w:szCs w:val="16"/>
        </w:rPr>
        <w:t xml:space="preserve"> Středoevropský fond fondů, resp. IPO fond.</w:t>
      </w:r>
    </w:p>
  </w:footnote>
  <w:footnote w:id="3">
    <w:p w14:paraId="0447839A" w14:textId="57929107" w:rsidR="00416953" w:rsidRPr="004C5F0B" w:rsidRDefault="00416953">
      <w:pPr>
        <w:pStyle w:val="Textpoznpodarou"/>
        <w:rPr>
          <w:sz w:val="14"/>
          <w:szCs w:val="16"/>
        </w:rPr>
      </w:pPr>
      <w:r w:rsidRPr="004C5F0B">
        <w:rPr>
          <w:rStyle w:val="Znakapoznpodarou"/>
          <w:sz w:val="14"/>
          <w:szCs w:val="16"/>
        </w:rPr>
        <w:footnoteRef/>
      </w:r>
      <w:r w:rsidRPr="004C5F0B">
        <w:rPr>
          <w:sz w:val="14"/>
          <w:szCs w:val="16"/>
        </w:rPr>
        <w:t xml:space="preserve"> Např. by se mohlo jednat o </w:t>
      </w:r>
      <w:proofErr w:type="spellStart"/>
      <w:r w:rsidRPr="004C5F0B">
        <w:rPr>
          <w:sz w:val="14"/>
          <w:szCs w:val="16"/>
        </w:rPr>
        <w:t>Koinvestiční</w:t>
      </w:r>
      <w:proofErr w:type="spellEnd"/>
      <w:r w:rsidRPr="004C5F0B">
        <w:rPr>
          <w:sz w:val="14"/>
          <w:szCs w:val="16"/>
        </w:rPr>
        <w:t xml:space="preserve"> fond k povzbuzení aktivit BA (andělských investorů). Tento typ nástroje má řadu </w:t>
      </w:r>
      <w:proofErr w:type="gramStart"/>
      <w:r w:rsidRPr="004C5F0B">
        <w:rPr>
          <w:sz w:val="14"/>
          <w:szCs w:val="16"/>
        </w:rPr>
        <w:t>výhod</w:t>
      </w:r>
      <w:proofErr w:type="gramEnd"/>
      <w:r w:rsidRPr="004C5F0B">
        <w:rPr>
          <w:sz w:val="14"/>
          <w:szCs w:val="16"/>
        </w:rPr>
        <w:t xml:space="preserve"> mezi něž patří zejména opětovné využití poskytnutých veřejných finančních prostředků a mobilizace soukromých prostředků. Případně tzv. Risk </w:t>
      </w:r>
      <w:proofErr w:type="spellStart"/>
      <w:r w:rsidRPr="004C5F0B">
        <w:rPr>
          <w:sz w:val="14"/>
          <w:szCs w:val="16"/>
        </w:rPr>
        <w:t>Sharing</w:t>
      </w:r>
      <w:proofErr w:type="spellEnd"/>
      <w:r w:rsidRPr="004C5F0B">
        <w:rPr>
          <w:sz w:val="14"/>
          <w:szCs w:val="16"/>
        </w:rPr>
        <w:t xml:space="preserve"> Loan (RSL) neboli standardní schéma léta využívané EIF/EIB, kteří podporu MSP distribuují prostřednictvím komerčních bank. Jde o fond úvěrů, který zřídí finanční zprostředkovatel s využitím příspěvků z programu a od finančního zprostředkovatele s cílem financovat portfolio nově vytvořených úvěrů. Takto nastavený finanční nástroj tedy umožňuje podpořit typy firem, které jinak banky příliš nefinancují. Výsledkem je vyšší objem úvěrů pro tyto firmy, navíc za výhodnějších podmínek, než dosud byly na trhu k dispozici.</w:t>
      </w:r>
    </w:p>
  </w:footnote>
  <w:footnote w:id="4">
    <w:p w14:paraId="30047E61" w14:textId="0EE44AA6" w:rsidR="00416953" w:rsidRPr="00CB6E7E" w:rsidRDefault="00416953">
      <w:pPr>
        <w:pStyle w:val="Textpoznpodarou"/>
        <w:rPr>
          <w:sz w:val="16"/>
          <w:szCs w:val="16"/>
        </w:rPr>
      </w:pPr>
      <w:r w:rsidRPr="00CB6E7E">
        <w:rPr>
          <w:rStyle w:val="Znakapoznpodarou"/>
          <w:sz w:val="16"/>
          <w:szCs w:val="16"/>
        </w:rPr>
        <w:footnoteRef/>
      </w:r>
      <w:r w:rsidRPr="00CB6E7E">
        <w:rPr>
          <w:sz w:val="16"/>
          <w:szCs w:val="16"/>
        </w:rPr>
        <w:t xml:space="preserve"> dle startu ESIF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C7C61" w14:textId="50DA8D7D" w:rsidR="00E53C57" w:rsidRDefault="00E53C57" w:rsidP="00E53C57">
    <w:pPr>
      <w:pStyle w:val="Zhlav"/>
      <w:jc w:val="right"/>
    </w:pPr>
    <w:r>
      <w:rPr>
        <w:noProof/>
        <w:lang w:eastAsia="cs-CZ"/>
      </w:rPr>
      <w:drawing>
        <wp:inline distT="0" distB="0" distL="0" distR="0" wp14:anchorId="6B72D72A" wp14:editId="0BECFB6A">
          <wp:extent cx="1400297" cy="606387"/>
          <wp:effectExtent l="0" t="0" r="0" b="3810"/>
          <wp:docPr id="10" name="Obrázek 10">
            <a:extLst xmlns:a="http://schemas.openxmlformats.org/drawingml/2006/main">
              <a:ext uri="{FF2B5EF4-FFF2-40B4-BE49-F238E27FC236}">
                <a16:creationId xmlns:a16="http://schemas.microsoft.com/office/drawing/2014/main" id="{E590C005-A35A-4055-8678-0A68116897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a:extLst>
                      <a:ext uri="{FF2B5EF4-FFF2-40B4-BE49-F238E27FC236}">
                        <a16:creationId xmlns:a16="http://schemas.microsoft.com/office/drawing/2014/main" id="{E590C005-A35A-4055-8678-0A6811689795}"/>
                      </a:ext>
                    </a:extLst>
                  </pic:cNvPr>
                  <pic:cNvPicPr>
                    <a:picLocks noChangeAspect="1"/>
                  </pic:cNvPicPr>
                </pic:nvPicPr>
                <pic:blipFill rotWithShape="1">
                  <a:blip r:embed="rId1">
                    <a:extLst>
                      <a:ext uri="{28A0092B-C50C-407E-A947-70E740481C1C}">
                        <a14:useLocalDpi xmlns:a14="http://schemas.microsoft.com/office/drawing/2010/main" val="0"/>
                      </a:ext>
                    </a:extLst>
                  </a:blip>
                  <a:srcRect l="3511" t="6991" r="75569" b="76902"/>
                  <a:stretch/>
                </pic:blipFill>
                <pic:spPr bwMode="auto">
                  <a:xfrm>
                    <a:off x="0" y="0"/>
                    <a:ext cx="1428516" cy="61860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3241F"/>
    <w:multiLevelType w:val="hybridMultilevel"/>
    <w:tmpl w:val="6DE669DE"/>
    <w:lvl w:ilvl="0" w:tplc="56C6824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BF4B41"/>
    <w:multiLevelType w:val="hybridMultilevel"/>
    <w:tmpl w:val="C89ED81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164195"/>
    <w:multiLevelType w:val="hybridMultilevel"/>
    <w:tmpl w:val="EFBCA17C"/>
    <w:lvl w:ilvl="0" w:tplc="A36270E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1DB013B"/>
    <w:multiLevelType w:val="hybridMultilevel"/>
    <w:tmpl w:val="E490F1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2C3806"/>
    <w:multiLevelType w:val="hybridMultilevel"/>
    <w:tmpl w:val="F3A475D4"/>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EE185B"/>
    <w:multiLevelType w:val="hybridMultilevel"/>
    <w:tmpl w:val="27F8A0D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2DB07D3"/>
    <w:multiLevelType w:val="hybridMultilevel"/>
    <w:tmpl w:val="716EE1D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07136C"/>
    <w:multiLevelType w:val="hybridMultilevel"/>
    <w:tmpl w:val="101C41F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4D340EBE"/>
    <w:multiLevelType w:val="hybridMultilevel"/>
    <w:tmpl w:val="69D4488E"/>
    <w:lvl w:ilvl="0" w:tplc="EF263F6C">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15:restartNumberingAfterBreak="0">
    <w:nsid w:val="598472AF"/>
    <w:multiLevelType w:val="hybridMultilevel"/>
    <w:tmpl w:val="03308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B960A5"/>
    <w:multiLevelType w:val="hybridMultilevel"/>
    <w:tmpl w:val="33CEC4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51615D"/>
    <w:multiLevelType w:val="hybridMultilevel"/>
    <w:tmpl w:val="DD14E048"/>
    <w:lvl w:ilvl="0" w:tplc="0F6C0E46">
      <w:start w:val="1"/>
      <w:numFmt w:val="lowerLetter"/>
      <w:lvlText w:val="%1."/>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3F7838"/>
    <w:multiLevelType w:val="hybridMultilevel"/>
    <w:tmpl w:val="925AF0F8"/>
    <w:lvl w:ilvl="0" w:tplc="F202E65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CD176C"/>
    <w:multiLevelType w:val="hybridMultilevel"/>
    <w:tmpl w:val="5AAAA62A"/>
    <w:lvl w:ilvl="0" w:tplc="0F6C0E46">
      <w:start w:val="1"/>
      <w:numFmt w:val="lowerLetter"/>
      <w:lvlText w:val="%1."/>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8933D9"/>
    <w:multiLevelType w:val="hybridMultilevel"/>
    <w:tmpl w:val="835CED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
  </w:num>
  <w:num w:numId="4">
    <w:abstractNumId w:val="11"/>
  </w:num>
  <w:num w:numId="5">
    <w:abstractNumId w:val="2"/>
  </w:num>
  <w:num w:numId="6">
    <w:abstractNumId w:val="1"/>
  </w:num>
  <w:num w:numId="7">
    <w:abstractNumId w:val="8"/>
  </w:num>
  <w:num w:numId="8">
    <w:abstractNumId w:val="13"/>
  </w:num>
  <w:num w:numId="9">
    <w:abstractNumId w:val="6"/>
  </w:num>
  <w:num w:numId="10">
    <w:abstractNumId w:val="5"/>
  </w:num>
  <w:num w:numId="11">
    <w:abstractNumId w:val="0"/>
  </w:num>
  <w:num w:numId="12">
    <w:abstractNumId w:val="9"/>
  </w:num>
  <w:num w:numId="13">
    <w:abstractNumId w:val="10"/>
  </w:num>
  <w:num w:numId="14">
    <w:abstractNumId w:val="7"/>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B6"/>
    <w:rsid w:val="00057D9F"/>
    <w:rsid w:val="000669B1"/>
    <w:rsid w:val="00091995"/>
    <w:rsid w:val="000A6FAE"/>
    <w:rsid w:val="000E73BE"/>
    <w:rsid w:val="000F5092"/>
    <w:rsid w:val="000F529D"/>
    <w:rsid w:val="00114C62"/>
    <w:rsid w:val="001D1FD9"/>
    <w:rsid w:val="002179A6"/>
    <w:rsid w:val="00226D35"/>
    <w:rsid w:val="00280D8F"/>
    <w:rsid w:val="002A7B76"/>
    <w:rsid w:val="002C7A4F"/>
    <w:rsid w:val="002E0C85"/>
    <w:rsid w:val="002E5166"/>
    <w:rsid w:val="0030051F"/>
    <w:rsid w:val="003259D4"/>
    <w:rsid w:val="003323AC"/>
    <w:rsid w:val="0036439C"/>
    <w:rsid w:val="0038635B"/>
    <w:rsid w:val="0039782C"/>
    <w:rsid w:val="003B2976"/>
    <w:rsid w:val="003F7793"/>
    <w:rsid w:val="00416953"/>
    <w:rsid w:val="004652C8"/>
    <w:rsid w:val="00474D37"/>
    <w:rsid w:val="00475968"/>
    <w:rsid w:val="004C5F0B"/>
    <w:rsid w:val="004E0A5D"/>
    <w:rsid w:val="004E1E8F"/>
    <w:rsid w:val="00506DFE"/>
    <w:rsid w:val="00533932"/>
    <w:rsid w:val="00535B50"/>
    <w:rsid w:val="00553934"/>
    <w:rsid w:val="005602C4"/>
    <w:rsid w:val="005712F2"/>
    <w:rsid w:val="005D7010"/>
    <w:rsid w:val="0060370A"/>
    <w:rsid w:val="006871EB"/>
    <w:rsid w:val="006C7AC4"/>
    <w:rsid w:val="006D1DCC"/>
    <w:rsid w:val="00721232"/>
    <w:rsid w:val="007336FC"/>
    <w:rsid w:val="00760958"/>
    <w:rsid w:val="00863164"/>
    <w:rsid w:val="00880440"/>
    <w:rsid w:val="009043BE"/>
    <w:rsid w:val="00937DE9"/>
    <w:rsid w:val="00965796"/>
    <w:rsid w:val="009B0C86"/>
    <w:rsid w:val="009D0160"/>
    <w:rsid w:val="009D45D1"/>
    <w:rsid w:val="00A042B8"/>
    <w:rsid w:val="00AC068F"/>
    <w:rsid w:val="00AD6EE4"/>
    <w:rsid w:val="00B107BA"/>
    <w:rsid w:val="00B31445"/>
    <w:rsid w:val="00B41F5C"/>
    <w:rsid w:val="00B423EE"/>
    <w:rsid w:val="00B61AB9"/>
    <w:rsid w:val="00B851B6"/>
    <w:rsid w:val="00BC5870"/>
    <w:rsid w:val="00C13BC1"/>
    <w:rsid w:val="00C20E65"/>
    <w:rsid w:val="00C2114F"/>
    <w:rsid w:val="00C23F27"/>
    <w:rsid w:val="00C46FFD"/>
    <w:rsid w:val="00C72CDE"/>
    <w:rsid w:val="00CB0BD4"/>
    <w:rsid w:val="00CB6E7E"/>
    <w:rsid w:val="00CE4D9B"/>
    <w:rsid w:val="00CF63E7"/>
    <w:rsid w:val="00D75C83"/>
    <w:rsid w:val="00D82385"/>
    <w:rsid w:val="00E038CC"/>
    <w:rsid w:val="00E53C57"/>
    <w:rsid w:val="00E76047"/>
    <w:rsid w:val="00EC7253"/>
    <w:rsid w:val="00ED322F"/>
    <w:rsid w:val="00ED429E"/>
    <w:rsid w:val="00F036A8"/>
    <w:rsid w:val="00F70887"/>
    <w:rsid w:val="00F77B92"/>
    <w:rsid w:val="00F94C14"/>
    <w:rsid w:val="00FA16DF"/>
    <w:rsid w:val="00FA3410"/>
    <w:rsid w:val="00FB2B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0378CE"/>
  <w15:chartTrackingRefBased/>
  <w15:docId w15:val="{6D702369-DD81-4A2F-B159-5B3D5EC6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link w:val="Nadpis3Char"/>
    <w:uiPriority w:val="9"/>
    <w:qFormat/>
    <w:rsid w:val="002C7A4F"/>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D429E"/>
    <w:pPr>
      <w:ind w:left="720"/>
      <w:contextualSpacing/>
    </w:pPr>
  </w:style>
  <w:style w:type="character" w:customStyle="1" w:styleId="Nadpis3Char">
    <w:name w:val="Nadpis 3 Char"/>
    <w:basedOn w:val="Standardnpsmoodstavce"/>
    <w:link w:val="Nadpis3"/>
    <w:uiPriority w:val="9"/>
    <w:rsid w:val="002C7A4F"/>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2C7A4F"/>
    <w:rPr>
      <w:color w:val="0000FF"/>
      <w:u w:val="single"/>
    </w:rPr>
  </w:style>
  <w:style w:type="paragraph" w:styleId="Textbubliny">
    <w:name w:val="Balloon Text"/>
    <w:basedOn w:val="Normln"/>
    <w:link w:val="TextbublinyChar"/>
    <w:uiPriority w:val="99"/>
    <w:semiHidden/>
    <w:unhideWhenUsed/>
    <w:rsid w:val="00D75C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75C83"/>
    <w:rPr>
      <w:rFonts w:ascii="Segoe UI" w:hAnsi="Segoe UI" w:cs="Segoe UI"/>
      <w:sz w:val="18"/>
      <w:szCs w:val="18"/>
    </w:rPr>
  </w:style>
  <w:style w:type="character" w:styleId="Odkaznakoment">
    <w:name w:val="annotation reference"/>
    <w:basedOn w:val="Standardnpsmoodstavce"/>
    <w:uiPriority w:val="99"/>
    <w:semiHidden/>
    <w:unhideWhenUsed/>
    <w:rsid w:val="00B107BA"/>
    <w:rPr>
      <w:sz w:val="16"/>
      <w:szCs w:val="16"/>
    </w:rPr>
  </w:style>
  <w:style w:type="paragraph" w:styleId="Textkomente">
    <w:name w:val="annotation text"/>
    <w:basedOn w:val="Normln"/>
    <w:link w:val="TextkomenteChar"/>
    <w:uiPriority w:val="99"/>
    <w:semiHidden/>
    <w:unhideWhenUsed/>
    <w:rsid w:val="00B107BA"/>
    <w:pPr>
      <w:spacing w:line="240" w:lineRule="auto"/>
    </w:pPr>
    <w:rPr>
      <w:sz w:val="20"/>
      <w:szCs w:val="20"/>
    </w:rPr>
  </w:style>
  <w:style w:type="character" w:customStyle="1" w:styleId="TextkomenteChar">
    <w:name w:val="Text komentáře Char"/>
    <w:basedOn w:val="Standardnpsmoodstavce"/>
    <w:link w:val="Textkomente"/>
    <w:uiPriority w:val="99"/>
    <w:semiHidden/>
    <w:rsid w:val="00B107BA"/>
    <w:rPr>
      <w:sz w:val="20"/>
      <w:szCs w:val="20"/>
    </w:rPr>
  </w:style>
  <w:style w:type="paragraph" w:styleId="Pedmtkomente">
    <w:name w:val="annotation subject"/>
    <w:basedOn w:val="Textkomente"/>
    <w:next w:val="Textkomente"/>
    <w:link w:val="PedmtkomenteChar"/>
    <w:uiPriority w:val="99"/>
    <w:semiHidden/>
    <w:unhideWhenUsed/>
    <w:rsid w:val="00B107BA"/>
    <w:rPr>
      <w:b/>
      <w:bCs/>
    </w:rPr>
  </w:style>
  <w:style w:type="character" w:customStyle="1" w:styleId="PedmtkomenteChar">
    <w:name w:val="Předmět komentáře Char"/>
    <w:basedOn w:val="TextkomenteChar"/>
    <w:link w:val="Pedmtkomente"/>
    <w:uiPriority w:val="99"/>
    <w:semiHidden/>
    <w:rsid w:val="00B107BA"/>
    <w:rPr>
      <w:b/>
      <w:bCs/>
      <w:sz w:val="20"/>
      <w:szCs w:val="20"/>
    </w:rPr>
  </w:style>
  <w:style w:type="paragraph" w:styleId="Zhlav">
    <w:name w:val="header"/>
    <w:basedOn w:val="Normln"/>
    <w:link w:val="ZhlavChar"/>
    <w:uiPriority w:val="99"/>
    <w:unhideWhenUsed/>
    <w:rsid w:val="00E53C5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53C57"/>
  </w:style>
  <w:style w:type="paragraph" w:styleId="Zpat">
    <w:name w:val="footer"/>
    <w:basedOn w:val="Normln"/>
    <w:link w:val="ZpatChar"/>
    <w:uiPriority w:val="99"/>
    <w:unhideWhenUsed/>
    <w:rsid w:val="00E53C57"/>
    <w:pPr>
      <w:tabs>
        <w:tab w:val="center" w:pos="4536"/>
        <w:tab w:val="right" w:pos="9072"/>
      </w:tabs>
      <w:spacing w:after="0" w:line="240" w:lineRule="auto"/>
    </w:pPr>
  </w:style>
  <w:style w:type="character" w:customStyle="1" w:styleId="ZpatChar">
    <w:name w:val="Zápatí Char"/>
    <w:basedOn w:val="Standardnpsmoodstavce"/>
    <w:link w:val="Zpat"/>
    <w:uiPriority w:val="99"/>
    <w:rsid w:val="00E53C57"/>
  </w:style>
  <w:style w:type="character" w:customStyle="1" w:styleId="normaltextrun">
    <w:name w:val="normaltextrun"/>
    <w:basedOn w:val="Standardnpsmoodstavce"/>
    <w:rsid w:val="00F94C14"/>
  </w:style>
  <w:style w:type="character" w:customStyle="1" w:styleId="eop">
    <w:name w:val="eop"/>
    <w:basedOn w:val="Standardnpsmoodstavce"/>
    <w:rsid w:val="00F94C14"/>
  </w:style>
  <w:style w:type="table" w:styleId="Mkatabulky">
    <w:name w:val="Table Grid"/>
    <w:basedOn w:val="Normlntabulka"/>
    <w:uiPriority w:val="39"/>
    <w:rsid w:val="00F94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Standardnpsmoodstavce"/>
    <w:rsid w:val="00535B50"/>
    <w:rPr>
      <w:rFonts w:ascii="Calibri" w:hAnsi="Calibri" w:cs="Calibri" w:hint="default"/>
      <w:b w:val="0"/>
      <w:bCs w:val="0"/>
      <w:i w:val="0"/>
      <w:iCs w:val="0"/>
      <w:color w:val="000000"/>
      <w:sz w:val="20"/>
      <w:szCs w:val="20"/>
    </w:rPr>
  </w:style>
  <w:style w:type="character" w:customStyle="1" w:styleId="st">
    <w:name w:val="st"/>
    <w:basedOn w:val="Standardnpsmoodstavce"/>
    <w:rsid w:val="00AD6EE4"/>
  </w:style>
  <w:style w:type="character" w:customStyle="1" w:styleId="tlid-translation">
    <w:name w:val="tlid-translation"/>
    <w:basedOn w:val="Standardnpsmoodstavce"/>
    <w:rsid w:val="00AD6EE4"/>
  </w:style>
  <w:style w:type="paragraph" w:styleId="Textpoznpodarou">
    <w:name w:val="footnote text"/>
    <w:basedOn w:val="Normln"/>
    <w:link w:val="TextpoznpodarouChar"/>
    <w:uiPriority w:val="99"/>
    <w:semiHidden/>
    <w:unhideWhenUsed/>
    <w:rsid w:val="00114C6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14C62"/>
    <w:rPr>
      <w:sz w:val="20"/>
      <w:szCs w:val="20"/>
    </w:rPr>
  </w:style>
  <w:style w:type="character" w:styleId="Znakapoznpodarou">
    <w:name w:val="footnote reference"/>
    <w:basedOn w:val="Standardnpsmoodstavce"/>
    <w:uiPriority w:val="99"/>
    <w:semiHidden/>
    <w:unhideWhenUsed/>
    <w:rsid w:val="00114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942692">
      <w:bodyDiv w:val="1"/>
      <w:marLeft w:val="0"/>
      <w:marRight w:val="0"/>
      <w:marTop w:val="0"/>
      <w:marBottom w:val="0"/>
      <w:divBdr>
        <w:top w:val="none" w:sz="0" w:space="0" w:color="auto"/>
        <w:left w:val="none" w:sz="0" w:space="0" w:color="auto"/>
        <w:bottom w:val="none" w:sz="0" w:space="0" w:color="auto"/>
        <w:right w:val="none" w:sz="0" w:space="0" w:color="auto"/>
      </w:divBdr>
    </w:div>
    <w:div w:id="121222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8F007-9E81-41C0-82DE-B45577D49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382</Words>
  <Characters>2257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Duda</dc:creator>
  <cp:keywords/>
  <dc:description/>
  <cp:lastModifiedBy>Havlová Markéta</cp:lastModifiedBy>
  <cp:revision>16</cp:revision>
  <dcterms:created xsi:type="dcterms:W3CDTF">2019-09-04T13:01:00Z</dcterms:created>
  <dcterms:modified xsi:type="dcterms:W3CDTF">2019-09-28T14:27:00Z</dcterms:modified>
</cp:coreProperties>
</file>