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3EA5" w:rsidRPr="00B175FB" w:rsidRDefault="00871996" w:rsidP="00CA1E85">
      <w:pPr>
        <w:jc w:val="right"/>
      </w:pPr>
      <w:r w:rsidRPr="00B175FB">
        <w:rPr>
          <w:noProof/>
          <w:lang w:eastAsia="cs-CZ"/>
        </w:rPr>
        <w:drawing>
          <wp:anchor distT="0" distB="0" distL="2160270" distR="2160270" simplePos="0" relativeHeight="251658240" behindDoc="0" locked="0" layoutInCell="1" allowOverlap="1" wp14:anchorId="56B3D317" wp14:editId="3856745B">
            <wp:simplePos x="0" y="0"/>
            <wp:positionH relativeFrom="margin">
              <wp:align>center</wp:align>
            </wp:positionH>
            <wp:positionV relativeFrom="paragraph">
              <wp:posOffset>414020</wp:posOffset>
            </wp:positionV>
            <wp:extent cx="1350010" cy="825500"/>
            <wp:effectExtent l="0" t="0" r="2540" b="0"/>
            <wp:wrapSquare wrapText="bothSides"/>
            <wp:docPr id="5" name="obrázek 2" descr="msmt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smt_logo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01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1E85">
        <w:t>III.</w:t>
      </w:r>
    </w:p>
    <w:p w:rsidR="00763EA5" w:rsidRPr="00B175FB" w:rsidRDefault="00763EA5"/>
    <w:p w:rsidR="00763EA5" w:rsidRPr="00B175FB" w:rsidRDefault="00763EA5">
      <w:pPr>
        <w:rPr>
          <w:color w:val="1F4E79" w:themeColor="accent5" w:themeShade="80"/>
        </w:rPr>
      </w:pPr>
    </w:p>
    <w:p w:rsidR="00871996" w:rsidRPr="00B175FB" w:rsidRDefault="00871996" w:rsidP="00871996">
      <w:pPr>
        <w:spacing w:line="276" w:lineRule="auto"/>
        <w:jc w:val="center"/>
        <w:rPr>
          <w:b/>
          <w:color w:val="1F4E79" w:themeColor="accent5" w:themeShade="80"/>
        </w:rPr>
      </w:pPr>
      <w:r w:rsidRPr="00B175FB">
        <w:rPr>
          <w:b/>
          <w:color w:val="1F4E79" w:themeColor="accent5" w:themeShade="80"/>
        </w:rPr>
        <w:t xml:space="preserve">MINISTERSTVO ŠKOLSTVÍ, MLÁDEŽE </w:t>
      </w:r>
      <w:r w:rsidR="00AA0F8E" w:rsidRPr="00B175FB">
        <w:rPr>
          <w:b/>
          <w:color w:val="1F4E79" w:themeColor="accent5" w:themeShade="80"/>
        </w:rPr>
        <w:br/>
      </w:r>
      <w:r w:rsidRPr="00B175FB">
        <w:rPr>
          <w:b/>
          <w:color w:val="1F4E79" w:themeColor="accent5" w:themeShade="80"/>
        </w:rPr>
        <w:t>A TĚLOVÝCHOVY ČESKÉ REPUBLIKY</w:t>
      </w:r>
    </w:p>
    <w:p w:rsidR="00871996" w:rsidRPr="00B175FB" w:rsidRDefault="00871996" w:rsidP="00871996">
      <w:pPr>
        <w:spacing w:line="276" w:lineRule="auto"/>
        <w:jc w:val="center"/>
        <w:rPr>
          <w:color w:val="1F4E79" w:themeColor="accent5" w:themeShade="80"/>
        </w:rPr>
      </w:pPr>
      <w:r w:rsidRPr="00B175FB">
        <w:rPr>
          <w:color w:val="1F4E79" w:themeColor="accent5" w:themeShade="80"/>
        </w:rPr>
        <w:t>Karmelitská 5, 118 12 Praha 1 - Malá Strana</w:t>
      </w:r>
    </w:p>
    <w:p w:rsidR="00871996" w:rsidRPr="00B175FB" w:rsidRDefault="00871996" w:rsidP="00871996">
      <w:pPr>
        <w:spacing w:line="276" w:lineRule="auto"/>
        <w:jc w:val="center"/>
        <w:rPr>
          <w:color w:val="1F4E79" w:themeColor="accent5" w:themeShade="80"/>
        </w:rPr>
      </w:pPr>
    </w:p>
    <w:p w:rsidR="00871996" w:rsidRPr="00B175FB" w:rsidRDefault="00871996" w:rsidP="00871996">
      <w:pPr>
        <w:spacing w:line="276" w:lineRule="auto"/>
        <w:jc w:val="center"/>
        <w:rPr>
          <w:color w:val="1F4E79" w:themeColor="accent5" w:themeShade="80"/>
        </w:rPr>
      </w:pPr>
    </w:p>
    <w:p w:rsidR="007A5CBD" w:rsidRPr="00B175FB" w:rsidRDefault="007A5CBD" w:rsidP="00871996">
      <w:pPr>
        <w:spacing w:line="276" w:lineRule="auto"/>
        <w:jc w:val="center"/>
        <w:rPr>
          <w:color w:val="1F4E79" w:themeColor="accent5" w:themeShade="80"/>
        </w:rPr>
      </w:pPr>
    </w:p>
    <w:p w:rsidR="00871996" w:rsidRPr="00B175FB" w:rsidRDefault="00871996" w:rsidP="00871996">
      <w:pPr>
        <w:spacing w:line="276" w:lineRule="auto"/>
        <w:jc w:val="center"/>
        <w:rPr>
          <w:color w:val="1F4E79" w:themeColor="accent5" w:themeShade="80"/>
        </w:rPr>
      </w:pPr>
    </w:p>
    <w:p w:rsidR="00871996" w:rsidRPr="00B175FB" w:rsidRDefault="00871996" w:rsidP="00256F5A">
      <w:pPr>
        <w:spacing w:before="0" w:after="0" w:line="276" w:lineRule="auto"/>
        <w:jc w:val="center"/>
        <w:rPr>
          <w:color w:val="1F4E79" w:themeColor="accent5" w:themeShade="80"/>
          <w:sz w:val="64"/>
          <w:szCs w:val="64"/>
        </w:rPr>
      </w:pPr>
      <w:bookmarkStart w:id="0" w:name="_Toc32998486"/>
      <w:bookmarkStart w:id="1" w:name="_Toc32998638"/>
      <w:r w:rsidRPr="00B175FB">
        <w:rPr>
          <w:b/>
          <w:color w:val="1F4E79" w:themeColor="accent5" w:themeShade="80"/>
          <w:sz w:val="64"/>
          <w:szCs w:val="64"/>
        </w:rPr>
        <w:t>OPERAČNÍ PROGRAM</w:t>
      </w:r>
      <w:bookmarkEnd w:id="0"/>
      <w:bookmarkEnd w:id="1"/>
    </w:p>
    <w:p w:rsidR="00871996" w:rsidRPr="00B175FB" w:rsidRDefault="00871996" w:rsidP="00256F5A">
      <w:pPr>
        <w:spacing w:before="0" w:after="0" w:line="276" w:lineRule="auto"/>
        <w:jc w:val="center"/>
        <w:rPr>
          <w:color w:val="1F4E79" w:themeColor="accent5" w:themeShade="80"/>
          <w:sz w:val="64"/>
          <w:szCs w:val="64"/>
        </w:rPr>
      </w:pPr>
      <w:bookmarkStart w:id="2" w:name="_Toc32998487"/>
      <w:bookmarkStart w:id="3" w:name="_Toc32998639"/>
      <w:r w:rsidRPr="00B175FB">
        <w:rPr>
          <w:b/>
          <w:color w:val="1F4E79" w:themeColor="accent5" w:themeShade="80"/>
          <w:sz w:val="64"/>
          <w:szCs w:val="64"/>
        </w:rPr>
        <w:t>JAN AMOS KOMENSKÝ</w:t>
      </w:r>
      <w:bookmarkEnd w:id="2"/>
      <w:bookmarkEnd w:id="3"/>
    </w:p>
    <w:p w:rsidR="00AA0F8E" w:rsidRPr="00B175FB" w:rsidRDefault="00AA0F8E" w:rsidP="00256F5A">
      <w:pPr>
        <w:spacing w:before="0" w:after="0" w:line="276" w:lineRule="auto"/>
        <w:jc w:val="center"/>
        <w:rPr>
          <w:b/>
          <w:color w:val="1F4E79" w:themeColor="accent5" w:themeShade="80"/>
          <w:sz w:val="64"/>
          <w:szCs w:val="64"/>
        </w:rPr>
      </w:pPr>
      <w:bookmarkStart w:id="4" w:name="_Toc32998488"/>
      <w:bookmarkStart w:id="5" w:name="_Toc32998640"/>
      <w:r w:rsidRPr="00B175FB">
        <w:rPr>
          <w:b/>
          <w:color w:val="1F4E79" w:themeColor="accent5" w:themeShade="80"/>
          <w:sz w:val="64"/>
          <w:szCs w:val="64"/>
        </w:rPr>
        <w:t>(2021–2027)</w:t>
      </w:r>
      <w:bookmarkEnd w:id="4"/>
      <w:bookmarkEnd w:id="5"/>
    </w:p>
    <w:p w:rsidR="00AA0F8E" w:rsidRPr="00B175FB" w:rsidRDefault="00AA0F8E" w:rsidP="00256F5A">
      <w:pPr>
        <w:spacing w:before="0" w:after="0"/>
        <w:jc w:val="center"/>
        <w:rPr>
          <w:b/>
          <w:color w:val="1F4E79" w:themeColor="accent5" w:themeShade="80"/>
          <w:sz w:val="64"/>
          <w:szCs w:val="64"/>
        </w:rPr>
      </w:pPr>
    </w:p>
    <w:p w:rsidR="00AA0F8E" w:rsidRPr="00B175FB" w:rsidRDefault="00AA0F8E">
      <w:pPr>
        <w:rPr>
          <w:color w:val="1F4E79" w:themeColor="accent5" w:themeShade="80"/>
        </w:rPr>
      </w:pPr>
    </w:p>
    <w:p w:rsidR="00763EA5" w:rsidRPr="00B175FB" w:rsidRDefault="00763EA5">
      <w:pPr>
        <w:rPr>
          <w:color w:val="1F4E79" w:themeColor="accent5" w:themeShade="80"/>
        </w:rPr>
      </w:pPr>
    </w:p>
    <w:p w:rsidR="00763EA5" w:rsidRPr="00B175FB" w:rsidRDefault="00763EA5">
      <w:pPr>
        <w:rPr>
          <w:color w:val="1F4E79" w:themeColor="accent5" w:themeShade="80"/>
        </w:rPr>
      </w:pPr>
    </w:p>
    <w:p w:rsidR="00763EA5" w:rsidRPr="00B175FB" w:rsidRDefault="00763EA5">
      <w:pPr>
        <w:rPr>
          <w:color w:val="1F4E79" w:themeColor="accent5" w:themeShade="80"/>
        </w:rPr>
      </w:pPr>
    </w:p>
    <w:p w:rsidR="00763EA5" w:rsidRPr="00B175FB" w:rsidRDefault="00763EA5">
      <w:pPr>
        <w:rPr>
          <w:color w:val="1F4E79" w:themeColor="accent5" w:themeShade="80"/>
        </w:rPr>
      </w:pPr>
    </w:p>
    <w:p w:rsidR="00763EA5" w:rsidRPr="00B175FB" w:rsidRDefault="00763EA5">
      <w:pPr>
        <w:rPr>
          <w:color w:val="1F4E79" w:themeColor="accent5" w:themeShade="80"/>
        </w:rPr>
      </w:pPr>
    </w:p>
    <w:p w:rsidR="00473294" w:rsidRPr="00B175FB" w:rsidRDefault="00473294">
      <w:pPr>
        <w:spacing w:before="0" w:after="160" w:line="259" w:lineRule="auto"/>
      </w:pPr>
    </w:p>
    <w:p w:rsidR="00C7028C" w:rsidRPr="00B175FB" w:rsidRDefault="00C7028C">
      <w:pPr>
        <w:spacing w:before="0" w:after="160" w:line="259" w:lineRule="auto"/>
      </w:pPr>
    </w:p>
    <w:p w:rsidR="00B23DDA" w:rsidRPr="009338F5" w:rsidRDefault="00473294">
      <w:pPr>
        <w:spacing w:before="0" w:after="160" w:line="259" w:lineRule="auto"/>
        <w:rPr>
          <w:b/>
          <w:color w:val="1F4E79" w:themeColor="accent5" w:themeShade="80"/>
          <w:szCs w:val="24"/>
        </w:rPr>
      </w:pPr>
      <w:r w:rsidRPr="009338F5">
        <w:rPr>
          <w:b/>
          <w:color w:val="1F4E79" w:themeColor="accent5" w:themeShade="80"/>
          <w:szCs w:val="24"/>
        </w:rPr>
        <w:t xml:space="preserve">Verze </w:t>
      </w:r>
      <w:r w:rsidR="007C0B9B" w:rsidRPr="009338F5">
        <w:rPr>
          <w:b/>
          <w:color w:val="1F4E79" w:themeColor="accent5" w:themeShade="80"/>
          <w:szCs w:val="24"/>
        </w:rPr>
        <w:t>1</w:t>
      </w:r>
      <w:r w:rsidRPr="009338F5">
        <w:rPr>
          <w:b/>
          <w:color w:val="1F4E79" w:themeColor="accent5" w:themeShade="80"/>
          <w:szCs w:val="24"/>
        </w:rPr>
        <w:t>.</w:t>
      </w:r>
      <w:r w:rsidR="000343B1" w:rsidRPr="009338F5" w:rsidDel="000343B1">
        <w:rPr>
          <w:b/>
          <w:color w:val="1F4E79" w:themeColor="accent5" w:themeShade="80"/>
          <w:szCs w:val="24"/>
        </w:rPr>
        <w:t xml:space="preserve"> </w:t>
      </w:r>
      <w:r w:rsidR="000343B1" w:rsidRPr="009338F5">
        <w:rPr>
          <w:b/>
          <w:color w:val="1F4E79" w:themeColor="accent5" w:themeShade="80"/>
          <w:szCs w:val="24"/>
        </w:rPr>
        <w:t>8</w:t>
      </w:r>
      <w:r w:rsidR="0071632F" w:rsidRPr="009338F5">
        <w:rPr>
          <w:b/>
          <w:color w:val="1F4E79" w:themeColor="accent5" w:themeShade="80"/>
          <w:szCs w:val="24"/>
        </w:rPr>
        <w:t xml:space="preserve"> </w:t>
      </w:r>
      <w:r w:rsidR="00B23C0E" w:rsidRPr="009338F5">
        <w:rPr>
          <w:b/>
          <w:color w:val="1F4E79" w:themeColor="accent5" w:themeShade="80"/>
          <w:szCs w:val="24"/>
        </w:rPr>
        <w:t>(</w:t>
      </w:r>
      <w:r w:rsidR="005925F5" w:rsidRPr="009338F5">
        <w:rPr>
          <w:b/>
          <w:color w:val="1F4E79" w:themeColor="accent5" w:themeShade="80"/>
          <w:szCs w:val="24"/>
        </w:rPr>
        <w:t>8</w:t>
      </w:r>
      <w:r w:rsidR="00CE6B58" w:rsidRPr="009338F5">
        <w:rPr>
          <w:b/>
          <w:color w:val="1F4E79" w:themeColor="accent5" w:themeShade="80"/>
          <w:szCs w:val="24"/>
        </w:rPr>
        <w:t xml:space="preserve">. </w:t>
      </w:r>
      <w:r w:rsidR="005925F5" w:rsidRPr="009338F5">
        <w:rPr>
          <w:b/>
          <w:color w:val="1F4E79" w:themeColor="accent5" w:themeShade="80"/>
          <w:szCs w:val="24"/>
        </w:rPr>
        <w:t>4</w:t>
      </w:r>
      <w:r w:rsidR="00CE6B58" w:rsidRPr="009338F5">
        <w:rPr>
          <w:b/>
          <w:color w:val="1F4E79" w:themeColor="accent5" w:themeShade="80"/>
          <w:szCs w:val="24"/>
        </w:rPr>
        <w:t>.</w:t>
      </w:r>
      <w:r w:rsidRPr="009338F5">
        <w:rPr>
          <w:b/>
          <w:color w:val="1F4E79" w:themeColor="accent5" w:themeShade="80"/>
          <w:szCs w:val="24"/>
        </w:rPr>
        <w:t xml:space="preserve"> 202</w:t>
      </w:r>
      <w:r w:rsidR="0027739D" w:rsidRPr="009338F5">
        <w:rPr>
          <w:b/>
          <w:color w:val="1F4E79" w:themeColor="accent5" w:themeShade="80"/>
          <w:szCs w:val="24"/>
        </w:rPr>
        <w:t>1</w:t>
      </w:r>
      <w:r w:rsidR="00B23C0E" w:rsidRPr="009338F5">
        <w:rPr>
          <w:b/>
          <w:color w:val="1F4E79" w:themeColor="accent5" w:themeShade="80"/>
          <w:szCs w:val="24"/>
        </w:rPr>
        <w:t>)</w:t>
      </w:r>
      <w:r w:rsidR="00B23DDA" w:rsidRPr="009338F5">
        <w:rPr>
          <w:b/>
          <w:color w:val="1F4E79" w:themeColor="accent5" w:themeShade="80"/>
          <w:szCs w:val="24"/>
        </w:rPr>
        <w:br w:type="page"/>
      </w:r>
    </w:p>
    <w:sdt>
      <w:sdtPr>
        <w:rPr>
          <w:rFonts w:ascii="Times New Roman" w:eastAsiaTheme="minorHAnsi" w:hAnsi="Times New Roman" w:cs="Times New Roman"/>
          <w:color w:val="auto"/>
          <w:sz w:val="24"/>
          <w:szCs w:val="22"/>
          <w:lang w:eastAsia="en-US"/>
        </w:rPr>
        <w:id w:val="-1933889597"/>
        <w:docPartObj>
          <w:docPartGallery w:val="Table of Contents"/>
          <w:docPartUnique/>
        </w:docPartObj>
      </w:sdtPr>
      <w:sdtEndPr>
        <w:rPr>
          <w:b/>
          <w:bCs/>
          <w:color w:val="002060"/>
          <w:szCs w:val="24"/>
        </w:rPr>
      </w:sdtEndPr>
      <w:sdtContent>
        <w:p w:rsidR="008B61D5" w:rsidRPr="007C12C1" w:rsidRDefault="008B61D5">
          <w:pPr>
            <w:pStyle w:val="Nadpisobsahu"/>
            <w:rPr>
              <w:rFonts w:ascii="Times New Roman" w:hAnsi="Times New Roman" w:cs="Times New Roman"/>
              <w:b/>
              <w:color w:val="002060"/>
            </w:rPr>
          </w:pPr>
          <w:r w:rsidRPr="007C12C1">
            <w:rPr>
              <w:rFonts w:ascii="Times New Roman" w:hAnsi="Times New Roman" w:cs="Times New Roman"/>
              <w:b/>
              <w:color w:val="002060"/>
            </w:rPr>
            <w:t>Obsah</w:t>
          </w:r>
        </w:p>
        <w:p w:rsidR="00D45AC1" w:rsidRPr="003A0F14" w:rsidRDefault="008B61D5">
          <w:pPr>
            <w:pStyle w:val="Obsah1"/>
            <w:rPr>
              <w:rFonts w:eastAsiaTheme="minorEastAsia"/>
              <w:b w:val="0"/>
              <w:color w:val="002060"/>
              <w:lang w:eastAsia="cs-CZ"/>
            </w:rPr>
          </w:pPr>
          <w:r w:rsidRPr="003A0F14">
            <w:rPr>
              <w:rFonts w:asciiTheme="minorHAnsi" w:hAnsiTheme="minorHAnsi" w:cstheme="minorHAnsi"/>
              <w:color w:val="002060"/>
            </w:rPr>
            <w:fldChar w:fldCharType="begin"/>
          </w:r>
          <w:r w:rsidRPr="003A0F14">
            <w:rPr>
              <w:rFonts w:asciiTheme="minorHAnsi" w:hAnsiTheme="minorHAnsi" w:cstheme="minorHAnsi"/>
              <w:b w:val="0"/>
            </w:rPr>
            <w:instrText xml:space="preserve"> TOC \o "1-4" \h \z \u </w:instrText>
          </w:r>
          <w:r w:rsidRPr="003A0F14">
            <w:rPr>
              <w:rFonts w:asciiTheme="minorHAnsi" w:hAnsiTheme="minorHAnsi" w:cstheme="minorHAnsi"/>
              <w:color w:val="002060"/>
            </w:rPr>
            <w:fldChar w:fldCharType="separate"/>
          </w:r>
          <w:hyperlink w:anchor="_Toc68610987" w:history="1">
            <w:r w:rsidR="00D45AC1" w:rsidRPr="003A0F14">
              <w:rPr>
                <w:rStyle w:val="Hypertextovodkaz"/>
                <w:color w:val="002060"/>
              </w:rPr>
              <w:t>1.</w:t>
            </w:r>
            <w:r w:rsidR="00D45AC1" w:rsidRPr="003A0F14">
              <w:rPr>
                <w:rFonts w:eastAsiaTheme="minorEastAsia"/>
                <w:b w:val="0"/>
                <w:color w:val="002060"/>
                <w:lang w:eastAsia="cs-CZ"/>
              </w:rPr>
              <w:tab/>
            </w:r>
            <w:r w:rsidR="00D45AC1" w:rsidRPr="003A0F14">
              <w:rPr>
                <w:rStyle w:val="Hypertextovodkaz"/>
                <w:color w:val="002060"/>
              </w:rPr>
              <w:t>Strategie programu</w:t>
            </w:r>
            <w:r w:rsidR="00D45AC1" w:rsidRPr="003A0F14">
              <w:rPr>
                <w:webHidden/>
                <w:color w:val="002060"/>
              </w:rPr>
              <w:tab/>
            </w:r>
            <w:r w:rsidR="00D45AC1" w:rsidRPr="003A0F14">
              <w:rPr>
                <w:webHidden/>
                <w:color w:val="002060"/>
              </w:rPr>
              <w:fldChar w:fldCharType="begin"/>
            </w:r>
            <w:r w:rsidR="00D45AC1" w:rsidRPr="003A0F14">
              <w:rPr>
                <w:webHidden/>
                <w:color w:val="002060"/>
              </w:rPr>
              <w:instrText xml:space="preserve"> PAGEREF _Toc68610987 \h </w:instrText>
            </w:r>
            <w:r w:rsidR="00D45AC1" w:rsidRPr="003A0F14">
              <w:rPr>
                <w:webHidden/>
                <w:color w:val="002060"/>
              </w:rPr>
            </w:r>
            <w:r w:rsidR="00D45AC1" w:rsidRPr="003A0F14">
              <w:rPr>
                <w:webHidden/>
                <w:color w:val="002060"/>
              </w:rPr>
              <w:fldChar w:fldCharType="separate"/>
            </w:r>
            <w:r w:rsidR="00714313">
              <w:rPr>
                <w:webHidden/>
                <w:color w:val="002060"/>
              </w:rPr>
              <w:t>5</w:t>
            </w:r>
            <w:r w:rsidR="00D45AC1" w:rsidRPr="003A0F14">
              <w:rPr>
                <w:webHidden/>
                <w:color w:val="002060"/>
              </w:rPr>
              <w:fldChar w:fldCharType="end"/>
            </w:r>
          </w:hyperlink>
        </w:p>
        <w:p w:rsidR="00D45AC1" w:rsidRPr="003A0F14" w:rsidRDefault="00D05954">
          <w:pPr>
            <w:pStyle w:val="Obsah2"/>
            <w:rPr>
              <w:rFonts w:eastAsiaTheme="minorEastAsia"/>
              <w:noProof/>
              <w:color w:val="002060"/>
              <w:sz w:val="22"/>
              <w:lang w:eastAsia="cs-CZ"/>
            </w:rPr>
          </w:pPr>
          <w:hyperlink w:anchor="_Toc68610988" w:history="1">
            <w:r w:rsidR="00D45AC1" w:rsidRPr="003A0F14">
              <w:rPr>
                <w:rStyle w:val="Hypertextovodkaz"/>
                <w:noProof/>
                <w:color w:val="002060"/>
                <w:sz w:val="22"/>
              </w:rPr>
              <w:t>1.1.</w:t>
            </w:r>
            <w:r w:rsidR="00D45AC1" w:rsidRPr="003A0F14">
              <w:rPr>
                <w:rFonts w:eastAsiaTheme="minorEastAsia"/>
                <w:noProof/>
                <w:color w:val="002060"/>
                <w:sz w:val="22"/>
                <w:lang w:eastAsia="cs-CZ"/>
              </w:rPr>
              <w:tab/>
            </w:r>
            <w:r w:rsidR="00D45AC1" w:rsidRPr="003A0F14">
              <w:rPr>
                <w:rStyle w:val="Hypertextovodkaz"/>
                <w:noProof/>
                <w:color w:val="002060"/>
                <w:sz w:val="22"/>
              </w:rPr>
              <w:t>Hlavní problémy související s rozvojem a politické reakce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tab/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begin"/>
            </w:r>
            <w:r w:rsidR="00D45AC1" w:rsidRPr="003A0F14">
              <w:rPr>
                <w:noProof/>
                <w:webHidden/>
                <w:color w:val="002060"/>
                <w:sz w:val="22"/>
              </w:rPr>
              <w:instrText xml:space="preserve"> PAGEREF _Toc68610988 \h </w:instrText>
            </w:r>
            <w:r w:rsidR="00D45AC1" w:rsidRPr="003A0F14">
              <w:rPr>
                <w:noProof/>
                <w:webHidden/>
                <w:color w:val="002060"/>
                <w:sz w:val="22"/>
              </w:rPr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separate"/>
            </w:r>
            <w:r w:rsidR="00714313">
              <w:rPr>
                <w:noProof/>
                <w:webHidden/>
                <w:color w:val="002060"/>
                <w:sz w:val="22"/>
              </w:rPr>
              <w:t>6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end"/>
            </w:r>
          </w:hyperlink>
        </w:p>
        <w:p w:rsidR="00D45AC1" w:rsidRPr="003A0F14" w:rsidRDefault="00D05954">
          <w:pPr>
            <w:pStyle w:val="Obsah3"/>
            <w:rPr>
              <w:rFonts w:eastAsiaTheme="minorEastAsia"/>
              <w:b w:val="0"/>
              <w:color w:val="002060"/>
              <w:sz w:val="22"/>
              <w:lang w:bidi="ar-SA"/>
            </w:rPr>
          </w:pPr>
          <w:hyperlink w:anchor="_Toc68610989" w:history="1">
            <w:r w:rsidR="00D45AC1" w:rsidRPr="003A0F14">
              <w:rPr>
                <w:rStyle w:val="Hypertextovodkaz"/>
                <w:color w:val="002060"/>
                <w:sz w:val="22"/>
              </w:rPr>
              <w:t>1.1.1.</w:t>
            </w:r>
            <w:r w:rsidR="00D45AC1" w:rsidRPr="003A0F14">
              <w:rPr>
                <w:rFonts w:eastAsiaTheme="minorEastAsia"/>
                <w:b w:val="0"/>
                <w:color w:val="002060"/>
                <w:sz w:val="22"/>
                <w:lang w:bidi="ar-SA"/>
              </w:rPr>
              <w:tab/>
            </w:r>
            <w:r w:rsidR="00D45AC1" w:rsidRPr="003A0F14">
              <w:rPr>
                <w:rStyle w:val="Hypertextovodkaz"/>
                <w:color w:val="002060"/>
                <w:sz w:val="22"/>
              </w:rPr>
              <w:t>Přetrvávající nerovnosti ve vzdělávání</w:t>
            </w:r>
            <w:r w:rsidR="00D45AC1" w:rsidRPr="003A0F14">
              <w:rPr>
                <w:webHidden/>
                <w:color w:val="002060"/>
                <w:sz w:val="22"/>
              </w:rPr>
              <w:tab/>
            </w:r>
            <w:r w:rsidR="00D45AC1" w:rsidRPr="003A0F14">
              <w:rPr>
                <w:webHidden/>
                <w:color w:val="002060"/>
                <w:sz w:val="22"/>
              </w:rPr>
              <w:fldChar w:fldCharType="begin"/>
            </w:r>
            <w:r w:rsidR="00D45AC1" w:rsidRPr="003A0F14">
              <w:rPr>
                <w:webHidden/>
                <w:color w:val="002060"/>
                <w:sz w:val="22"/>
              </w:rPr>
              <w:instrText xml:space="preserve"> PAGEREF _Toc68610989 \h </w:instrText>
            </w:r>
            <w:r w:rsidR="00D45AC1" w:rsidRPr="003A0F14">
              <w:rPr>
                <w:webHidden/>
                <w:color w:val="002060"/>
                <w:sz w:val="22"/>
              </w:rPr>
            </w:r>
            <w:r w:rsidR="00D45AC1" w:rsidRPr="003A0F14">
              <w:rPr>
                <w:webHidden/>
                <w:color w:val="002060"/>
                <w:sz w:val="22"/>
              </w:rPr>
              <w:fldChar w:fldCharType="separate"/>
            </w:r>
            <w:r w:rsidR="00714313">
              <w:rPr>
                <w:webHidden/>
                <w:color w:val="002060"/>
                <w:sz w:val="22"/>
              </w:rPr>
              <w:t>6</w:t>
            </w:r>
            <w:r w:rsidR="00D45AC1" w:rsidRPr="003A0F14">
              <w:rPr>
                <w:webHidden/>
                <w:color w:val="002060"/>
                <w:sz w:val="22"/>
              </w:rPr>
              <w:fldChar w:fldCharType="end"/>
            </w:r>
          </w:hyperlink>
        </w:p>
        <w:p w:rsidR="00D45AC1" w:rsidRPr="003A0F14" w:rsidRDefault="00D05954">
          <w:pPr>
            <w:pStyle w:val="Obsah3"/>
            <w:rPr>
              <w:rFonts w:eastAsiaTheme="minorEastAsia"/>
              <w:b w:val="0"/>
              <w:color w:val="002060"/>
              <w:sz w:val="22"/>
              <w:lang w:bidi="ar-SA"/>
            </w:rPr>
          </w:pPr>
          <w:hyperlink w:anchor="_Toc68610990" w:history="1">
            <w:r w:rsidR="00D45AC1" w:rsidRPr="003A0F14">
              <w:rPr>
                <w:rStyle w:val="Hypertextovodkaz"/>
                <w:color w:val="002060"/>
                <w:sz w:val="22"/>
              </w:rPr>
              <w:t>1.1.2.</w:t>
            </w:r>
            <w:r w:rsidR="00D45AC1" w:rsidRPr="003A0F14">
              <w:rPr>
                <w:rFonts w:eastAsiaTheme="minorEastAsia"/>
                <w:b w:val="0"/>
                <w:color w:val="002060"/>
                <w:sz w:val="22"/>
                <w:lang w:bidi="ar-SA"/>
              </w:rPr>
              <w:tab/>
            </w:r>
            <w:r w:rsidR="00D45AC1" w:rsidRPr="003A0F14">
              <w:rPr>
                <w:rStyle w:val="Hypertextovodkaz"/>
                <w:color w:val="002060"/>
                <w:sz w:val="22"/>
              </w:rPr>
              <w:t>Nutnost modernizace metod, forem a obsahu vzdělávání</w:t>
            </w:r>
            <w:r w:rsidR="00D45AC1" w:rsidRPr="003A0F14">
              <w:rPr>
                <w:webHidden/>
                <w:color w:val="002060"/>
                <w:sz w:val="22"/>
              </w:rPr>
              <w:tab/>
            </w:r>
            <w:r w:rsidR="00D45AC1" w:rsidRPr="003A0F14">
              <w:rPr>
                <w:webHidden/>
                <w:color w:val="002060"/>
                <w:sz w:val="22"/>
              </w:rPr>
              <w:fldChar w:fldCharType="begin"/>
            </w:r>
            <w:r w:rsidR="00D45AC1" w:rsidRPr="003A0F14">
              <w:rPr>
                <w:webHidden/>
                <w:color w:val="002060"/>
                <w:sz w:val="22"/>
              </w:rPr>
              <w:instrText xml:space="preserve"> PAGEREF _Toc68610990 \h </w:instrText>
            </w:r>
            <w:r w:rsidR="00D45AC1" w:rsidRPr="003A0F14">
              <w:rPr>
                <w:webHidden/>
                <w:color w:val="002060"/>
                <w:sz w:val="22"/>
              </w:rPr>
            </w:r>
            <w:r w:rsidR="00D45AC1" w:rsidRPr="003A0F14">
              <w:rPr>
                <w:webHidden/>
                <w:color w:val="002060"/>
                <w:sz w:val="22"/>
              </w:rPr>
              <w:fldChar w:fldCharType="separate"/>
            </w:r>
            <w:r w:rsidR="00714313">
              <w:rPr>
                <w:webHidden/>
                <w:color w:val="002060"/>
                <w:sz w:val="22"/>
              </w:rPr>
              <w:t>7</w:t>
            </w:r>
            <w:r w:rsidR="00D45AC1" w:rsidRPr="003A0F14">
              <w:rPr>
                <w:webHidden/>
                <w:color w:val="002060"/>
                <w:sz w:val="22"/>
              </w:rPr>
              <w:fldChar w:fldCharType="end"/>
            </w:r>
          </w:hyperlink>
        </w:p>
        <w:p w:rsidR="00D45AC1" w:rsidRPr="003A0F14" w:rsidRDefault="00D05954">
          <w:pPr>
            <w:pStyle w:val="Obsah3"/>
            <w:rPr>
              <w:rFonts w:eastAsiaTheme="minorEastAsia"/>
              <w:b w:val="0"/>
              <w:color w:val="002060"/>
              <w:sz w:val="22"/>
              <w:lang w:bidi="ar-SA"/>
            </w:rPr>
          </w:pPr>
          <w:hyperlink w:anchor="_Toc68610991" w:history="1">
            <w:r w:rsidR="00D45AC1" w:rsidRPr="003A0F14">
              <w:rPr>
                <w:rStyle w:val="Hypertextovodkaz"/>
                <w:color w:val="002060"/>
                <w:sz w:val="22"/>
              </w:rPr>
              <w:t>1.1.3.</w:t>
            </w:r>
            <w:r w:rsidR="00D45AC1" w:rsidRPr="003A0F14">
              <w:rPr>
                <w:rFonts w:eastAsiaTheme="minorEastAsia"/>
                <w:b w:val="0"/>
                <w:color w:val="002060"/>
                <w:sz w:val="22"/>
                <w:lang w:bidi="ar-SA"/>
              </w:rPr>
              <w:tab/>
            </w:r>
            <w:r w:rsidR="00D45AC1" w:rsidRPr="003A0F14">
              <w:rPr>
                <w:rStyle w:val="Hypertextovodkaz"/>
                <w:color w:val="002060"/>
                <w:sz w:val="22"/>
              </w:rPr>
              <w:t>Nedostatečná podpora pedagogických pracovníků a škol</w:t>
            </w:r>
            <w:r w:rsidR="00D45AC1" w:rsidRPr="003A0F14">
              <w:rPr>
                <w:webHidden/>
                <w:color w:val="002060"/>
                <w:sz w:val="22"/>
              </w:rPr>
              <w:tab/>
            </w:r>
            <w:r w:rsidR="00D45AC1" w:rsidRPr="003A0F14">
              <w:rPr>
                <w:webHidden/>
                <w:color w:val="002060"/>
                <w:sz w:val="22"/>
              </w:rPr>
              <w:fldChar w:fldCharType="begin"/>
            </w:r>
            <w:r w:rsidR="00D45AC1" w:rsidRPr="003A0F14">
              <w:rPr>
                <w:webHidden/>
                <w:color w:val="002060"/>
                <w:sz w:val="22"/>
              </w:rPr>
              <w:instrText xml:space="preserve"> PAGEREF _Toc68610991 \h </w:instrText>
            </w:r>
            <w:r w:rsidR="00D45AC1" w:rsidRPr="003A0F14">
              <w:rPr>
                <w:webHidden/>
                <w:color w:val="002060"/>
                <w:sz w:val="22"/>
              </w:rPr>
            </w:r>
            <w:r w:rsidR="00D45AC1" w:rsidRPr="003A0F14">
              <w:rPr>
                <w:webHidden/>
                <w:color w:val="002060"/>
                <w:sz w:val="22"/>
              </w:rPr>
              <w:fldChar w:fldCharType="separate"/>
            </w:r>
            <w:r w:rsidR="00714313">
              <w:rPr>
                <w:webHidden/>
                <w:color w:val="002060"/>
                <w:sz w:val="22"/>
              </w:rPr>
              <w:t>10</w:t>
            </w:r>
            <w:r w:rsidR="00D45AC1" w:rsidRPr="003A0F14">
              <w:rPr>
                <w:webHidden/>
                <w:color w:val="002060"/>
                <w:sz w:val="22"/>
              </w:rPr>
              <w:fldChar w:fldCharType="end"/>
            </w:r>
          </w:hyperlink>
        </w:p>
        <w:p w:rsidR="00D45AC1" w:rsidRPr="003A0F14" w:rsidRDefault="00D05954">
          <w:pPr>
            <w:pStyle w:val="Obsah3"/>
            <w:rPr>
              <w:rFonts w:eastAsiaTheme="minorEastAsia"/>
              <w:b w:val="0"/>
              <w:color w:val="002060"/>
              <w:sz w:val="22"/>
              <w:lang w:bidi="ar-SA"/>
            </w:rPr>
          </w:pPr>
          <w:hyperlink w:anchor="_Toc68610992" w:history="1">
            <w:r w:rsidR="00D45AC1" w:rsidRPr="003A0F14">
              <w:rPr>
                <w:rStyle w:val="Hypertextovodkaz"/>
                <w:color w:val="002060"/>
                <w:sz w:val="22"/>
              </w:rPr>
              <w:t>1.1.4.</w:t>
            </w:r>
            <w:r w:rsidR="00D45AC1" w:rsidRPr="003A0F14">
              <w:rPr>
                <w:rFonts w:eastAsiaTheme="minorEastAsia"/>
                <w:b w:val="0"/>
                <w:color w:val="002060"/>
                <w:sz w:val="22"/>
                <w:lang w:bidi="ar-SA"/>
              </w:rPr>
              <w:tab/>
            </w:r>
            <w:r w:rsidR="00D45AC1" w:rsidRPr="003A0F14">
              <w:rPr>
                <w:rStyle w:val="Hypertextovodkaz"/>
                <w:color w:val="002060"/>
                <w:sz w:val="22"/>
              </w:rPr>
              <w:t>Slabé strategické řízení oblasti výzkumu, vývoje a inovací na národní i regionální úrovni</w:t>
            </w:r>
            <w:r w:rsidR="00D45AC1" w:rsidRPr="003A0F14">
              <w:rPr>
                <w:webHidden/>
                <w:color w:val="002060"/>
                <w:sz w:val="22"/>
              </w:rPr>
              <w:tab/>
            </w:r>
            <w:r w:rsidR="00B951ED" w:rsidRPr="003A0F14">
              <w:rPr>
                <w:webHidden/>
                <w:color w:val="002060"/>
                <w:sz w:val="22"/>
              </w:rPr>
              <w:tab/>
            </w:r>
            <w:r w:rsidR="001F2027">
              <w:rPr>
                <w:webHidden/>
                <w:color w:val="002060"/>
                <w:sz w:val="22"/>
              </w:rPr>
              <w:tab/>
            </w:r>
            <w:r w:rsidR="00D45AC1" w:rsidRPr="003A0F14">
              <w:rPr>
                <w:webHidden/>
                <w:color w:val="002060"/>
                <w:sz w:val="22"/>
              </w:rPr>
              <w:fldChar w:fldCharType="begin"/>
            </w:r>
            <w:r w:rsidR="00D45AC1" w:rsidRPr="003A0F14">
              <w:rPr>
                <w:webHidden/>
                <w:color w:val="002060"/>
                <w:sz w:val="22"/>
              </w:rPr>
              <w:instrText xml:space="preserve"> PAGEREF _Toc68610992 \h </w:instrText>
            </w:r>
            <w:r w:rsidR="00D45AC1" w:rsidRPr="003A0F14">
              <w:rPr>
                <w:webHidden/>
                <w:color w:val="002060"/>
                <w:sz w:val="22"/>
              </w:rPr>
            </w:r>
            <w:r w:rsidR="00D45AC1" w:rsidRPr="003A0F14">
              <w:rPr>
                <w:webHidden/>
                <w:color w:val="002060"/>
                <w:sz w:val="22"/>
              </w:rPr>
              <w:fldChar w:fldCharType="separate"/>
            </w:r>
            <w:r w:rsidR="00714313">
              <w:rPr>
                <w:webHidden/>
                <w:color w:val="002060"/>
                <w:sz w:val="22"/>
              </w:rPr>
              <w:t>12</w:t>
            </w:r>
            <w:r w:rsidR="00D45AC1" w:rsidRPr="003A0F14">
              <w:rPr>
                <w:webHidden/>
                <w:color w:val="002060"/>
                <w:sz w:val="22"/>
              </w:rPr>
              <w:fldChar w:fldCharType="end"/>
            </w:r>
          </w:hyperlink>
        </w:p>
        <w:p w:rsidR="00D45AC1" w:rsidRPr="003A0F14" w:rsidRDefault="00D05954">
          <w:pPr>
            <w:pStyle w:val="Obsah3"/>
            <w:rPr>
              <w:rFonts w:eastAsiaTheme="minorEastAsia"/>
              <w:b w:val="0"/>
              <w:color w:val="002060"/>
              <w:sz w:val="22"/>
              <w:lang w:bidi="ar-SA"/>
            </w:rPr>
          </w:pPr>
          <w:hyperlink w:anchor="_Toc68610993" w:history="1">
            <w:r w:rsidR="00D45AC1" w:rsidRPr="003A0F14">
              <w:rPr>
                <w:rStyle w:val="Hypertextovodkaz"/>
                <w:color w:val="002060"/>
                <w:sz w:val="22"/>
              </w:rPr>
              <w:t>1.1.5.</w:t>
            </w:r>
            <w:r w:rsidR="00D45AC1" w:rsidRPr="003A0F14">
              <w:rPr>
                <w:rFonts w:eastAsiaTheme="minorEastAsia"/>
                <w:b w:val="0"/>
                <w:color w:val="002060"/>
                <w:sz w:val="22"/>
                <w:lang w:bidi="ar-SA"/>
              </w:rPr>
              <w:tab/>
            </w:r>
            <w:r w:rsidR="00D45AC1" w:rsidRPr="003A0F14">
              <w:rPr>
                <w:rStyle w:val="Hypertextovodkaz"/>
                <w:color w:val="002060"/>
                <w:sz w:val="22"/>
              </w:rPr>
              <w:t>Přetrvávající nedostatečné kapacity pro špičkový výzkum s aplikačním potenciálem</w:t>
            </w:r>
            <w:r w:rsidR="00D45AC1" w:rsidRPr="003A0F14">
              <w:rPr>
                <w:webHidden/>
                <w:color w:val="002060"/>
                <w:sz w:val="22"/>
              </w:rPr>
              <w:tab/>
            </w:r>
            <w:r w:rsidR="00D45AC1" w:rsidRPr="003A0F14">
              <w:rPr>
                <w:webHidden/>
                <w:color w:val="002060"/>
                <w:sz w:val="22"/>
              </w:rPr>
              <w:fldChar w:fldCharType="begin"/>
            </w:r>
            <w:r w:rsidR="00D45AC1" w:rsidRPr="003A0F14">
              <w:rPr>
                <w:webHidden/>
                <w:color w:val="002060"/>
                <w:sz w:val="22"/>
              </w:rPr>
              <w:instrText xml:space="preserve"> PAGEREF _Toc68610993 \h </w:instrText>
            </w:r>
            <w:r w:rsidR="00D45AC1" w:rsidRPr="003A0F14">
              <w:rPr>
                <w:webHidden/>
                <w:color w:val="002060"/>
                <w:sz w:val="22"/>
              </w:rPr>
            </w:r>
            <w:r w:rsidR="00D45AC1" w:rsidRPr="003A0F14">
              <w:rPr>
                <w:webHidden/>
                <w:color w:val="002060"/>
                <w:sz w:val="22"/>
              </w:rPr>
              <w:fldChar w:fldCharType="separate"/>
            </w:r>
            <w:r w:rsidR="00714313">
              <w:rPr>
                <w:webHidden/>
                <w:color w:val="002060"/>
                <w:sz w:val="22"/>
              </w:rPr>
              <w:t>13</w:t>
            </w:r>
            <w:r w:rsidR="00D45AC1" w:rsidRPr="003A0F14">
              <w:rPr>
                <w:webHidden/>
                <w:color w:val="002060"/>
                <w:sz w:val="22"/>
              </w:rPr>
              <w:fldChar w:fldCharType="end"/>
            </w:r>
          </w:hyperlink>
        </w:p>
        <w:p w:rsidR="00D45AC1" w:rsidRPr="003A0F14" w:rsidRDefault="00D05954">
          <w:pPr>
            <w:pStyle w:val="Obsah2"/>
            <w:rPr>
              <w:rFonts w:eastAsiaTheme="minorEastAsia"/>
              <w:noProof/>
              <w:color w:val="002060"/>
              <w:sz w:val="22"/>
              <w:lang w:eastAsia="cs-CZ"/>
            </w:rPr>
          </w:pPr>
          <w:hyperlink w:anchor="_Toc68610994" w:history="1">
            <w:r w:rsidR="00D45AC1" w:rsidRPr="003A0F14">
              <w:rPr>
                <w:rStyle w:val="Hypertextovodkaz"/>
                <w:noProof/>
                <w:color w:val="002060"/>
                <w:sz w:val="22"/>
              </w:rPr>
              <w:t>1.2.</w:t>
            </w:r>
            <w:r w:rsidR="00D45AC1" w:rsidRPr="003A0F14">
              <w:rPr>
                <w:rFonts w:eastAsiaTheme="minorEastAsia"/>
                <w:noProof/>
                <w:color w:val="002060"/>
                <w:sz w:val="22"/>
                <w:lang w:eastAsia="cs-CZ"/>
              </w:rPr>
              <w:tab/>
            </w:r>
            <w:r w:rsidR="00D45AC1" w:rsidRPr="003A0F14">
              <w:rPr>
                <w:rStyle w:val="Hypertextovodkaz"/>
                <w:noProof/>
                <w:color w:val="002060"/>
                <w:sz w:val="22"/>
              </w:rPr>
              <w:t>Odůvodnění výběru cílů politiky a souvisejících specifických cílů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tab/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begin"/>
            </w:r>
            <w:r w:rsidR="00D45AC1" w:rsidRPr="003A0F14">
              <w:rPr>
                <w:noProof/>
                <w:webHidden/>
                <w:color w:val="002060"/>
                <w:sz w:val="22"/>
              </w:rPr>
              <w:instrText xml:space="preserve"> PAGEREF _Toc68610994 \h </w:instrText>
            </w:r>
            <w:r w:rsidR="00D45AC1" w:rsidRPr="003A0F14">
              <w:rPr>
                <w:noProof/>
                <w:webHidden/>
                <w:color w:val="002060"/>
                <w:sz w:val="22"/>
              </w:rPr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separate"/>
            </w:r>
            <w:r w:rsidR="00714313">
              <w:rPr>
                <w:noProof/>
                <w:webHidden/>
                <w:color w:val="002060"/>
                <w:sz w:val="22"/>
              </w:rPr>
              <w:t>16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end"/>
            </w:r>
          </w:hyperlink>
        </w:p>
        <w:p w:rsidR="00D45AC1" w:rsidRPr="003A0F14" w:rsidRDefault="00D05954">
          <w:pPr>
            <w:pStyle w:val="Obsah1"/>
            <w:rPr>
              <w:rFonts w:eastAsiaTheme="minorEastAsia"/>
              <w:b w:val="0"/>
              <w:color w:val="002060"/>
              <w:lang w:eastAsia="cs-CZ"/>
            </w:rPr>
          </w:pPr>
          <w:hyperlink w:anchor="_Toc68610995" w:history="1">
            <w:r w:rsidR="00D45AC1" w:rsidRPr="003A0F14">
              <w:rPr>
                <w:rStyle w:val="Hypertextovodkaz"/>
                <w:color w:val="002060"/>
              </w:rPr>
              <w:t>2.</w:t>
            </w:r>
            <w:r w:rsidR="00D45AC1" w:rsidRPr="003A0F14">
              <w:rPr>
                <w:rFonts w:eastAsiaTheme="minorEastAsia"/>
                <w:b w:val="0"/>
                <w:color w:val="002060"/>
                <w:lang w:eastAsia="cs-CZ"/>
              </w:rPr>
              <w:tab/>
            </w:r>
            <w:r w:rsidR="00D45AC1" w:rsidRPr="003A0F14">
              <w:rPr>
                <w:rStyle w:val="Hypertextovodkaz"/>
                <w:color w:val="002060"/>
              </w:rPr>
              <w:t>Priority</w:t>
            </w:r>
            <w:r w:rsidR="00D45AC1" w:rsidRPr="003A0F14">
              <w:rPr>
                <w:webHidden/>
                <w:color w:val="002060"/>
              </w:rPr>
              <w:tab/>
            </w:r>
            <w:r w:rsidR="00D45AC1" w:rsidRPr="003A0F14">
              <w:rPr>
                <w:webHidden/>
                <w:color w:val="002060"/>
              </w:rPr>
              <w:fldChar w:fldCharType="begin"/>
            </w:r>
            <w:r w:rsidR="00D45AC1" w:rsidRPr="003A0F14">
              <w:rPr>
                <w:webHidden/>
                <w:color w:val="002060"/>
              </w:rPr>
              <w:instrText xml:space="preserve"> PAGEREF _Toc68610995 \h </w:instrText>
            </w:r>
            <w:r w:rsidR="00D45AC1" w:rsidRPr="003A0F14">
              <w:rPr>
                <w:webHidden/>
                <w:color w:val="002060"/>
              </w:rPr>
            </w:r>
            <w:r w:rsidR="00D45AC1" w:rsidRPr="003A0F14">
              <w:rPr>
                <w:webHidden/>
                <w:color w:val="002060"/>
              </w:rPr>
              <w:fldChar w:fldCharType="separate"/>
            </w:r>
            <w:r w:rsidR="00714313">
              <w:rPr>
                <w:webHidden/>
                <w:color w:val="002060"/>
              </w:rPr>
              <w:t>22</w:t>
            </w:r>
            <w:r w:rsidR="00D45AC1" w:rsidRPr="003A0F14">
              <w:rPr>
                <w:webHidden/>
                <w:color w:val="002060"/>
              </w:rPr>
              <w:fldChar w:fldCharType="end"/>
            </w:r>
          </w:hyperlink>
        </w:p>
        <w:p w:rsidR="00D45AC1" w:rsidRPr="003A0F14" w:rsidRDefault="00D05954">
          <w:pPr>
            <w:pStyle w:val="Obsah2"/>
            <w:rPr>
              <w:rFonts w:eastAsiaTheme="minorEastAsia"/>
              <w:noProof/>
              <w:color w:val="002060"/>
              <w:sz w:val="22"/>
              <w:lang w:eastAsia="cs-CZ"/>
            </w:rPr>
          </w:pPr>
          <w:hyperlink w:anchor="_Toc68610997" w:history="1">
            <w:r w:rsidR="00D45AC1" w:rsidRPr="003A0F14">
              <w:rPr>
                <w:rStyle w:val="Hypertextovodkaz"/>
                <w:rFonts w:eastAsia="Times New Roman"/>
                <w:noProof/>
                <w:color w:val="002060"/>
                <w:sz w:val="22"/>
              </w:rPr>
              <w:t>2.1.</w:t>
            </w:r>
            <w:r w:rsidR="00D45AC1" w:rsidRPr="003A0F14">
              <w:rPr>
                <w:rFonts w:eastAsiaTheme="minorEastAsia"/>
                <w:noProof/>
                <w:color w:val="002060"/>
                <w:sz w:val="22"/>
                <w:lang w:eastAsia="cs-CZ"/>
              </w:rPr>
              <w:tab/>
            </w:r>
            <w:r w:rsidR="00D45AC1" w:rsidRPr="003A0F14">
              <w:rPr>
                <w:rStyle w:val="Hypertextovodkaz"/>
                <w:noProof/>
                <w:color w:val="002060"/>
                <w:sz w:val="22"/>
              </w:rPr>
              <w:t>Priorita 1 – Výzkum a vývoj</w:t>
            </w:r>
            <w:r w:rsidR="00D45AC1" w:rsidRPr="003A0F14">
              <w:rPr>
                <w:rStyle w:val="Hypertextovodkaz"/>
                <w:rFonts w:eastAsia="Times New Roman"/>
                <w:noProof/>
                <w:color w:val="002060"/>
                <w:sz w:val="22"/>
              </w:rPr>
              <w:t xml:space="preserve"> </w:t>
            </w:r>
            <w:r w:rsidR="00D45AC1" w:rsidRPr="003A0F14">
              <w:rPr>
                <w:rStyle w:val="Hypertextovodkaz"/>
                <w:noProof/>
                <w:color w:val="002060"/>
                <w:sz w:val="22"/>
              </w:rPr>
              <w:t>(P1)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tab/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begin"/>
            </w:r>
            <w:r w:rsidR="00D45AC1" w:rsidRPr="003A0F14">
              <w:rPr>
                <w:noProof/>
                <w:webHidden/>
                <w:color w:val="002060"/>
                <w:sz w:val="22"/>
              </w:rPr>
              <w:instrText xml:space="preserve"> PAGEREF _Toc68610997 \h </w:instrText>
            </w:r>
            <w:r w:rsidR="00D45AC1" w:rsidRPr="003A0F14">
              <w:rPr>
                <w:noProof/>
                <w:webHidden/>
                <w:color w:val="002060"/>
                <w:sz w:val="22"/>
              </w:rPr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separate"/>
            </w:r>
            <w:r w:rsidR="00714313">
              <w:rPr>
                <w:noProof/>
                <w:webHidden/>
                <w:color w:val="002060"/>
                <w:sz w:val="22"/>
              </w:rPr>
              <w:t>23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end"/>
            </w:r>
          </w:hyperlink>
        </w:p>
        <w:p w:rsidR="00D45AC1" w:rsidRPr="003A0F14" w:rsidRDefault="00D05954">
          <w:pPr>
            <w:pStyle w:val="Obsah3"/>
            <w:rPr>
              <w:rFonts w:eastAsiaTheme="minorEastAsia"/>
              <w:b w:val="0"/>
              <w:color w:val="002060"/>
              <w:sz w:val="22"/>
              <w:lang w:bidi="ar-SA"/>
            </w:rPr>
          </w:pPr>
          <w:hyperlink w:anchor="_Toc68610998" w:history="1">
            <w:r w:rsidR="00D45AC1" w:rsidRPr="003A0F14">
              <w:rPr>
                <w:rStyle w:val="Hypertextovodkaz"/>
                <w:color w:val="002060"/>
                <w:sz w:val="22"/>
              </w:rPr>
              <w:t>2.1.1.</w:t>
            </w:r>
            <w:r w:rsidR="00D45AC1" w:rsidRPr="003A0F14">
              <w:rPr>
                <w:rFonts w:eastAsiaTheme="minorEastAsia"/>
                <w:b w:val="0"/>
                <w:color w:val="002060"/>
                <w:sz w:val="22"/>
                <w:lang w:bidi="ar-SA"/>
              </w:rPr>
              <w:tab/>
            </w:r>
            <w:r w:rsidR="00D45AC1" w:rsidRPr="003A0F14">
              <w:rPr>
                <w:rStyle w:val="Hypertextovodkaz"/>
                <w:color w:val="002060"/>
                <w:sz w:val="22"/>
              </w:rPr>
              <w:t>SC 1.1 Posílení výzkumných a inovačních kapacit a zavádění pokročilých technologií</w:t>
            </w:r>
            <w:r w:rsidR="00D45AC1" w:rsidRPr="003A0F14">
              <w:rPr>
                <w:webHidden/>
                <w:color w:val="002060"/>
                <w:sz w:val="22"/>
              </w:rPr>
              <w:tab/>
            </w:r>
            <w:r w:rsidR="00D45AC1" w:rsidRPr="003A0F14">
              <w:rPr>
                <w:webHidden/>
                <w:color w:val="002060"/>
                <w:sz w:val="22"/>
              </w:rPr>
              <w:fldChar w:fldCharType="begin"/>
            </w:r>
            <w:r w:rsidR="00D45AC1" w:rsidRPr="003A0F14">
              <w:rPr>
                <w:webHidden/>
                <w:color w:val="002060"/>
                <w:sz w:val="22"/>
              </w:rPr>
              <w:instrText xml:space="preserve"> PAGEREF _Toc68610998 \h </w:instrText>
            </w:r>
            <w:r w:rsidR="00D45AC1" w:rsidRPr="003A0F14">
              <w:rPr>
                <w:webHidden/>
                <w:color w:val="002060"/>
                <w:sz w:val="22"/>
              </w:rPr>
            </w:r>
            <w:r w:rsidR="00D45AC1" w:rsidRPr="003A0F14">
              <w:rPr>
                <w:webHidden/>
                <w:color w:val="002060"/>
                <w:sz w:val="22"/>
              </w:rPr>
              <w:fldChar w:fldCharType="separate"/>
            </w:r>
            <w:r w:rsidR="00714313">
              <w:rPr>
                <w:webHidden/>
                <w:color w:val="002060"/>
                <w:sz w:val="22"/>
              </w:rPr>
              <w:t>23</w:t>
            </w:r>
            <w:r w:rsidR="00D45AC1" w:rsidRPr="003A0F14">
              <w:rPr>
                <w:webHidden/>
                <w:color w:val="002060"/>
                <w:sz w:val="22"/>
              </w:rPr>
              <w:fldChar w:fldCharType="end"/>
            </w:r>
          </w:hyperlink>
        </w:p>
        <w:p w:rsidR="00D45AC1" w:rsidRPr="003A0F14" w:rsidRDefault="00D05954">
          <w:pPr>
            <w:pStyle w:val="Obsah4"/>
            <w:rPr>
              <w:rFonts w:eastAsiaTheme="minorEastAsia"/>
              <w:noProof/>
              <w:color w:val="002060"/>
              <w:sz w:val="22"/>
              <w:lang w:eastAsia="cs-CZ"/>
            </w:rPr>
          </w:pPr>
          <w:hyperlink w:anchor="_Toc68610999" w:history="1">
            <w:r w:rsidR="00D45AC1" w:rsidRPr="003A0F14">
              <w:rPr>
                <w:rStyle w:val="Hypertextovodkaz"/>
                <w:b/>
                <w:noProof/>
                <w:color w:val="002060"/>
                <w:sz w:val="22"/>
                <w:lang w:eastAsia="cs-CZ" w:bidi="cs-CZ"/>
              </w:rPr>
              <w:t>2.1.1.1.</w:t>
            </w:r>
            <w:r w:rsidR="00D45AC1" w:rsidRPr="003A0F14">
              <w:rPr>
                <w:rFonts w:eastAsiaTheme="minorEastAsia"/>
                <w:noProof/>
                <w:color w:val="002060"/>
                <w:sz w:val="22"/>
                <w:lang w:eastAsia="cs-CZ"/>
              </w:rPr>
              <w:tab/>
            </w:r>
            <w:r w:rsidR="00D45AC1" w:rsidRPr="003A0F14">
              <w:rPr>
                <w:rStyle w:val="Hypertextovodkaz"/>
                <w:b/>
                <w:noProof/>
                <w:color w:val="002060"/>
                <w:sz w:val="22"/>
                <w:lang w:eastAsia="cs-CZ" w:bidi="cs-CZ"/>
              </w:rPr>
              <w:t>Intervence fondů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tab/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begin"/>
            </w:r>
            <w:r w:rsidR="00D45AC1" w:rsidRPr="003A0F14">
              <w:rPr>
                <w:noProof/>
                <w:webHidden/>
                <w:color w:val="002060"/>
                <w:sz w:val="22"/>
              </w:rPr>
              <w:instrText xml:space="preserve"> PAGEREF _Toc68610999 \h </w:instrText>
            </w:r>
            <w:r w:rsidR="00D45AC1" w:rsidRPr="003A0F14">
              <w:rPr>
                <w:noProof/>
                <w:webHidden/>
                <w:color w:val="002060"/>
                <w:sz w:val="22"/>
              </w:rPr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separate"/>
            </w:r>
            <w:r w:rsidR="00714313">
              <w:rPr>
                <w:noProof/>
                <w:webHidden/>
                <w:color w:val="002060"/>
                <w:sz w:val="22"/>
              </w:rPr>
              <w:t>23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end"/>
            </w:r>
          </w:hyperlink>
        </w:p>
        <w:p w:rsidR="00D45AC1" w:rsidRPr="003A0F14" w:rsidRDefault="00D05954">
          <w:pPr>
            <w:pStyle w:val="Obsah4"/>
            <w:rPr>
              <w:rFonts w:eastAsiaTheme="minorEastAsia"/>
              <w:noProof/>
              <w:color w:val="002060"/>
              <w:sz w:val="22"/>
              <w:lang w:eastAsia="cs-CZ"/>
            </w:rPr>
          </w:pPr>
          <w:hyperlink w:anchor="_Toc68611000" w:history="1">
            <w:r w:rsidR="00D45AC1" w:rsidRPr="003A0F14">
              <w:rPr>
                <w:rStyle w:val="Hypertextovodkaz"/>
                <w:b/>
                <w:noProof/>
                <w:color w:val="002060"/>
                <w:sz w:val="22"/>
                <w:lang w:eastAsia="cs-CZ" w:bidi="cs-CZ"/>
              </w:rPr>
              <w:t>2.1.1.2.</w:t>
            </w:r>
            <w:r w:rsidR="00D45AC1" w:rsidRPr="003A0F14">
              <w:rPr>
                <w:rFonts w:eastAsiaTheme="minorEastAsia"/>
                <w:noProof/>
                <w:color w:val="002060"/>
                <w:sz w:val="22"/>
                <w:lang w:eastAsia="cs-CZ"/>
              </w:rPr>
              <w:tab/>
            </w:r>
            <w:r w:rsidR="00D45AC1" w:rsidRPr="003A0F14">
              <w:rPr>
                <w:rStyle w:val="Hypertextovodkaz"/>
                <w:b/>
                <w:noProof/>
                <w:color w:val="002060"/>
                <w:sz w:val="22"/>
                <w:lang w:eastAsia="cs-CZ" w:bidi="cs-CZ"/>
              </w:rPr>
              <w:t>Ukazatele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tab/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begin"/>
            </w:r>
            <w:r w:rsidR="00D45AC1" w:rsidRPr="003A0F14">
              <w:rPr>
                <w:noProof/>
                <w:webHidden/>
                <w:color w:val="002060"/>
                <w:sz w:val="22"/>
              </w:rPr>
              <w:instrText xml:space="preserve"> PAGEREF _Toc68611000 \h </w:instrText>
            </w:r>
            <w:r w:rsidR="00D45AC1" w:rsidRPr="003A0F14">
              <w:rPr>
                <w:noProof/>
                <w:webHidden/>
                <w:color w:val="002060"/>
                <w:sz w:val="22"/>
              </w:rPr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separate"/>
            </w:r>
            <w:r w:rsidR="00714313">
              <w:rPr>
                <w:noProof/>
                <w:webHidden/>
                <w:color w:val="002060"/>
                <w:sz w:val="22"/>
              </w:rPr>
              <w:t>26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end"/>
            </w:r>
          </w:hyperlink>
        </w:p>
        <w:p w:rsidR="00D45AC1" w:rsidRPr="003A0F14" w:rsidRDefault="00D05954">
          <w:pPr>
            <w:pStyle w:val="Obsah4"/>
            <w:rPr>
              <w:rFonts w:eastAsiaTheme="minorEastAsia"/>
              <w:noProof/>
              <w:color w:val="002060"/>
              <w:sz w:val="22"/>
              <w:lang w:eastAsia="cs-CZ"/>
            </w:rPr>
          </w:pPr>
          <w:hyperlink w:anchor="_Toc68611001" w:history="1">
            <w:r w:rsidR="00D45AC1" w:rsidRPr="003A0F14">
              <w:rPr>
                <w:rStyle w:val="Hypertextovodkaz"/>
                <w:b/>
                <w:noProof/>
                <w:color w:val="002060"/>
                <w:sz w:val="22"/>
                <w:lang w:eastAsia="cs-CZ" w:bidi="cs-CZ"/>
              </w:rPr>
              <w:t>2.1.1.3.</w:t>
            </w:r>
            <w:r w:rsidR="00D45AC1" w:rsidRPr="003A0F14">
              <w:rPr>
                <w:rFonts w:eastAsiaTheme="minorEastAsia"/>
                <w:noProof/>
                <w:color w:val="002060"/>
                <w:sz w:val="22"/>
                <w:lang w:eastAsia="cs-CZ"/>
              </w:rPr>
              <w:tab/>
            </w:r>
            <w:r w:rsidR="00D45AC1" w:rsidRPr="003A0F14">
              <w:rPr>
                <w:rStyle w:val="Hypertextovodkaz"/>
                <w:b/>
                <w:noProof/>
                <w:color w:val="002060"/>
                <w:sz w:val="22"/>
                <w:lang w:eastAsia="cs-CZ" w:bidi="cs-CZ"/>
              </w:rPr>
              <w:t>Orientační rozdělení programových zdrojů (EU) podle typu intervence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tab/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begin"/>
            </w:r>
            <w:r w:rsidR="00D45AC1" w:rsidRPr="003A0F14">
              <w:rPr>
                <w:noProof/>
                <w:webHidden/>
                <w:color w:val="002060"/>
                <w:sz w:val="22"/>
              </w:rPr>
              <w:instrText xml:space="preserve"> PAGEREF _Toc68611001 \h </w:instrText>
            </w:r>
            <w:r w:rsidR="00D45AC1" w:rsidRPr="003A0F14">
              <w:rPr>
                <w:noProof/>
                <w:webHidden/>
                <w:color w:val="002060"/>
                <w:sz w:val="22"/>
              </w:rPr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separate"/>
            </w:r>
            <w:r w:rsidR="00714313">
              <w:rPr>
                <w:noProof/>
                <w:webHidden/>
                <w:color w:val="002060"/>
                <w:sz w:val="22"/>
              </w:rPr>
              <w:t>27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end"/>
            </w:r>
          </w:hyperlink>
        </w:p>
        <w:p w:rsidR="00D45AC1" w:rsidRPr="003A0F14" w:rsidRDefault="00D05954">
          <w:pPr>
            <w:pStyle w:val="Obsah3"/>
            <w:rPr>
              <w:rFonts w:eastAsiaTheme="minorEastAsia"/>
              <w:b w:val="0"/>
              <w:color w:val="002060"/>
              <w:sz w:val="22"/>
              <w:lang w:bidi="ar-SA"/>
            </w:rPr>
          </w:pPr>
          <w:hyperlink w:anchor="_Toc68611002" w:history="1">
            <w:r w:rsidR="00D45AC1" w:rsidRPr="003A0F14">
              <w:rPr>
                <w:rStyle w:val="Hypertextovodkaz"/>
                <w:color w:val="002060"/>
                <w:sz w:val="22"/>
              </w:rPr>
              <w:t>2.1.2.</w:t>
            </w:r>
            <w:r w:rsidR="00D45AC1" w:rsidRPr="003A0F14">
              <w:rPr>
                <w:rFonts w:eastAsiaTheme="minorEastAsia"/>
                <w:b w:val="0"/>
                <w:color w:val="002060"/>
                <w:sz w:val="22"/>
                <w:lang w:bidi="ar-SA"/>
              </w:rPr>
              <w:tab/>
            </w:r>
            <w:r w:rsidR="00D45AC1" w:rsidRPr="003A0F14">
              <w:rPr>
                <w:rStyle w:val="Hypertextovodkaz"/>
                <w:color w:val="002060"/>
                <w:sz w:val="22"/>
              </w:rPr>
              <w:t>SC 1.2 Rozvoj dovedností pro inteligentní specializaci, průmyslovou transformaci a podnikání</w:t>
            </w:r>
            <w:r w:rsidR="00D45AC1" w:rsidRPr="003A0F14">
              <w:rPr>
                <w:webHidden/>
                <w:color w:val="002060"/>
                <w:sz w:val="22"/>
              </w:rPr>
              <w:tab/>
            </w:r>
            <w:r w:rsidR="00D45AC1" w:rsidRPr="003A0F14">
              <w:rPr>
                <w:webHidden/>
                <w:color w:val="002060"/>
                <w:sz w:val="22"/>
              </w:rPr>
              <w:fldChar w:fldCharType="begin"/>
            </w:r>
            <w:r w:rsidR="00D45AC1" w:rsidRPr="003A0F14">
              <w:rPr>
                <w:webHidden/>
                <w:color w:val="002060"/>
                <w:sz w:val="22"/>
              </w:rPr>
              <w:instrText xml:space="preserve"> PAGEREF _Toc68611002 \h </w:instrText>
            </w:r>
            <w:r w:rsidR="00D45AC1" w:rsidRPr="003A0F14">
              <w:rPr>
                <w:webHidden/>
                <w:color w:val="002060"/>
                <w:sz w:val="22"/>
              </w:rPr>
            </w:r>
            <w:r w:rsidR="00D45AC1" w:rsidRPr="003A0F14">
              <w:rPr>
                <w:webHidden/>
                <w:color w:val="002060"/>
                <w:sz w:val="22"/>
              </w:rPr>
              <w:fldChar w:fldCharType="separate"/>
            </w:r>
            <w:r w:rsidR="00714313">
              <w:rPr>
                <w:webHidden/>
                <w:color w:val="002060"/>
                <w:sz w:val="22"/>
              </w:rPr>
              <w:t>28</w:t>
            </w:r>
            <w:r w:rsidR="00D45AC1" w:rsidRPr="003A0F14">
              <w:rPr>
                <w:webHidden/>
                <w:color w:val="002060"/>
                <w:sz w:val="22"/>
              </w:rPr>
              <w:fldChar w:fldCharType="end"/>
            </w:r>
          </w:hyperlink>
        </w:p>
        <w:p w:rsidR="00D45AC1" w:rsidRPr="003A0F14" w:rsidRDefault="00D05954">
          <w:pPr>
            <w:pStyle w:val="Obsah4"/>
            <w:rPr>
              <w:rFonts w:eastAsiaTheme="minorEastAsia"/>
              <w:noProof/>
              <w:color w:val="002060"/>
              <w:sz w:val="22"/>
              <w:lang w:eastAsia="cs-CZ"/>
            </w:rPr>
          </w:pPr>
          <w:hyperlink w:anchor="_Toc68611003" w:history="1">
            <w:r w:rsidR="00D45AC1" w:rsidRPr="003A0F14">
              <w:rPr>
                <w:rStyle w:val="Hypertextovodkaz"/>
                <w:b/>
                <w:noProof/>
                <w:color w:val="002060"/>
                <w:sz w:val="22"/>
                <w:lang w:eastAsia="cs-CZ" w:bidi="cs-CZ"/>
              </w:rPr>
              <w:t>2.1.2.1.</w:t>
            </w:r>
            <w:r w:rsidR="00D45AC1" w:rsidRPr="003A0F14">
              <w:rPr>
                <w:rFonts w:eastAsiaTheme="minorEastAsia"/>
                <w:noProof/>
                <w:color w:val="002060"/>
                <w:sz w:val="22"/>
                <w:lang w:eastAsia="cs-CZ"/>
              </w:rPr>
              <w:tab/>
            </w:r>
            <w:r w:rsidR="00D45AC1" w:rsidRPr="003A0F14">
              <w:rPr>
                <w:rStyle w:val="Hypertextovodkaz"/>
                <w:b/>
                <w:noProof/>
                <w:color w:val="002060"/>
                <w:sz w:val="22"/>
                <w:lang w:eastAsia="cs-CZ" w:bidi="cs-CZ"/>
              </w:rPr>
              <w:t>Intervence fondů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tab/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begin"/>
            </w:r>
            <w:r w:rsidR="00D45AC1" w:rsidRPr="003A0F14">
              <w:rPr>
                <w:noProof/>
                <w:webHidden/>
                <w:color w:val="002060"/>
                <w:sz w:val="22"/>
              </w:rPr>
              <w:instrText xml:space="preserve"> PAGEREF _Toc68611003 \h </w:instrText>
            </w:r>
            <w:r w:rsidR="00D45AC1" w:rsidRPr="003A0F14">
              <w:rPr>
                <w:noProof/>
                <w:webHidden/>
                <w:color w:val="002060"/>
                <w:sz w:val="22"/>
              </w:rPr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separate"/>
            </w:r>
            <w:r w:rsidR="00714313">
              <w:rPr>
                <w:noProof/>
                <w:webHidden/>
                <w:color w:val="002060"/>
                <w:sz w:val="22"/>
              </w:rPr>
              <w:t>28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end"/>
            </w:r>
          </w:hyperlink>
        </w:p>
        <w:p w:rsidR="00D45AC1" w:rsidRPr="003A0F14" w:rsidRDefault="00D05954">
          <w:pPr>
            <w:pStyle w:val="Obsah4"/>
            <w:rPr>
              <w:rFonts w:eastAsiaTheme="minorEastAsia"/>
              <w:noProof/>
              <w:color w:val="002060"/>
              <w:sz w:val="22"/>
              <w:lang w:eastAsia="cs-CZ"/>
            </w:rPr>
          </w:pPr>
          <w:hyperlink w:anchor="_Toc68611004" w:history="1">
            <w:r w:rsidR="00D45AC1" w:rsidRPr="003A0F14">
              <w:rPr>
                <w:rStyle w:val="Hypertextovodkaz"/>
                <w:b/>
                <w:noProof/>
                <w:color w:val="002060"/>
                <w:sz w:val="22"/>
                <w:lang w:eastAsia="cs-CZ" w:bidi="cs-CZ"/>
              </w:rPr>
              <w:t>2.1.2.2.</w:t>
            </w:r>
            <w:r w:rsidR="00D45AC1" w:rsidRPr="003A0F14">
              <w:rPr>
                <w:rFonts w:eastAsiaTheme="minorEastAsia"/>
                <w:noProof/>
                <w:color w:val="002060"/>
                <w:sz w:val="22"/>
                <w:lang w:eastAsia="cs-CZ"/>
              </w:rPr>
              <w:tab/>
            </w:r>
            <w:r w:rsidR="00D45AC1" w:rsidRPr="003A0F14">
              <w:rPr>
                <w:rStyle w:val="Hypertextovodkaz"/>
                <w:b/>
                <w:noProof/>
                <w:color w:val="002060"/>
                <w:sz w:val="22"/>
                <w:lang w:eastAsia="cs-CZ" w:bidi="cs-CZ"/>
              </w:rPr>
              <w:t>Ukazatele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tab/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begin"/>
            </w:r>
            <w:r w:rsidR="00D45AC1" w:rsidRPr="003A0F14">
              <w:rPr>
                <w:noProof/>
                <w:webHidden/>
                <w:color w:val="002060"/>
                <w:sz w:val="22"/>
              </w:rPr>
              <w:instrText xml:space="preserve"> PAGEREF _Toc68611004 \h </w:instrText>
            </w:r>
            <w:r w:rsidR="00D45AC1" w:rsidRPr="003A0F14">
              <w:rPr>
                <w:noProof/>
                <w:webHidden/>
                <w:color w:val="002060"/>
                <w:sz w:val="22"/>
              </w:rPr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separate"/>
            </w:r>
            <w:r w:rsidR="00714313">
              <w:rPr>
                <w:noProof/>
                <w:webHidden/>
                <w:color w:val="002060"/>
                <w:sz w:val="22"/>
              </w:rPr>
              <w:t>30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end"/>
            </w:r>
          </w:hyperlink>
        </w:p>
        <w:p w:rsidR="00D45AC1" w:rsidRPr="003A0F14" w:rsidRDefault="00D05954">
          <w:pPr>
            <w:pStyle w:val="Obsah4"/>
            <w:rPr>
              <w:rFonts w:eastAsiaTheme="minorEastAsia"/>
              <w:noProof/>
              <w:color w:val="002060"/>
              <w:sz w:val="22"/>
              <w:lang w:eastAsia="cs-CZ"/>
            </w:rPr>
          </w:pPr>
          <w:hyperlink w:anchor="_Toc68611005" w:history="1">
            <w:r w:rsidR="00D45AC1" w:rsidRPr="003A0F14">
              <w:rPr>
                <w:rStyle w:val="Hypertextovodkaz"/>
                <w:b/>
                <w:noProof/>
                <w:color w:val="002060"/>
                <w:sz w:val="22"/>
                <w:lang w:eastAsia="cs-CZ" w:bidi="cs-CZ"/>
              </w:rPr>
              <w:t>2.1.2.3.</w:t>
            </w:r>
            <w:r w:rsidR="00D45AC1" w:rsidRPr="003A0F14">
              <w:rPr>
                <w:rFonts w:eastAsiaTheme="minorEastAsia"/>
                <w:noProof/>
                <w:color w:val="002060"/>
                <w:sz w:val="22"/>
                <w:lang w:eastAsia="cs-CZ"/>
              </w:rPr>
              <w:tab/>
            </w:r>
            <w:r w:rsidR="00D45AC1" w:rsidRPr="003A0F14">
              <w:rPr>
                <w:rStyle w:val="Hypertextovodkaz"/>
                <w:b/>
                <w:noProof/>
                <w:color w:val="002060"/>
                <w:sz w:val="22"/>
                <w:lang w:eastAsia="cs-CZ" w:bidi="cs-CZ"/>
              </w:rPr>
              <w:t>Orientační rozdělení programových zdrojů (EU) podle typu intervence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tab/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begin"/>
            </w:r>
            <w:r w:rsidR="00D45AC1" w:rsidRPr="003A0F14">
              <w:rPr>
                <w:noProof/>
                <w:webHidden/>
                <w:color w:val="002060"/>
                <w:sz w:val="22"/>
              </w:rPr>
              <w:instrText xml:space="preserve"> PAGEREF _Toc68611005 \h </w:instrText>
            </w:r>
            <w:r w:rsidR="00D45AC1" w:rsidRPr="003A0F14">
              <w:rPr>
                <w:noProof/>
                <w:webHidden/>
                <w:color w:val="002060"/>
                <w:sz w:val="22"/>
              </w:rPr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separate"/>
            </w:r>
            <w:r w:rsidR="00714313">
              <w:rPr>
                <w:noProof/>
                <w:webHidden/>
                <w:color w:val="002060"/>
                <w:sz w:val="22"/>
              </w:rPr>
              <w:t>31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end"/>
            </w:r>
          </w:hyperlink>
        </w:p>
        <w:p w:rsidR="00D45AC1" w:rsidRPr="003A0F14" w:rsidRDefault="00D05954">
          <w:pPr>
            <w:pStyle w:val="Obsah2"/>
            <w:rPr>
              <w:rFonts w:eastAsiaTheme="minorEastAsia"/>
              <w:noProof/>
              <w:color w:val="002060"/>
              <w:sz w:val="22"/>
              <w:lang w:eastAsia="cs-CZ"/>
            </w:rPr>
          </w:pPr>
          <w:hyperlink w:anchor="_Toc68611006" w:history="1">
            <w:r w:rsidR="00D45AC1" w:rsidRPr="003A0F14">
              <w:rPr>
                <w:rStyle w:val="Hypertextovodkaz"/>
                <w:noProof/>
                <w:color w:val="002060"/>
                <w:sz w:val="22"/>
              </w:rPr>
              <w:t>2.2.</w:t>
            </w:r>
            <w:r w:rsidR="00D45AC1" w:rsidRPr="003A0F14">
              <w:rPr>
                <w:rFonts w:eastAsiaTheme="minorEastAsia"/>
                <w:noProof/>
                <w:color w:val="002060"/>
                <w:sz w:val="22"/>
                <w:lang w:eastAsia="cs-CZ"/>
              </w:rPr>
              <w:tab/>
            </w:r>
            <w:r w:rsidR="00D45AC1" w:rsidRPr="003A0F14">
              <w:rPr>
                <w:rStyle w:val="Hypertextovodkaz"/>
                <w:noProof/>
                <w:color w:val="002060"/>
                <w:sz w:val="22"/>
              </w:rPr>
              <w:t>Priorita 2 – Vzdělávání (P2)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tab/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begin"/>
            </w:r>
            <w:r w:rsidR="00D45AC1" w:rsidRPr="003A0F14">
              <w:rPr>
                <w:noProof/>
                <w:webHidden/>
                <w:color w:val="002060"/>
                <w:sz w:val="22"/>
              </w:rPr>
              <w:instrText xml:space="preserve"> PAGEREF _Toc68611006 \h </w:instrText>
            </w:r>
            <w:r w:rsidR="00D45AC1" w:rsidRPr="003A0F14">
              <w:rPr>
                <w:noProof/>
                <w:webHidden/>
                <w:color w:val="002060"/>
                <w:sz w:val="22"/>
              </w:rPr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separate"/>
            </w:r>
            <w:r w:rsidR="00714313">
              <w:rPr>
                <w:noProof/>
                <w:webHidden/>
                <w:color w:val="002060"/>
                <w:sz w:val="22"/>
              </w:rPr>
              <w:t>32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end"/>
            </w:r>
          </w:hyperlink>
        </w:p>
        <w:p w:rsidR="00D45AC1" w:rsidRPr="003A0F14" w:rsidRDefault="00D05954">
          <w:pPr>
            <w:pStyle w:val="Obsah3"/>
            <w:rPr>
              <w:rFonts w:eastAsiaTheme="minorEastAsia"/>
              <w:b w:val="0"/>
              <w:color w:val="002060"/>
              <w:sz w:val="22"/>
              <w:lang w:bidi="ar-SA"/>
            </w:rPr>
          </w:pPr>
          <w:hyperlink w:anchor="_Toc68611007" w:history="1">
            <w:r w:rsidR="00D45AC1" w:rsidRPr="003A0F14">
              <w:rPr>
                <w:rStyle w:val="Hypertextovodkaz"/>
                <w:color w:val="002060"/>
                <w:sz w:val="22"/>
              </w:rPr>
              <w:t>2.2.1.</w:t>
            </w:r>
            <w:r w:rsidR="00D45AC1" w:rsidRPr="003A0F14">
              <w:rPr>
                <w:rFonts w:eastAsiaTheme="minorEastAsia"/>
                <w:b w:val="0"/>
                <w:color w:val="002060"/>
                <w:sz w:val="22"/>
                <w:lang w:bidi="ar-SA"/>
              </w:rPr>
              <w:tab/>
            </w:r>
            <w:r w:rsidR="00D45AC1" w:rsidRPr="003A0F14">
              <w:rPr>
                <w:rStyle w:val="Hypertextovodkaz"/>
                <w:color w:val="002060"/>
                <w:sz w:val="22"/>
              </w:rPr>
              <w:t>SC 2.1 Zlepšení přístupu k inkluzivním a kvalitním službám v oblasti vzdělávání, odborné přípravy a celoživotního učení pomocí rozvoje infrastruktury</w:t>
            </w:r>
            <w:r w:rsidR="00D45AC1" w:rsidRPr="003A0F14">
              <w:rPr>
                <w:webHidden/>
                <w:color w:val="002060"/>
                <w:sz w:val="22"/>
              </w:rPr>
              <w:tab/>
            </w:r>
            <w:r w:rsidR="00D45AC1" w:rsidRPr="003A0F14">
              <w:rPr>
                <w:webHidden/>
                <w:color w:val="002060"/>
                <w:sz w:val="22"/>
              </w:rPr>
              <w:fldChar w:fldCharType="begin"/>
            </w:r>
            <w:r w:rsidR="00D45AC1" w:rsidRPr="003A0F14">
              <w:rPr>
                <w:webHidden/>
                <w:color w:val="002060"/>
                <w:sz w:val="22"/>
              </w:rPr>
              <w:instrText xml:space="preserve"> PAGEREF _Toc68611007 \h </w:instrText>
            </w:r>
            <w:r w:rsidR="00D45AC1" w:rsidRPr="003A0F14">
              <w:rPr>
                <w:webHidden/>
                <w:color w:val="002060"/>
                <w:sz w:val="22"/>
              </w:rPr>
            </w:r>
            <w:r w:rsidR="00D45AC1" w:rsidRPr="003A0F14">
              <w:rPr>
                <w:webHidden/>
                <w:color w:val="002060"/>
                <w:sz w:val="22"/>
              </w:rPr>
              <w:fldChar w:fldCharType="separate"/>
            </w:r>
            <w:r w:rsidR="00714313">
              <w:rPr>
                <w:webHidden/>
                <w:color w:val="002060"/>
                <w:sz w:val="22"/>
              </w:rPr>
              <w:t>32</w:t>
            </w:r>
            <w:r w:rsidR="00D45AC1" w:rsidRPr="003A0F14">
              <w:rPr>
                <w:webHidden/>
                <w:color w:val="002060"/>
                <w:sz w:val="22"/>
              </w:rPr>
              <w:fldChar w:fldCharType="end"/>
            </w:r>
          </w:hyperlink>
        </w:p>
        <w:p w:rsidR="00D45AC1" w:rsidRPr="003A0F14" w:rsidRDefault="00D05954">
          <w:pPr>
            <w:pStyle w:val="Obsah4"/>
            <w:rPr>
              <w:rFonts w:eastAsiaTheme="minorEastAsia"/>
              <w:noProof/>
              <w:color w:val="002060"/>
              <w:sz w:val="22"/>
              <w:lang w:eastAsia="cs-CZ"/>
            </w:rPr>
          </w:pPr>
          <w:hyperlink w:anchor="_Toc68611008" w:history="1">
            <w:r w:rsidR="00D45AC1" w:rsidRPr="003A0F14">
              <w:rPr>
                <w:rStyle w:val="Hypertextovodkaz"/>
                <w:b/>
                <w:noProof/>
                <w:color w:val="002060"/>
                <w:sz w:val="22"/>
                <w:lang w:eastAsia="cs-CZ" w:bidi="cs-CZ"/>
              </w:rPr>
              <w:t>2.2.1.1.</w:t>
            </w:r>
            <w:r w:rsidR="00D45AC1" w:rsidRPr="003A0F14">
              <w:rPr>
                <w:rFonts w:eastAsiaTheme="minorEastAsia"/>
                <w:noProof/>
                <w:color w:val="002060"/>
                <w:sz w:val="22"/>
                <w:lang w:eastAsia="cs-CZ"/>
              </w:rPr>
              <w:tab/>
            </w:r>
            <w:r w:rsidR="00D45AC1" w:rsidRPr="003A0F14">
              <w:rPr>
                <w:rStyle w:val="Hypertextovodkaz"/>
                <w:b/>
                <w:noProof/>
                <w:color w:val="002060"/>
                <w:sz w:val="22"/>
                <w:lang w:eastAsia="cs-CZ" w:bidi="cs-CZ"/>
              </w:rPr>
              <w:t>Intervence fondů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tab/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begin"/>
            </w:r>
            <w:r w:rsidR="00D45AC1" w:rsidRPr="003A0F14">
              <w:rPr>
                <w:noProof/>
                <w:webHidden/>
                <w:color w:val="002060"/>
                <w:sz w:val="22"/>
              </w:rPr>
              <w:instrText xml:space="preserve"> PAGEREF _Toc68611008 \h </w:instrText>
            </w:r>
            <w:r w:rsidR="00D45AC1" w:rsidRPr="003A0F14">
              <w:rPr>
                <w:noProof/>
                <w:webHidden/>
                <w:color w:val="002060"/>
                <w:sz w:val="22"/>
              </w:rPr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separate"/>
            </w:r>
            <w:r w:rsidR="00714313">
              <w:rPr>
                <w:noProof/>
                <w:webHidden/>
                <w:color w:val="002060"/>
                <w:sz w:val="22"/>
              </w:rPr>
              <w:t>32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end"/>
            </w:r>
          </w:hyperlink>
        </w:p>
        <w:p w:rsidR="00D45AC1" w:rsidRPr="003A0F14" w:rsidRDefault="00D05954">
          <w:pPr>
            <w:pStyle w:val="Obsah4"/>
            <w:rPr>
              <w:rFonts w:eastAsiaTheme="minorEastAsia"/>
              <w:noProof/>
              <w:color w:val="002060"/>
              <w:sz w:val="22"/>
              <w:lang w:eastAsia="cs-CZ"/>
            </w:rPr>
          </w:pPr>
          <w:hyperlink w:anchor="_Toc68611009" w:history="1">
            <w:r w:rsidR="00D45AC1" w:rsidRPr="003A0F14">
              <w:rPr>
                <w:rStyle w:val="Hypertextovodkaz"/>
                <w:b/>
                <w:noProof/>
                <w:color w:val="002060"/>
                <w:sz w:val="22"/>
                <w:lang w:eastAsia="cs-CZ" w:bidi="cs-CZ"/>
              </w:rPr>
              <w:t>2.2.1.2.</w:t>
            </w:r>
            <w:r w:rsidR="00D45AC1" w:rsidRPr="003A0F14">
              <w:rPr>
                <w:rFonts w:eastAsiaTheme="minorEastAsia"/>
                <w:noProof/>
                <w:color w:val="002060"/>
                <w:sz w:val="22"/>
                <w:lang w:eastAsia="cs-CZ"/>
              </w:rPr>
              <w:tab/>
            </w:r>
            <w:r w:rsidR="00D45AC1" w:rsidRPr="003A0F14">
              <w:rPr>
                <w:rStyle w:val="Hypertextovodkaz"/>
                <w:b/>
                <w:noProof/>
                <w:color w:val="002060"/>
                <w:sz w:val="22"/>
                <w:lang w:eastAsia="cs-CZ" w:bidi="cs-CZ"/>
              </w:rPr>
              <w:t>Ukazatele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tab/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begin"/>
            </w:r>
            <w:r w:rsidR="00D45AC1" w:rsidRPr="003A0F14">
              <w:rPr>
                <w:noProof/>
                <w:webHidden/>
                <w:color w:val="002060"/>
                <w:sz w:val="22"/>
              </w:rPr>
              <w:instrText xml:space="preserve"> PAGEREF _Toc68611009 \h </w:instrText>
            </w:r>
            <w:r w:rsidR="00D45AC1" w:rsidRPr="003A0F14">
              <w:rPr>
                <w:noProof/>
                <w:webHidden/>
                <w:color w:val="002060"/>
                <w:sz w:val="22"/>
              </w:rPr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separate"/>
            </w:r>
            <w:r w:rsidR="00714313">
              <w:rPr>
                <w:noProof/>
                <w:webHidden/>
                <w:color w:val="002060"/>
                <w:sz w:val="22"/>
              </w:rPr>
              <w:t>33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end"/>
            </w:r>
          </w:hyperlink>
        </w:p>
        <w:p w:rsidR="00D45AC1" w:rsidRPr="003A0F14" w:rsidRDefault="00D05954">
          <w:pPr>
            <w:pStyle w:val="Obsah4"/>
            <w:rPr>
              <w:rFonts w:eastAsiaTheme="minorEastAsia"/>
              <w:noProof/>
              <w:color w:val="002060"/>
              <w:sz w:val="22"/>
              <w:lang w:eastAsia="cs-CZ"/>
            </w:rPr>
          </w:pPr>
          <w:hyperlink w:anchor="_Toc68611010" w:history="1">
            <w:r w:rsidR="00D45AC1" w:rsidRPr="003A0F14">
              <w:rPr>
                <w:rStyle w:val="Hypertextovodkaz"/>
                <w:b/>
                <w:noProof/>
                <w:color w:val="002060"/>
                <w:sz w:val="22"/>
                <w:lang w:eastAsia="cs-CZ" w:bidi="cs-CZ"/>
              </w:rPr>
              <w:t>2.2.1.3.</w:t>
            </w:r>
            <w:r w:rsidR="00D45AC1" w:rsidRPr="003A0F14">
              <w:rPr>
                <w:rFonts w:eastAsiaTheme="minorEastAsia"/>
                <w:noProof/>
                <w:color w:val="002060"/>
                <w:sz w:val="22"/>
                <w:lang w:eastAsia="cs-CZ"/>
              </w:rPr>
              <w:tab/>
            </w:r>
            <w:r w:rsidR="00D45AC1" w:rsidRPr="003A0F14">
              <w:rPr>
                <w:rStyle w:val="Hypertextovodkaz"/>
                <w:b/>
                <w:noProof/>
                <w:color w:val="002060"/>
                <w:sz w:val="22"/>
                <w:lang w:eastAsia="cs-CZ" w:bidi="cs-CZ"/>
              </w:rPr>
              <w:t>Orientační rozdělení programových zdrojů (EU) podle typu intervence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tab/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begin"/>
            </w:r>
            <w:r w:rsidR="00D45AC1" w:rsidRPr="003A0F14">
              <w:rPr>
                <w:noProof/>
                <w:webHidden/>
                <w:color w:val="002060"/>
                <w:sz w:val="22"/>
              </w:rPr>
              <w:instrText xml:space="preserve"> PAGEREF _Toc68611010 \h </w:instrText>
            </w:r>
            <w:r w:rsidR="00D45AC1" w:rsidRPr="003A0F14">
              <w:rPr>
                <w:noProof/>
                <w:webHidden/>
                <w:color w:val="002060"/>
                <w:sz w:val="22"/>
              </w:rPr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separate"/>
            </w:r>
            <w:r w:rsidR="00714313">
              <w:rPr>
                <w:noProof/>
                <w:webHidden/>
                <w:color w:val="002060"/>
                <w:sz w:val="22"/>
              </w:rPr>
              <w:t>34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end"/>
            </w:r>
          </w:hyperlink>
        </w:p>
        <w:p w:rsidR="00D45AC1" w:rsidRPr="003A0F14" w:rsidRDefault="00D05954">
          <w:pPr>
            <w:pStyle w:val="Obsah3"/>
            <w:rPr>
              <w:rFonts w:eastAsiaTheme="minorEastAsia"/>
              <w:b w:val="0"/>
              <w:color w:val="002060"/>
              <w:sz w:val="22"/>
              <w:lang w:bidi="ar-SA"/>
            </w:rPr>
          </w:pPr>
          <w:hyperlink w:anchor="_Toc68611011" w:history="1">
            <w:r w:rsidR="00D45AC1" w:rsidRPr="003A0F14">
              <w:rPr>
                <w:rStyle w:val="Hypertextovodkaz"/>
                <w:color w:val="002060"/>
                <w:sz w:val="22"/>
              </w:rPr>
              <w:t>2.2.2.</w:t>
            </w:r>
            <w:r w:rsidR="00D45AC1" w:rsidRPr="003A0F14">
              <w:rPr>
                <w:rFonts w:eastAsiaTheme="minorEastAsia"/>
                <w:b w:val="0"/>
                <w:color w:val="002060"/>
                <w:sz w:val="22"/>
                <w:lang w:bidi="ar-SA"/>
              </w:rPr>
              <w:tab/>
            </w:r>
            <w:r w:rsidR="00D45AC1" w:rsidRPr="003A0F14">
              <w:rPr>
                <w:rStyle w:val="Hypertextovodkaz"/>
                <w:color w:val="002060"/>
                <w:sz w:val="22"/>
              </w:rPr>
              <w:t>SC 2.2 Zvýšit kvalitu, účinnost a relevantnost systémů vzdělávání a odborné přípravy na trhu práce, aby se podpořilo získávání klíčových kompetencí včetně digitálních dovedností</w:t>
            </w:r>
            <w:r w:rsidR="00D45AC1" w:rsidRPr="003A0F14">
              <w:rPr>
                <w:webHidden/>
                <w:color w:val="002060"/>
                <w:sz w:val="22"/>
              </w:rPr>
              <w:tab/>
            </w:r>
            <w:r w:rsidR="00D45AC1" w:rsidRPr="003A0F14">
              <w:rPr>
                <w:webHidden/>
                <w:color w:val="002060"/>
                <w:sz w:val="22"/>
              </w:rPr>
              <w:fldChar w:fldCharType="begin"/>
            </w:r>
            <w:r w:rsidR="00D45AC1" w:rsidRPr="003A0F14">
              <w:rPr>
                <w:webHidden/>
                <w:color w:val="002060"/>
                <w:sz w:val="22"/>
              </w:rPr>
              <w:instrText xml:space="preserve"> PAGEREF _Toc68611011 \h </w:instrText>
            </w:r>
            <w:r w:rsidR="00D45AC1" w:rsidRPr="003A0F14">
              <w:rPr>
                <w:webHidden/>
                <w:color w:val="002060"/>
                <w:sz w:val="22"/>
              </w:rPr>
            </w:r>
            <w:r w:rsidR="00D45AC1" w:rsidRPr="003A0F14">
              <w:rPr>
                <w:webHidden/>
                <w:color w:val="002060"/>
                <w:sz w:val="22"/>
              </w:rPr>
              <w:fldChar w:fldCharType="separate"/>
            </w:r>
            <w:r w:rsidR="00714313">
              <w:rPr>
                <w:webHidden/>
                <w:color w:val="002060"/>
                <w:sz w:val="22"/>
              </w:rPr>
              <w:t>35</w:t>
            </w:r>
            <w:r w:rsidR="00D45AC1" w:rsidRPr="003A0F14">
              <w:rPr>
                <w:webHidden/>
                <w:color w:val="002060"/>
                <w:sz w:val="22"/>
              </w:rPr>
              <w:fldChar w:fldCharType="end"/>
            </w:r>
          </w:hyperlink>
        </w:p>
        <w:p w:rsidR="00D45AC1" w:rsidRPr="003A0F14" w:rsidRDefault="00D05954">
          <w:pPr>
            <w:pStyle w:val="Obsah4"/>
            <w:rPr>
              <w:rFonts w:eastAsiaTheme="minorEastAsia"/>
              <w:noProof/>
              <w:color w:val="002060"/>
              <w:sz w:val="22"/>
              <w:lang w:eastAsia="cs-CZ"/>
            </w:rPr>
          </w:pPr>
          <w:hyperlink w:anchor="_Toc68611012" w:history="1">
            <w:r w:rsidR="00D45AC1" w:rsidRPr="003A0F14">
              <w:rPr>
                <w:rStyle w:val="Hypertextovodkaz"/>
                <w:b/>
                <w:noProof/>
                <w:color w:val="002060"/>
                <w:sz w:val="22"/>
                <w:lang w:eastAsia="cs-CZ" w:bidi="cs-CZ"/>
              </w:rPr>
              <w:t>2.2.2.1.</w:t>
            </w:r>
            <w:r w:rsidR="00D45AC1" w:rsidRPr="003A0F14">
              <w:rPr>
                <w:rFonts w:eastAsiaTheme="minorEastAsia"/>
                <w:noProof/>
                <w:color w:val="002060"/>
                <w:sz w:val="22"/>
                <w:lang w:eastAsia="cs-CZ"/>
              </w:rPr>
              <w:tab/>
            </w:r>
            <w:r w:rsidR="00D45AC1" w:rsidRPr="003A0F14">
              <w:rPr>
                <w:rStyle w:val="Hypertextovodkaz"/>
                <w:b/>
                <w:noProof/>
                <w:color w:val="002060"/>
                <w:sz w:val="22"/>
                <w:lang w:eastAsia="cs-CZ" w:bidi="cs-CZ"/>
              </w:rPr>
              <w:t>Intervence fondů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tab/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begin"/>
            </w:r>
            <w:r w:rsidR="00D45AC1" w:rsidRPr="003A0F14">
              <w:rPr>
                <w:noProof/>
                <w:webHidden/>
                <w:color w:val="002060"/>
                <w:sz w:val="22"/>
              </w:rPr>
              <w:instrText xml:space="preserve"> PAGEREF _Toc68611012 \h </w:instrText>
            </w:r>
            <w:r w:rsidR="00D45AC1" w:rsidRPr="003A0F14">
              <w:rPr>
                <w:noProof/>
                <w:webHidden/>
                <w:color w:val="002060"/>
                <w:sz w:val="22"/>
              </w:rPr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separate"/>
            </w:r>
            <w:r w:rsidR="00714313">
              <w:rPr>
                <w:noProof/>
                <w:webHidden/>
                <w:color w:val="002060"/>
                <w:sz w:val="22"/>
              </w:rPr>
              <w:t>35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end"/>
            </w:r>
          </w:hyperlink>
        </w:p>
        <w:p w:rsidR="00D45AC1" w:rsidRPr="003A0F14" w:rsidRDefault="00D05954">
          <w:pPr>
            <w:pStyle w:val="Obsah4"/>
            <w:rPr>
              <w:rFonts w:eastAsiaTheme="minorEastAsia"/>
              <w:noProof/>
              <w:color w:val="002060"/>
              <w:sz w:val="22"/>
              <w:lang w:eastAsia="cs-CZ"/>
            </w:rPr>
          </w:pPr>
          <w:hyperlink w:anchor="_Toc68611013" w:history="1">
            <w:r w:rsidR="00D45AC1" w:rsidRPr="003A0F14">
              <w:rPr>
                <w:rStyle w:val="Hypertextovodkaz"/>
                <w:b/>
                <w:noProof/>
                <w:color w:val="002060"/>
                <w:sz w:val="22"/>
                <w:lang w:eastAsia="cs-CZ" w:bidi="cs-CZ"/>
              </w:rPr>
              <w:t>2.2.2.2.</w:t>
            </w:r>
            <w:r w:rsidR="00D45AC1" w:rsidRPr="003A0F14">
              <w:rPr>
                <w:rFonts w:eastAsiaTheme="minorEastAsia"/>
                <w:noProof/>
                <w:color w:val="002060"/>
                <w:sz w:val="22"/>
                <w:lang w:eastAsia="cs-CZ"/>
              </w:rPr>
              <w:tab/>
            </w:r>
            <w:r w:rsidR="00D45AC1" w:rsidRPr="003A0F14">
              <w:rPr>
                <w:rStyle w:val="Hypertextovodkaz"/>
                <w:b/>
                <w:noProof/>
                <w:color w:val="002060"/>
                <w:sz w:val="22"/>
                <w:lang w:eastAsia="cs-CZ" w:bidi="cs-CZ"/>
              </w:rPr>
              <w:t>Ukazatele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tab/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begin"/>
            </w:r>
            <w:r w:rsidR="00D45AC1" w:rsidRPr="003A0F14">
              <w:rPr>
                <w:noProof/>
                <w:webHidden/>
                <w:color w:val="002060"/>
                <w:sz w:val="22"/>
              </w:rPr>
              <w:instrText xml:space="preserve"> PAGEREF _Toc68611013 \h </w:instrText>
            </w:r>
            <w:r w:rsidR="00D45AC1" w:rsidRPr="003A0F14">
              <w:rPr>
                <w:noProof/>
                <w:webHidden/>
                <w:color w:val="002060"/>
                <w:sz w:val="22"/>
              </w:rPr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separate"/>
            </w:r>
            <w:r w:rsidR="00714313">
              <w:rPr>
                <w:noProof/>
                <w:webHidden/>
                <w:color w:val="002060"/>
                <w:sz w:val="22"/>
              </w:rPr>
              <w:t>39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end"/>
            </w:r>
          </w:hyperlink>
        </w:p>
        <w:p w:rsidR="00D45AC1" w:rsidRPr="003A0F14" w:rsidRDefault="00D05954">
          <w:pPr>
            <w:pStyle w:val="Obsah4"/>
            <w:rPr>
              <w:rFonts w:eastAsiaTheme="minorEastAsia"/>
              <w:noProof/>
              <w:color w:val="002060"/>
              <w:sz w:val="22"/>
              <w:lang w:eastAsia="cs-CZ"/>
            </w:rPr>
          </w:pPr>
          <w:hyperlink w:anchor="_Toc68611014" w:history="1">
            <w:r w:rsidR="00D45AC1" w:rsidRPr="003A0F14">
              <w:rPr>
                <w:rStyle w:val="Hypertextovodkaz"/>
                <w:b/>
                <w:noProof/>
                <w:color w:val="002060"/>
                <w:sz w:val="22"/>
                <w:lang w:eastAsia="cs-CZ" w:bidi="cs-CZ"/>
              </w:rPr>
              <w:t>2.2.2.3.</w:t>
            </w:r>
            <w:r w:rsidR="00D45AC1" w:rsidRPr="003A0F14">
              <w:rPr>
                <w:rFonts w:eastAsiaTheme="minorEastAsia"/>
                <w:noProof/>
                <w:color w:val="002060"/>
                <w:sz w:val="22"/>
                <w:lang w:eastAsia="cs-CZ"/>
              </w:rPr>
              <w:tab/>
            </w:r>
            <w:r w:rsidR="00D45AC1" w:rsidRPr="003A0F14">
              <w:rPr>
                <w:rStyle w:val="Hypertextovodkaz"/>
                <w:b/>
                <w:noProof/>
                <w:color w:val="002060"/>
                <w:sz w:val="22"/>
                <w:lang w:eastAsia="cs-CZ" w:bidi="cs-CZ"/>
              </w:rPr>
              <w:t>Orientační rozdělení programových zdrojů (EU) podle typu intervence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tab/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begin"/>
            </w:r>
            <w:r w:rsidR="00D45AC1" w:rsidRPr="003A0F14">
              <w:rPr>
                <w:noProof/>
                <w:webHidden/>
                <w:color w:val="002060"/>
                <w:sz w:val="22"/>
              </w:rPr>
              <w:instrText xml:space="preserve"> PAGEREF _Toc68611014 \h </w:instrText>
            </w:r>
            <w:r w:rsidR="00D45AC1" w:rsidRPr="003A0F14">
              <w:rPr>
                <w:noProof/>
                <w:webHidden/>
                <w:color w:val="002060"/>
                <w:sz w:val="22"/>
              </w:rPr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separate"/>
            </w:r>
            <w:r w:rsidR="00714313">
              <w:rPr>
                <w:noProof/>
                <w:webHidden/>
                <w:color w:val="002060"/>
                <w:sz w:val="22"/>
              </w:rPr>
              <w:t>40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end"/>
            </w:r>
          </w:hyperlink>
        </w:p>
        <w:p w:rsidR="00D45AC1" w:rsidRPr="003A0F14" w:rsidRDefault="00D05954">
          <w:pPr>
            <w:pStyle w:val="Obsah3"/>
            <w:rPr>
              <w:rFonts w:eastAsiaTheme="minorEastAsia"/>
              <w:b w:val="0"/>
              <w:color w:val="002060"/>
              <w:sz w:val="22"/>
              <w:lang w:bidi="ar-SA"/>
            </w:rPr>
          </w:pPr>
          <w:hyperlink w:anchor="_Toc68611015" w:history="1">
            <w:r w:rsidR="00D45AC1" w:rsidRPr="003A0F14">
              <w:rPr>
                <w:rStyle w:val="Hypertextovodkaz"/>
                <w:color w:val="002060"/>
                <w:sz w:val="22"/>
              </w:rPr>
              <w:t>2.2.3.</w:t>
            </w:r>
            <w:r w:rsidR="00D45AC1" w:rsidRPr="003A0F14">
              <w:rPr>
                <w:rFonts w:eastAsiaTheme="minorEastAsia"/>
                <w:b w:val="0"/>
                <w:color w:val="002060"/>
                <w:sz w:val="22"/>
                <w:lang w:bidi="ar-SA"/>
              </w:rPr>
              <w:tab/>
            </w:r>
            <w:r w:rsidR="00D45AC1" w:rsidRPr="003A0F14">
              <w:rPr>
                <w:rStyle w:val="Hypertextovodkaz"/>
                <w:color w:val="002060"/>
                <w:sz w:val="22"/>
              </w:rPr>
              <w:t>SC 2.3 Podporovat rovný přístup ke kvalitnímu a inkluzivnímu vzdělávání a odborné přípravě a jejich úspěšnému ukončení, a to zejména pro znevýhodněné skupiny, od předškolního vzdělávání a péče, přes všeobecné vzdělávání a odborné vzdělávání a přípravu až po terciární úroveň, jakož i vzdělávání a studium dospělých včetně usnadnění vzdělávací mobility pro všechny</w:t>
            </w:r>
            <w:r w:rsidR="00D45AC1" w:rsidRPr="003A0F14">
              <w:rPr>
                <w:webHidden/>
                <w:color w:val="002060"/>
                <w:sz w:val="22"/>
              </w:rPr>
              <w:tab/>
            </w:r>
            <w:r w:rsidR="00D43C6F">
              <w:rPr>
                <w:webHidden/>
                <w:color w:val="002060"/>
                <w:sz w:val="22"/>
              </w:rPr>
              <w:tab/>
            </w:r>
            <w:r w:rsidR="00D45AC1" w:rsidRPr="003A0F14">
              <w:rPr>
                <w:webHidden/>
                <w:color w:val="002060"/>
                <w:sz w:val="22"/>
              </w:rPr>
              <w:fldChar w:fldCharType="begin"/>
            </w:r>
            <w:r w:rsidR="00D45AC1" w:rsidRPr="003A0F14">
              <w:rPr>
                <w:webHidden/>
                <w:color w:val="002060"/>
                <w:sz w:val="22"/>
              </w:rPr>
              <w:instrText xml:space="preserve"> PAGEREF _Toc68611015 \h </w:instrText>
            </w:r>
            <w:r w:rsidR="00D45AC1" w:rsidRPr="003A0F14">
              <w:rPr>
                <w:webHidden/>
                <w:color w:val="002060"/>
                <w:sz w:val="22"/>
              </w:rPr>
            </w:r>
            <w:r w:rsidR="00D45AC1" w:rsidRPr="003A0F14">
              <w:rPr>
                <w:webHidden/>
                <w:color w:val="002060"/>
                <w:sz w:val="22"/>
              </w:rPr>
              <w:fldChar w:fldCharType="separate"/>
            </w:r>
            <w:r w:rsidR="00714313">
              <w:rPr>
                <w:webHidden/>
                <w:color w:val="002060"/>
                <w:sz w:val="22"/>
              </w:rPr>
              <w:t>41</w:t>
            </w:r>
            <w:r w:rsidR="00D45AC1" w:rsidRPr="003A0F14">
              <w:rPr>
                <w:webHidden/>
                <w:color w:val="002060"/>
                <w:sz w:val="22"/>
              </w:rPr>
              <w:fldChar w:fldCharType="end"/>
            </w:r>
          </w:hyperlink>
        </w:p>
        <w:p w:rsidR="00D45AC1" w:rsidRPr="003A0F14" w:rsidRDefault="00D05954">
          <w:pPr>
            <w:pStyle w:val="Obsah4"/>
            <w:rPr>
              <w:rFonts w:eastAsiaTheme="minorEastAsia"/>
              <w:noProof/>
              <w:color w:val="002060"/>
              <w:sz w:val="22"/>
              <w:lang w:eastAsia="cs-CZ"/>
            </w:rPr>
          </w:pPr>
          <w:hyperlink w:anchor="_Toc68611016" w:history="1">
            <w:r w:rsidR="00D45AC1" w:rsidRPr="003A0F14">
              <w:rPr>
                <w:rStyle w:val="Hypertextovodkaz"/>
                <w:b/>
                <w:noProof/>
                <w:color w:val="002060"/>
                <w:sz w:val="22"/>
                <w:lang w:eastAsia="cs-CZ" w:bidi="cs-CZ"/>
              </w:rPr>
              <w:t>2.2.3.1.</w:t>
            </w:r>
            <w:r w:rsidR="00D45AC1" w:rsidRPr="003A0F14">
              <w:rPr>
                <w:rFonts w:eastAsiaTheme="minorEastAsia"/>
                <w:noProof/>
                <w:color w:val="002060"/>
                <w:sz w:val="22"/>
                <w:lang w:eastAsia="cs-CZ"/>
              </w:rPr>
              <w:tab/>
            </w:r>
            <w:r w:rsidR="00D45AC1" w:rsidRPr="003A0F14">
              <w:rPr>
                <w:rStyle w:val="Hypertextovodkaz"/>
                <w:b/>
                <w:noProof/>
                <w:color w:val="002060"/>
                <w:sz w:val="22"/>
                <w:lang w:eastAsia="cs-CZ" w:bidi="cs-CZ"/>
              </w:rPr>
              <w:t>Intervence fondů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tab/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begin"/>
            </w:r>
            <w:r w:rsidR="00D45AC1" w:rsidRPr="003A0F14">
              <w:rPr>
                <w:noProof/>
                <w:webHidden/>
                <w:color w:val="002060"/>
                <w:sz w:val="22"/>
              </w:rPr>
              <w:instrText xml:space="preserve"> PAGEREF _Toc68611016 \h </w:instrText>
            </w:r>
            <w:r w:rsidR="00D45AC1" w:rsidRPr="003A0F14">
              <w:rPr>
                <w:noProof/>
                <w:webHidden/>
                <w:color w:val="002060"/>
                <w:sz w:val="22"/>
              </w:rPr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separate"/>
            </w:r>
            <w:r w:rsidR="00714313">
              <w:rPr>
                <w:noProof/>
                <w:webHidden/>
                <w:color w:val="002060"/>
                <w:sz w:val="22"/>
              </w:rPr>
              <w:t>41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end"/>
            </w:r>
          </w:hyperlink>
        </w:p>
        <w:p w:rsidR="00D45AC1" w:rsidRPr="003A0F14" w:rsidRDefault="00D05954">
          <w:pPr>
            <w:pStyle w:val="Obsah4"/>
            <w:rPr>
              <w:rFonts w:eastAsiaTheme="minorEastAsia"/>
              <w:noProof/>
              <w:color w:val="002060"/>
              <w:sz w:val="22"/>
              <w:lang w:eastAsia="cs-CZ"/>
            </w:rPr>
          </w:pPr>
          <w:hyperlink w:anchor="_Toc68611017" w:history="1">
            <w:r w:rsidR="00D45AC1" w:rsidRPr="003A0F14">
              <w:rPr>
                <w:rStyle w:val="Hypertextovodkaz"/>
                <w:b/>
                <w:noProof/>
                <w:color w:val="002060"/>
                <w:sz w:val="22"/>
                <w:lang w:eastAsia="cs-CZ" w:bidi="cs-CZ"/>
              </w:rPr>
              <w:t>2.2.3.2.</w:t>
            </w:r>
            <w:r w:rsidR="00D45AC1" w:rsidRPr="003A0F14">
              <w:rPr>
                <w:rFonts w:eastAsiaTheme="minorEastAsia"/>
                <w:noProof/>
                <w:color w:val="002060"/>
                <w:sz w:val="22"/>
                <w:lang w:eastAsia="cs-CZ"/>
              </w:rPr>
              <w:tab/>
            </w:r>
            <w:r w:rsidR="00D45AC1" w:rsidRPr="003A0F14">
              <w:rPr>
                <w:rStyle w:val="Hypertextovodkaz"/>
                <w:b/>
                <w:noProof/>
                <w:color w:val="002060"/>
                <w:sz w:val="22"/>
                <w:lang w:eastAsia="cs-CZ" w:bidi="cs-CZ"/>
              </w:rPr>
              <w:t>Ukazatele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tab/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begin"/>
            </w:r>
            <w:r w:rsidR="00D45AC1" w:rsidRPr="003A0F14">
              <w:rPr>
                <w:noProof/>
                <w:webHidden/>
                <w:color w:val="002060"/>
                <w:sz w:val="22"/>
              </w:rPr>
              <w:instrText xml:space="preserve"> PAGEREF _Toc68611017 \h </w:instrText>
            </w:r>
            <w:r w:rsidR="00D45AC1" w:rsidRPr="003A0F14">
              <w:rPr>
                <w:noProof/>
                <w:webHidden/>
                <w:color w:val="002060"/>
                <w:sz w:val="22"/>
              </w:rPr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separate"/>
            </w:r>
            <w:r w:rsidR="00714313">
              <w:rPr>
                <w:noProof/>
                <w:webHidden/>
                <w:color w:val="002060"/>
                <w:sz w:val="22"/>
              </w:rPr>
              <w:t>45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end"/>
            </w:r>
          </w:hyperlink>
        </w:p>
        <w:p w:rsidR="00D45AC1" w:rsidRPr="003A0F14" w:rsidRDefault="00D05954">
          <w:pPr>
            <w:pStyle w:val="Obsah4"/>
            <w:rPr>
              <w:rFonts w:eastAsiaTheme="minorEastAsia"/>
              <w:noProof/>
              <w:color w:val="002060"/>
              <w:sz w:val="22"/>
              <w:lang w:eastAsia="cs-CZ"/>
            </w:rPr>
          </w:pPr>
          <w:hyperlink w:anchor="_Toc68611018" w:history="1">
            <w:r w:rsidR="00D45AC1" w:rsidRPr="003A0F14">
              <w:rPr>
                <w:rStyle w:val="Hypertextovodkaz"/>
                <w:b/>
                <w:noProof/>
                <w:color w:val="002060"/>
                <w:sz w:val="22"/>
                <w:lang w:eastAsia="cs-CZ" w:bidi="cs-CZ"/>
              </w:rPr>
              <w:t>2.2.3.3.</w:t>
            </w:r>
            <w:r w:rsidR="00D45AC1" w:rsidRPr="003A0F14">
              <w:rPr>
                <w:rFonts w:eastAsiaTheme="minorEastAsia"/>
                <w:noProof/>
                <w:color w:val="002060"/>
                <w:sz w:val="22"/>
                <w:lang w:eastAsia="cs-CZ"/>
              </w:rPr>
              <w:tab/>
            </w:r>
            <w:r w:rsidR="00D45AC1" w:rsidRPr="003A0F14">
              <w:rPr>
                <w:rStyle w:val="Hypertextovodkaz"/>
                <w:b/>
                <w:noProof/>
                <w:color w:val="002060"/>
                <w:sz w:val="22"/>
                <w:lang w:eastAsia="cs-CZ" w:bidi="cs-CZ"/>
              </w:rPr>
              <w:t>Orientační rozdělení programových zdrojů (EU) podle typu intervence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tab/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begin"/>
            </w:r>
            <w:r w:rsidR="00D45AC1" w:rsidRPr="003A0F14">
              <w:rPr>
                <w:noProof/>
                <w:webHidden/>
                <w:color w:val="002060"/>
                <w:sz w:val="22"/>
              </w:rPr>
              <w:instrText xml:space="preserve"> PAGEREF _Toc68611018 \h </w:instrText>
            </w:r>
            <w:r w:rsidR="00D45AC1" w:rsidRPr="003A0F14">
              <w:rPr>
                <w:noProof/>
                <w:webHidden/>
                <w:color w:val="002060"/>
                <w:sz w:val="22"/>
              </w:rPr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separate"/>
            </w:r>
            <w:r w:rsidR="00714313">
              <w:rPr>
                <w:noProof/>
                <w:webHidden/>
                <w:color w:val="002060"/>
                <w:sz w:val="22"/>
              </w:rPr>
              <w:t>46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end"/>
            </w:r>
          </w:hyperlink>
        </w:p>
        <w:p w:rsidR="00D45AC1" w:rsidRPr="003A0F14" w:rsidRDefault="00D05954">
          <w:pPr>
            <w:pStyle w:val="Obsah3"/>
            <w:rPr>
              <w:rFonts w:eastAsiaTheme="minorEastAsia"/>
              <w:b w:val="0"/>
              <w:color w:val="002060"/>
              <w:sz w:val="22"/>
              <w:lang w:bidi="ar-SA"/>
            </w:rPr>
          </w:pPr>
          <w:hyperlink w:anchor="_Toc68611019" w:history="1">
            <w:r w:rsidR="00D45AC1" w:rsidRPr="003A0F14">
              <w:rPr>
                <w:rStyle w:val="Hypertextovodkaz"/>
                <w:color w:val="002060"/>
                <w:sz w:val="22"/>
              </w:rPr>
              <w:t>2.2.4.</w:t>
            </w:r>
            <w:r w:rsidR="00D45AC1" w:rsidRPr="003A0F14">
              <w:rPr>
                <w:rFonts w:eastAsiaTheme="minorEastAsia"/>
                <w:b w:val="0"/>
                <w:color w:val="002060"/>
                <w:sz w:val="22"/>
                <w:lang w:bidi="ar-SA"/>
              </w:rPr>
              <w:tab/>
            </w:r>
            <w:r w:rsidR="00D45AC1" w:rsidRPr="003A0F14">
              <w:rPr>
                <w:rStyle w:val="Hypertextovodkaz"/>
                <w:color w:val="002060"/>
                <w:sz w:val="22"/>
              </w:rPr>
              <w:t>SC 2.4 Podporovat celoživotní učení, zejména flexibilní možnosti rozšiřování dovedností a rekvalifikace pro všechny s ohledem na digitální dovednosti, lépe předvídat změny a nové požadavky na dovednosti vycházející z potřeb trhu práce, usnadnit přechody mezi zaměstnáními a podporovat profesní mobilitu.</w:t>
            </w:r>
            <w:r w:rsidR="00D45AC1" w:rsidRPr="003A0F14">
              <w:rPr>
                <w:webHidden/>
                <w:color w:val="002060"/>
                <w:sz w:val="22"/>
              </w:rPr>
              <w:tab/>
            </w:r>
            <w:r w:rsidR="00D45AC1" w:rsidRPr="003A0F14">
              <w:rPr>
                <w:webHidden/>
                <w:color w:val="002060"/>
                <w:sz w:val="22"/>
              </w:rPr>
              <w:fldChar w:fldCharType="begin"/>
            </w:r>
            <w:r w:rsidR="00D45AC1" w:rsidRPr="003A0F14">
              <w:rPr>
                <w:webHidden/>
                <w:color w:val="002060"/>
                <w:sz w:val="22"/>
              </w:rPr>
              <w:instrText xml:space="preserve"> PAGEREF _Toc68611019 \h </w:instrText>
            </w:r>
            <w:r w:rsidR="00D45AC1" w:rsidRPr="003A0F14">
              <w:rPr>
                <w:webHidden/>
                <w:color w:val="002060"/>
                <w:sz w:val="22"/>
              </w:rPr>
            </w:r>
            <w:r w:rsidR="00D45AC1" w:rsidRPr="003A0F14">
              <w:rPr>
                <w:webHidden/>
                <w:color w:val="002060"/>
                <w:sz w:val="22"/>
              </w:rPr>
              <w:fldChar w:fldCharType="separate"/>
            </w:r>
            <w:r w:rsidR="00714313">
              <w:rPr>
                <w:webHidden/>
                <w:color w:val="002060"/>
                <w:sz w:val="22"/>
              </w:rPr>
              <w:t>47</w:t>
            </w:r>
            <w:r w:rsidR="00D45AC1" w:rsidRPr="003A0F14">
              <w:rPr>
                <w:webHidden/>
                <w:color w:val="002060"/>
                <w:sz w:val="22"/>
              </w:rPr>
              <w:fldChar w:fldCharType="end"/>
            </w:r>
          </w:hyperlink>
        </w:p>
        <w:p w:rsidR="00D45AC1" w:rsidRPr="003A0F14" w:rsidRDefault="00D05954">
          <w:pPr>
            <w:pStyle w:val="Obsah4"/>
            <w:rPr>
              <w:rFonts w:eastAsiaTheme="minorEastAsia"/>
              <w:noProof/>
              <w:color w:val="002060"/>
              <w:sz w:val="22"/>
              <w:lang w:eastAsia="cs-CZ"/>
            </w:rPr>
          </w:pPr>
          <w:hyperlink w:anchor="_Toc68611020" w:history="1">
            <w:r w:rsidR="00D45AC1" w:rsidRPr="003A0F14">
              <w:rPr>
                <w:rStyle w:val="Hypertextovodkaz"/>
                <w:b/>
                <w:noProof/>
                <w:color w:val="002060"/>
                <w:sz w:val="22"/>
                <w:lang w:eastAsia="cs-CZ" w:bidi="cs-CZ"/>
              </w:rPr>
              <w:t>2.2.4.1.</w:t>
            </w:r>
            <w:r w:rsidR="00D45AC1" w:rsidRPr="003A0F14">
              <w:rPr>
                <w:rFonts w:eastAsiaTheme="minorEastAsia"/>
                <w:noProof/>
                <w:color w:val="002060"/>
                <w:sz w:val="22"/>
                <w:lang w:eastAsia="cs-CZ"/>
              </w:rPr>
              <w:tab/>
            </w:r>
            <w:r w:rsidR="00D45AC1" w:rsidRPr="003A0F14">
              <w:rPr>
                <w:rStyle w:val="Hypertextovodkaz"/>
                <w:b/>
                <w:noProof/>
                <w:color w:val="002060"/>
                <w:sz w:val="22"/>
                <w:lang w:eastAsia="cs-CZ" w:bidi="cs-CZ"/>
              </w:rPr>
              <w:t>Intervence fondů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tab/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begin"/>
            </w:r>
            <w:r w:rsidR="00D45AC1" w:rsidRPr="003A0F14">
              <w:rPr>
                <w:noProof/>
                <w:webHidden/>
                <w:color w:val="002060"/>
                <w:sz w:val="22"/>
              </w:rPr>
              <w:instrText xml:space="preserve"> PAGEREF _Toc68611020 \h </w:instrText>
            </w:r>
            <w:r w:rsidR="00D45AC1" w:rsidRPr="003A0F14">
              <w:rPr>
                <w:noProof/>
                <w:webHidden/>
                <w:color w:val="002060"/>
                <w:sz w:val="22"/>
              </w:rPr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separate"/>
            </w:r>
            <w:r w:rsidR="00714313">
              <w:rPr>
                <w:noProof/>
                <w:webHidden/>
                <w:color w:val="002060"/>
                <w:sz w:val="22"/>
              </w:rPr>
              <w:t>47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end"/>
            </w:r>
          </w:hyperlink>
        </w:p>
        <w:p w:rsidR="00D45AC1" w:rsidRPr="003A0F14" w:rsidRDefault="00D05954">
          <w:pPr>
            <w:pStyle w:val="Obsah4"/>
            <w:rPr>
              <w:rFonts w:eastAsiaTheme="minorEastAsia"/>
              <w:noProof/>
              <w:color w:val="002060"/>
              <w:sz w:val="22"/>
              <w:lang w:eastAsia="cs-CZ"/>
            </w:rPr>
          </w:pPr>
          <w:hyperlink w:anchor="_Toc68611021" w:history="1">
            <w:r w:rsidR="00D45AC1" w:rsidRPr="003A0F14">
              <w:rPr>
                <w:rStyle w:val="Hypertextovodkaz"/>
                <w:b/>
                <w:noProof/>
                <w:color w:val="002060"/>
                <w:sz w:val="22"/>
                <w:lang w:eastAsia="cs-CZ" w:bidi="cs-CZ"/>
              </w:rPr>
              <w:t>2.2.4.2.</w:t>
            </w:r>
            <w:r w:rsidR="00D45AC1" w:rsidRPr="003A0F14">
              <w:rPr>
                <w:rFonts w:eastAsiaTheme="minorEastAsia"/>
                <w:noProof/>
                <w:color w:val="002060"/>
                <w:sz w:val="22"/>
                <w:lang w:eastAsia="cs-CZ"/>
              </w:rPr>
              <w:tab/>
            </w:r>
            <w:r w:rsidR="00D45AC1" w:rsidRPr="003A0F14">
              <w:rPr>
                <w:rStyle w:val="Hypertextovodkaz"/>
                <w:b/>
                <w:noProof/>
                <w:color w:val="002060"/>
                <w:sz w:val="22"/>
                <w:lang w:eastAsia="cs-CZ" w:bidi="cs-CZ"/>
              </w:rPr>
              <w:t>Ukazatele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tab/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begin"/>
            </w:r>
            <w:r w:rsidR="00D45AC1" w:rsidRPr="003A0F14">
              <w:rPr>
                <w:noProof/>
                <w:webHidden/>
                <w:color w:val="002060"/>
                <w:sz w:val="22"/>
              </w:rPr>
              <w:instrText xml:space="preserve"> PAGEREF _Toc68611021 \h </w:instrText>
            </w:r>
            <w:r w:rsidR="00D45AC1" w:rsidRPr="003A0F14">
              <w:rPr>
                <w:noProof/>
                <w:webHidden/>
                <w:color w:val="002060"/>
                <w:sz w:val="22"/>
              </w:rPr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separate"/>
            </w:r>
            <w:r w:rsidR="00714313">
              <w:rPr>
                <w:noProof/>
                <w:webHidden/>
                <w:color w:val="002060"/>
                <w:sz w:val="22"/>
              </w:rPr>
              <w:t>49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end"/>
            </w:r>
          </w:hyperlink>
        </w:p>
        <w:p w:rsidR="00D45AC1" w:rsidRPr="003A0F14" w:rsidRDefault="00D05954">
          <w:pPr>
            <w:pStyle w:val="Obsah4"/>
            <w:rPr>
              <w:rFonts w:eastAsiaTheme="minorEastAsia"/>
              <w:noProof/>
              <w:color w:val="002060"/>
              <w:sz w:val="22"/>
              <w:lang w:eastAsia="cs-CZ"/>
            </w:rPr>
          </w:pPr>
          <w:hyperlink w:anchor="_Toc68611022" w:history="1">
            <w:r w:rsidR="00D45AC1" w:rsidRPr="003A0F14">
              <w:rPr>
                <w:rStyle w:val="Hypertextovodkaz"/>
                <w:b/>
                <w:noProof/>
                <w:color w:val="002060"/>
                <w:sz w:val="22"/>
                <w:lang w:eastAsia="cs-CZ" w:bidi="cs-CZ"/>
              </w:rPr>
              <w:t>2.2.4.3.</w:t>
            </w:r>
            <w:r w:rsidR="00D45AC1" w:rsidRPr="003A0F14">
              <w:rPr>
                <w:rFonts w:eastAsiaTheme="minorEastAsia"/>
                <w:noProof/>
                <w:color w:val="002060"/>
                <w:sz w:val="22"/>
                <w:lang w:eastAsia="cs-CZ"/>
              </w:rPr>
              <w:tab/>
            </w:r>
            <w:r w:rsidR="00D45AC1" w:rsidRPr="003A0F14">
              <w:rPr>
                <w:rStyle w:val="Hypertextovodkaz"/>
                <w:b/>
                <w:noProof/>
                <w:color w:val="002060"/>
                <w:sz w:val="22"/>
                <w:lang w:eastAsia="cs-CZ" w:bidi="cs-CZ"/>
              </w:rPr>
              <w:t>Orientační rozdělení programových zdrojů (EU) podle typu intervence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tab/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begin"/>
            </w:r>
            <w:r w:rsidR="00D45AC1" w:rsidRPr="003A0F14">
              <w:rPr>
                <w:noProof/>
                <w:webHidden/>
                <w:color w:val="002060"/>
                <w:sz w:val="22"/>
              </w:rPr>
              <w:instrText xml:space="preserve"> PAGEREF _Toc68611022 \h </w:instrText>
            </w:r>
            <w:r w:rsidR="00D45AC1" w:rsidRPr="003A0F14">
              <w:rPr>
                <w:noProof/>
                <w:webHidden/>
                <w:color w:val="002060"/>
                <w:sz w:val="22"/>
              </w:rPr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separate"/>
            </w:r>
            <w:r w:rsidR="00714313">
              <w:rPr>
                <w:noProof/>
                <w:webHidden/>
                <w:color w:val="002060"/>
                <w:sz w:val="22"/>
              </w:rPr>
              <w:t>50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end"/>
            </w:r>
          </w:hyperlink>
        </w:p>
        <w:p w:rsidR="00D45AC1" w:rsidRPr="003A0F14" w:rsidRDefault="00D05954">
          <w:pPr>
            <w:pStyle w:val="Obsah2"/>
            <w:rPr>
              <w:rFonts w:eastAsiaTheme="minorEastAsia"/>
              <w:noProof/>
              <w:color w:val="002060"/>
              <w:sz w:val="22"/>
              <w:lang w:eastAsia="cs-CZ"/>
            </w:rPr>
          </w:pPr>
          <w:hyperlink w:anchor="_Toc68611023" w:history="1">
            <w:r w:rsidR="00D45AC1" w:rsidRPr="003A0F14">
              <w:rPr>
                <w:rStyle w:val="Hypertextovodkaz"/>
                <w:noProof/>
                <w:color w:val="002060"/>
                <w:sz w:val="22"/>
              </w:rPr>
              <w:t>2.3.</w:t>
            </w:r>
            <w:r w:rsidR="00D45AC1" w:rsidRPr="003A0F14">
              <w:rPr>
                <w:rFonts w:eastAsiaTheme="minorEastAsia"/>
                <w:noProof/>
                <w:color w:val="002060"/>
                <w:sz w:val="22"/>
                <w:lang w:eastAsia="cs-CZ"/>
              </w:rPr>
              <w:tab/>
            </w:r>
            <w:r w:rsidR="00D45AC1" w:rsidRPr="003A0F14">
              <w:rPr>
                <w:rStyle w:val="Hypertextovodkaz"/>
                <w:noProof/>
                <w:color w:val="002060"/>
                <w:sz w:val="22"/>
              </w:rPr>
              <w:t>Priorita 3 – Technická pomoc (P3) – ERDF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tab/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begin"/>
            </w:r>
            <w:r w:rsidR="00D45AC1" w:rsidRPr="003A0F14">
              <w:rPr>
                <w:noProof/>
                <w:webHidden/>
                <w:color w:val="002060"/>
                <w:sz w:val="22"/>
              </w:rPr>
              <w:instrText xml:space="preserve"> PAGEREF _Toc68611023 \h </w:instrText>
            </w:r>
            <w:r w:rsidR="00D45AC1" w:rsidRPr="003A0F14">
              <w:rPr>
                <w:noProof/>
                <w:webHidden/>
                <w:color w:val="002060"/>
                <w:sz w:val="22"/>
              </w:rPr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separate"/>
            </w:r>
            <w:r w:rsidR="00714313">
              <w:rPr>
                <w:noProof/>
                <w:webHidden/>
                <w:color w:val="002060"/>
                <w:sz w:val="22"/>
              </w:rPr>
              <w:t>51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end"/>
            </w:r>
          </w:hyperlink>
        </w:p>
        <w:p w:rsidR="00D45AC1" w:rsidRPr="003A0F14" w:rsidRDefault="00D05954">
          <w:pPr>
            <w:pStyle w:val="Obsah3"/>
            <w:rPr>
              <w:rFonts w:eastAsiaTheme="minorEastAsia"/>
              <w:b w:val="0"/>
              <w:color w:val="002060"/>
              <w:sz w:val="22"/>
              <w:lang w:bidi="ar-SA"/>
            </w:rPr>
          </w:pPr>
          <w:hyperlink w:anchor="_Toc68611024" w:history="1">
            <w:r w:rsidR="00D45AC1" w:rsidRPr="003A0F14">
              <w:rPr>
                <w:rStyle w:val="Hypertextovodkaz"/>
                <w:color w:val="002060"/>
                <w:sz w:val="22"/>
              </w:rPr>
              <w:t>2.3.1.</w:t>
            </w:r>
            <w:r w:rsidR="00D45AC1" w:rsidRPr="003A0F14">
              <w:rPr>
                <w:rFonts w:eastAsiaTheme="minorEastAsia"/>
                <w:b w:val="0"/>
                <w:color w:val="002060"/>
                <w:sz w:val="22"/>
                <w:lang w:bidi="ar-SA"/>
              </w:rPr>
              <w:tab/>
            </w:r>
            <w:r w:rsidR="00D45AC1" w:rsidRPr="003A0F14">
              <w:rPr>
                <w:rStyle w:val="Hypertextovodkaz"/>
                <w:color w:val="002060"/>
                <w:sz w:val="22"/>
              </w:rPr>
              <w:t>Specifický cíl 3.1: Zajištění kvalitního řízení a implementace programu</w:t>
            </w:r>
            <w:r w:rsidR="00D45AC1" w:rsidRPr="003A0F14">
              <w:rPr>
                <w:webHidden/>
                <w:color w:val="002060"/>
                <w:sz w:val="22"/>
              </w:rPr>
              <w:tab/>
            </w:r>
            <w:r w:rsidR="00D45AC1" w:rsidRPr="003A0F14">
              <w:rPr>
                <w:webHidden/>
                <w:color w:val="002060"/>
                <w:sz w:val="22"/>
              </w:rPr>
              <w:fldChar w:fldCharType="begin"/>
            </w:r>
            <w:r w:rsidR="00D45AC1" w:rsidRPr="003A0F14">
              <w:rPr>
                <w:webHidden/>
                <w:color w:val="002060"/>
                <w:sz w:val="22"/>
              </w:rPr>
              <w:instrText xml:space="preserve"> PAGEREF _Toc68611024 \h </w:instrText>
            </w:r>
            <w:r w:rsidR="00D45AC1" w:rsidRPr="003A0F14">
              <w:rPr>
                <w:webHidden/>
                <w:color w:val="002060"/>
                <w:sz w:val="22"/>
              </w:rPr>
            </w:r>
            <w:r w:rsidR="00D45AC1" w:rsidRPr="003A0F14">
              <w:rPr>
                <w:webHidden/>
                <w:color w:val="002060"/>
                <w:sz w:val="22"/>
              </w:rPr>
              <w:fldChar w:fldCharType="separate"/>
            </w:r>
            <w:r w:rsidR="00714313">
              <w:rPr>
                <w:webHidden/>
                <w:color w:val="002060"/>
                <w:sz w:val="22"/>
              </w:rPr>
              <w:t>51</w:t>
            </w:r>
            <w:r w:rsidR="00D45AC1" w:rsidRPr="003A0F14">
              <w:rPr>
                <w:webHidden/>
                <w:color w:val="002060"/>
                <w:sz w:val="22"/>
              </w:rPr>
              <w:fldChar w:fldCharType="end"/>
            </w:r>
          </w:hyperlink>
        </w:p>
        <w:p w:rsidR="00D45AC1" w:rsidRPr="003A0F14" w:rsidRDefault="00D05954">
          <w:pPr>
            <w:pStyle w:val="Obsah4"/>
            <w:rPr>
              <w:rFonts w:eastAsiaTheme="minorEastAsia"/>
              <w:noProof/>
              <w:color w:val="002060"/>
              <w:sz w:val="22"/>
              <w:lang w:eastAsia="cs-CZ"/>
            </w:rPr>
          </w:pPr>
          <w:hyperlink w:anchor="_Toc68611025" w:history="1">
            <w:r w:rsidR="00D45AC1" w:rsidRPr="003A0F14">
              <w:rPr>
                <w:rStyle w:val="Hypertextovodkaz"/>
                <w:b/>
                <w:noProof/>
                <w:color w:val="002060"/>
                <w:sz w:val="22"/>
              </w:rPr>
              <w:t>2.3.1.1.</w:t>
            </w:r>
            <w:r w:rsidR="00D45AC1" w:rsidRPr="003A0F14">
              <w:rPr>
                <w:rFonts w:eastAsiaTheme="minorEastAsia"/>
                <w:noProof/>
                <w:color w:val="002060"/>
                <w:sz w:val="22"/>
                <w:lang w:eastAsia="cs-CZ"/>
              </w:rPr>
              <w:tab/>
            </w:r>
            <w:r w:rsidR="00D45AC1" w:rsidRPr="003A0F14">
              <w:rPr>
                <w:rStyle w:val="Hypertextovodkaz"/>
                <w:b/>
                <w:noProof/>
                <w:color w:val="002060"/>
                <w:sz w:val="22"/>
              </w:rPr>
              <w:t>Intervence fondů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tab/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begin"/>
            </w:r>
            <w:r w:rsidR="00D45AC1" w:rsidRPr="003A0F14">
              <w:rPr>
                <w:noProof/>
                <w:webHidden/>
                <w:color w:val="002060"/>
                <w:sz w:val="22"/>
              </w:rPr>
              <w:instrText xml:space="preserve"> PAGEREF _Toc68611025 \h </w:instrText>
            </w:r>
            <w:r w:rsidR="00D45AC1" w:rsidRPr="003A0F14">
              <w:rPr>
                <w:noProof/>
                <w:webHidden/>
                <w:color w:val="002060"/>
                <w:sz w:val="22"/>
              </w:rPr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separate"/>
            </w:r>
            <w:r w:rsidR="00714313">
              <w:rPr>
                <w:noProof/>
                <w:webHidden/>
                <w:color w:val="002060"/>
                <w:sz w:val="22"/>
              </w:rPr>
              <w:t>51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end"/>
            </w:r>
          </w:hyperlink>
        </w:p>
        <w:p w:rsidR="00D45AC1" w:rsidRPr="003A0F14" w:rsidRDefault="00D05954">
          <w:pPr>
            <w:pStyle w:val="Obsah4"/>
            <w:rPr>
              <w:rFonts w:eastAsiaTheme="minorEastAsia"/>
              <w:noProof/>
              <w:color w:val="002060"/>
              <w:sz w:val="22"/>
              <w:lang w:eastAsia="cs-CZ"/>
            </w:rPr>
          </w:pPr>
          <w:hyperlink w:anchor="_Toc68611026" w:history="1">
            <w:r w:rsidR="00D45AC1" w:rsidRPr="003A0F14">
              <w:rPr>
                <w:rStyle w:val="Hypertextovodkaz"/>
                <w:b/>
                <w:noProof/>
                <w:color w:val="002060"/>
                <w:sz w:val="22"/>
                <w:lang w:eastAsia="cs-CZ" w:bidi="cs-CZ"/>
              </w:rPr>
              <w:t>2.3.1.2.</w:t>
            </w:r>
            <w:r w:rsidR="00D45AC1" w:rsidRPr="003A0F14">
              <w:rPr>
                <w:rFonts w:eastAsiaTheme="minorEastAsia"/>
                <w:noProof/>
                <w:color w:val="002060"/>
                <w:sz w:val="22"/>
                <w:lang w:eastAsia="cs-CZ"/>
              </w:rPr>
              <w:tab/>
            </w:r>
            <w:r w:rsidR="00D45AC1" w:rsidRPr="003A0F14">
              <w:rPr>
                <w:rStyle w:val="Hypertextovodkaz"/>
                <w:b/>
                <w:noProof/>
                <w:color w:val="002060"/>
                <w:sz w:val="22"/>
                <w:lang w:eastAsia="cs-CZ" w:bidi="cs-CZ"/>
              </w:rPr>
              <w:t>Ukazatele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tab/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begin"/>
            </w:r>
            <w:r w:rsidR="00D45AC1" w:rsidRPr="003A0F14">
              <w:rPr>
                <w:noProof/>
                <w:webHidden/>
                <w:color w:val="002060"/>
                <w:sz w:val="22"/>
              </w:rPr>
              <w:instrText xml:space="preserve"> PAGEREF _Toc68611026 \h </w:instrText>
            </w:r>
            <w:r w:rsidR="00D45AC1" w:rsidRPr="003A0F14">
              <w:rPr>
                <w:noProof/>
                <w:webHidden/>
                <w:color w:val="002060"/>
                <w:sz w:val="22"/>
              </w:rPr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separate"/>
            </w:r>
            <w:r w:rsidR="00714313">
              <w:rPr>
                <w:noProof/>
                <w:webHidden/>
                <w:color w:val="002060"/>
                <w:sz w:val="22"/>
              </w:rPr>
              <w:t>53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end"/>
            </w:r>
          </w:hyperlink>
        </w:p>
        <w:p w:rsidR="00D45AC1" w:rsidRPr="003A0F14" w:rsidRDefault="00D05954">
          <w:pPr>
            <w:pStyle w:val="Obsah4"/>
            <w:rPr>
              <w:rFonts w:eastAsiaTheme="minorEastAsia"/>
              <w:noProof/>
              <w:color w:val="002060"/>
              <w:sz w:val="22"/>
              <w:lang w:eastAsia="cs-CZ"/>
            </w:rPr>
          </w:pPr>
          <w:hyperlink w:anchor="_Toc68611027" w:history="1">
            <w:r w:rsidR="00D45AC1" w:rsidRPr="003A0F14">
              <w:rPr>
                <w:rStyle w:val="Hypertextovodkaz"/>
                <w:b/>
                <w:noProof/>
                <w:color w:val="002060"/>
                <w:sz w:val="22"/>
                <w:lang w:eastAsia="cs-CZ" w:bidi="cs-CZ"/>
              </w:rPr>
              <w:t>2.3.1.3.</w:t>
            </w:r>
            <w:r w:rsidR="00D45AC1" w:rsidRPr="003A0F14">
              <w:rPr>
                <w:rFonts w:eastAsiaTheme="minorEastAsia"/>
                <w:noProof/>
                <w:color w:val="002060"/>
                <w:sz w:val="22"/>
                <w:lang w:eastAsia="cs-CZ"/>
              </w:rPr>
              <w:tab/>
            </w:r>
            <w:r w:rsidR="00D45AC1" w:rsidRPr="003A0F14">
              <w:rPr>
                <w:rStyle w:val="Hypertextovodkaz"/>
                <w:b/>
                <w:noProof/>
                <w:color w:val="002060"/>
                <w:sz w:val="22"/>
                <w:lang w:eastAsia="cs-CZ" w:bidi="cs-CZ"/>
              </w:rPr>
              <w:t>Orientační rozdělení programových zdrojů (EU) podle typu intervence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tab/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begin"/>
            </w:r>
            <w:r w:rsidR="00D45AC1" w:rsidRPr="003A0F14">
              <w:rPr>
                <w:noProof/>
                <w:webHidden/>
                <w:color w:val="002060"/>
                <w:sz w:val="22"/>
              </w:rPr>
              <w:instrText xml:space="preserve"> PAGEREF _Toc68611027 \h </w:instrText>
            </w:r>
            <w:r w:rsidR="00D45AC1" w:rsidRPr="003A0F14">
              <w:rPr>
                <w:noProof/>
                <w:webHidden/>
                <w:color w:val="002060"/>
                <w:sz w:val="22"/>
              </w:rPr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separate"/>
            </w:r>
            <w:r w:rsidR="00714313">
              <w:rPr>
                <w:noProof/>
                <w:webHidden/>
                <w:color w:val="002060"/>
                <w:sz w:val="22"/>
              </w:rPr>
              <w:t>54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end"/>
            </w:r>
          </w:hyperlink>
        </w:p>
        <w:p w:rsidR="00D45AC1" w:rsidRPr="003A0F14" w:rsidRDefault="00D05954">
          <w:pPr>
            <w:pStyle w:val="Obsah2"/>
            <w:rPr>
              <w:rFonts w:eastAsiaTheme="minorEastAsia"/>
              <w:noProof/>
              <w:color w:val="002060"/>
              <w:sz w:val="22"/>
              <w:lang w:eastAsia="cs-CZ"/>
            </w:rPr>
          </w:pPr>
          <w:hyperlink w:anchor="_Toc68611028" w:history="1">
            <w:r w:rsidR="00D45AC1" w:rsidRPr="003A0F14">
              <w:rPr>
                <w:rStyle w:val="Hypertextovodkaz"/>
                <w:noProof/>
                <w:color w:val="002060"/>
                <w:sz w:val="22"/>
              </w:rPr>
              <w:t>2.4.</w:t>
            </w:r>
            <w:r w:rsidR="00D45AC1" w:rsidRPr="003A0F14">
              <w:rPr>
                <w:rFonts w:eastAsiaTheme="minorEastAsia"/>
                <w:noProof/>
                <w:color w:val="002060"/>
                <w:sz w:val="22"/>
                <w:lang w:eastAsia="cs-CZ"/>
              </w:rPr>
              <w:tab/>
            </w:r>
            <w:r w:rsidR="00D45AC1" w:rsidRPr="003A0F14">
              <w:rPr>
                <w:rStyle w:val="Hypertextovodkaz"/>
                <w:noProof/>
                <w:color w:val="002060"/>
                <w:sz w:val="22"/>
              </w:rPr>
              <w:t>Priorita 4 – Technická pomoc (P4) – ESF+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tab/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begin"/>
            </w:r>
            <w:r w:rsidR="00D45AC1" w:rsidRPr="003A0F14">
              <w:rPr>
                <w:noProof/>
                <w:webHidden/>
                <w:color w:val="002060"/>
                <w:sz w:val="22"/>
              </w:rPr>
              <w:instrText xml:space="preserve"> PAGEREF _Toc68611028 \h </w:instrText>
            </w:r>
            <w:r w:rsidR="00D45AC1" w:rsidRPr="003A0F14">
              <w:rPr>
                <w:noProof/>
                <w:webHidden/>
                <w:color w:val="002060"/>
                <w:sz w:val="22"/>
              </w:rPr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separate"/>
            </w:r>
            <w:r w:rsidR="00714313">
              <w:rPr>
                <w:noProof/>
                <w:webHidden/>
                <w:color w:val="002060"/>
                <w:sz w:val="22"/>
              </w:rPr>
              <w:t>54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end"/>
            </w:r>
          </w:hyperlink>
        </w:p>
        <w:p w:rsidR="00D45AC1" w:rsidRPr="003A0F14" w:rsidRDefault="00D05954">
          <w:pPr>
            <w:pStyle w:val="Obsah3"/>
            <w:rPr>
              <w:rFonts w:eastAsiaTheme="minorEastAsia"/>
              <w:b w:val="0"/>
              <w:color w:val="002060"/>
              <w:sz w:val="22"/>
              <w:lang w:bidi="ar-SA"/>
            </w:rPr>
          </w:pPr>
          <w:hyperlink w:anchor="_Toc68611029" w:history="1">
            <w:r w:rsidR="00D45AC1" w:rsidRPr="003A0F14">
              <w:rPr>
                <w:rStyle w:val="Hypertextovodkaz"/>
                <w:color w:val="002060"/>
                <w:sz w:val="22"/>
              </w:rPr>
              <w:t>2.4.1.</w:t>
            </w:r>
            <w:r w:rsidR="00D45AC1" w:rsidRPr="003A0F14">
              <w:rPr>
                <w:rFonts w:eastAsiaTheme="minorEastAsia"/>
                <w:b w:val="0"/>
                <w:color w:val="002060"/>
                <w:sz w:val="22"/>
                <w:lang w:bidi="ar-SA"/>
              </w:rPr>
              <w:tab/>
            </w:r>
            <w:r w:rsidR="00D45AC1" w:rsidRPr="003A0F14">
              <w:rPr>
                <w:rStyle w:val="Hypertextovodkaz"/>
                <w:color w:val="002060"/>
                <w:sz w:val="22"/>
              </w:rPr>
              <w:t>Specifický cíl 4.1: Zajištění kvalitního řízení a implementace programu</w:t>
            </w:r>
            <w:r w:rsidR="00D45AC1" w:rsidRPr="003A0F14">
              <w:rPr>
                <w:webHidden/>
                <w:color w:val="002060"/>
                <w:sz w:val="22"/>
              </w:rPr>
              <w:tab/>
            </w:r>
            <w:r w:rsidR="00D45AC1" w:rsidRPr="003A0F14">
              <w:rPr>
                <w:webHidden/>
                <w:color w:val="002060"/>
                <w:sz w:val="22"/>
              </w:rPr>
              <w:fldChar w:fldCharType="begin"/>
            </w:r>
            <w:r w:rsidR="00D45AC1" w:rsidRPr="003A0F14">
              <w:rPr>
                <w:webHidden/>
                <w:color w:val="002060"/>
                <w:sz w:val="22"/>
              </w:rPr>
              <w:instrText xml:space="preserve"> PAGEREF _Toc68611029 \h </w:instrText>
            </w:r>
            <w:r w:rsidR="00D45AC1" w:rsidRPr="003A0F14">
              <w:rPr>
                <w:webHidden/>
                <w:color w:val="002060"/>
                <w:sz w:val="22"/>
              </w:rPr>
            </w:r>
            <w:r w:rsidR="00D45AC1" w:rsidRPr="003A0F14">
              <w:rPr>
                <w:webHidden/>
                <w:color w:val="002060"/>
                <w:sz w:val="22"/>
              </w:rPr>
              <w:fldChar w:fldCharType="separate"/>
            </w:r>
            <w:r w:rsidR="00714313">
              <w:rPr>
                <w:webHidden/>
                <w:color w:val="002060"/>
                <w:sz w:val="22"/>
              </w:rPr>
              <w:t>54</w:t>
            </w:r>
            <w:r w:rsidR="00D45AC1" w:rsidRPr="003A0F14">
              <w:rPr>
                <w:webHidden/>
                <w:color w:val="002060"/>
                <w:sz w:val="22"/>
              </w:rPr>
              <w:fldChar w:fldCharType="end"/>
            </w:r>
          </w:hyperlink>
        </w:p>
        <w:p w:rsidR="00D45AC1" w:rsidRPr="003A0F14" w:rsidRDefault="00D05954">
          <w:pPr>
            <w:pStyle w:val="Obsah4"/>
            <w:rPr>
              <w:rFonts w:eastAsiaTheme="minorEastAsia"/>
              <w:noProof/>
              <w:color w:val="002060"/>
              <w:sz w:val="22"/>
              <w:lang w:eastAsia="cs-CZ"/>
            </w:rPr>
          </w:pPr>
          <w:hyperlink w:anchor="_Toc68611030" w:history="1">
            <w:r w:rsidR="00D45AC1" w:rsidRPr="003A0F14">
              <w:rPr>
                <w:rStyle w:val="Hypertextovodkaz"/>
                <w:b/>
                <w:noProof/>
                <w:color w:val="002060"/>
                <w:sz w:val="22"/>
              </w:rPr>
              <w:t>2.4.1.1.</w:t>
            </w:r>
            <w:r w:rsidR="00D45AC1" w:rsidRPr="003A0F14">
              <w:rPr>
                <w:rFonts w:eastAsiaTheme="minorEastAsia"/>
                <w:noProof/>
                <w:color w:val="002060"/>
                <w:sz w:val="22"/>
                <w:lang w:eastAsia="cs-CZ"/>
              </w:rPr>
              <w:tab/>
            </w:r>
            <w:r w:rsidR="00D45AC1" w:rsidRPr="003A0F14">
              <w:rPr>
                <w:rStyle w:val="Hypertextovodkaz"/>
                <w:b/>
                <w:noProof/>
                <w:color w:val="002060"/>
                <w:sz w:val="22"/>
              </w:rPr>
              <w:t>Intervence fondů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tab/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begin"/>
            </w:r>
            <w:r w:rsidR="00D45AC1" w:rsidRPr="003A0F14">
              <w:rPr>
                <w:noProof/>
                <w:webHidden/>
                <w:color w:val="002060"/>
                <w:sz w:val="22"/>
              </w:rPr>
              <w:instrText xml:space="preserve"> PAGEREF _Toc68611030 \h </w:instrText>
            </w:r>
            <w:r w:rsidR="00D45AC1" w:rsidRPr="003A0F14">
              <w:rPr>
                <w:noProof/>
                <w:webHidden/>
                <w:color w:val="002060"/>
                <w:sz w:val="22"/>
              </w:rPr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separate"/>
            </w:r>
            <w:r w:rsidR="00714313">
              <w:rPr>
                <w:noProof/>
                <w:webHidden/>
                <w:color w:val="002060"/>
                <w:sz w:val="22"/>
              </w:rPr>
              <w:t>54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end"/>
            </w:r>
          </w:hyperlink>
        </w:p>
        <w:p w:rsidR="00D45AC1" w:rsidRPr="003A0F14" w:rsidRDefault="00D05954">
          <w:pPr>
            <w:pStyle w:val="Obsah4"/>
            <w:rPr>
              <w:rFonts w:eastAsiaTheme="minorEastAsia"/>
              <w:noProof/>
              <w:color w:val="002060"/>
              <w:sz w:val="22"/>
              <w:lang w:eastAsia="cs-CZ"/>
            </w:rPr>
          </w:pPr>
          <w:hyperlink w:anchor="_Toc68611031" w:history="1">
            <w:r w:rsidR="00D45AC1" w:rsidRPr="003A0F14">
              <w:rPr>
                <w:rStyle w:val="Hypertextovodkaz"/>
                <w:b/>
                <w:noProof/>
                <w:color w:val="002060"/>
                <w:sz w:val="22"/>
                <w:lang w:eastAsia="cs-CZ" w:bidi="cs-CZ"/>
              </w:rPr>
              <w:t>2.4.1.2.</w:t>
            </w:r>
            <w:r w:rsidR="00D45AC1" w:rsidRPr="003A0F14">
              <w:rPr>
                <w:rFonts w:eastAsiaTheme="minorEastAsia"/>
                <w:noProof/>
                <w:color w:val="002060"/>
                <w:sz w:val="22"/>
                <w:lang w:eastAsia="cs-CZ"/>
              </w:rPr>
              <w:tab/>
            </w:r>
            <w:r w:rsidR="00D45AC1" w:rsidRPr="003A0F14">
              <w:rPr>
                <w:rStyle w:val="Hypertextovodkaz"/>
                <w:b/>
                <w:noProof/>
                <w:color w:val="002060"/>
                <w:sz w:val="22"/>
                <w:lang w:eastAsia="cs-CZ" w:bidi="cs-CZ"/>
              </w:rPr>
              <w:t>Ukazatele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tab/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begin"/>
            </w:r>
            <w:r w:rsidR="00D45AC1" w:rsidRPr="003A0F14">
              <w:rPr>
                <w:noProof/>
                <w:webHidden/>
                <w:color w:val="002060"/>
                <w:sz w:val="22"/>
              </w:rPr>
              <w:instrText xml:space="preserve"> PAGEREF _Toc68611031 \h </w:instrText>
            </w:r>
            <w:r w:rsidR="00D45AC1" w:rsidRPr="003A0F14">
              <w:rPr>
                <w:noProof/>
                <w:webHidden/>
                <w:color w:val="002060"/>
                <w:sz w:val="22"/>
              </w:rPr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separate"/>
            </w:r>
            <w:r w:rsidR="00714313">
              <w:rPr>
                <w:noProof/>
                <w:webHidden/>
                <w:color w:val="002060"/>
                <w:sz w:val="22"/>
              </w:rPr>
              <w:t>57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end"/>
            </w:r>
          </w:hyperlink>
        </w:p>
        <w:p w:rsidR="00D45AC1" w:rsidRPr="003A0F14" w:rsidRDefault="00D05954">
          <w:pPr>
            <w:pStyle w:val="Obsah4"/>
            <w:rPr>
              <w:rFonts w:eastAsiaTheme="minorEastAsia"/>
              <w:noProof/>
              <w:color w:val="002060"/>
              <w:sz w:val="22"/>
              <w:lang w:eastAsia="cs-CZ"/>
            </w:rPr>
          </w:pPr>
          <w:hyperlink w:anchor="_Toc68611032" w:history="1">
            <w:r w:rsidR="00D45AC1" w:rsidRPr="003A0F14">
              <w:rPr>
                <w:rStyle w:val="Hypertextovodkaz"/>
                <w:b/>
                <w:noProof/>
                <w:color w:val="002060"/>
                <w:sz w:val="22"/>
                <w:lang w:eastAsia="cs-CZ" w:bidi="cs-CZ"/>
              </w:rPr>
              <w:t>2.4.1.3.</w:t>
            </w:r>
            <w:r w:rsidR="00D45AC1" w:rsidRPr="003A0F14">
              <w:rPr>
                <w:rFonts w:eastAsiaTheme="minorEastAsia"/>
                <w:noProof/>
                <w:color w:val="002060"/>
                <w:sz w:val="22"/>
                <w:lang w:eastAsia="cs-CZ"/>
              </w:rPr>
              <w:tab/>
            </w:r>
            <w:r w:rsidR="00D45AC1" w:rsidRPr="003A0F14">
              <w:rPr>
                <w:rStyle w:val="Hypertextovodkaz"/>
                <w:b/>
                <w:noProof/>
                <w:color w:val="002060"/>
                <w:sz w:val="22"/>
                <w:lang w:eastAsia="cs-CZ" w:bidi="cs-CZ"/>
              </w:rPr>
              <w:t>Orientační rozdělení programových zdrojů (EU) podle typu intervence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tab/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begin"/>
            </w:r>
            <w:r w:rsidR="00D45AC1" w:rsidRPr="003A0F14">
              <w:rPr>
                <w:noProof/>
                <w:webHidden/>
                <w:color w:val="002060"/>
                <w:sz w:val="22"/>
              </w:rPr>
              <w:instrText xml:space="preserve"> PAGEREF _Toc68611032 \h </w:instrText>
            </w:r>
            <w:r w:rsidR="00D45AC1" w:rsidRPr="003A0F14">
              <w:rPr>
                <w:noProof/>
                <w:webHidden/>
                <w:color w:val="002060"/>
                <w:sz w:val="22"/>
              </w:rPr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separate"/>
            </w:r>
            <w:r w:rsidR="00714313">
              <w:rPr>
                <w:noProof/>
                <w:webHidden/>
                <w:color w:val="002060"/>
                <w:sz w:val="22"/>
              </w:rPr>
              <w:t>57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end"/>
            </w:r>
          </w:hyperlink>
        </w:p>
        <w:p w:rsidR="00D45AC1" w:rsidRPr="003A0F14" w:rsidRDefault="00D05954">
          <w:pPr>
            <w:pStyle w:val="Obsah1"/>
            <w:rPr>
              <w:rFonts w:eastAsiaTheme="minorEastAsia"/>
              <w:b w:val="0"/>
              <w:color w:val="002060"/>
              <w:lang w:eastAsia="cs-CZ"/>
            </w:rPr>
          </w:pPr>
          <w:hyperlink w:anchor="_Toc68611033" w:history="1">
            <w:r w:rsidR="00D45AC1" w:rsidRPr="003A0F14">
              <w:rPr>
                <w:rStyle w:val="Hypertextovodkaz"/>
                <w:color w:val="002060"/>
              </w:rPr>
              <w:t>3.</w:t>
            </w:r>
            <w:r w:rsidR="00D45AC1" w:rsidRPr="003A0F14">
              <w:rPr>
                <w:rFonts w:eastAsiaTheme="minorEastAsia"/>
                <w:b w:val="0"/>
                <w:color w:val="002060"/>
                <w:lang w:eastAsia="cs-CZ"/>
              </w:rPr>
              <w:tab/>
            </w:r>
            <w:r w:rsidR="00D45AC1" w:rsidRPr="003A0F14">
              <w:rPr>
                <w:rStyle w:val="Hypertextovodkaz"/>
                <w:color w:val="002060"/>
              </w:rPr>
              <w:t>Finanční plán</w:t>
            </w:r>
            <w:r w:rsidR="00D45AC1" w:rsidRPr="003A0F14">
              <w:rPr>
                <w:webHidden/>
                <w:color w:val="002060"/>
              </w:rPr>
              <w:tab/>
            </w:r>
            <w:r w:rsidR="00D45AC1" w:rsidRPr="003A0F14">
              <w:rPr>
                <w:webHidden/>
                <w:color w:val="002060"/>
              </w:rPr>
              <w:fldChar w:fldCharType="begin"/>
            </w:r>
            <w:r w:rsidR="00D45AC1" w:rsidRPr="003A0F14">
              <w:rPr>
                <w:webHidden/>
                <w:color w:val="002060"/>
              </w:rPr>
              <w:instrText xml:space="preserve"> PAGEREF _Toc68611033 \h </w:instrText>
            </w:r>
            <w:r w:rsidR="00D45AC1" w:rsidRPr="003A0F14">
              <w:rPr>
                <w:webHidden/>
                <w:color w:val="002060"/>
              </w:rPr>
            </w:r>
            <w:r w:rsidR="00D45AC1" w:rsidRPr="003A0F14">
              <w:rPr>
                <w:webHidden/>
                <w:color w:val="002060"/>
              </w:rPr>
              <w:fldChar w:fldCharType="separate"/>
            </w:r>
            <w:r w:rsidR="00714313">
              <w:rPr>
                <w:webHidden/>
                <w:color w:val="002060"/>
              </w:rPr>
              <w:t>58</w:t>
            </w:r>
            <w:r w:rsidR="00D45AC1" w:rsidRPr="003A0F14">
              <w:rPr>
                <w:webHidden/>
                <w:color w:val="002060"/>
              </w:rPr>
              <w:fldChar w:fldCharType="end"/>
            </w:r>
          </w:hyperlink>
        </w:p>
        <w:p w:rsidR="00D45AC1" w:rsidRPr="003A0F14" w:rsidRDefault="00D05954">
          <w:pPr>
            <w:pStyle w:val="Obsah2"/>
            <w:rPr>
              <w:rFonts w:eastAsiaTheme="minorEastAsia"/>
              <w:noProof/>
              <w:color w:val="002060"/>
              <w:sz w:val="22"/>
              <w:lang w:eastAsia="cs-CZ"/>
            </w:rPr>
          </w:pPr>
          <w:hyperlink w:anchor="_Toc68611035" w:history="1">
            <w:r w:rsidR="00D45AC1" w:rsidRPr="003A0F14">
              <w:rPr>
                <w:rStyle w:val="Hypertextovodkaz"/>
                <w:noProof/>
                <w:color w:val="002060"/>
                <w:sz w:val="22"/>
              </w:rPr>
              <w:t>3.1.</w:t>
            </w:r>
            <w:r w:rsidR="00D45AC1" w:rsidRPr="003A0F14">
              <w:rPr>
                <w:rFonts w:eastAsiaTheme="minorEastAsia"/>
                <w:noProof/>
                <w:color w:val="002060"/>
                <w:sz w:val="22"/>
                <w:lang w:eastAsia="cs-CZ"/>
              </w:rPr>
              <w:tab/>
            </w:r>
            <w:r w:rsidR="00D45AC1" w:rsidRPr="003A0F14">
              <w:rPr>
                <w:rStyle w:val="Hypertextovodkaz"/>
                <w:noProof/>
                <w:color w:val="002060"/>
                <w:sz w:val="22"/>
              </w:rPr>
              <w:t>Převody a příspěvky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tab/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begin"/>
            </w:r>
            <w:r w:rsidR="00D45AC1" w:rsidRPr="003A0F14">
              <w:rPr>
                <w:noProof/>
                <w:webHidden/>
                <w:color w:val="002060"/>
                <w:sz w:val="22"/>
              </w:rPr>
              <w:instrText xml:space="preserve"> PAGEREF _Toc68611035 \h </w:instrText>
            </w:r>
            <w:r w:rsidR="00D45AC1" w:rsidRPr="003A0F14">
              <w:rPr>
                <w:noProof/>
                <w:webHidden/>
                <w:color w:val="002060"/>
                <w:sz w:val="22"/>
              </w:rPr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separate"/>
            </w:r>
            <w:r w:rsidR="00714313">
              <w:rPr>
                <w:noProof/>
                <w:webHidden/>
                <w:color w:val="002060"/>
                <w:sz w:val="22"/>
              </w:rPr>
              <w:t>58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end"/>
            </w:r>
          </w:hyperlink>
        </w:p>
        <w:p w:rsidR="00D45AC1" w:rsidRPr="003A0F14" w:rsidRDefault="00D05954">
          <w:pPr>
            <w:pStyle w:val="Obsah2"/>
            <w:rPr>
              <w:rFonts w:eastAsiaTheme="minorEastAsia"/>
              <w:noProof/>
              <w:color w:val="002060"/>
              <w:sz w:val="22"/>
              <w:lang w:eastAsia="cs-CZ"/>
            </w:rPr>
          </w:pPr>
          <w:hyperlink w:anchor="_Toc68611036" w:history="1">
            <w:r w:rsidR="00D45AC1" w:rsidRPr="003A0F14">
              <w:rPr>
                <w:rStyle w:val="Hypertextovodkaz"/>
                <w:noProof/>
                <w:color w:val="002060"/>
                <w:sz w:val="22"/>
              </w:rPr>
              <w:t>3.2.</w:t>
            </w:r>
            <w:r w:rsidR="00D45AC1" w:rsidRPr="003A0F14">
              <w:rPr>
                <w:rFonts w:eastAsiaTheme="minorEastAsia"/>
                <w:noProof/>
                <w:color w:val="002060"/>
                <w:sz w:val="22"/>
                <w:lang w:eastAsia="cs-CZ"/>
              </w:rPr>
              <w:tab/>
            </w:r>
            <w:r w:rsidR="00D45AC1" w:rsidRPr="003A0F14">
              <w:rPr>
                <w:rStyle w:val="Hypertextovodkaz"/>
                <w:noProof/>
                <w:color w:val="002060"/>
                <w:sz w:val="22"/>
              </w:rPr>
              <w:t>Finanční prostředky podle let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tab/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begin"/>
            </w:r>
            <w:r w:rsidR="00D45AC1" w:rsidRPr="003A0F14">
              <w:rPr>
                <w:noProof/>
                <w:webHidden/>
                <w:color w:val="002060"/>
                <w:sz w:val="22"/>
              </w:rPr>
              <w:instrText xml:space="preserve"> PAGEREF _Toc68611036 \h </w:instrText>
            </w:r>
            <w:r w:rsidR="00D45AC1" w:rsidRPr="003A0F14">
              <w:rPr>
                <w:noProof/>
                <w:webHidden/>
                <w:color w:val="002060"/>
                <w:sz w:val="22"/>
              </w:rPr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separate"/>
            </w:r>
            <w:r w:rsidR="00714313">
              <w:rPr>
                <w:noProof/>
                <w:webHidden/>
                <w:color w:val="002060"/>
                <w:sz w:val="22"/>
              </w:rPr>
              <w:t>58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end"/>
            </w:r>
          </w:hyperlink>
        </w:p>
        <w:p w:rsidR="00D45AC1" w:rsidRPr="003A0F14" w:rsidRDefault="00D05954">
          <w:pPr>
            <w:pStyle w:val="Obsah2"/>
            <w:rPr>
              <w:rFonts w:eastAsiaTheme="minorEastAsia"/>
              <w:noProof/>
              <w:color w:val="002060"/>
              <w:sz w:val="22"/>
              <w:lang w:eastAsia="cs-CZ"/>
            </w:rPr>
          </w:pPr>
          <w:hyperlink w:anchor="_Toc68611037" w:history="1">
            <w:r w:rsidR="00D45AC1" w:rsidRPr="003A0F14">
              <w:rPr>
                <w:rStyle w:val="Hypertextovodkaz"/>
                <w:noProof/>
                <w:color w:val="002060"/>
                <w:sz w:val="22"/>
              </w:rPr>
              <w:t>3.3.</w:t>
            </w:r>
            <w:r w:rsidR="00D45AC1" w:rsidRPr="003A0F14">
              <w:rPr>
                <w:rFonts w:eastAsiaTheme="minorEastAsia"/>
                <w:noProof/>
                <w:color w:val="002060"/>
                <w:sz w:val="22"/>
                <w:lang w:eastAsia="cs-CZ"/>
              </w:rPr>
              <w:tab/>
            </w:r>
            <w:r w:rsidR="00D45AC1" w:rsidRPr="003A0F14">
              <w:rPr>
                <w:rStyle w:val="Hypertextovodkaz"/>
                <w:noProof/>
                <w:color w:val="002060"/>
                <w:sz w:val="22"/>
              </w:rPr>
              <w:t>Celková výše finančních prostředků podle fondu a národního spolufinancování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tab/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begin"/>
            </w:r>
            <w:r w:rsidR="00D45AC1" w:rsidRPr="003A0F14">
              <w:rPr>
                <w:noProof/>
                <w:webHidden/>
                <w:color w:val="002060"/>
                <w:sz w:val="22"/>
              </w:rPr>
              <w:instrText xml:space="preserve"> PAGEREF _Toc68611037 \h </w:instrText>
            </w:r>
            <w:r w:rsidR="00D45AC1" w:rsidRPr="003A0F14">
              <w:rPr>
                <w:noProof/>
                <w:webHidden/>
                <w:color w:val="002060"/>
                <w:sz w:val="22"/>
              </w:rPr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separate"/>
            </w:r>
            <w:r w:rsidR="00714313">
              <w:rPr>
                <w:noProof/>
                <w:webHidden/>
                <w:color w:val="002060"/>
                <w:sz w:val="22"/>
              </w:rPr>
              <w:t>59</w:t>
            </w:r>
            <w:r w:rsidR="00D45AC1" w:rsidRPr="003A0F14">
              <w:rPr>
                <w:noProof/>
                <w:webHidden/>
                <w:color w:val="002060"/>
                <w:sz w:val="22"/>
              </w:rPr>
              <w:fldChar w:fldCharType="end"/>
            </w:r>
          </w:hyperlink>
        </w:p>
        <w:p w:rsidR="00D45AC1" w:rsidRPr="003A0F14" w:rsidRDefault="00D05954">
          <w:pPr>
            <w:pStyle w:val="Obsah1"/>
            <w:rPr>
              <w:rFonts w:eastAsiaTheme="minorEastAsia"/>
              <w:b w:val="0"/>
              <w:color w:val="002060"/>
              <w:lang w:eastAsia="cs-CZ"/>
            </w:rPr>
          </w:pPr>
          <w:hyperlink w:anchor="_Toc68611038" w:history="1">
            <w:r w:rsidR="00D45AC1" w:rsidRPr="003A0F14">
              <w:rPr>
                <w:rStyle w:val="Hypertextovodkaz"/>
                <w:color w:val="002060"/>
              </w:rPr>
              <w:t>4.</w:t>
            </w:r>
            <w:r w:rsidR="00D45AC1" w:rsidRPr="003A0F14">
              <w:rPr>
                <w:rFonts w:eastAsiaTheme="minorEastAsia"/>
                <w:b w:val="0"/>
                <w:color w:val="002060"/>
                <w:lang w:eastAsia="cs-CZ"/>
              </w:rPr>
              <w:tab/>
            </w:r>
            <w:r w:rsidR="00D45AC1" w:rsidRPr="003A0F14">
              <w:rPr>
                <w:rStyle w:val="Hypertextovodkaz"/>
                <w:color w:val="002060"/>
              </w:rPr>
              <w:t>Základní podmínky</w:t>
            </w:r>
            <w:r w:rsidR="00D45AC1" w:rsidRPr="003A0F14">
              <w:rPr>
                <w:webHidden/>
                <w:color w:val="002060"/>
              </w:rPr>
              <w:tab/>
            </w:r>
            <w:r w:rsidR="00D45AC1" w:rsidRPr="003A0F14">
              <w:rPr>
                <w:webHidden/>
                <w:color w:val="002060"/>
              </w:rPr>
              <w:fldChar w:fldCharType="begin"/>
            </w:r>
            <w:r w:rsidR="00D45AC1" w:rsidRPr="003A0F14">
              <w:rPr>
                <w:webHidden/>
                <w:color w:val="002060"/>
              </w:rPr>
              <w:instrText xml:space="preserve"> PAGEREF _Toc68611038 \h </w:instrText>
            </w:r>
            <w:r w:rsidR="00D45AC1" w:rsidRPr="003A0F14">
              <w:rPr>
                <w:webHidden/>
                <w:color w:val="002060"/>
              </w:rPr>
            </w:r>
            <w:r w:rsidR="00D45AC1" w:rsidRPr="003A0F14">
              <w:rPr>
                <w:webHidden/>
                <w:color w:val="002060"/>
              </w:rPr>
              <w:fldChar w:fldCharType="separate"/>
            </w:r>
            <w:r w:rsidR="00714313">
              <w:rPr>
                <w:webHidden/>
                <w:color w:val="002060"/>
              </w:rPr>
              <w:t>60</w:t>
            </w:r>
            <w:r w:rsidR="00D45AC1" w:rsidRPr="003A0F14">
              <w:rPr>
                <w:webHidden/>
                <w:color w:val="002060"/>
              </w:rPr>
              <w:fldChar w:fldCharType="end"/>
            </w:r>
          </w:hyperlink>
        </w:p>
        <w:p w:rsidR="00D45AC1" w:rsidRPr="003A0F14" w:rsidRDefault="00D05954">
          <w:pPr>
            <w:pStyle w:val="Obsah1"/>
            <w:rPr>
              <w:rFonts w:eastAsiaTheme="minorEastAsia"/>
              <w:b w:val="0"/>
              <w:color w:val="002060"/>
              <w:lang w:eastAsia="cs-CZ"/>
            </w:rPr>
          </w:pPr>
          <w:hyperlink w:anchor="_Toc68611039" w:history="1">
            <w:r w:rsidR="00D45AC1" w:rsidRPr="003A0F14">
              <w:rPr>
                <w:rStyle w:val="Hypertextovodkaz"/>
                <w:color w:val="002060"/>
              </w:rPr>
              <w:t>5.</w:t>
            </w:r>
            <w:r w:rsidR="00D45AC1" w:rsidRPr="003A0F14">
              <w:rPr>
                <w:rFonts w:eastAsiaTheme="minorEastAsia"/>
                <w:b w:val="0"/>
                <w:color w:val="002060"/>
                <w:lang w:eastAsia="cs-CZ"/>
              </w:rPr>
              <w:tab/>
            </w:r>
            <w:r w:rsidR="00D45AC1" w:rsidRPr="003A0F14">
              <w:rPr>
                <w:rStyle w:val="Hypertextovodkaz"/>
                <w:color w:val="002060"/>
              </w:rPr>
              <w:t>Programové orgány</w:t>
            </w:r>
            <w:r w:rsidR="00D45AC1" w:rsidRPr="003A0F14">
              <w:rPr>
                <w:webHidden/>
                <w:color w:val="002060"/>
              </w:rPr>
              <w:tab/>
            </w:r>
            <w:r w:rsidR="00D45AC1" w:rsidRPr="003A0F14">
              <w:rPr>
                <w:webHidden/>
                <w:color w:val="002060"/>
              </w:rPr>
              <w:fldChar w:fldCharType="begin"/>
            </w:r>
            <w:r w:rsidR="00D45AC1" w:rsidRPr="003A0F14">
              <w:rPr>
                <w:webHidden/>
                <w:color w:val="002060"/>
              </w:rPr>
              <w:instrText xml:space="preserve"> PAGEREF _Toc68611039 \h </w:instrText>
            </w:r>
            <w:r w:rsidR="00D45AC1" w:rsidRPr="003A0F14">
              <w:rPr>
                <w:webHidden/>
                <w:color w:val="002060"/>
              </w:rPr>
            </w:r>
            <w:r w:rsidR="00D45AC1" w:rsidRPr="003A0F14">
              <w:rPr>
                <w:webHidden/>
                <w:color w:val="002060"/>
              </w:rPr>
              <w:fldChar w:fldCharType="separate"/>
            </w:r>
            <w:r w:rsidR="00714313">
              <w:rPr>
                <w:webHidden/>
                <w:color w:val="002060"/>
              </w:rPr>
              <w:t>75</w:t>
            </w:r>
            <w:r w:rsidR="00D45AC1" w:rsidRPr="003A0F14">
              <w:rPr>
                <w:webHidden/>
                <w:color w:val="002060"/>
              </w:rPr>
              <w:fldChar w:fldCharType="end"/>
            </w:r>
          </w:hyperlink>
        </w:p>
        <w:p w:rsidR="00D45AC1" w:rsidRPr="003A0F14" w:rsidRDefault="00D05954">
          <w:pPr>
            <w:pStyle w:val="Obsah1"/>
            <w:rPr>
              <w:rFonts w:eastAsiaTheme="minorEastAsia"/>
              <w:b w:val="0"/>
              <w:color w:val="002060"/>
              <w:lang w:eastAsia="cs-CZ"/>
            </w:rPr>
          </w:pPr>
          <w:hyperlink w:anchor="_Toc68611040" w:history="1">
            <w:r w:rsidR="00D45AC1" w:rsidRPr="003A0F14">
              <w:rPr>
                <w:rStyle w:val="Hypertextovodkaz"/>
                <w:color w:val="002060"/>
              </w:rPr>
              <w:t>6.</w:t>
            </w:r>
            <w:r w:rsidR="00D45AC1" w:rsidRPr="003A0F14">
              <w:rPr>
                <w:rFonts w:eastAsiaTheme="minorEastAsia"/>
                <w:b w:val="0"/>
                <w:color w:val="002060"/>
                <w:lang w:eastAsia="cs-CZ"/>
              </w:rPr>
              <w:tab/>
            </w:r>
            <w:r w:rsidR="00D45AC1" w:rsidRPr="003A0F14">
              <w:rPr>
                <w:rStyle w:val="Hypertextovodkaz"/>
                <w:color w:val="002060"/>
              </w:rPr>
              <w:t>Partnerství</w:t>
            </w:r>
            <w:r w:rsidR="00D45AC1" w:rsidRPr="003A0F14">
              <w:rPr>
                <w:webHidden/>
                <w:color w:val="002060"/>
              </w:rPr>
              <w:tab/>
            </w:r>
            <w:r w:rsidR="00D45AC1" w:rsidRPr="003A0F14">
              <w:rPr>
                <w:webHidden/>
                <w:color w:val="002060"/>
              </w:rPr>
              <w:fldChar w:fldCharType="begin"/>
            </w:r>
            <w:r w:rsidR="00D45AC1" w:rsidRPr="003A0F14">
              <w:rPr>
                <w:webHidden/>
                <w:color w:val="002060"/>
              </w:rPr>
              <w:instrText xml:space="preserve"> PAGEREF _Toc68611040 \h </w:instrText>
            </w:r>
            <w:r w:rsidR="00D45AC1" w:rsidRPr="003A0F14">
              <w:rPr>
                <w:webHidden/>
                <w:color w:val="002060"/>
              </w:rPr>
            </w:r>
            <w:r w:rsidR="00D45AC1" w:rsidRPr="003A0F14">
              <w:rPr>
                <w:webHidden/>
                <w:color w:val="002060"/>
              </w:rPr>
              <w:fldChar w:fldCharType="separate"/>
            </w:r>
            <w:r w:rsidR="00714313">
              <w:rPr>
                <w:webHidden/>
                <w:color w:val="002060"/>
              </w:rPr>
              <w:t>75</w:t>
            </w:r>
            <w:r w:rsidR="00D45AC1" w:rsidRPr="003A0F14">
              <w:rPr>
                <w:webHidden/>
                <w:color w:val="002060"/>
              </w:rPr>
              <w:fldChar w:fldCharType="end"/>
            </w:r>
          </w:hyperlink>
        </w:p>
        <w:p w:rsidR="00D45AC1" w:rsidRPr="003A0F14" w:rsidRDefault="00D05954">
          <w:pPr>
            <w:pStyle w:val="Obsah1"/>
            <w:rPr>
              <w:rFonts w:eastAsiaTheme="minorEastAsia"/>
              <w:b w:val="0"/>
              <w:color w:val="002060"/>
              <w:lang w:eastAsia="cs-CZ"/>
            </w:rPr>
          </w:pPr>
          <w:hyperlink w:anchor="_Toc68611041" w:history="1">
            <w:r w:rsidR="00D45AC1" w:rsidRPr="003A0F14">
              <w:rPr>
                <w:rStyle w:val="Hypertextovodkaz"/>
                <w:color w:val="002060"/>
              </w:rPr>
              <w:t>7.</w:t>
            </w:r>
            <w:r w:rsidR="00D45AC1" w:rsidRPr="003A0F14">
              <w:rPr>
                <w:rFonts w:eastAsiaTheme="minorEastAsia"/>
                <w:b w:val="0"/>
                <w:color w:val="002060"/>
                <w:lang w:eastAsia="cs-CZ"/>
              </w:rPr>
              <w:tab/>
            </w:r>
            <w:r w:rsidR="00D45AC1" w:rsidRPr="003A0F14">
              <w:rPr>
                <w:rStyle w:val="Hypertextovodkaz"/>
                <w:color w:val="002060"/>
              </w:rPr>
              <w:t>Komunikace a viditelnost</w:t>
            </w:r>
            <w:r w:rsidR="00D45AC1" w:rsidRPr="003A0F14">
              <w:rPr>
                <w:webHidden/>
                <w:color w:val="002060"/>
              </w:rPr>
              <w:tab/>
            </w:r>
            <w:r w:rsidR="00D45AC1" w:rsidRPr="003A0F14">
              <w:rPr>
                <w:webHidden/>
                <w:color w:val="002060"/>
              </w:rPr>
              <w:fldChar w:fldCharType="begin"/>
            </w:r>
            <w:r w:rsidR="00D45AC1" w:rsidRPr="003A0F14">
              <w:rPr>
                <w:webHidden/>
                <w:color w:val="002060"/>
              </w:rPr>
              <w:instrText xml:space="preserve"> PAGEREF _Toc68611041 \h </w:instrText>
            </w:r>
            <w:r w:rsidR="00D45AC1" w:rsidRPr="003A0F14">
              <w:rPr>
                <w:webHidden/>
                <w:color w:val="002060"/>
              </w:rPr>
            </w:r>
            <w:r w:rsidR="00D45AC1" w:rsidRPr="003A0F14">
              <w:rPr>
                <w:webHidden/>
                <w:color w:val="002060"/>
              </w:rPr>
              <w:fldChar w:fldCharType="separate"/>
            </w:r>
            <w:r w:rsidR="00714313">
              <w:rPr>
                <w:webHidden/>
                <w:color w:val="002060"/>
              </w:rPr>
              <w:t>78</w:t>
            </w:r>
            <w:r w:rsidR="00D45AC1" w:rsidRPr="003A0F14">
              <w:rPr>
                <w:webHidden/>
                <w:color w:val="002060"/>
              </w:rPr>
              <w:fldChar w:fldCharType="end"/>
            </w:r>
          </w:hyperlink>
        </w:p>
        <w:p w:rsidR="00D45AC1" w:rsidRPr="003A0F14" w:rsidRDefault="00D05954">
          <w:pPr>
            <w:pStyle w:val="Obsah1"/>
            <w:rPr>
              <w:rFonts w:eastAsiaTheme="minorEastAsia"/>
              <w:b w:val="0"/>
              <w:color w:val="002060"/>
              <w:lang w:eastAsia="cs-CZ"/>
            </w:rPr>
          </w:pPr>
          <w:hyperlink w:anchor="_Toc68611042" w:history="1">
            <w:r w:rsidR="00D45AC1" w:rsidRPr="003A0F14">
              <w:rPr>
                <w:rStyle w:val="Hypertextovodkaz"/>
                <w:color w:val="002060"/>
              </w:rPr>
              <w:t>8.</w:t>
            </w:r>
            <w:r w:rsidR="00D45AC1" w:rsidRPr="003A0F14">
              <w:rPr>
                <w:rFonts w:eastAsiaTheme="minorEastAsia"/>
                <w:b w:val="0"/>
                <w:color w:val="002060"/>
                <w:lang w:eastAsia="cs-CZ"/>
              </w:rPr>
              <w:tab/>
            </w:r>
            <w:r w:rsidR="00D45AC1" w:rsidRPr="003A0F14">
              <w:rPr>
                <w:rStyle w:val="Hypertextovodkaz"/>
                <w:color w:val="002060"/>
              </w:rPr>
              <w:t>Využití jednotkových nákladů, jednorázových částek, paušálních sazeb a financování nesouvisejícího s náklady</w:t>
            </w:r>
            <w:r w:rsidR="00D45AC1" w:rsidRPr="003A0F14">
              <w:rPr>
                <w:webHidden/>
                <w:color w:val="002060"/>
              </w:rPr>
              <w:tab/>
            </w:r>
            <w:r w:rsidR="00D45AC1" w:rsidRPr="003A0F14">
              <w:rPr>
                <w:webHidden/>
                <w:color w:val="002060"/>
              </w:rPr>
              <w:fldChar w:fldCharType="begin"/>
            </w:r>
            <w:r w:rsidR="00D45AC1" w:rsidRPr="003A0F14">
              <w:rPr>
                <w:webHidden/>
                <w:color w:val="002060"/>
              </w:rPr>
              <w:instrText xml:space="preserve"> PAGEREF _Toc68611042 \h </w:instrText>
            </w:r>
            <w:r w:rsidR="00D45AC1" w:rsidRPr="003A0F14">
              <w:rPr>
                <w:webHidden/>
                <w:color w:val="002060"/>
              </w:rPr>
            </w:r>
            <w:r w:rsidR="00D45AC1" w:rsidRPr="003A0F14">
              <w:rPr>
                <w:webHidden/>
                <w:color w:val="002060"/>
              </w:rPr>
              <w:fldChar w:fldCharType="separate"/>
            </w:r>
            <w:r w:rsidR="00714313">
              <w:rPr>
                <w:webHidden/>
                <w:color w:val="002060"/>
              </w:rPr>
              <w:t>79</w:t>
            </w:r>
            <w:r w:rsidR="00D45AC1" w:rsidRPr="003A0F14">
              <w:rPr>
                <w:webHidden/>
                <w:color w:val="002060"/>
              </w:rPr>
              <w:fldChar w:fldCharType="end"/>
            </w:r>
          </w:hyperlink>
        </w:p>
        <w:p w:rsidR="00D45AC1" w:rsidRPr="003A0F14" w:rsidRDefault="00D05954">
          <w:pPr>
            <w:pStyle w:val="Obsah1"/>
            <w:rPr>
              <w:rFonts w:asciiTheme="minorHAnsi" w:eastAsiaTheme="minorEastAsia" w:hAnsiTheme="minorHAnsi" w:cstheme="minorHAnsi"/>
              <w:b w:val="0"/>
              <w:color w:val="auto"/>
              <w:lang w:eastAsia="cs-CZ"/>
            </w:rPr>
          </w:pPr>
          <w:hyperlink w:anchor="_Toc68611043" w:history="1">
            <w:r w:rsidR="00D45AC1" w:rsidRPr="003A0F14">
              <w:rPr>
                <w:rStyle w:val="Hypertextovodkaz"/>
                <w:color w:val="002060"/>
              </w:rPr>
              <w:t>9.</w:t>
            </w:r>
            <w:r w:rsidR="00D45AC1" w:rsidRPr="003A0F14">
              <w:rPr>
                <w:rFonts w:eastAsiaTheme="minorEastAsia"/>
                <w:b w:val="0"/>
                <w:color w:val="002060"/>
                <w:lang w:eastAsia="cs-CZ"/>
              </w:rPr>
              <w:tab/>
            </w:r>
            <w:r w:rsidR="00D45AC1" w:rsidRPr="003A0F14">
              <w:rPr>
                <w:rStyle w:val="Hypertextovodkaz"/>
                <w:color w:val="002060"/>
              </w:rPr>
              <w:t>Seznam zkratek</w:t>
            </w:r>
            <w:r w:rsidR="00D45AC1" w:rsidRPr="003A0F14">
              <w:rPr>
                <w:webHidden/>
                <w:color w:val="002060"/>
              </w:rPr>
              <w:tab/>
            </w:r>
            <w:r w:rsidR="00D45AC1" w:rsidRPr="003A0F14">
              <w:rPr>
                <w:webHidden/>
                <w:color w:val="002060"/>
              </w:rPr>
              <w:fldChar w:fldCharType="begin"/>
            </w:r>
            <w:r w:rsidR="00D45AC1" w:rsidRPr="003A0F14">
              <w:rPr>
                <w:webHidden/>
                <w:color w:val="002060"/>
              </w:rPr>
              <w:instrText xml:space="preserve"> PAGEREF _Toc68611043 \h </w:instrText>
            </w:r>
            <w:r w:rsidR="00D45AC1" w:rsidRPr="003A0F14">
              <w:rPr>
                <w:webHidden/>
                <w:color w:val="002060"/>
              </w:rPr>
            </w:r>
            <w:r w:rsidR="00D45AC1" w:rsidRPr="003A0F14">
              <w:rPr>
                <w:webHidden/>
                <w:color w:val="002060"/>
              </w:rPr>
              <w:fldChar w:fldCharType="separate"/>
            </w:r>
            <w:r w:rsidR="00714313">
              <w:rPr>
                <w:webHidden/>
                <w:color w:val="002060"/>
              </w:rPr>
              <w:t>80</w:t>
            </w:r>
            <w:r w:rsidR="00D45AC1" w:rsidRPr="003A0F14">
              <w:rPr>
                <w:webHidden/>
                <w:color w:val="002060"/>
              </w:rPr>
              <w:fldChar w:fldCharType="end"/>
            </w:r>
          </w:hyperlink>
        </w:p>
        <w:p w:rsidR="008B61D5" w:rsidRPr="00BB50F6" w:rsidRDefault="008B61D5">
          <w:pPr>
            <w:rPr>
              <w:color w:val="002060"/>
              <w:szCs w:val="24"/>
            </w:rPr>
          </w:pPr>
          <w:r w:rsidRPr="003A0F14">
            <w:rPr>
              <w:rFonts w:asciiTheme="minorHAnsi" w:hAnsiTheme="minorHAnsi" w:cstheme="minorHAnsi"/>
              <w:b/>
              <w:bCs/>
              <w:noProof/>
              <w:color w:val="002060"/>
              <w:sz w:val="22"/>
            </w:rPr>
            <w:fldChar w:fldCharType="end"/>
          </w:r>
        </w:p>
      </w:sdtContent>
    </w:sdt>
    <w:p w:rsidR="00256F5A" w:rsidRPr="00B175FB" w:rsidRDefault="00256F5A">
      <w:pPr>
        <w:spacing w:before="0" w:after="160" w:line="259" w:lineRule="auto"/>
      </w:pPr>
      <w:r w:rsidRPr="00B175FB">
        <w:br w:type="page"/>
      </w:r>
    </w:p>
    <w:p w:rsidR="00763EA5" w:rsidRPr="00B175FB" w:rsidRDefault="00763EA5"/>
    <w:tbl>
      <w:tblPr>
        <w:tblW w:w="0" w:type="auto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ook w:val="04A0" w:firstRow="1" w:lastRow="0" w:firstColumn="1" w:lastColumn="0" w:noHBand="0" w:noVBand="1"/>
      </w:tblPr>
      <w:tblGrid>
        <w:gridCol w:w="4673"/>
        <w:gridCol w:w="3745"/>
      </w:tblGrid>
      <w:tr w:rsidR="00114426" w:rsidRPr="00B175FB" w:rsidTr="00F6239D">
        <w:trPr>
          <w:trHeight w:val="222"/>
          <w:jc w:val="center"/>
        </w:trPr>
        <w:tc>
          <w:tcPr>
            <w:tcW w:w="4673" w:type="dxa"/>
            <w:hideMark/>
          </w:tcPr>
          <w:p w:rsidR="00114426" w:rsidRPr="00B175FB" w:rsidRDefault="00114426">
            <w:pPr>
              <w:spacing w:line="276" w:lineRule="auto"/>
              <w:rPr>
                <w:b/>
              </w:rPr>
            </w:pPr>
            <w:r w:rsidRPr="00B175FB">
              <w:rPr>
                <w:b/>
              </w:rPr>
              <w:t>CCI</w:t>
            </w:r>
            <w:r w:rsidR="00351929" w:rsidRPr="00B175FB">
              <w:rPr>
                <w:rStyle w:val="Znakapoznpodarou"/>
                <w:b w:val="0"/>
              </w:rPr>
              <w:footnoteReference w:id="2"/>
            </w:r>
          </w:p>
        </w:tc>
        <w:tc>
          <w:tcPr>
            <w:tcW w:w="3745" w:type="dxa"/>
          </w:tcPr>
          <w:p w:rsidR="00114426" w:rsidRPr="00B175FB" w:rsidRDefault="00114426">
            <w:pPr>
              <w:spacing w:line="276" w:lineRule="auto"/>
              <w:rPr>
                <w:szCs w:val="24"/>
              </w:rPr>
            </w:pPr>
          </w:p>
        </w:tc>
      </w:tr>
      <w:tr w:rsidR="00114426" w:rsidRPr="00B175FB" w:rsidTr="00F6239D">
        <w:trPr>
          <w:trHeight w:val="269"/>
          <w:jc w:val="center"/>
        </w:trPr>
        <w:tc>
          <w:tcPr>
            <w:tcW w:w="4673" w:type="dxa"/>
            <w:hideMark/>
          </w:tcPr>
          <w:p w:rsidR="00114426" w:rsidRPr="00B175FB" w:rsidRDefault="00CD6921">
            <w:pPr>
              <w:spacing w:line="276" w:lineRule="auto"/>
              <w:rPr>
                <w:b/>
              </w:rPr>
            </w:pPr>
            <w:r w:rsidRPr="00B175FB">
              <w:rPr>
                <w:b/>
              </w:rPr>
              <w:t>Název v</w:t>
            </w:r>
            <w:r w:rsidR="00C34E1E">
              <w:rPr>
                <w:b/>
              </w:rPr>
              <w:t> </w:t>
            </w:r>
            <w:r w:rsidRPr="00B175FB">
              <w:rPr>
                <w:b/>
              </w:rPr>
              <w:t>angličtině</w:t>
            </w:r>
          </w:p>
        </w:tc>
        <w:tc>
          <w:tcPr>
            <w:tcW w:w="3745" w:type="dxa"/>
            <w:hideMark/>
          </w:tcPr>
          <w:p w:rsidR="00114426" w:rsidRPr="00B175FB" w:rsidRDefault="00403266" w:rsidP="002A024C">
            <w:pPr>
              <w:spacing w:line="276" w:lineRule="auto"/>
              <w:rPr>
                <w:szCs w:val="24"/>
              </w:rPr>
            </w:pPr>
            <w:bookmarkStart w:id="7" w:name="_Hlk21361579"/>
            <w:r w:rsidRPr="00B175FB">
              <w:rPr>
                <w:szCs w:val="24"/>
              </w:rPr>
              <w:t xml:space="preserve">Operational Programme </w:t>
            </w:r>
            <w:r w:rsidR="00492F9B" w:rsidRPr="00B175FB">
              <w:rPr>
                <w:szCs w:val="24"/>
              </w:rPr>
              <w:br/>
            </w:r>
            <w:r w:rsidR="006E31E7" w:rsidRPr="00B175FB">
              <w:rPr>
                <w:szCs w:val="24"/>
              </w:rPr>
              <w:t xml:space="preserve">Johannes </w:t>
            </w:r>
            <w:r w:rsidR="006B68FA" w:rsidRPr="00B175FB" w:rsidDel="006E31E7">
              <w:rPr>
                <w:szCs w:val="24"/>
              </w:rPr>
              <w:t>Amos Comenius</w:t>
            </w:r>
            <w:r w:rsidR="0042440E" w:rsidRPr="00B175FB">
              <w:rPr>
                <w:szCs w:val="24"/>
              </w:rPr>
              <w:t xml:space="preserve"> </w:t>
            </w:r>
            <w:bookmarkEnd w:id="7"/>
          </w:p>
        </w:tc>
      </w:tr>
      <w:tr w:rsidR="00114426" w:rsidRPr="00B175FB" w:rsidTr="00F6239D">
        <w:trPr>
          <w:trHeight w:val="138"/>
          <w:jc w:val="center"/>
        </w:trPr>
        <w:tc>
          <w:tcPr>
            <w:tcW w:w="4673" w:type="dxa"/>
            <w:hideMark/>
          </w:tcPr>
          <w:p w:rsidR="00114426" w:rsidRPr="00B175FB" w:rsidRDefault="00CD6921">
            <w:pPr>
              <w:spacing w:line="276" w:lineRule="auto"/>
              <w:rPr>
                <w:b/>
              </w:rPr>
            </w:pPr>
            <w:r w:rsidRPr="00B175FB">
              <w:rPr>
                <w:b/>
              </w:rPr>
              <w:t>Název v národním jazyce (národních jazycích)</w:t>
            </w:r>
          </w:p>
        </w:tc>
        <w:tc>
          <w:tcPr>
            <w:tcW w:w="3745" w:type="dxa"/>
            <w:hideMark/>
          </w:tcPr>
          <w:p w:rsidR="00114426" w:rsidRPr="00B175FB" w:rsidRDefault="00403266">
            <w:pPr>
              <w:spacing w:line="276" w:lineRule="auto"/>
              <w:rPr>
                <w:szCs w:val="24"/>
              </w:rPr>
            </w:pPr>
            <w:r w:rsidRPr="00B175FB">
              <w:rPr>
                <w:szCs w:val="24"/>
              </w:rPr>
              <w:t xml:space="preserve">Operační program </w:t>
            </w:r>
            <w:r w:rsidR="00492F9B" w:rsidRPr="00B175FB">
              <w:rPr>
                <w:szCs w:val="24"/>
              </w:rPr>
              <w:br/>
            </w:r>
            <w:r w:rsidRPr="00B175FB">
              <w:rPr>
                <w:szCs w:val="24"/>
              </w:rPr>
              <w:t>Jan Amos Komenský</w:t>
            </w:r>
          </w:p>
        </w:tc>
      </w:tr>
      <w:tr w:rsidR="00114426" w:rsidRPr="00B175FB" w:rsidTr="00F6239D">
        <w:trPr>
          <w:trHeight w:val="138"/>
          <w:jc w:val="center"/>
        </w:trPr>
        <w:tc>
          <w:tcPr>
            <w:tcW w:w="4673" w:type="dxa"/>
            <w:hideMark/>
          </w:tcPr>
          <w:p w:rsidR="00114426" w:rsidRPr="00B175FB" w:rsidRDefault="00CD6921">
            <w:pPr>
              <w:spacing w:line="276" w:lineRule="auto"/>
              <w:rPr>
                <w:b/>
              </w:rPr>
            </w:pPr>
            <w:r w:rsidRPr="00B175FB">
              <w:rPr>
                <w:b/>
              </w:rPr>
              <w:t>Verze</w:t>
            </w:r>
          </w:p>
        </w:tc>
        <w:tc>
          <w:tcPr>
            <w:tcW w:w="3745" w:type="dxa"/>
          </w:tcPr>
          <w:p w:rsidR="00114426" w:rsidRPr="00B175FB" w:rsidRDefault="00606785">
            <w:pPr>
              <w:spacing w:line="276" w:lineRule="auto"/>
              <w:rPr>
                <w:szCs w:val="24"/>
              </w:rPr>
            </w:pPr>
            <w:r w:rsidRPr="00B175FB">
              <w:rPr>
                <w:szCs w:val="24"/>
              </w:rPr>
              <w:t>1</w:t>
            </w:r>
          </w:p>
        </w:tc>
      </w:tr>
      <w:tr w:rsidR="00114426" w:rsidRPr="00B175FB" w:rsidTr="00F6239D">
        <w:trPr>
          <w:jc w:val="center"/>
        </w:trPr>
        <w:tc>
          <w:tcPr>
            <w:tcW w:w="4673" w:type="dxa"/>
            <w:hideMark/>
          </w:tcPr>
          <w:p w:rsidR="00114426" w:rsidRPr="00B175FB" w:rsidRDefault="00CD6921">
            <w:pPr>
              <w:spacing w:line="276" w:lineRule="auto"/>
              <w:rPr>
                <w:b/>
              </w:rPr>
            </w:pPr>
            <w:r w:rsidRPr="00B175FB">
              <w:rPr>
                <w:b/>
              </w:rPr>
              <w:t>První rok</w:t>
            </w:r>
          </w:p>
        </w:tc>
        <w:tc>
          <w:tcPr>
            <w:tcW w:w="3745" w:type="dxa"/>
            <w:hideMark/>
          </w:tcPr>
          <w:p w:rsidR="00114426" w:rsidRPr="00B175FB" w:rsidRDefault="00606785" w:rsidP="00606785">
            <w:pPr>
              <w:spacing w:line="276" w:lineRule="auto"/>
              <w:rPr>
                <w:szCs w:val="24"/>
              </w:rPr>
            </w:pPr>
            <w:r w:rsidRPr="00B175FB">
              <w:rPr>
                <w:szCs w:val="24"/>
              </w:rPr>
              <w:t>2021</w:t>
            </w:r>
          </w:p>
        </w:tc>
      </w:tr>
      <w:tr w:rsidR="00114426" w:rsidRPr="00B175FB" w:rsidTr="00F6239D">
        <w:trPr>
          <w:jc w:val="center"/>
        </w:trPr>
        <w:tc>
          <w:tcPr>
            <w:tcW w:w="4673" w:type="dxa"/>
            <w:hideMark/>
          </w:tcPr>
          <w:p w:rsidR="00114426" w:rsidRPr="00B175FB" w:rsidRDefault="00CD6921">
            <w:pPr>
              <w:spacing w:line="276" w:lineRule="auto"/>
              <w:rPr>
                <w:b/>
              </w:rPr>
            </w:pPr>
            <w:r w:rsidRPr="00B175FB">
              <w:rPr>
                <w:b/>
              </w:rPr>
              <w:t>Poslední rok</w:t>
            </w:r>
          </w:p>
        </w:tc>
        <w:tc>
          <w:tcPr>
            <w:tcW w:w="3745" w:type="dxa"/>
            <w:hideMark/>
          </w:tcPr>
          <w:p w:rsidR="00114426" w:rsidRPr="00B175FB" w:rsidRDefault="00606785">
            <w:pPr>
              <w:spacing w:line="276" w:lineRule="auto"/>
              <w:rPr>
                <w:szCs w:val="24"/>
              </w:rPr>
            </w:pPr>
            <w:r w:rsidRPr="00B175FB">
              <w:rPr>
                <w:noProof/>
                <w:szCs w:val="24"/>
              </w:rPr>
              <w:t>202</w:t>
            </w:r>
            <w:r w:rsidR="00403266" w:rsidRPr="00B175FB">
              <w:rPr>
                <w:noProof/>
                <w:szCs w:val="24"/>
              </w:rPr>
              <w:t>7</w:t>
            </w:r>
          </w:p>
        </w:tc>
      </w:tr>
      <w:tr w:rsidR="00606785" w:rsidRPr="00B175FB" w:rsidTr="00F6239D">
        <w:trPr>
          <w:jc w:val="center"/>
        </w:trPr>
        <w:tc>
          <w:tcPr>
            <w:tcW w:w="4673" w:type="dxa"/>
            <w:hideMark/>
          </w:tcPr>
          <w:p w:rsidR="00606785" w:rsidRPr="00B175FB" w:rsidRDefault="00567FD5" w:rsidP="00606785">
            <w:pPr>
              <w:spacing w:line="276" w:lineRule="auto"/>
              <w:rPr>
                <w:b/>
              </w:rPr>
            </w:pPr>
            <w:r w:rsidRPr="00B175FB">
              <w:rPr>
                <w:b/>
              </w:rPr>
              <w:t>Způsobilý od</w:t>
            </w:r>
          </w:p>
        </w:tc>
        <w:tc>
          <w:tcPr>
            <w:tcW w:w="3745" w:type="dxa"/>
          </w:tcPr>
          <w:p w:rsidR="00606785" w:rsidRPr="00B175FB" w:rsidRDefault="00606785" w:rsidP="00606785">
            <w:pPr>
              <w:spacing w:line="276" w:lineRule="auto"/>
              <w:rPr>
                <w:szCs w:val="24"/>
              </w:rPr>
            </w:pPr>
            <w:r w:rsidRPr="00B175FB">
              <w:rPr>
                <w:szCs w:val="24"/>
              </w:rPr>
              <w:t>1. 1. 2021</w:t>
            </w:r>
          </w:p>
        </w:tc>
      </w:tr>
      <w:tr w:rsidR="00606785" w:rsidRPr="00B175FB" w:rsidTr="00F6239D">
        <w:trPr>
          <w:jc w:val="center"/>
        </w:trPr>
        <w:tc>
          <w:tcPr>
            <w:tcW w:w="4673" w:type="dxa"/>
            <w:hideMark/>
          </w:tcPr>
          <w:p w:rsidR="00606785" w:rsidRPr="00B175FB" w:rsidRDefault="00567FD5" w:rsidP="00606785">
            <w:pPr>
              <w:spacing w:line="276" w:lineRule="auto"/>
              <w:rPr>
                <w:b/>
              </w:rPr>
            </w:pPr>
            <w:r w:rsidRPr="00B175FB">
              <w:rPr>
                <w:b/>
              </w:rPr>
              <w:t>Způsobilý do</w:t>
            </w:r>
          </w:p>
        </w:tc>
        <w:tc>
          <w:tcPr>
            <w:tcW w:w="3745" w:type="dxa"/>
          </w:tcPr>
          <w:p w:rsidR="00606785" w:rsidRPr="00B175FB" w:rsidRDefault="00606785" w:rsidP="00606785">
            <w:pPr>
              <w:spacing w:line="276" w:lineRule="auto"/>
              <w:rPr>
                <w:i/>
                <w:szCs w:val="24"/>
              </w:rPr>
            </w:pPr>
            <w:r w:rsidRPr="00B175FB">
              <w:rPr>
                <w:szCs w:val="24"/>
              </w:rPr>
              <w:t>31. 12. 2029</w:t>
            </w:r>
          </w:p>
        </w:tc>
      </w:tr>
      <w:tr w:rsidR="00606785" w:rsidRPr="00B175FB" w:rsidTr="00F6239D">
        <w:trPr>
          <w:jc w:val="center"/>
        </w:trPr>
        <w:tc>
          <w:tcPr>
            <w:tcW w:w="4673" w:type="dxa"/>
            <w:hideMark/>
          </w:tcPr>
          <w:p w:rsidR="00567FD5" w:rsidRPr="00B175FB" w:rsidRDefault="00567FD5" w:rsidP="00606785">
            <w:pPr>
              <w:spacing w:line="276" w:lineRule="auto"/>
              <w:rPr>
                <w:b/>
              </w:rPr>
            </w:pPr>
            <w:r w:rsidRPr="00B175FB">
              <w:rPr>
                <w:b/>
              </w:rPr>
              <w:t>Číslo rozhodnutí Komise</w:t>
            </w:r>
          </w:p>
        </w:tc>
        <w:tc>
          <w:tcPr>
            <w:tcW w:w="3745" w:type="dxa"/>
          </w:tcPr>
          <w:p w:rsidR="00606785" w:rsidRPr="00B175FB" w:rsidRDefault="00606785" w:rsidP="00606785">
            <w:pPr>
              <w:spacing w:line="276" w:lineRule="auto"/>
              <w:rPr>
                <w:i/>
                <w:szCs w:val="24"/>
              </w:rPr>
            </w:pPr>
          </w:p>
        </w:tc>
      </w:tr>
      <w:tr w:rsidR="00606785" w:rsidRPr="00B175FB" w:rsidTr="00F6239D">
        <w:trPr>
          <w:jc w:val="center"/>
        </w:trPr>
        <w:tc>
          <w:tcPr>
            <w:tcW w:w="4673" w:type="dxa"/>
            <w:hideMark/>
          </w:tcPr>
          <w:p w:rsidR="00567FD5" w:rsidRPr="00B175FB" w:rsidRDefault="00567FD5" w:rsidP="00606785">
            <w:pPr>
              <w:spacing w:line="276" w:lineRule="auto"/>
              <w:rPr>
                <w:b/>
              </w:rPr>
            </w:pPr>
            <w:r w:rsidRPr="00B175FB">
              <w:rPr>
                <w:b/>
              </w:rPr>
              <w:t>Datum rozhodnutí Komise</w:t>
            </w:r>
          </w:p>
        </w:tc>
        <w:tc>
          <w:tcPr>
            <w:tcW w:w="3745" w:type="dxa"/>
          </w:tcPr>
          <w:p w:rsidR="00606785" w:rsidRPr="00B175FB" w:rsidRDefault="00606785" w:rsidP="00606785">
            <w:pPr>
              <w:spacing w:line="276" w:lineRule="auto"/>
              <w:rPr>
                <w:i/>
                <w:szCs w:val="24"/>
              </w:rPr>
            </w:pPr>
          </w:p>
        </w:tc>
      </w:tr>
      <w:tr w:rsidR="00606785" w:rsidRPr="00B175FB" w:rsidTr="00F6239D">
        <w:trPr>
          <w:trHeight w:val="163"/>
          <w:jc w:val="center"/>
        </w:trPr>
        <w:tc>
          <w:tcPr>
            <w:tcW w:w="4673" w:type="dxa"/>
            <w:hideMark/>
          </w:tcPr>
          <w:p w:rsidR="00567FD5" w:rsidRPr="00B175FB" w:rsidRDefault="00567FD5" w:rsidP="00606785">
            <w:pPr>
              <w:spacing w:line="276" w:lineRule="auto"/>
              <w:rPr>
                <w:b/>
              </w:rPr>
            </w:pPr>
            <w:r w:rsidRPr="00B175FB">
              <w:rPr>
                <w:b/>
              </w:rPr>
              <w:t xml:space="preserve">Číslo </w:t>
            </w:r>
            <w:r w:rsidR="00503FCC" w:rsidRPr="00B175FB">
              <w:rPr>
                <w:b/>
              </w:rPr>
              <w:t>rozhodnutí</w:t>
            </w:r>
            <w:r w:rsidR="00530CB4" w:rsidRPr="00B175FB">
              <w:rPr>
                <w:b/>
              </w:rPr>
              <w:t xml:space="preserve"> členského státu, k</w:t>
            </w:r>
            <w:r w:rsidRPr="00B175FB">
              <w:rPr>
                <w:b/>
              </w:rPr>
              <w:t>terým se mění program</w:t>
            </w:r>
          </w:p>
        </w:tc>
        <w:tc>
          <w:tcPr>
            <w:tcW w:w="3745" w:type="dxa"/>
          </w:tcPr>
          <w:p w:rsidR="00606785" w:rsidRPr="00B175FB" w:rsidRDefault="00606785" w:rsidP="00606785">
            <w:pPr>
              <w:spacing w:line="276" w:lineRule="auto"/>
              <w:rPr>
                <w:i/>
                <w:szCs w:val="24"/>
              </w:rPr>
            </w:pPr>
          </w:p>
        </w:tc>
      </w:tr>
      <w:tr w:rsidR="00606785" w:rsidRPr="00B175FB" w:rsidTr="00F6239D">
        <w:trPr>
          <w:trHeight w:val="749"/>
          <w:jc w:val="center"/>
        </w:trPr>
        <w:tc>
          <w:tcPr>
            <w:tcW w:w="4673" w:type="dxa"/>
            <w:hideMark/>
          </w:tcPr>
          <w:p w:rsidR="00606785" w:rsidRPr="00B175FB" w:rsidRDefault="00530CB4" w:rsidP="00606785">
            <w:pPr>
              <w:spacing w:line="276" w:lineRule="auto"/>
              <w:rPr>
                <w:b/>
              </w:rPr>
            </w:pPr>
            <w:r w:rsidRPr="00B175FB">
              <w:rPr>
                <w:b/>
              </w:rPr>
              <w:t>Datum vstupu v</w:t>
            </w:r>
            <w:r w:rsidR="00503FCC" w:rsidRPr="00B175FB">
              <w:rPr>
                <w:b/>
              </w:rPr>
              <w:t> </w:t>
            </w:r>
            <w:r w:rsidRPr="00B175FB">
              <w:rPr>
                <w:b/>
              </w:rPr>
              <w:t>platnost</w:t>
            </w:r>
            <w:r w:rsidR="00503FCC" w:rsidRPr="00B175FB">
              <w:rPr>
                <w:b/>
              </w:rPr>
              <w:t xml:space="preserve"> </w:t>
            </w:r>
            <w:r w:rsidRPr="00B175FB">
              <w:rPr>
                <w:b/>
              </w:rPr>
              <w:t xml:space="preserve">rozhodnutí </w:t>
            </w:r>
            <w:r w:rsidR="00503FCC" w:rsidRPr="00B175FB">
              <w:rPr>
                <w:b/>
              </w:rPr>
              <w:t>členského státu, kterým se mění program</w:t>
            </w:r>
          </w:p>
        </w:tc>
        <w:tc>
          <w:tcPr>
            <w:tcW w:w="3745" w:type="dxa"/>
          </w:tcPr>
          <w:p w:rsidR="00606785" w:rsidRPr="00B175FB" w:rsidRDefault="00606785" w:rsidP="00606785">
            <w:pPr>
              <w:spacing w:line="276" w:lineRule="auto"/>
              <w:rPr>
                <w:i/>
                <w:szCs w:val="24"/>
              </w:rPr>
            </w:pPr>
          </w:p>
        </w:tc>
      </w:tr>
      <w:tr w:rsidR="00606785" w:rsidRPr="00B175FB" w:rsidTr="00F6239D">
        <w:trPr>
          <w:trHeight w:val="163"/>
          <w:jc w:val="center"/>
        </w:trPr>
        <w:tc>
          <w:tcPr>
            <w:tcW w:w="4673" w:type="dxa"/>
            <w:hideMark/>
          </w:tcPr>
          <w:p w:rsidR="00606785" w:rsidRPr="00B175FB" w:rsidRDefault="00503FCC" w:rsidP="00606785">
            <w:pPr>
              <w:spacing w:line="276" w:lineRule="auto"/>
              <w:rPr>
                <w:b/>
              </w:rPr>
            </w:pPr>
            <w:r w:rsidRPr="00B175FB">
              <w:rPr>
                <w:b/>
              </w:rPr>
              <w:t>Nepodstatný převod (čl. 19 odst. 5)</w:t>
            </w:r>
          </w:p>
        </w:tc>
        <w:tc>
          <w:tcPr>
            <w:tcW w:w="3745" w:type="dxa"/>
            <w:hideMark/>
          </w:tcPr>
          <w:p w:rsidR="00606785" w:rsidRPr="00B175FB" w:rsidRDefault="00503FCC" w:rsidP="00606785">
            <w:pPr>
              <w:spacing w:line="276" w:lineRule="auto"/>
              <w:rPr>
                <w:i/>
                <w:szCs w:val="24"/>
              </w:rPr>
            </w:pPr>
            <w:r w:rsidRPr="00B175FB">
              <w:rPr>
                <w:szCs w:val="24"/>
              </w:rPr>
              <w:t>Ano</w:t>
            </w:r>
            <w:r w:rsidR="00606785" w:rsidRPr="00B175FB">
              <w:rPr>
                <w:szCs w:val="24"/>
              </w:rPr>
              <w:t>/N</w:t>
            </w:r>
            <w:r w:rsidRPr="00B175FB">
              <w:rPr>
                <w:szCs w:val="24"/>
              </w:rPr>
              <w:t>e</w:t>
            </w:r>
          </w:p>
        </w:tc>
      </w:tr>
      <w:tr w:rsidR="00606785" w:rsidRPr="00B175FB" w:rsidTr="00F6239D">
        <w:trPr>
          <w:trHeight w:val="163"/>
          <w:jc w:val="center"/>
        </w:trPr>
        <w:tc>
          <w:tcPr>
            <w:tcW w:w="4673" w:type="dxa"/>
            <w:hideMark/>
          </w:tcPr>
          <w:p w:rsidR="00606785" w:rsidRPr="00B175FB" w:rsidRDefault="00503FCC" w:rsidP="00606785">
            <w:pPr>
              <w:spacing w:line="276" w:lineRule="auto"/>
              <w:rPr>
                <w:b/>
              </w:rPr>
            </w:pPr>
            <w:r w:rsidRPr="00B175FB">
              <w:rPr>
                <w:b/>
              </w:rPr>
              <w:t>Regiony NUTS</w:t>
            </w:r>
            <w:r w:rsidR="00CB0BDB">
              <w:rPr>
                <w:b/>
              </w:rPr>
              <w:t>,</w:t>
            </w:r>
            <w:r w:rsidRPr="00B175FB">
              <w:rPr>
                <w:b/>
              </w:rPr>
              <w:t xml:space="preserve"> na něž se program vztahuje</w:t>
            </w:r>
          </w:p>
        </w:tc>
        <w:tc>
          <w:tcPr>
            <w:tcW w:w="3745" w:type="dxa"/>
          </w:tcPr>
          <w:p w:rsidR="00606785" w:rsidRPr="00B175FB" w:rsidRDefault="00503FCC" w:rsidP="00606785">
            <w:pPr>
              <w:spacing w:line="276" w:lineRule="auto"/>
              <w:rPr>
                <w:i/>
                <w:szCs w:val="24"/>
              </w:rPr>
            </w:pPr>
            <w:r w:rsidRPr="00B175FB">
              <w:rPr>
                <w:szCs w:val="24"/>
              </w:rPr>
              <w:t>CZ – ČESKÁ</w:t>
            </w:r>
            <w:r w:rsidR="00403266" w:rsidRPr="00B175FB">
              <w:rPr>
                <w:szCs w:val="24"/>
              </w:rPr>
              <w:t xml:space="preserve"> REPUBLIKA</w:t>
            </w:r>
          </w:p>
        </w:tc>
      </w:tr>
      <w:tr w:rsidR="00606785" w:rsidRPr="00B175FB" w:rsidTr="00F6239D">
        <w:trPr>
          <w:trHeight w:val="163"/>
          <w:jc w:val="center"/>
        </w:trPr>
        <w:tc>
          <w:tcPr>
            <w:tcW w:w="4673" w:type="dxa"/>
            <w:vMerge w:val="restart"/>
            <w:hideMark/>
          </w:tcPr>
          <w:p w:rsidR="00606785" w:rsidRPr="00B175FB" w:rsidRDefault="00503FCC" w:rsidP="00606785">
            <w:pPr>
              <w:spacing w:line="276" w:lineRule="auto"/>
              <w:rPr>
                <w:b/>
              </w:rPr>
            </w:pPr>
            <w:r w:rsidRPr="00B175FB">
              <w:rPr>
                <w:b/>
              </w:rPr>
              <w:t>Dotčený fond</w:t>
            </w:r>
          </w:p>
        </w:tc>
        <w:tc>
          <w:tcPr>
            <w:tcW w:w="3745" w:type="dxa"/>
            <w:hideMark/>
          </w:tcPr>
          <w:p w:rsidR="00606785" w:rsidRPr="00B175FB" w:rsidRDefault="00606785" w:rsidP="00606785">
            <w:pPr>
              <w:spacing w:line="276" w:lineRule="auto"/>
              <w:rPr>
                <w:sz w:val="18"/>
                <w:szCs w:val="18"/>
              </w:rPr>
            </w:pPr>
            <w:r w:rsidRPr="00B175FB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8" w:name="Check1"/>
            <w:r w:rsidRPr="00B175FB">
              <w:rPr>
                <w:sz w:val="20"/>
              </w:rPr>
              <w:instrText xml:space="preserve"> FORMCHECKBOX </w:instrText>
            </w:r>
            <w:r w:rsidR="00D05954">
              <w:rPr>
                <w:sz w:val="20"/>
              </w:rPr>
            </w:r>
            <w:r w:rsidR="00D05954">
              <w:rPr>
                <w:sz w:val="20"/>
              </w:rPr>
              <w:fldChar w:fldCharType="separate"/>
            </w:r>
            <w:r w:rsidRPr="00B175FB">
              <w:rPr>
                <w:sz w:val="20"/>
              </w:rPr>
              <w:fldChar w:fldCharType="end"/>
            </w:r>
            <w:bookmarkEnd w:id="8"/>
            <w:r w:rsidRPr="00B175FB">
              <w:rPr>
                <w:sz w:val="20"/>
              </w:rPr>
              <w:t xml:space="preserve"> </w:t>
            </w:r>
            <w:r w:rsidR="0078231C" w:rsidRPr="00B175FB">
              <w:rPr>
                <w:sz w:val="18"/>
                <w:szCs w:val="18"/>
              </w:rPr>
              <w:t>ERDF</w:t>
            </w:r>
          </w:p>
        </w:tc>
      </w:tr>
      <w:tr w:rsidR="00606785" w:rsidRPr="00B175FB" w:rsidTr="00F6239D">
        <w:trPr>
          <w:trHeight w:val="163"/>
          <w:jc w:val="center"/>
        </w:trPr>
        <w:tc>
          <w:tcPr>
            <w:tcW w:w="4673" w:type="dxa"/>
            <w:vMerge/>
            <w:vAlign w:val="center"/>
            <w:hideMark/>
          </w:tcPr>
          <w:p w:rsidR="00606785" w:rsidRPr="00B175FB" w:rsidRDefault="00606785" w:rsidP="00606785">
            <w:pPr>
              <w:spacing w:before="0" w:after="0" w:line="276" w:lineRule="auto"/>
              <w:rPr>
                <w:b/>
                <w:noProof/>
              </w:rPr>
            </w:pPr>
          </w:p>
        </w:tc>
        <w:tc>
          <w:tcPr>
            <w:tcW w:w="3745" w:type="dxa"/>
            <w:hideMark/>
          </w:tcPr>
          <w:p w:rsidR="00606785" w:rsidRPr="00B175FB" w:rsidRDefault="00606785" w:rsidP="00606785">
            <w:pPr>
              <w:spacing w:line="276" w:lineRule="auto"/>
              <w:rPr>
                <w:sz w:val="18"/>
                <w:szCs w:val="18"/>
              </w:rPr>
            </w:pPr>
            <w:r w:rsidRPr="00B175FB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75FB">
              <w:rPr>
                <w:noProof/>
                <w:sz w:val="20"/>
              </w:rPr>
              <w:instrText xml:space="preserve"> FORMCHECKBOX </w:instrText>
            </w:r>
            <w:r w:rsidR="00D05954">
              <w:rPr>
                <w:noProof/>
                <w:sz w:val="20"/>
              </w:rPr>
            </w:r>
            <w:r w:rsidR="00D05954">
              <w:rPr>
                <w:noProof/>
                <w:sz w:val="20"/>
              </w:rPr>
              <w:fldChar w:fldCharType="separate"/>
            </w:r>
            <w:r w:rsidRPr="00B175FB">
              <w:rPr>
                <w:sz w:val="20"/>
              </w:rPr>
              <w:fldChar w:fldCharType="end"/>
            </w:r>
            <w:r w:rsidRPr="00B175FB">
              <w:rPr>
                <w:sz w:val="20"/>
              </w:rPr>
              <w:t xml:space="preserve"> </w:t>
            </w:r>
            <w:r w:rsidR="00503FCC" w:rsidRPr="00B175FB">
              <w:rPr>
                <w:sz w:val="18"/>
                <w:szCs w:val="18"/>
              </w:rPr>
              <w:t>Kohezní fond</w:t>
            </w:r>
          </w:p>
        </w:tc>
      </w:tr>
      <w:tr w:rsidR="00606785" w:rsidRPr="00B175FB" w:rsidTr="00F6239D">
        <w:trPr>
          <w:trHeight w:val="163"/>
          <w:jc w:val="center"/>
        </w:trPr>
        <w:tc>
          <w:tcPr>
            <w:tcW w:w="4673" w:type="dxa"/>
            <w:vMerge/>
            <w:vAlign w:val="center"/>
            <w:hideMark/>
          </w:tcPr>
          <w:p w:rsidR="00606785" w:rsidRPr="00B175FB" w:rsidRDefault="00606785" w:rsidP="00606785">
            <w:pPr>
              <w:spacing w:before="0" w:after="0" w:line="276" w:lineRule="auto"/>
              <w:rPr>
                <w:b/>
                <w:noProof/>
              </w:rPr>
            </w:pPr>
          </w:p>
        </w:tc>
        <w:tc>
          <w:tcPr>
            <w:tcW w:w="3745" w:type="dxa"/>
            <w:hideMark/>
          </w:tcPr>
          <w:p w:rsidR="00606785" w:rsidRPr="00B175FB" w:rsidRDefault="00606785" w:rsidP="00606785">
            <w:pPr>
              <w:spacing w:line="276" w:lineRule="auto"/>
              <w:rPr>
                <w:i/>
                <w:sz w:val="18"/>
                <w:szCs w:val="18"/>
              </w:rPr>
            </w:pPr>
            <w:r w:rsidRPr="00B175F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B175FB">
              <w:rPr>
                <w:noProof/>
                <w:sz w:val="20"/>
              </w:rPr>
              <w:instrText xml:space="preserve"> FORMCHECKBOX </w:instrText>
            </w:r>
            <w:r w:rsidR="00D05954">
              <w:rPr>
                <w:noProof/>
                <w:sz w:val="20"/>
              </w:rPr>
            </w:r>
            <w:r w:rsidR="00D05954">
              <w:rPr>
                <w:noProof/>
                <w:sz w:val="20"/>
              </w:rPr>
              <w:fldChar w:fldCharType="separate"/>
            </w:r>
            <w:r w:rsidRPr="00B175FB">
              <w:rPr>
                <w:sz w:val="20"/>
              </w:rPr>
              <w:fldChar w:fldCharType="end"/>
            </w:r>
            <w:r w:rsidRPr="00B175FB">
              <w:rPr>
                <w:sz w:val="20"/>
              </w:rPr>
              <w:t xml:space="preserve"> </w:t>
            </w:r>
            <w:r w:rsidRPr="00B175FB">
              <w:rPr>
                <w:sz w:val="18"/>
                <w:szCs w:val="18"/>
              </w:rPr>
              <w:t>ESF+</w:t>
            </w:r>
          </w:p>
        </w:tc>
      </w:tr>
      <w:tr w:rsidR="00606785" w:rsidRPr="00B175FB" w:rsidTr="00F6239D">
        <w:trPr>
          <w:trHeight w:val="163"/>
          <w:jc w:val="center"/>
        </w:trPr>
        <w:tc>
          <w:tcPr>
            <w:tcW w:w="4673" w:type="dxa"/>
            <w:vMerge/>
            <w:vAlign w:val="center"/>
            <w:hideMark/>
          </w:tcPr>
          <w:p w:rsidR="00606785" w:rsidRPr="00B175FB" w:rsidRDefault="00606785" w:rsidP="00606785">
            <w:pPr>
              <w:spacing w:before="0" w:after="0" w:line="276" w:lineRule="auto"/>
              <w:rPr>
                <w:b/>
                <w:noProof/>
              </w:rPr>
            </w:pPr>
          </w:p>
        </w:tc>
        <w:tc>
          <w:tcPr>
            <w:tcW w:w="3745" w:type="dxa"/>
            <w:hideMark/>
          </w:tcPr>
          <w:p w:rsidR="00606785" w:rsidRPr="00B175FB" w:rsidRDefault="00606785" w:rsidP="00606785">
            <w:pPr>
              <w:spacing w:line="276" w:lineRule="auto"/>
              <w:rPr>
                <w:i/>
                <w:sz w:val="18"/>
                <w:szCs w:val="18"/>
              </w:rPr>
            </w:pPr>
            <w:r w:rsidRPr="00B175FB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75FB">
              <w:rPr>
                <w:noProof/>
                <w:sz w:val="20"/>
              </w:rPr>
              <w:instrText xml:space="preserve"> FORMCHECKBOX </w:instrText>
            </w:r>
            <w:r w:rsidR="00D05954">
              <w:rPr>
                <w:noProof/>
                <w:sz w:val="20"/>
              </w:rPr>
            </w:r>
            <w:r w:rsidR="00D05954">
              <w:rPr>
                <w:noProof/>
                <w:sz w:val="20"/>
              </w:rPr>
              <w:fldChar w:fldCharType="separate"/>
            </w:r>
            <w:r w:rsidRPr="00B175FB">
              <w:rPr>
                <w:sz w:val="20"/>
              </w:rPr>
              <w:fldChar w:fldCharType="end"/>
            </w:r>
            <w:r w:rsidRPr="00B175FB">
              <w:rPr>
                <w:sz w:val="20"/>
              </w:rPr>
              <w:t xml:space="preserve"> </w:t>
            </w:r>
            <w:r w:rsidRPr="00B175FB">
              <w:rPr>
                <w:sz w:val="18"/>
                <w:szCs w:val="18"/>
              </w:rPr>
              <w:t>E</w:t>
            </w:r>
            <w:r w:rsidR="00503FCC" w:rsidRPr="00B175FB">
              <w:rPr>
                <w:sz w:val="18"/>
                <w:szCs w:val="18"/>
              </w:rPr>
              <w:t>NFR</w:t>
            </w:r>
          </w:p>
        </w:tc>
      </w:tr>
    </w:tbl>
    <w:p w:rsidR="005C048E" w:rsidRPr="00B175FB" w:rsidRDefault="00991415" w:rsidP="006A2F6A">
      <w:pPr>
        <w:pStyle w:val="Odstavecseseznamem"/>
        <w:numPr>
          <w:ilvl w:val="0"/>
          <w:numId w:val="78"/>
        </w:numPr>
        <w:rPr>
          <w:b/>
          <w:color w:val="1F4E79" w:themeColor="accent5" w:themeShade="80"/>
        </w:rPr>
      </w:pPr>
      <w:bookmarkStart w:id="9" w:name="_Toc32998641"/>
      <w:bookmarkStart w:id="10" w:name="_Toc32998688"/>
      <w:bookmarkStart w:id="11" w:name="_Toc33000805"/>
      <w:bookmarkStart w:id="12" w:name="_Toc33000249"/>
      <w:bookmarkStart w:id="13" w:name="_Toc66476029"/>
      <w:bookmarkStart w:id="14" w:name="_Toc68610987"/>
      <w:bookmarkStart w:id="15" w:name="_Hlk20818171"/>
      <w:r w:rsidRPr="00B175FB">
        <w:rPr>
          <w:rStyle w:val="Nadpis1Char"/>
          <w:color w:val="1F4E79" w:themeColor="accent5" w:themeShade="80"/>
          <w:lang w:val="cs-CZ"/>
        </w:rPr>
        <w:t>Strategie programu</w:t>
      </w:r>
      <w:bookmarkEnd w:id="9"/>
      <w:bookmarkEnd w:id="10"/>
      <w:bookmarkEnd w:id="11"/>
      <w:bookmarkEnd w:id="12"/>
      <w:bookmarkEnd w:id="13"/>
      <w:bookmarkEnd w:id="14"/>
      <w:r w:rsidR="000F7E3F" w:rsidRPr="00B175FB">
        <w:rPr>
          <w:rStyle w:val="Nadpis1Char"/>
          <w:color w:val="1F4E79" w:themeColor="accent5" w:themeShade="80"/>
          <w:lang w:val="cs-CZ"/>
        </w:rPr>
        <w:t xml:space="preserve"> </w:t>
      </w:r>
      <w:r w:rsidR="009D57CB" w:rsidRPr="00B175FB">
        <w:rPr>
          <w:rFonts w:eastAsia="Times New Roman"/>
          <w:i/>
          <w:noProof/>
          <w:szCs w:val="24"/>
        </w:rPr>
        <w:t xml:space="preserve"> </w:t>
      </w:r>
      <w:r w:rsidR="009D57CB" w:rsidRPr="00B175FB">
        <w:rPr>
          <w:rFonts w:eastAsia="Times New Roman"/>
          <w:i/>
          <w:iCs/>
          <w:noProof/>
          <w:szCs w:val="24"/>
        </w:rPr>
        <w:t> </w:t>
      </w:r>
    </w:p>
    <w:p w:rsidR="00E06FFB" w:rsidRPr="00B175FB" w:rsidRDefault="00D03FAF" w:rsidP="00014E0E">
      <w:pPr>
        <w:spacing w:line="276" w:lineRule="auto"/>
        <w:jc w:val="both"/>
        <w:rPr>
          <w:rFonts w:eastAsia="Times New Roman"/>
          <w:b/>
          <w:noProof/>
          <w:sz w:val="22"/>
        </w:rPr>
      </w:pPr>
      <w:bookmarkStart w:id="16" w:name="_Hlk24975024"/>
      <w:r w:rsidRPr="00B175FB">
        <w:rPr>
          <w:rFonts w:eastAsia="Times New Roman"/>
          <w:b/>
          <w:noProof/>
          <w:sz w:val="22"/>
        </w:rPr>
        <w:t xml:space="preserve">Cílem </w:t>
      </w:r>
      <w:r w:rsidRPr="00B175FB">
        <w:rPr>
          <w:rFonts w:eastAsia="Times New Roman"/>
          <w:b/>
          <w:sz w:val="22"/>
        </w:rPr>
        <w:t>Operačního programu Jan Amos Komenský je</w:t>
      </w:r>
      <w:r w:rsidRPr="00B175FB">
        <w:rPr>
          <w:rFonts w:eastAsia="Times New Roman"/>
          <w:b/>
          <w:noProof/>
          <w:sz w:val="22"/>
        </w:rPr>
        <w:t xml:space="preserve"> </w:t>
      </w:r>
      <w:r w:rsidR="00A470F3" w:rsidRPr="00B175FB">
        <w:rPr>
          <w:rFonts w:eastAsia="Times New Roman"/>
          <w:b/>
          <w:noProof/>
          <w:sz w:val="22"/>
        </w:rPr>
        <w:t>podpora rozvoje</w:t>
      </w:r>
      <w:r w:rsidRPr="00B175FB">
        <w:rPr>
          <w:rFonts w:eastAsia="Times New Roman"/>
          <w:b/>
          <w:noProof/>
          <w:sz w:val="22"/>
        </w:rPr>
        <w:t xml:space="preserve"> </w:t>
      </w:r>
      <w:r w:rsidR="00A470F3" w:rsidRPr="00B175FB">
        <w:rPr>
          <w:rFonts w:eastAsia="Times New Roman"/>
          <w:b/>
          <w:noProof/>
          <w:sz w:val="22"/>
        </w:rPr>
        <w:t>otevřené a</w:t>
      </w:r>
      <w:r w:rsidR="009C732F" w:rsidRPr="00B175FB">
        <w:rPr>
          <w:rFonts w:eastAsia="Times New Roman"/>
          <w:b/>
          <w:noProof/>
          <w:sz w:val="22"/>
        </w:rPr>
        <w:t> </w:t>
      </w:r>
      <w:r w:rsidR="005317D2" w:rsidRPr="00B175FB">
        <w:rPr>
          <w:rFonts w:eastAsia="Times New Roman"/>
          <w:b/>
          <w:noProof/>
          <w:sz w:val="22"/>
        </w:rPr>
        <w:t xml:space="preserve">vzdělané </w:t>
      </w:r>
      <w:r w:rsidRPr="00B175FB">
        <w:rPr>
          <w:rFonts w:eastAsia="Times New Roman"/>
          <w:b/>
          <w:noProof/>
          <w:sz w:val="22"/>
        </w:rPr>
        <w:t>společnosti založené na znalostech a dovednostech</w:t>
      </w:r>
      <w:r w:rsidR="006507DD" w:rsidRPr="00B175FB">
        <w:rPr>
          <w:rFonts w:eastAsia="Times New Roman"/>
          <w:b/>
          <w:noProof/>
          <w:sz w:val="22"/>
        </w:rPr>
        <w:t>,</w:t>
      </w:r>
      <w:r w:rsidRPr="00B175FB">
        <w:rPr>
          <w:rFonts w:eastAsia="Times New Roman"/>
          <w:b/>
          <w:noProof/>
          <w:sz w:val="22"/>
        </w:rPr>
        <w:t xml:space="preserve"> </w:t>
      </w:r>
      <w:r w:rsidR="00A470F3" w:rsidRPr="00B175FB">
        <w:rPr>
          <w:rFonts w:eastAsia="Times New Roman"/>
          <w:b/>
          <w:noProof/>
          <w:sz w:val="22"/>
        </w:rPr>
        <w:t xml:space="preserve">rovných příležitostech a rozvíjející </w:t>
      </w:r>
      <w:r w:rsidRPr="00B175FB">
        <w:rPr>
          <w:rFonts w:eastAsia="Times New Roman"/>
          <w:b/>
          <w:noProof/>
          <w:sz w:val="22"/>
        </w:rPr>
        <w:t xml:space="preserve">potenciál každého jednotlivce.  </w:t>
      </w:r>
    </w:p>
    <w:p w:rsidR="00597653" w:rsidRPr="00B175FB" w:rsidRDefault="00597653" w:rsidP="00F06A4C">
      <w:pPr>
        <w:spacing w:line="276" w:lineRule="auto"/>
        <w:jc w:val="both"/>
        <w:rPr>
          <w:rFonts w:eastAsia="Times New Roman"/>
          <w:noProof/>
          <w:sz w:val="22"/>
        </w:rPr>
      </w:pPr>
      <w:r w:rsidRPr="00B175FB">
        <w:rPr>
          <w:rFonts w:eastAsia="Times New Roman"/>
          <w:noProof/>
          <w:sz w:val="22"/>
        </w:rPr>
        <w:t>O</w:t>
      </w:r>
      <w:r w:rsidR="0038055C" w:rsidRPr="00B175FB">
        <w:rPr>
          <w:rFonts w:eastAsia="Times New Roman"/>
          <w:noProof/>
          <w:sz w:val="22"/>
        </w:rPr>
        <w:t>perační program Ja</w:t>
      </w:r>
      <w:r w:rsidR="00820F65" w:rsidRPr="00B175FB">
        <w:rPr>
          <w:rFonts w:eastAsia="Times New Roman"/>
          <w:noProof/>
          <w:sz w:val="22"/>
        </w:rPr>
        <w:t>n</w:t>
      </w:r>
      <w:r w:rsidR="005D34A4" w:rsidRPr="00B175FB">
        <w:rPr>
          <w:rFonts w:eastAsia="Times New Roman"/>
          <w:noProof/>
          <w:sz w:val="22"/>
        </w:rPr>
        <w:t xml:space="preserve"> Amos Komenský (dále jen „O</w:t>
      </w:r>
      <w:r w:rsidRPr="00B175FB">
        <w:rPr>
          <w:rFonts w:eastAsia="Times New Roman"/>
          <w:noProof/>
          <w:sz w:val="22"/>
        </w:rPr>
        <w:t>P JAK</w:t>
      </w:r>
      <w:r w:rsidR="00311E90" w:rsidRPr="00B175FB">
        <w:rPr>
          <w:rFonts w:eastAsia="Times New Roman"/>
          <w:noProof/>
          <w:sz w:val="22"/>
        </w:rPr>
        <w:t>“</w:t>
      </w:r>
      <w:r w:rsidR="005D34A4" w:rsidRPr="00B175FB">
        <w:rPr>
          <w:rFonts w:eastAsia="Times New Roman"/>
          <w:noProof/>
          <w:sz w:val="22"/>
        </w:rPr>
        <w:t>)</w:t>
      </w:r>
      <w:r w:rsidRPr="00B175FB">
        <w:rPr>
          <w:rFonts w:eastAsia="Times New Roman"/>
          <w:noProof/>
          <w:sz w:val="22"/>
        </w:rPr>
        <w:t xml:space="preserve"> vychází z dokumentů </w:t>
      </w:r>
      <w:r w:rsidRPr="00B175FB">
        <w:rPr>
          <w:rFonts w:eastAsia="Times New Roman"/>
          <w:sz w:val="22"/>
        </w:rPr>
        <w:t>definuj</w:t>
      </w:r>
      <w:r w:rsidR="00290F6F" w:rsidRPr="00B175FB">
        <w:rPr>
          <w:rFonts w:eastAsia="Times New Roman"/>
          <w:sz w:val="22"/>
        </w:rPr>
        <w:t>í</w:t>
      </w:r>
      <w:r w:rsidRPr="00B175FB">
        <w:rPr>
          <w:rFonts w:eastAsia="Times New Roman"/>
          <w:sz w:val="22"/>
        </w:rPr>
        <w:t>cích</w:t>
      </w:r>
      <w:r w:rsidRPr="00B175FB">
        <w:rPr>
          <w:rFonts w:eastAsia="Times New Roman"/>
          <w:noProof/>
          <w:sz w:val="22"/>
        </w:rPr>
        <w:t xml:space="preserve"> národní politiku v oblasti vzdělávání</w:t>
      </w:r>
      <w:r w:rsidR="0063257F" w:rsidRPr="00B175FB">
        <w:rPr>
          <w:rFonts w:eastAsia="Times New Roman"/>
          <w:noProof/>
          <w:sz w:val="22"/>
        </w:rPr>
        <w:t>,</w:t>
      </w:r>
      <w:r w:rsidRPr="00B175FB">
        <w:rPr>
          <w:rFonts w:eastAsia="Times New Roman"/>
          <w:noProof/>
          <w:sz w:val="22"/>
        </w:rPr>
        <w:t xml:space="preserve"> výzkumu a vývoje a navazuje na úspěšný Operační program Výzkum, vývoj a</w:t>
      </w:r>
      <w:r w:rsidR="005D34A4" w:rsidRPr="00B175FB">
        <w:rPr>
          <w:rFonts w:eastAsia="Times New Roman"/>
          <w:noProof/>
          <w:sz w:val="22"/>
        </w:rPr>
        <w:t> </w:t>
      </w:r>
      <w:r w:rsidRPr="00B175FB">
        <w:rPr>
          <w:rFonts w:eastAsia="Times New Roman"/>
          <w:noProof/>
          <w:sz w:val="22"/>
        </w:rPr>
        <w:t>vzdělávání (dále jen „OP VVV“). Zkušenosti z OP VVV, jím</w:t>
      </w:r>
      <w:r w:rsidR="0093401B" w:rsidRPr="00B175FB">
        <w:rPr>
          <w:rFonts w:eastAsia="Times New Roman"/>
          <w:noProof/>
          <w:sz w:val="22"/>
        </w:rPr>
        <w:t> </w:t>
      </w:r>
      <w:r w:rsidRPr="00B175FB">
        <w:rPr>
          <w:rFonts w:eastAsia="Times New Roman"/>
          <w:noProof/>
          <w:sz w:val="22"/>
        </w:rPr>
        <w:t xml:space="preserve">podpořené oblasti a vytvořené mechanismy jsou základem navazujícího OP JAK, který </w:t>
      </w:r>
      <w:r w:rsidR="008F5B17" w:rsidRPr="00B175FB">
        <w:rPr>
          <w:rFonts w:eastAsia="Times New Roman"/>
          <w:noProof/>
          <w:sz w:val="22"/>
        </w:rPr>
        <w:t xml:space="preserve">dále </w:t>
      </w:r>
      <w:r w:rsidRPr="00B175FB">
        <w:rPr>
          <w:rFonts w:eastAsia="Times New Roman"/>
          <w:noProof/>
          <w:sz w:val="22"/>
        </w:rPr>
        <w:t>prohloub</w:t>
      </w:r>
      <w:r w:rsidR="008F5B17" w:rsidRPr="00B175FB">
        <w:rPr>
          <w:rFonts w:eastAsia="Times New Roman"/>
          <w:noProof/>
          <w:sz w:val="22"/>
        </w:rPr>
        <w:t>í</w:t>
      </w:r>
      <w:r w:rsidRPr="00B175FB">
        <w:rPr>
          <w:rFonts w:eastAsia="Times New Roman"/>
          <w:noProof/>
          <w:sz w:val="22"/>
        </w:rPr>
        <w:t xml:space="preserve"> a</w:t>
      </w:r>
      <w:r w:rsidR="0093401B" w:rsidRPr="00B175FB">
        <w:rPr>
          <w:rFonts w:eastAsia="Times New Roman"/>
          <w:noProof/>
          <w:sz w:val="22"/>
        </w:rPr>
        <w:t> </w:t>
      </w:r>
      <w:r w:rsidR="00440301" w:rsidRPr="00B175FB">
        <w:rPr>
          <w:rFonts w:eastAsia="Times New Roman"/>
          <w:noProof/>
          <w:sz w:val="22"/>
        </w:rPr>
        <w:t>posíl</w:t>
      </w:r>
      <w:r w:rsidR="008F5B17" w:rsidRPr="00B175FB">
        <w:rPr>
          <w:rFonts w:eastAsia="Times New Roman"/>
          <w:noProof/>
          <w:sz w:val="22"/>
        </w:rPr>
        <w:t>í</w:t>
      </w:r>
      <w:r w:rsidR="00440301" w:rsidRPr="00B175FB">
        <w:rPr>
          <w:rFonts w:eastAsia="Times New Roman"/>
          <w:noProof/>
          <w:sz w:val="22"/>
        </w:rPr>
        <w:t xml:space="preserve"> pozitivní dopady již realizovaných intervencí </w:t>
      </w:r>
      <w:r w:rsidR="008F5B17" w:rsidRPr="00B175FB">
        <w:rPr>
          <w:rFonts w:eastAsia="Times New Roman"/>
          <w:noProof/>
          <w:sz w:val="22"/>
        </w:rPr>
        <w:t>a změn</w:t>
      </w:r>
      <w:r w:rsidR="00440301" w:rsidRPr="00B175FB">
        <w:rPr>
          <w:rFonts w:eastAsia="Times New Roman"/>
          <w:noProof/>
          <w:sz w:val="22"/>
        </w:rPr>
        <w:t xml:space="preserve"> v oblasti vzdělávání, výzkumu a vývoje.</w:t>
      </w:r>
    </w:p>
    <w:p w:rsidR="00F06A4C" w:rsidRPr="00B175FB" w:rsidRDefault="00F06A4C" w:rsidP="00035611">
      <w:pPr>
        <w:spacing w:line="276" w:lineRule="auto"/>
        <w:jc w:val="both"/>
        <w:rPr>
          <w:rFonts w:eastAsia="Times New Roman"/>
          <w:noProof/>
          <w:sz w:val="22"/>
        </w:rPr>
      </w:pPr>
      <w:r w:rsidRPr="00B175FB">
        <w:rPr>
          <w:rFonts w:eastAsia="Times New Roman"/>
          <w:noProof/>
          <w:sz w:val="22"/>
        </w:rPr>
        <w:t xml:space="preserve">Vzdělávání je považováno za jednu z klíčových hodnot a předpokladů </w:t>
      </w:r>
      <w:r w:rsidR="00A470F3" w:rsidRPr="00B175FB">
        <w:rPr>
          <w:rFonts w:eastAsia="Times New Roman"/>
          <w:noProof/>
          <w:sz w:val="22"/>
        </w:rPr>
        <w:t xml:space="preserve">pozitivního </w:t>
      </w:r>
      <w:r w:rsidRPr="00B175FB">
        <w:rPr>
          <w:rFonts w:eastAsia="Times New Roman"/>
          <w:noProof/>
          <w:sz w:val="22"/>
        </w:rPr>
        <w:t>společenského a</w:t>
      </w:r>
      <w:r w:rsidR="00D6696E" w:rsidRPr="00B175FB">
        <w:rPr>
          <w:rFonts w:eastAsia="Times New Roman"/>
          <w:noProof/>
          <w:sz w:val="22"/>
        </w:rPr>
        <w:t> </w:t>
      </w:r>
      <w:r w:rsidRPr="00B175FB">
        <w:rPr>
          <w:rFonts w:eastAsia="Times New Roman"/>
          <w:noProof/>
          <w:sz w:val="22"/>
        </w:rPr>
        <w:t>ekonomického rozvoje. Původní role formálního vzdělávání se</w:t>
      </w:r>
      <w:r w:rsidR="0093401B" w:rsidRPr="00B175FB">
        <w:rPr>
          <w:rFonts w:eastAsia="Times New Roman"/>
          <w:noProof/>
          <w:sz w:val="22"/>
        </w:rPr>
        <w:t> </w:t>
      </w:r>
      <w:r w:rsidRPr="00B175FB">
        <w:rPr>
          <w:rFonts w:eastAsia="Times New Roman"/>
          <w:noProof/>
          <w:sz w:val="22"/>
        </w:rPr>
        <w:t>s</w:t>
      </w:r>
      <w:r w:rsidR="0093401B" w:rsidRPr="00B175FB">
        <w:rPr>
          <w:rFonts w:eastAsia="Times New Roman"/>
          <w:noProof/>
          <w:sz w:val="22"/>
        </w:rPr>
        <w:t> </w:t>
      </w:r>
      <w:r w:rsidRPr="00B175FB">
        <w:rPr>
          <w:rFonts w:eastAsia="Times New Roman"/>
          <w:noProof/>
          <w:sz w:val="22"/>
        </w:rPr>
        <w:t>příchodem výzev 4. průmyslov</w:t>
      </w:r>
      <w:r w:rsidR="00A470F3" w:rsidRPr="00B175FB">
        <w:rPr>
          <w:rFonts w:eastAsia="Times New Roman"/>
          <w:noProof/>
          <w:sz w:val="22"/>
        </w:rPr>
        <w:t>é</w:t>
      </w:r>
      <w:r w:rsidRPr="00B175FB">
        <w:rPr>
          <w:rFonts w:eastAsia="Times New Roman"/>
          <w:noProof/>
          <w:sz w:val="22"/>
        </w:rPr>
        <w:t xml:space="preserve"> revoluc</w:t>
      </w:r>
      <w:r w:rsidR="00A470F3" w:rsidRPr="00B175FB">
        <w:rPr>
          <w:rFonts w:eastAsia="Times New Roman"/>
          <w:noProof/>
          <w:sz w:val="22"/>
        </w:rPr>
        <w:t>e</w:t>
      </w:r>
      <w:r w:rsidRPr="00B175FB">
        <w:rPr>
          <w:rFonts w:eastAsia="Times New Roman"/>
          <w:noProof/>
          <w:sz w:val="22"/>
        </w:rPr>
        <w:t xml:space="preserve"> výrazně mění</w:t>
      </w:r>
      <w:r w:rsidR="00E17BD9" w:rsidRPr="00B175FB">
        <w:rPr>
          <w:rFonts w:eastAsia="Times New Roman"/>
          <w:noProof/>
          <w:sz w:val="22"/>
        </w:rPr>
        <w:t xml:space="preserve"> a vyžaduje intenzivnější spolupráci mezi aktéry ve vzdělávání</w:t>
      </w:r>
      <w:r w:rsidRPr="00B175FB">
        <w:rPr>
          <w:rFonts w:eastAsia="Times New Roman"/>
          <w:noProof/>
          <w:sz w:val="22"/>
        </w:rPr>
        <w:t xml:space="preserve">. </w:t>
      </w:r>
      <w:r w:rsidR="00A470F3" w:rsidRPr="00B175FB">
        <w:rPr>
          <w:rFonts w:eastAsia="Times New Roman"/>
          <w:noProof/>
          <w:sz w:val="22"/>
        </w:rPr>
        <w:t>Obecným cílem</w:t>
      </w:r>
      <w:r w:rsidR="00B955BA" w:rsidRPr="00B175FB">
        <w:rPr>
          <w:rFonts w:eastAsia="Times New Roman"/>
          <w:noProof/>
          <w:sz w:val="22"/>
        </w:rPr>
        <w:t xml:space="preserve"> </w:t>
      </w:r>
      <w:r w:rsidR="00AA3AB3" w:rsidRPr="00B175FB">
        <w:rPr>
          <w:rFonts w:eastAsia="Times New Roman"/>
          <w:noProof/>
          <w:sz w:val="22"/>
        </w:rPr>
        <w:t xml:space="preserve">je vytvoření </w:t>
      </w:r>
      <w:r w:rsidR="00421107" w:rsidRPr="00B175FB">
        <w:rPr>
          <w:rFonts w:eastAsia="Times New Roman"/>
          <w:noProof/>
          <w:sz w:val="22"/>
        </w:rPr>
        <w:t>a </w:t>
      </w:r>
      <w:r w:rsidR="00AA3AB3" w:rsidRPr="00B175FB">
        <w:rPr>
          <w:rFonts w:eastAsia="Times New Roman"/>
          <w:noProof/>
          <w:sz w:val="22"/>
        </w:rPr>
        <w:t>rozvoj otevřeného vzdělávacího systému, který reaguje na měnící se vnější prostředí a</w:t>
      </w:r>
      <w:r w:rsidR="00035611" w:rsidRPr="00B175FB">
        <w:rPr>
          <w:rFonts w:eastAsia="Times New Roman"/>
          <w:noProof/>
          <w:sz w:val="22"/>
        </w:rPr>
        <w:t xml:space="preserve"> který poskytuje</w:t>
      </w:r>
      <w:r w:rsidR="00AA3AB3" w:rsidRPr="00B175FB">
        <w:rPr>
          <w:rFonts w:eastAsia="Times New Roman"/>
          <w:noProof/>
          <w:sz w:val="22"/>
        </w:rPr>
        <w:t xml:space="preserve"> relevantní obsah vzdělávání v celoživotní perspektivě.</w:t>
      </w:r>
    </w:p>
    <w:p w:rsidR="002400BE" w:rsidRPr="00B175FB" w:rsidRDefault="009B5A14" w:rsidP="004C4B57">
      <w:pPr>
        <w:spacing w:line="276" w:lineRule="auto"/>
        <w:jc w:val="both"/>
        <w:rPr>
          <w:rFonts w:eastAsia="Times New Roman"/>
          <w:noProof/>
          <w:sz w:val="22"/>
        </w:rPr>
      </w:pPr>
      <w:r w:rsidRPr="00B175FB">
        <w:rPr>
          <w:rFonts w:eastAsia="Times New Roman"/>
          <w:noProof/>
          <w:sz w:val="22"/>
        </w:rPr>
        <w:t>M</w:t>
      </w:r>
      <w:r w:rsidR="00AA3AB3" w:rsidRPr="00B175FB">
        <w:rPr>
          <w:rFonts w:eastAsia="Times New Roman"/>
          <w:noProof/>
          <w:sz w:val="22"/>
        </w:rPr>
        <w:t>odernizac</w:t>
      </w:r>
      <w:r w:rsidRPr="00B175FB">
        <w:rPr>
          <w:rFonts w:eastAsia="Times New Roman"/>
          <w:noProof/>
          <w:sz w:val="22"/>
        </w:rPr>
        <w:t>e</w:t>
      </w:r>
      <w:r w:rsidR="00AA3AB3" w:rsidRPr="00B175FB">
        <w:rPr>
          <w:rFonts w:eastAsia="Times New Roman"/>
          <w:noProof/>
          <w:sz w:val="22"/>
        </w:rPr>
        <w:t xml:space="preserve"> cílů a obsah</w:t>
      </w:r>
      <w:r w:rsidR="00A470F3" w:rsidRPr="00B175FB">
        <w:rPr>
          <w:rFonts w:eastAsia="Times New Roman"/>
          <w:noProof/>
          <w:sz w:val="22"/>
        </w:rPr>
        <w:t>ů</w:t>
      </w:r>
      <w:r w:rsidR="00AA3AB3" w:rsidRPr="00B175FB">
        <w:rPr>
          <w:rFonts w:eastAsia="Times New Roman"/>
          <w:noProof/>
          <w:sz w:val="22"/>
        </w:rPr>
        <w:t xml:space="preserve"> vzdělávání, včetně forem a metod učení na všech úrovních vzdělávací soustavy (tj.</w:t>
      </w:r>
      <w:r w:rsidR="00C348A4" w:rsidRPr="00B175FB">
        <w:rPr>
          <w:rFonts w:eastAsia="Times New Roman"/>
          <w:noProof/>
          <w:sz w:val="22"/>
        </w:rPr>
        <w:t> </w:t>
      </w:r>
      <w:r w:rsidR="00AA3AB3" w:rsidRPr="00B175FB">
        <w:rPr>
          <w:rFonts w:eastAsia="Times New Roman"/>
          <w:noProof/>
          <w:sz w:val="22"/>
        </w:rPr>
        <w:t>od</w:t>
      </w:r>
      <w:r w:rsidR="00C348A4" w:rsidRPr="00B175FB">
        <w:rPr>
          <w:rFonts w:eastAsia="Times New Roman"/>
          <w:noProof/>
          <w:sz w:val="22"/>
        </w:rPr>
        <w:t> </w:t>
      </w:r>
      <w:r w:rsidR="00AA3AB3" w:rsidRPr="00B175FB">
        <w:rPr>
          <w:rFonts w:eastAsia="Times New Roman"/>
          <w:noProof/>
          <w:sz w:val="22"/>
        </w:rPr>
        <w:t>předškolního vzdělávání po terciá</w:t>
      </w:r>
      <w:r w:rsidR="00A470F3" w:rsidRPr="00B175FB">
        <w:rPr>
          <w:rFonts w:eastAsia="Times New Roman"/>
          <w:noProof/>
          <w:sz w:val="22"/>
        </w:rPr>
        <w:t>r</w:t>
      </w:r>
      <w:r w:rsidR="00AA3AB3" w:rsidRPr="00B175FB">
        <w:rPr>
          <w:rFonts w:eastAsia="Times New Roman"/>
          <w:noProof/>
          <w:sz w:val="22"/>
        </w:rPr>
        <w:t xml:space="preserve">ní a další vzdělávání), jsou </w:t>
      </w:r>
      <w:r w:rsidRPr="00B175FB">
        <w:rPr>
          <w:rFonts w:eastAsia="Times New Roman"/>
          <w:noProof/>
          <w:sz w:val="22"/>
        </w:rPr>
        <w:t>spolu se zajištěním spravedlivého přístupu ke kvalitnímu vzdělání a snížení</w:t>
      </w:r>
      <w:r w:rsidR="00A470F3" w:rsidRPr="00B175FB">
        <w:rPr>
          <w:rFonts w:eastAsia="Times New Roman"/>
          <w:noProof/>
          <w:sz w:val="22"/>
        </w:rPr>
        <w:t>m</w:t>
      </w:r>
      <w:r w:rsidRPr="00B175FB">
        <w:rPr>
          <w:rFonts w:eastAsia="Times New Roman"/>
          <w:noProof/>
          <w:sz w:val="22"/>
        </w:rPr>
        <w:t xml:space="preserve"> nerovností </w:t>
      </w:r>
      <w:r w:rsidR="00A835D3">
        <w:rPr>
          <w:rFonts w:eastAsia="Times New Roman"/>
          <w:noProof/>
          <w:sz w:val="22"/>
        </w:rPr>
        <w:t xml:space="preserve">a rizika </w:t>
      </w:r>
      <w:r w:rsidR="00150219">
        <w:rPr>
          <w:rFonts w:eastAsia="Times New Roman"/>
          <w:noProof/>
          <w:sz w:val="22"/>
        </w:rPr>
        <w:t xml:space="preserve">vyloučení </w:t>
      </w:r>
      <w:r w:rsidR="006876BC">
        <w:rPr>
          <w:rFonts w:eastAsia="Times New Roman"/>
          <w:noProof/>
          <w:sz w:val="22"/>
        </w:rPr>
        <w:t>ohrožených</w:t>
      </w:r>
      <w:r w:rsidR="00150219">
        <w:rPr>
          <w:rFonts w:eastAsia="Times New Roman"/>
          <w:noProof/>
          <w:sz w:val="22"/>
        </w:rPr>
        <w:t xml:space="preserve"> skupin z</w:t>
      </w:r>
      <w:r w:rsidRPr="00B175FB">
        <w:rPr>
          <w:rFonts w:eastAsia="Times New Roman"/>
          <w:noProof/>
          <w:sz w:val="22"/>
        </w:rPr>
        <w:t xml:space="preserve">e vzdělávání </w:t>
      </w:r>
      <w:r w:rsidR="00AA3AB3" w:rsidRPr="00B175FB">
        <w:rPr>
          <w:rFonts w:eastAsia="Times New Roman"/>
          <w:noProof/>
          <w:sz w:val="22"/>
        </w:rPr>
        <w:t>nezbytným předpokladem pro zajištění kvalitního života a dlouhodobé uplatnitelnosti jednotlivce ve společnosti a na trhu práce. Cílem vzdělávání v</w:t>
      </w:r>
      <w:r w:rsidR="00D6696E" w:rsidRPr="00B175FB">
        <w:rPr>
          <w:rFonts w:eastAsia="Times New Roman"/>
          <w:noProof/>
          <w:sz w:val="22"/>
        </w:rPr>
        <w:t> následující </w:t>
      </w:r>
      <w:r w:rsidR="00AA3AB3" w:rsidRPr="00B175FB">
        <w:rPr>
          <w:rFonts w:eastAsia="Times New Roman"/>
          <w:noProof/>
          <w:sz w:val="22"/>
        </w:rPr>
        <w:t>dekádě musí být</w:t>
      </w:r>
      <w:r w:rsidR="002473B5">
        <w:rPr>
          <w:rFonts w:eastAsia="Times New Roman"/>
          <w:noProof/>
          <w:sz w:val="22"/>
        </w:rPr>
        <w:t xml:space="preserve"> jedinec vybavený</w:t>
      </w:r>
      <w:r w:rsidR="00AA3AB3" w:rsidRPr="00B175FB">
        <w:rPr>
          <w:rFonts w:eastAsia="Times New Roman"/>
          <w:noProof/>
          <w:sz w:val="22"/>
        </w:rPr>
        <w:t xml:space="preserve"> základními znalostmi a dovednostmi, který dokáže v</w:t>
      </w:r>
      <w:r w:rsidR="00C348A4" w:rsidRPr="00B175FB">
        <w:rPr>
          <w:rFonts w:eastAsia="Times New Roman"/>
          <w:noProof/>
          <w:sz w:val="22"/>
        </w:rPr>
        <w:t> </w:t>
      </w:r>
      <w:r w:rsidR="00AA3AB3" w:rsidRPr="00B175FB">
        <w:rPr>
          <w:rFonts w:eastAsia="Times New Roman"/>
          <w:noProof/>
          <w:sz w:val="22"/>
        </w:rPr>
        <w:t>co</w:t>
      </w:r>
      <w:r w:rsidR="00C348A4" w:rsidRPr="00B175FB">
        <w:rPr>
          <w:rFonts w:eastAsia="Times New Roman"/>
          <w:noProof/>
          <w:sz w:val="22"/>
        </w:rPr>
        <w:t> </w:t>
      </w:r>
      <w:r w:rsidR="00AA3AB3" w:rsidRPr="00B175FB">
        <w:rPr>
          <w:rFonts w:eastAsia="Times New Roman"/>
          <w:noProof/>
          <w:sz w:val="22"/>
        </w:rPr>
        <w:t xml:space="preserve">nejvyšší míře využít svůj potenciál </w:t>
      </w:r>
      <w:r w:rsidR="00A470F3" w:rsidRPr="00B175FB">
        <w:rPr>
          <w:rFonts w:eastAsia="Times New Roman"/>
          <w:noProof/>
          <w:sz w:val="22"/>
        </w:rPr>
        <w:t xml:space="preserve">v dynamicky se měnícím světě </w:t>
      </w:r>
      <w:r w:rsidR="00AA3AB3" w:rsidRPr="00B175FB">
        <w:rPr>
          <w:rFonts w:eastAsia="Times New Roman"/>
          <w:noProof/>
          <w:sz w:val="22"/>
        </w:rPr>
        <w:t>ve prospěch nejen svého vlastního rozvoje, ale ve prospěch rozvoje společnosti.</w:t>
      </w:r>
      <w:r w:rsidR="00A556A6" w:rsidRPr="00B175FB">
        <w:rPr>
          <w:rFonts w:eastAsia="Times New Roman"/>
          <w:noProof/>
          <w:sz w:val="22"/>
        </w:rPr>
        <w:t xml:space="preserve"> Neopomi</w:t>
      </w:r>
      <w:r w:rsidR="00BC2F5E" w:rsidRPr="00B175FB">
        <w:rPr>
          <w:rFonts w:eastAsia="Times New Roman"/>
          <w:noProof/>
          <w:sz w:val="22"/>
        </w:rPr>
        <w:t>nu</w:t>
      </w:r>
      <w:r w:rsidR="00A556A6" w:rsidRPr="00B175FB">
        <w:rPr>
          <w:rFonts w:eastAsia="Times New Roman"/>
          <w:noProof/>
          <w:sz w:val="22"/>
        </w:rPr>
        <w:t>telnou součástí jeho vzdělání</w:t>
      </w:r>
      <w:r w:rsidR="00BC2F5E" w:rsidRPr="00B175FB">
        <w:rPr>
          <w:rFonts w:eastAsia="Times New Roman"/>
          <w:noProof/>
          <w:sz w:val="22"/>
        </w:rPr>
        <w:t>,</w:t>
      </w:r>
      <w:r w:rsidR="00A556A6" w:rsidRPr="00B175FB">
        <w:rPr>
          <w:rFonts w:eastAsia="Times New Roman"/>
          <w:noProof/>
          <w:sz w:val="22"/>
        </w:rPr>
        <w:t xml:space="preserve"> a</w:t>
      </w:r>
      <w:r w:rsidR="0067168B">
        <w:rPr>
          <w:rFonts w:eastAsia="Times New Roman"/>
          <w:noProof/>
          <w:sz w:val="22"/>
        </w:rPr>
        <w:t> </w:t>
      </w:r>
      <w:r w:rsidR="00A556A6" w:rsidRPr="00B175FB">
        <w:rPr>
          <w:rFonts w:eastAsia="Times New Roman"/>
          <w:noProof/>
          <w:sz w:val="22"/>
        </w:rPr>
        <w:t>to</w:t>
      </w:r>
      <w:r w:rsidR="0067168B">
        <w:rPr>
          <w:rFonts w:eastAsia="Times New Roman"/>
          <w:noProof/>
          <w:sz w:val="22"/>
        </w:rPr>
        <w:t> </w:t>
      </w:r>
      <w:r w:rsidR="00A556A6" w:rsidRPr="00B175FB">
        <w:rPr>
          <w:rFonts w:eastAsia="Times New Roman"/>
          <w:noProof/>
          <w:sz w:val="22"/>
        </w:rPr>
        <w:t>ať</w:t>
      </w:r>
      <w:r w:rsidR="0067168B">
        <w:rPr>
          <w:rFonts w:eastAsia="Times New Roman"/>
          <w:noProof/>
          <w:sz w:val="22"/>
        </w:rPr>
        <w:t> </w:t>
      </w:r>
      <w:r w:rsidR="00A556A6" w:rsidRPr="00B175FB">
        <w:rPr>
          <w:rFonts w:eastAsia="Times New Roman"/>
          <w:noProof/>
          <w:sz w:val="22"/>
        </w:rPr>
        <w:t>už</w:t>
      </w:r>
      <w:r w:rsidR="0067168B">
        <w:rPr>
          <w:rFonts w:eastAsia="Times New Roman"/>
          <w:noProof/>
          <w:sz w:val="22"/>
        </w:rPr>
        <w:t> </w:t>
      </w:r>
      <w:r w:rsidR="00A556A6" w:rsidRPr="00B175FB">
        <w:rPr>
          <w:rFonts w:eastAsia="Times New Roman"/>
          <w:noProof/>
          <w:sz w:val="22"/>
        </w:rPr>
        <w:t>ve</w:t>
      </w:r>
      <w:r w:rsidR="0067168B">
        <w:rPr>
          <w:rFonts w:eastAsia="Times New Roman"/>
          <w:noProof/>
          <w:sz w:val="22"/>
        </w:rPr>
        <w:t> </w:t>
      </w:r>
      <w:r w:rsidR="00A556A6" w:rsidRPr="00B175FB">
        <w:rPr>
          <w:rFonts w:eastAsia="Times New Roman"/>
          <w:noProof/>
          <w:sz w:val="22"/>
        </w:rPr>
        <w:t xml:space="preserve">vzdělávání počátečním, tak </w:t>
      </w:r>
      <w:r w:rsidR="00BC2F5E" w:rsidRPr="00B175FB">
        <w:rPr>
          <w:rFonts w:eastAsia="Times New Roman"/>
          <w:noProof/>
          <w:sz w:val="22"/>
        </w:rPr>
        <w:t xml:space="preserve">i ve vzdělávání </w:t>
      </w:r>
      <w:r w:rsidR="00A556A6" w:rsidRPr="00B175FB">
        <w:rPr>
          <w:rFonts w:eastAsia="Times New Roman"/>
          <w:noProof/>
          <w:sz w:val="22"/>
        </w:rPr>
        <w:t>dalším</w:t>
      </w:r>
      <w:r w:rsidR="00BC2F5E" w:rsidRPr="00B175FB">
        <w:rPr>
          <w:rFonts w:eastAsia="Times New Roman"/>
          <w:noProof/>
          <w:sz w:val="22"/>
        </w:rPr>
        <w:t>,</w:t>
      </w:r>
      <w:r w:rsidR="00A556A6" w:rsidRPr="00B175FB">
        <w:rPr>
          <w:rFonts w:eastAsia="Times New Roman"/>
          <w:noProof/>
          <w:sz w:val="22"/>
        </w:rPr>
        <w:t xml:space="preserve"> je v tomto ohledu i vzdělávání občanské.</w:t>
      </w:r>
    </w:p>
    <w:p w:rsidR="00B90664" w:rsidRPr="00B175FB" w:rsidRDefault="00E06FFB" w:rsidP="004C4B57">
      <w:pPr>
        <w:spacing w:line="276" w:lineRule="auto"/>
        <w:jc w:val="both"/>
        <w:rPr>
          <w:rFonts w:eastAsia="Times New Roman"/>
          <w:noProof/>
          <w:sz w:val="22"/>
        </w:rPr>
      </w:pPr>
      <w:r w:rsidRPr="00B175FB">
        <w:rPr>
          <w:rFonts w:eastAsia="Times New Roman"/>
          <w:noProof/>
          <w:sz w:val="22"/>
        </w:rPr>
        <w:t xml:space="preserve">V oblasti výzkumu, vývoje a inovací zaostává </w:t>
      </w:r>
      <w:r w:rsidR="002E29F3" w:rsidRPr="00B175FB">
        <w:rPr>
          <w:rFonts w:eastAsia="Times New Roman"/>
          <w:noProof/>
          <w:sz w:val="22"/>
        </w:rPr>
        <w:t>Č</w:t>
      </w:r>
      <w:r w:rsidR="00637BFD" w:rsidRPr="00B175FB">
        <w:rPr>
          <w:rFonts w:eastAsia="Times New Roman"/>
          <w:noProof/>
          <w:sz w:val="22"/>
        </w:rPr>
        <w:t>eská republika (dále jen „Č</w:t>
      </w:r>
      <w:r w:rsidR="002E29F3" w:rsidRPr="00B175FB">
        <w:rPr>
          <w:rFonts w:eastAsia="Times New Roman"/>
          <w:noProof/>
          <w:sz w:val="22"/>
        </w:rPr>
        <w:t>R</w:t>
      </w:r>
      <w:r w:rsidR="00637BFD" w:rsidRPr="00B175FB">
        <w:rPr>
          <w:rFonts w:eastAsia="Times New Roman"/>
          <w:noProof/>
          <w:sz w:val="22"/>
        </w:rPr>
        <w:t>“)</w:t>
      </w:r>
      <w:r w:rsidR="002E29F3" w:rsidRPr="00B175FB">
        <w:rPr>
          <w:rFonts w:eastAsia="Times New Roman"/>
          <w:noProof/>
          <w:sz w:val="22"/>
        </w:rPr>
        <w:t xml:space="preserve"> </w:t>
      </w:r>
      <w:r w:rsidRPr="00B175FB">
        <w:rPr>
          <w:rFonts w:eastAsia="Times New Roman"/>
          <w:noProof/>
          <w:sz w:val="22"/>
        </w:rPr>
        <w:t xml:space="preserve">za světovými lídry, je zemí označovanou za tzv. </w:t>
      </w:r>
      <w:r w:rsidR="00154063">
        <w:rPr>
          <w:rFonts w:eastAsia="Times New Roman"/>
          <w:noProof/>
          <w:sz w:val="22"/>
        </w:rPr>
        <w:t>mírného inovátora</w:t>
      </w:r>
      <w:r w:rsidR="00314F19">
        <w:rPr>
          <w:rFonts w:eastAsia="Times New Roman"/>
          <w:noProof/>
          <w:sz w:val="22"/>
        </w:rPr>
        <w:t xml:space="preserve"> (moderate innovator)</w:t>
      </w:r>
      <w:r w:rsidR="0066019E" w:rsidRPr="00B175FB">
        <w:rPr>
          <w:rFonts w:eastAsia="Times New Roman"/>
          <w:noProof/>
          <w:sz w:val="22"/>
        </w:rPr>
        <w:t>.</w:t>
      </w:r>
      <w:r w:rsidR="00572C0A" w:rsidRPr="00B175FB">
        <w:rPr>
          <w:rStyle w:val="Znakapoznpodarou"/>
          <w:rFonts w:eastAsia="Times New Roman"/>
          <w:b w:val="0"/>
          <w:noProof/>
          <w:sz w:val="22"/>
        </w:rPr>
        <w:footnoteReference w:id="3"/>
      </w:r>
      <w:r w:rsidRPr="00B175FB">
        <w:rPr>
          <w:rFonts w:eastAsia="Times New Roman"/>
          <w:noProof/>
          <w:sz w:val="22"/>
        </w:rPr>
        <w:t xml:space="preserve"> </w:t>
      </w:r>
      <w:r w:rsidR="00411605" w:rsidRPr="00B175FB">
        <w:rPr>
          <w:rFonts w:eastAsia="Times New Roman"/>
          <w:noProof/>
          <w:sz w:val="22"/>
        </w:rPr>
        <w:t xml:space="preserve">Cílem </w:t>
      </w:r>
      <w:r w:rsidRPr="00B175FB">
        <w:rPr>
          <w:rFonts w:eastAsia="Times New Roman"/>
          <w:noProof/>
          <w:sz w:val="22"/>
        </w:rPr>
        <w:t xml:space="preserve">podpory </w:t>
      </w:r>
      <w:r w:rsidR="00411605" w:rsidRPr="00B175FB">
        <w:rPr>
          <w:rFonts w:eastAsia="Times New Roman"/>
          <w:noProof/>
          <w:sz w:val="22"/>
        </w:rPr>
        <w:t>výzku</w:t>
      </w:r>
      <w:r w:rsidR="00AA2AF4" w:rsidRPr="00B175FB">
        <w:rPr>
          <w:rFonts w:eastAsia="Times New Roman"/>
          <w:noProof/>
          <w:sz w:val="22"/>
        </w:rPr>
        <w:t>m</w:t>
      </w:r>
      <w:r w:rsidR="00411605" w:rsidRPr="00B175FB">
        <w:rPr>
          <w:rFonts w:eastAsia="Times New Roman"/>
          <w:noProof/>
          <w:sz w:val="22"/>
        </w:rPr>
        <w:t xml:space="preserve">u </w:t>
      </w:r>
      <w:r w:rsidRPr="00B175FB">
        <w:rPr>
          <w:rFonts w:eastAsia="Times New Roman"/>
          <w:noProof/>
          <w:sz w:val="22"/>
        </w:rPr>
        <w:t xml:space="preserve">a vývoje </w:t>
      </w:r>
      <w:r w:rsidR="00411605" w:rsidRPr="00B175FB">
        <w:rPr>
          <w:rFonts w:eastAsia="Times New Roman"/>
          <w:noProof/>
          <w:sz w:val="22"/>
        </w:rPr>
        <w:t xml:space="preserve">musí být </w:t>
      </w:r>
      <w:r w:rsidR="00A470F3" w:rsidRPr="00B175FB">
        <w:rPr>
          <w:rFonts w:eastAsia="Times New Roman"/>
          <w:noProof/>
          <w:sz w:val="22"/>
        </w:rPr>
        <w:t xml:space="preserve">rozvoj </w:t>
      </w:r>
      <w:r w:rsidRPr="00B175FB">
        <w:rPr>
          <w:rFonts w:eastAsia="Times New Roman"/>
          <w:noProof/>
          <w:sz w:val="22"/>
        </w:rPr>
        <w:t xml:space="preserve">špičkových kapacit (jak v oblasti infrastrukturní, tak zejména v oblasti lidských zdrojů), </w:t>
      </w:r>
      <w:r w:rsidR="00A470F3" w:rsidRPr="00B175FB">
        <w:rPr>
          <w:rFonts w:eastAsia="Times New Roman"/>
          <w:noProof/>
          <w:sz w:val="22"/>
        </w:rPr>
        <w:t xml:space="preserve">prohlubování </w:t>
      </w:r>
      <w:r w:rsidR="00411605" w:rsidRPr="00B175FB">
        <w:rPr>
          <w:rFonts w:eastAsia="Times New Roman"/>
          <w:noProof/>
          <w:sz w:val="22"/>
        </w:rPr>
        <w:t xml:space="preserve">znalostního potenciálu, kterým subjekty v </w:t>
      </w:r>
      <w:r w:rsidR="002E29F3" w:rsidRPr="00B175FB">
        <w:rPr>
          <w:rFonts w:eastAsia="Times New Roman"/>
          <w:sz w:val="22"/>
        </w:rPr>
        <w:t xml:space="preserve">ČR </w:t>
      </w:r>
      <w:r w:rsidR="00411605" w:rsidRPr="00B175FB">
        <w:rPr>
          <w:rFonts w:eastAsia="Times New Roman"/>
          <w:noProof/>
          <w:sz w:val="22"/>
        </w:rPr>
        <w:t>disponují, soustředění se na aktuální a budoucí celospolečenské výzvy a</w:t>
      </w:r>
      <w:r w:rsidR="00637BFD" w:rsidRPr="00B175FB">
        <w:rPr>
          <w:rFonts w:eastAsia="Times New Roman"/>
          <w:noProof/>
          <w:sz w:val="22"/>
        </w:rPr>
        <w:t> </w:t>
      </w:r>
      <w:r w:rsidR="00411605" w:rsidRPr="00B175FB">
        <w:rPr>
          <w:rFonts w:eastAsia="Times New Roman"/>
          <w:noProof/>
          <w:sz w:val="22"/>
        </w:rPr>
        <w:t xml:space="preserve">schopnost </w:t>
      </w:r>
      <w:r w:rsidR="009138A7" w:rsidRPr="00B175FB">
        <w:rPr>
          <w:rFonts w:eastAsia="Times New Roman"/>
          <w:noProof/>
          <w:sz w:val="22"/>
        </w:rPr>
        <w:t>vybudování základny pro budoucí</w:t>
      </w:r>
      <w:r w:rsidR="00411605" w:rsidRPr="00B175FB">
        <w:rPr>
          <w:rFonts w:eastAsia="Times New Roman"/>
          <w:noProof/>
          <w:sz w:val="22"/>
        </w:rPr>
        <w:t xml:space="preserve"> aplikovatelnost výsledků výzkumu a vývoje v praxi.</w:t>
      </w:r>
      <w:r w:rsidR="0000382D" w:rsidRPr="00B175FB">
        <w:rPr>
          <w:rFonts w:eastAsia="Times New Roman"/>
          <w:noProof/>
          <w:sz w:val="22"/>
        </w:rPr>
        <w:t xml:space="preserve"> Jedině</w:t>
      </w:r>
      <w:r w:rsidR="00DE42FD" w:rsidRPr="00B175FB">
        <w:rPr>
          <w:rFonts w:eastAsia="Times New Roman"/>
          <w:noProof/>
          <w:sz w:val="22"/>
        </w:rPr>
        <w:t> </w:t>
      </w:r>
      <w:r w:rsidR="0000382D" w:rsidRPr="00B175FB">
        <w:rPr>
          <w:rFonts w:eastAsia="Times New Roman"/>
          <w:noProof/>
          <w:sz w:val="22"/>
        </w:rPr>
        <w:t>tak</w:t>
      </w:r>
      <w:r w:rsidR="00DE42FD" w:rsidRPr="00B175FB">
        <w:rPr>
          <w:rFonts w:eastAsia="Times New Roman"/>
          <w:noProof/>
          <w:sz w:val="22"/>
        </w:rPr>
        <w:t> </w:t>
      </w:r>
      <w:r w:rsidR="0000382D" w:rsidRPr="00B175FB">
        <w:rPr>
          <w:rFonts w:eastAsia="Times New Roman"/>
          <w:noProof/>
          <w:sz w:val="22"/>
        </w:rPr>
        <w:t xml:space="preserve">může </w:t>
      </w:r>
      <w:r w:rsidR="00C07CE9" w:rsidRPr="00B175FB">
        <w:rPr>
          <w:rFonts w:eastAsia="Times New Roman"/>
          <w:noProof/>
          <w:sz w:val="22"/>
        </w:rPr>
        <w:t>č</w:t>
      </w:r>
      <w:r w:rsidR="0000382D" w:rsidRPr="00B175FB">
        <w:rPr>
          <w:rFonts w:eastAsia="Times New Roman"/>
          <w:noProof/>
          <w:sz w:val="22"/>
        </w:rPr>
        <w:t>eská ekonomika dlouhodobě konkurovat vyspělým zemím.</w:t>
      </w:r>
    </w:p>
    <w:p w:rsidR="0000382D" w:rsidRPr="00B175FB" w:rsidRDefault="00A11242" w:rsidP="004C4B57">
      <w:pPr>
        <w:spacing w:line="276" w:lineRule="auto"/>
        <w:jc w:val="both"/>
        <w:rPr>
          <w:rFonts w:eastAsia="Times New Roman"/>
          <w:noProof/>
          <w:sz w:val="22"/>
        </w:rPr>
      </w:pPr>
      <w:r>
        <w:rPr>
          <w:rFonts w:eastAsia="Times New Roman"/>
          <w:noProof/>
          <w:sz w:val="22"/>
        </w:rPr>
        <w:t>Špičkový</w:t>
      </w:r>
      <w:r w:rsidR="00F06A4C" w:rsidRPr="00B175FB">
        <w:rPr>
          <w:rFonts w:eastAsia="Times New Roman"/>
          <w:noProof/>
          <w:sz w:val="22"/>
        </w:rPr>
        <w:t xml:space="preserve"> výzkum a vývoj je nutné podpořit zejména v těch oblastech, které mají potenciál přispět k dalšímu rozvoji společnosti a ekonomiky a které budou řešit celospolečenské problémy nejen na národní, ale</w:t>
      </w:r>
      <w:r w:rsidR="00F15323" w:rsidRPr="00B175FB">
        <w:rPr>
          <w:rFonts w:eastAsia="Times New Roman"/>
          <w:noProof/>
          <w:sz w:val="22"/>
        </w:rPr>
        <w:t> </w:t>
      </w:r>
      <w:r w:rsidR="00F06A4C" w:rsidRPr="00B175FB">
        <w:rPr>
          <w:rFonts w:eastAsia="Times New Roman"/>
          <w:noProof/>
          <w:sz w:val="22"/>
        </w:rPr>
        <w:t xml:space="preserve">také evropské úrovni, a přispějí tak k </w:t>
      </w:r>
      <w:r w:rsidR="00DE41CA" w:rsidRPr="00B175FB">
        <w:rPr>
          <w:rFonts w:eastAsia="Times New Roman"/>
          <w:noProof/>
          <w:sz w:val="22"/>
        </w:rPr>
        <w:t xml:space="preserve">vyšší </w:t>
      </w:r>
      <w:r w:rsidR="00F06A4C" w:rsidRPr="00B175FB">
        <w:rPr>
          <w:rFonts w:eastAsia="Times New Roman"/>
          <w:noProof/>
          <w:sz w:val="22"/>
        </w:rPr>
        <w:t xml:space="preserve">konkurenceschopnosti </w:t>
      </w:r>
      <w:r w:rsidR="006B0F12" w:rsidRPr="00B175FB">
        <w:rPr>
          <w:rFonts w:eastAsia="Times New Roman"/>
          <w:noProof/>
          <w:sz w:val="22"/>
        </w:rPr>
        <w:t>ČR</w:t>
      </w:r>
      <w:r w:rsidR="00F06A4C" w:rsidRPr="00B175FB">
        <w:rPr>
          <w:rFonts w:eastAsia="Times New Roman"/>
          <w:noProof/>
          <w:sz w:val="22"/>
        </w:rPr>
        <w:t>.</w:t>
      </w:r>
      <w:r w:rsidR="000A25F2" w:rsidRPr="00B175FB">
        <w:rPr>
          <w:rFonts w:eastAsia="Times New Roman"/>
          <w:noProof/>
          <w:sz w:val="22"/>
        </w:rPr>
        <w:t xml:space="preserve"> Tyto oblasti jsou identifikován</w:t>
      </w:r>
      <w:r w:rsidR="001A6046" w:rsidRPr="00B175FB">
        <w:rPr>
          <w:rFonts w:eastAsia="Times New Roman"/>
          <w:noProof/>
          <w:sz w:val="22"/>
        </w:rPr>
        <w:t>y</w:t>
      </w:r>
      <w:r w:rsidR="000A25F2" w:rsidRPr="00B175FB">
        <w:rPr>
          <w:rFonts w:eastAsia="Times New Roman"/>
          <w:noProof/>
          <w:sz w:val="22"/>
        </w:rPr>
        <w:t xml:space="preserve"> v Národní </w:t>
      </w:r>
      <w:r w:rsidR="001A6046" w:rsidRPr="00B175FB">
        <w:rPr>
          <w:rFonts w:eastAsia="Times New Roman"/>
          <w:noProof/>
          <w:sz w:val="22"/>
        </w:rPr>
        <w:t>výzkumn</w:t>
      </w:r>
      <w:r w:rsidR="00AF6094" w:rsidRPr="00B175FB">
        <w:rPr>
          <w:rFonts w:eastAsia="Times New Roman"/>
          <w:noProof/>
          <w:sz w:val="22"/>
        </w:rPr>
        <w:t>é</w:t>
      </w:r>
      <w:r w:rsidR="001A6046" w:rsidRPr="00B175FB">
        <w:rPr>
          <w:rFonts w:eastAsia="Times New Roman"/>
          <w:noProof/>
          <w:sz w:val="22"/>
        </w:rPr>
        <w:t xml:space="preserve"> a inovační strategii pro inteligentní specializaci Č</w:t>
      </w:r>
      <w:r w:rsidR="00B26A49" w:rsidRPr="00B175FB">
        <w:rPr>
          <w:rFonts w:eastAsia="Times New Roman"/>
          <w:noProof/>
          <w:sz w:val="22"/>
        </w:rPr>
        <w:t>eské republiky</w:t>
      </w:r>
      <w:r w:rsidR="001A6046" w:rsidRPr="00B175FB">
        <w:rPr>
          <w:rFonts w:eastAsia="Times New Roman"/>
          <w:noProof/>
          <w:sz w:val="22"/>
        </w:rPr>
        <w:t xml:space="preserve"> </w:t>
      </w:r>
      <w:r w:rsidR="005730B4">
        <w:rPr>
          <w:rFonts w:eastAsia="Times New Roman"/>
          <w:noProof/>
          <w:sz w:val="22"/>
        </w:rPr>
        <w:t>20</w:t>
      </w:r>
      <w:r w:rsidR="0056359C">
        <w:rPr>
          <w:rFonts w:eastAsia="Times New Roman"/>
          <w:noProof/>
          <w:sz w:val="22"/>
        </w:rPr>
        <w:t>21-2027</w:t>
      </w:r>
      <w:r w:rsidR="001A6046" w:rsidRPr="00B175FB">
        <w:rPr>
          <w:rFonts w:eastAsia="Times New Roman"/>
          <w:noProof/>
          <w:sz w:val="22"/>
        </w:rPr>
        <w:t xml:space="preserve"> (dále jen „Národní </w:t>
      </w:r>
      <w:r w:rsidR="000A25F2" w:rsidRPr="00B175FB">
        <w:rPr>
          <w:rFonts w:eastAsia="Times New Roman"/>
          <w:noProof/>
          <w:sz w:val="22"/>
        </w:rPr>
        <w:t>RIS3 strategi</w:t>
      </w:r>
      <w:r w:rsidR="001A6046" w:rsidRPr="00B175FB">
        <w:rPr>
          <w:rFonts w:eastAsia="Times New Roman"/>
          <w:noProof/>
          <w:sz w:val="22"/>
        </w:rPr>
        <w:t>e“)</w:t>
      </w:r>
      <w:r w:rsidR="000A25F2" w:rsidRPr="00B175FB">
        <w:rPr>
          <w:rFonts w:eastAsia="Times New Roman"/>
          <w:noProof/>
          <w:sz w:val="22"/>
        </w:rPr>
        <w:t>, jejíž realizace je úzce provázána s implementací OP JAK.</w:t>
      </w:r>
      <w:r w:rsidR="00F06A4C" w:rsidRPr="00B175FB">
        <w:rPr>
          <w:rFonts w:eastAsia="Times New Roman"/>
          <w:noProof/>
          <w:sz w:val="22"/>
        </w:rPr>
        <w:t xml:space="preserve"> Intervence do oblasti výzkumu, vývoje a vzdělávání jsou klíčovým předpokladem pro využití znalostního potenciálu </w:t>
      </w:r>
      <w:r w:rsidR="00D6696E" w:rsidRPr="00B175FB">
        <w:rPr>
          <w:rFonts w:eastAsia="Times New Roman"/>
          <w:noProof/>
          <w:sz w:val="22"/>
        </w:rPr>
        <w:t>a </w:t>
      </w:r>
      <w:r w:rsidR="00F06A4C" w:rsidRPr="00B175FB">
        <w:rPr>
          <w:rFonts w:eastAsia="Times New Roman"/>
          <w:noProof/>
          <w:sz w:val="22"/>
        </w:rPr>
        <w:t>zajištění úspěšné budoucnosti.</w:t>
      </w:r>
    </w:p>
    <w:p w:rsidR="000F7E3F" w:rsidRPr="00B175FB" w:rsidRDefault="006A2F6A" w:rsidP="006A2F6A">
      <w:pPr>
        <w:spacing w:before="0" w:after="0" w:line="276" w:lineRule="auto"/>
        <w:jc w:val="both"/>
        <w:rPr>
          <w:rFonts w:eastAsia="Times New Roman"/>
          <w:noProof/>
          <w:sz w:val="22"/>
        </w:rPr>
      </w:pPr>
      <w:r w:rsidRPr="00B175FB">
        <w:rPr>
          <w:rFonts w:eastAsia="Times New Roman"/>
          <w:noProof/>
          <w:sz w:val="22"/>
        </w:rPr>
        <w:t xml:space="preserve">OP JAK naplňuje horizontální základní podmínku „Účinná aplikace a implementace Listiny základních práv EU.“ Všechny navržené priority a specifické cíle programu respektují práva, dodržují zásady a podporují jejich uplatňování v souladu s čl. 51 Listiny. Tento soulad byl ověřen kontrolou textu celého programu odborníky na otázky lidských práv. Navržené priority přispívají k lepší ochraně a naplňování základních práv. Celý systém řízení programu pak umožňuje </w:t>
      </w:r>
      <w:r w:rsidR="00212A8D" w:rsidRPr="00B175FB">
        <w:rPr>
          <w:rFonts w:eastAsia="Times New Roman"/>
          <w:noProof/>
          <w:sz w:val="22"/>
        </w:rPr>
        <w:t>Ř</w:t>
      </w:r>
      <w:r w:rsidRPr="00B175FB">
        <w:rPr>
          <w:rFonts w:eastAsia="Times New Roman"/>
          <w:noProof/>
          <w:sz w:val="22"/>
        </w:rPr>
        <w:t>íd</w:t>
      </w:r>
      <w:r w:rsidR="009F27B7">
        <w:rPr>
          <w:rFonts w:eastAsia="Times New Roman"/>
          <w:noProof/>
          <w:sz w:val="22"/>
        </w:rPr>
        <w:t>i</w:t>
      </w:r>
      <w:r w:rsidRPr="00B175FB">
        <w:rPr>
          <w:rFonts w:eastAsia="Times New Roman"/>
          <w:noProof/>
          <w:sz w:val="22"/>
        </w:rPr>
        <w:t xml:space="preserve">címu orgánu </w:t>
      </w:r>
      <w:r w:rsidR="00212A8D" w:rsidRPr="00B175FB">
        <w:rPr>
          <w:rFonts w:eastAsia="Times New Roman"/>
          <w:noProof/>
          <w:sz w:val="22"/>
        </w:rPr>
        <w:t xml:space="preserve">(dále jen „ŘO“) OP JAK </w:t>
      </w:r>
      <w:r w:rsidRPr="00B175FB">
        <w:rPr>
          <w:rFonts w:eastAsia="Times New Roman"/>
          <w:noProof/>
          <w:sz w:val="22"/>
        </w:rPr>
        <w:t>sledovat soulad s</w:t>
      </w:r>
      <w:r w:rsidR="00212A8D" w:rsidRPr="00B175FB">
        <w:rPr>
          <w:rFonts w:eastAsia="Times New Roman"/>
          <w:noProof/>
          <w:sz w:val="22"/>
        </w:rPr>
        <w:t> </w:t>
      </w:r>
      <w:r w:rsidRPr="00B175FB">
        <w:rPr>
          <w:rFonts w:eastAsia="Times New Roman"/>
          <w:noProof/>
          <w:sz w:val="22"/>
        </w:rPr>
        <w:t xml:space="preserve">Listinou na úrovni konkrétních výzev a projektů a kontrolovat, zda nedochází k porušování Listiny. Případné problémy jsou pak hlášeny </w:t>
      </w:r>
      <w:r w:rsidR="00212A8D" w:rsidRPr="00B175FB">
        <w:rPr>
          <w:rFonts w:eastAsia="Times New Roman"/>
          <w:noProof/>
          <w:sz w:val="22"/>
        </w:rPr>
        <w:t>M</w:t>
      </w:r>
      <w:r w:rsidRPr="00B175FB">
        <w:rPr>
          <w:rFonts w:eastAsia="Times New Roman"/>
          <w:noProof/>
          <w:sz w:val="22"/>
        </w:rPr>
        <w:t>onitorovacímu výboru</w:t>
      </w:r>
      <w:r w:rsidR="00212A8D" w:rsidRPr="00B175FB">
        <w:rPr>
          <w:rFonts w:eastAsia="Times New Roman"/>
          <w:noProof/>
          <w:sz w:val="22"/>
        </w:rPr>
        <w:t xml:space="preserve"> (dále jen „MV</w:t>
      </w:r>
      <w:r w:rsidR="002C352E" w:rsidRPr="00B175FB">
        <w:rPr>
          <w:rFonts w:eastAsia="Times New Roman"/>
          <w:noProof/>
          <w:sz w:val="22"/>
        </w:rPr>
        <w:t>“</w:t>
      </w:r>
      <w:r w:rsidR="00212A8D" w:rsidRPr="00B175FB">
        <w:rPr>
          <w:rFonts w:eastAsia="Times New Roman"/>
          <w:noProof/>
          <w:sz w:val="22"/>
        </w:rPr>
        <w:t>) OP JAK</w:t>
      </w:r>
      <w:r w:rsidRPr="00B175FB">
        <w:rPr>
          <w:rFonts w:eastAsia="Times New Roman"/>
          <w:noProof/>
          <w:sz w:val="22"/>
        </w:rPr>
        <w:t>. Realizátoři projektů a další dotčené osoby pak mohou plně chránit svá práva před soudy a správními orgány v souladu s čl. 47 Listiny a</w:t>
      </w:r>
      <w:r w:rsidR="00212A8D" w:rsidRPr="00B175FB">
        <w:rPr>
          <w:rFonts w:eastAsia="Times New Roman"/>
          <w:noProof/>
          <w:sz w:val="22"/>
        </w:rPr>
        <w:t> </w:t>
      </w:r>
      <w:r w:rsidRPr="00B175FB">
        <w:rPr>
          <w:rFonts w:eastAsia="Times New Roman"/>
          <w:noProof/>
          <w:sz w:val="22"/>
        </w:rPr>
        <w:t>českými procesními předpisy.</w:t>
      </w:r>
      <w:bookmarkStart w:id="17" w:name="_Toc33000806"/>
      <w:bookmarkStart w:id="18" w:name="_Toc33000250"/>
    </w:p>
    <w:p w:rsidR="001C1DE3" w:rsidRPr="00B175FB" w:rsidRDefault="000F7E3F" w:rsidP="00636242">
      <w:pPr>
        <w:pStyle w:val="Nadpis2"/>
        <w:rPr>
          <w:color w:val="1F4E79" w:themeColor="accent5" w:themeShade="80"/>
          <w:lang w:val="cs-CZ"/>
        </w:rPr>
      </w:pPr>
      <w:bookmarkStart w:id="19" w:name="_Toc66476030"/>
      <w:bookmarkStart w:id="20" w:name="_Toc68610988"/>
      <w:r w:rsidRPr="00B175FB">
        <w:rPr>
          <w:color w:val="1F4E79" w:themeColor="accent5" w:themeShade="80"/>
          <w:lang w:val="cs-CZ"/>
        </w:rPr>
        <w:t>Hlavní problémy související s rozvojem a politické reakce</w:t>
      </w:r>
      <w:bookmarkEnd w:id="17"/>
      <w:bookmarkEnd w:id="18"/>
      <w:bookmarkEnd w:id="19"/>
      <w:bookmarkEnd w:id="20"/>
    </w:p>
    <w:p w:rsidR="000F7E3F" w:rsidRPr="00B175FB" w:rsidRDefault="000F7E3F" w:rsidP="006A2F6A">
      <w:pPr>
        <w:pStyle w:val="Nadpis3"/>
        <w:rPr>
          <w:b/>
          <w:color w:val="1F4E79" w:themeColor="accent5" w:themeShade="80"/>
          <w:lang w:val="cs-CZ" w:eastAsia="cs-CZ" w:bidi="cs-CZ"/>
        </w:rPr>
      </w:pPr>
      <w:bookmarkStart w:id="21" w:name="_Toc66476031"/>
      <w:bookmarkStart w:id="22" w:name="_Toc68610989"/>
      <w:r w:rsidRPr="00B175FB">
        <w:rPr>
          <w:b/>
          <w:color w:val="1F4E79" w:themeColor="accent5" w:themeShade="80"/>
          <w:lang w:val="cs-CZ" w:eastAsia="cs-CZ" w:bidi="cs-CZ"/>
        </w:rPr>
        <w:t>Přetrvávající nerovnosti ve vzdělávání</w:t>
      </w:r>
      <w:bookmarkEnd w:id="21"/>
      <w:bookmarkEnd w:id="22"/>
    </w:p>
    <w:p w:rsidR="001C1DE3" w:rsidRPr="00B175FB" w:rsidRDefault="00332F7E" w:rsidP="00240BA0">
      <w:pPr>
        <w:spacing w:line="276" w:lineRule="auto"/>
        <w:jc w:val="both"/>
        <w:rPr>
          <w:rFonts w:eastAsia="Times New Roman"/>
          <w:noProof/>
          <w:sz w:val="22"/>
        </w:rPr>
      </w:pPr>
      <w:r w:rsidRPr="00B175FB">
        <w:rPr>
          <w:rFonts w:eastAsia="Times New Roman"/>
          <w:noProof/>
          <w:sz w:val="22"/>
        </w:rPr>
        <w:t>Nerovnosti ve vzdělání jsou, i</w:t>
      </w:r>
      <w:r w:rsidR="0057501D" w:rsidRPr="00B175FB">
        <w:rPr>
          <w:rFonts w:eastAsia="Times New Roman"/>
          <w:noProof/>
          <w:sz w:val="22"/>
        </w:rPr>
        <w:t xml:space="preserve"> přes významný posun v dané oblasti zejména v poslední dekádě </w:t>
      </w:r>
      <w:r w:rsidR="00336EAA" w:rsidRPr="00B175FB">
        <w:rPr>
          <w:rFonts w:eastAsia="Times New Roman"/>
          <w:noProof/>
          <w:sz w:val="22"/>
        </w:rPr>
        <w:t>spočívající v</w:t>
      </w:r>
      <w:r w:rsidR="00E362BD" w:rsidRPr="00B175FB">
        <w:rPr>
          <w:rFonts w:eastAsia="Times New Roman"/>
          <w:noProof/>
          <w:sz w:val="22"/>
        </w:rPr>
        <w:t> </w:t>
      </w:r>
      <w:r w:rsidR="0057501D" w:rsidRPr="00B175FB">
        <w:rPr>
          <w:rFonts w:eastAsia="Times New Roman"/>
          <w:noProof/>
          <w:sz w:val="22"/>
        </w:rPr>
        <w:t>odstranění řady formálních</w:t>
      </w:r>
      <w:r w:rsidR="00421107" w:rsidRPr="00B175FB">
        <w:rPr>
          <w:rFonts w:eastAsia="Times New Roman"/>
          <w:noProof/>
          <w:sz w:val="22"/>
        </w:rPr>
        <w:t> </w:t>
      </w:r>
      <w:r w:rsidR="0057501D" w:rsidRPr="00B175FB">
        <w:rPr>
          <w:rFonts w:eastAsia="Times New Roman"/>
          <w:noProof/>
          <w:sz w:val="22"/>
        </w:rPr>
        <w:t>i</w:t>
      </w:r>
      <w:r w:rsidR="00311E90" w:rsidRPr="00B175FB">
        <w:rPr>
          <w:rFonts w:eastAsia="Times New Roman"/>
          <w:noProof/>
          <w:sz w:val="22"/>
        </w:rPr>
        <w:t> </w:t>
      </w:r>
      <w:r w:rsidR="0057501D" w:rsidRPr="00B175FB">
        <w:rPr>
          <w:rFonts w:eastAsia="Times New Roman"/>
          <w:noProof/>
          <w:sz w:val="22"/>
        </w:rPr>
        <w:t>neformálních bariér</w:t>
      </w:r>
      <w:r w:rsidR="00A52F9C" w:rsidRPr="00B175FB">
        <w:rPr>
          <w:rFonts w:eastAsia="Times New Roman"/>
          <w:noProof/>
          <w:sz w:val="22"/>
        </w:rPr>
        <w:t>,</w:t>
      </w:r>
      <w:r w:rsidR="0057501D" w:rsidRPr="00B175FB">
        <w:rPr>
          <w:rFonts w:eastAsia="Times New Roman"/>
          <w:noProof/>
          <w:sz w:val="22"/>
        </w:rPr>
        <w:t xml:space="preserve"> p</w:t>
      </w:r>
      <w:r w:rsidR="001C1DE3" w:rsidRPr="00B175FB">
        <w:rPr>
          <w:rFonts w:eastAsia="Times New Roman"/>
          <w:noProof/>
          <w:sz w:val="22"/>
        </w:rPr>
        <w:t>řetrvávající</w:t>
      </w:r>
      <w:r w:rsidR="00A11242">
        <w:rPr>
          <w:rFonts w:eastAsia="Times New Roman"/>
          <w:noProof/>
          <w:sz w:val="22"/>
        </w:rPr>
        <w:t xml:space="preserve"> slabinou</w:t>
      </w:r>
      <w:r w:rsidR="001D1B0A">
        <w:rPr>
          <w:rFonts w:eastAsia="Times New Roman"/>
          <w:noProof/>
          <w:sz w:val="22"/>
        </w:rPr>
        <w:t xml:space="preserve"> </w:t>
      </w:r>
      <w:r w:rsidR="001C1DE3" w:rsidRPr="00B175FB">
        <w:rPr>
          <w:rFonts w:eastAsia="Times New Roman"/>
          <w:noProof/>
          <w:sz w:val="22"/>
        </w:rPr>
        <w:t>vzdělávací soustavy Č</w:t>
      </w:r>
      <w:r w:rsidR="00157DE2" w:rsidRPr="00B175FB">
        <w:rPr>
          <w:rFonts w:eastAsia="Times New Roman"/>
          <w:noProof/>
          <w:sz w:val="22"/>
        </w:rPr>
        <w:t>R</w:t>
      </w:r>
      <w:r w:rsidR="001C1DE3" w:rsidRPr="00B175FB">
        <w:rPr>
          <w:rFonts w:eastAsia="Times New Roman"/>
          <w:noProof/>
          <w:sz w:val="22"/>
        </w:rPr>
        <w:t xml:space="preserve"> a zároveň jedním z jejích dlouhodobých problémů. </w:t>
      </w:r>
      <w:r w:rsidR="00637BFD" w:rsidRPr="00B175FB">
        <w:rPr>
          <w:rFonts w:eastAsia="Times New Roman"/>
          <w:noProof/>
          <w:sz w:val="22"/>
        </w:rPr>
        <w:t>ČR</w:t>
      </w:r>
      <w:r w:rsidR="006658FD" w:rsidRPr="00B175FB">
        <w:rPr>
          <w:rFonts w:eastAsia="Times New Roman"/>
          <w:noProof/>
          <w:sz w:val="22"/>
        </w:rPr>
        <w:t xml:space="preserve"> patří mezi státy </w:t>
      </w:r>
      <w:r w:rsidR="00B26A49" w:rsidRPr="00B175FB">
        <w:rPr>
          <w:rFonts w:eastAsia="Times New Roman"/>
          <w:noProof/>
          <w:sz w:val="22"/>
        </w:rPr>
        <w:t>Organizace pro hospodářskou spolupráci a rozvoj (dále jen „</w:t>
      </w:r>
      <w:r w:rsidR="006658FD" w:rsidRPr="00B175FB">
        <w:rPr>
          <w:rFonts w:eastAsia="Times New Roman"/>
          <w:noProof/>
          <w:sz w:val="22"/>
        </w:rPr>
        <w:t>OECD</w:t>
      </w:r>
      <w:r w:rsidR="00B26A49" w:rsidRPr="00B175FB">
        <w:rPr>
          <w:rFonts w:eastAsia="Times New Roman"/>
          <w:noProof/>
          <w:sz w:val="22"/>
        </w:rPr>
        <w:t>“)</w:t>
      </w:r>
      <w:r w:rsidR="006658FD" w:rsidRPr="00B175FB">
        <w:rPr>
          <w:rFonts w:eastAsia="Times New Roman"/>
          <w:noProof/>
          <w:sz w:val="22"/>
        </w:rPr>
        <w:t xml:space="preserve"> s největšími vzdělávacími nerovnostmi, které se projevují výraznou závislostí výsledků vzdělávání na sociálním statusu rodičů, výraznými rozdíly mezi výsledky žáků z různých základních škol </w:t>
      </w:r>
      <w:r w:rsidR="00637BFD" w:rsidRPr="00B175FB">
        <w:rPr>
          <w:rFonts w:eastAsia="Times New Roman"/>
          <w:noProof/>
          <w:sz w:val="22"/>
        </w:rPr>
        <w:t>(dále</w:t>
      </w:r>
      <w:r w:rsidR="005365AD" w:rsidRPr="00B175FB">
        <w:rPr>
          <w:rFonts w:eastAsia="Times New Roman"/>
          <w:noProof/>
          <w:sz w:val="22"/>
        </w:rPr>
        <w:t> </w:t>
      </w:r>
      <w:r w:rsidR="00637BFD" w:rsidRPr="00B175FB">
        <w:rPr>
          <w:rFonts w:eastAsia="Times New Roman"/>
          <w:noProof/>
          <w:sz w:val="22"/>
        </w:rPr>
        <w:t xml:space="preserve">jen „ZŠ“) </w:t>
      </w:r>
      <w:r w:rsidR="006658FD" w:rsidRPr="00B175FB">
        <w:rPr>
          <w:rFonts w:eastAsia="Times New Roman"/>
          <w:noProof/>
          <w:sz w:val="22"/>
        </w:rPr>
        <w:t>a různých regionů a</w:t>
      </w:r>
      <w:r w:rsidR="00637BFD" w:rsidRPr="00B175FB">
        <w:rPr>
          <w:rFonts w:eastAsia="Times New Roman"/>
          <w:noProof/>
          <w:sz w:val="22"/>
        </w:rPr>
        <w:t> </w:t>
      </w:r>
      <w:r w:rsidR="006658FD" w:rsidRPr="00B175FB">
        <w:rPr>
          <w:rFonts w:eastAsia="Times New Roman"/>
          <w:noProof/>
          <w:sz w:val="22"/>
        </w:rPr>
        <w:t xml:space="preserve">nízkou mezigenerační mobilitou ve </w:t>
      </w:r>
      <w:bookmarkStart w:id="23" w:name="_Hlk20464494"/>
      <w:r w:rsidR="006658FD" w:rsidRPr="00B175FB">
        <w:rPr>
          <w:rFonts w:eastAsia="Times New Roman"/>
          <w:noProof/>
          <w:sz w:val="22"/>
        </w:rPr>
        <w:t>vzdělávání</w:t>
      </w:r>
      <w:r w:rsidR="0066019E" w:rsidRPr="00B175FB">
        <w:rPr>
          <w:rFonts w:eastAsia="Times New Roman"/>
          <w:noProof/>
          <w:sz w:val="22"/>
        </w:rPr>
        <w:t>.</w:t>
      </w:r>
      <w:r w:rsidR="002A024C" w:rsidRPr="00B175FB">
        <w:rPr>
          <w:rStyle w:val="Znakapoznpodarou"/>
          <w:rFonts w:eastAsia="Times New Roman"/>
          <w:b w:val="0"/>
          <w:noProof/>
          <w:sz w:val="22"/>
        </w:rPr>
        <w:footnoteReference w:id="4"/>
      </w:r>
      <w:bookmarkEnd w:id="23"/>
      <w:r w:rsidR="002D20B9" w:rsidRPr="00B175FB">
        <w:rPr>
          <w:rFonts w:eastAsia="Times New Roman"/>
          <w:noProof/>
          <w:sz w:val="22"/>
        </w:rPr>
        <w:t xml:space="preserve"> </w:t>
      </w:r>
      <w:r w:rsidR="00AA3AB3" w:rsidRPr="00B175FB">
        <w:rPr>
          <w:rFonts w:eastAsia="Times New Roman"/>
          <w:noProof/>
          <w:sz w:val="22"/>
        </w:rPr>
        <w:t xml:space="preserve">Obdobnou </w:t>
      </w:r>
      <w:r w:rsidR="00321CC6" w:rsidRPr="00B175FB">
        <w:rPr>
          <w:rFonts w:eastAsia="Times New Roman"/>
          <w:noProof/>
          <w:sz w:val="22"/>
        </w:rPr>
        <w:t>souvislost</w:t>
      </w:r>
      <w:r w:rsidR="001C1DE3" w:rsidRPr="00B175FB">
        <w:rPr>
          <w:rFonts w:eastAsia="Times New Roman"/>
          <w:noProof/>
          <w:sz w:val="22"/>
        </w:rPr>
        <w:t xml:space="preserve"> nalézáme u zápisů na vysokou školu</w:t>
      </w:r>
      <w:r w:rsidR="00637BFD" w:rsidRPr="00B175FB">
        <w:rPr>
          <w:rFonts w:eastAsia="Times New Roman"/>
          <w:noProof/>
          <w:sz w:val="22"/>
        </w:rPr>
        <w:t xml:space="preserve"> (dále jen „VŠ“)</w:t>
      </w:r>
      <w:r w:rsidR="001C1DE3" w:rsidRPr="00B175FB">
        <w:rPr>
          <w:rFonts w:eastAsia="Times New Roman"/>
          <w:noProof/>
          <w:sz w:val="22"/>
        </w:rPr>
        <w:t>, kde navíc platí, že finanční náročnost může být překážkou nejen pro zápis, ale i pro úspěšné studium</w:t>
      </w:r>
      <w:r w:rsidR="000C7B85" w:rsidRPr="00B175FB">
        <w:rPr>
          <w:rFonts w:eastAsia="Times New Roman"/>
          <w:noProof/>
          <w:sz w:val="22"/>
        </w:rPr>
        <w:t>,</w:t>
      </w:r>
      <w:r w:rsidR="000C7B85" w:rsidRPr="00B175FB">
        <w:t xml:space="preserve"> </w:t>
      </w:r>
      <w:r w:rsidR="000C7B85" w:rsidRPr="00B175FB">
        <w:rPr>
          <w:rFonts w:eastAsia="Times New Roman"/>
          <w:noProof/>
          <w:sz w:val="22"/>
        </w:rPr>
        <w:t>a to i v situaci, kdy</w:t>
      </w:r>
      <w:r w:rsidR="00421107" w:rsidRPr="00B175FB">
        <w:rPr>
          <w:rFonts w:eastAsia="Times New Roman"/>
          <w:noProof/>
          <w:sz w:val="22"/>
        </w:rPr>
        <w:t> </w:t>
      </w:r>
      <w:r w:rsidR="000C7B85" w:rsidRPr="00B175FB">
        <w:rPr>
          <w:rFonts w:eastAsia="Times New Roman"/>
          <w:noProof/>
          <w:sz w:val="22"/>
        </w:rPr>
        <w:t xml:space="preserve">se na veřejných </w:t>
      </w:r>
      <w:r w:rsidR="00595F28" w:rsidRPr="00B175FB">
        <w:rPr>
          <w:rFonts w:eastAsia="Times New Roman"/>
          <w:noProof/>
          <w:sz w:val="22"/>
        </w:rPr>
        <w:t>VŠ</w:t>
      </w:r>
      <w:r w:rsidR="000C7B85" w:rsidRPr="00B175FB">
        <w:rPr>
          <w:rFonts w:eastAsia="Times New Roman"/>
          <w:noProof/>
          <w:sz w:val="22"/>
        </w:rPr>
        <w:t xml:space="preserve"> nevybírá školné</w:t>
      </w:r>
      <w:r w:rsidR="0066019E" w:rsidRPr="00B175FB">
        <w:rPr>
          <w:rFonts w:eastAsia="Times New Roman"/>
          <w:noProof/>
          <w:sz w:val="22"/>
        </w:rPr>
        <w:t>.</w:t>
      </w:r>
      <w:r w:rsidR="000C7B85" w:rsidRPr="00B175FB">
        <w:rPr>
          <w:rStyle w:val="Znakapoznpodarou"/>
          <w:rFonts w:eastAsia="Times New Roman"/>
          <w:b w:val="0"/>
          <w:noProof/>
          <w:sz w:val="22"/>
        </w:rPr>
        <w:footnoteReference w:id="5"/>
      </w:r>
      <w:r w:rsidR="002D20B9" w:rsidRPr="00B175FB">
        <w:rPr>
          <w:rFonts w:eastAsia="Times New Roman"/>
          <w:noProof/>
          <w:sz w:val="22"/>
        </w:rPr>
        <w:t xml:space="preserve"> </w:t>
      </w:r>
    </w:p>
    <w:p w:rsidR="00AF72DA" w:rsidRPr="00B175FB" w:rsidRDefault="00AA3AB3" w:rsidP="00C26CBD">
      <w:pPr>
        <w:spacing w:line="276" w:lineRule="auto"/>
        <w:jc w:val="both"/>
        <w:rPr>
          <w:rFonts w:eastAsia="Times New Roman"/>
          <w:noProof/>
          <w:sz w:val="22"/>
        </w:rPr>
      </w:pPr>
      <w:r w:rsidRPr="00B175FB">
        <w:rPr>
          <w:rFonts w:eastAsia="Times New Roman"/>
          <w:noProof/>
          <w:sz w:val="22"/>
        </w:rPr>
        <w:t xml:space="preserve">Jednotlivé indikátory struktury vzdělávací soustavy (např. </w:t>
      </w:r>
      <w:r w:rsidR="00DB5455" w:rsidRPr="00B175FB">
        <w:rPr>
          <w:rFonts w:eastAsia="Times New Roman"/>
          <w:noProof/>
          <w:sz w:val="22"/>
        </w:rPr>
        <w:t>oborová struktura</w:t>
      </w:r>
      <w:r w:rsidR="0066019E" w:rsidRPr="00B175FB">
        <w:rPr>
          <w:rFonts w:eastAsia="Times New Roman"/>
          <w:noProof/>
          <w:sz w:val="22"/>
        </w:rPr>
        <w:t>,</w:t>
      </w:r>
      <w:r w:rsidRPr="00B175FB">
        <w:rPr>
          <w:rFonts w:eastAsia="Times New Roman"/>
          <w:noProof/>
          <w:sz w:val="22"/>
          <w:vertAlign w:val="superscript"/>
        </w:rPr>
        <w:footnoteReference w:id="6"/>
      </w:r>
      <w:r w:rsidRPr="00B175FB">
        <w:rPr>
          <w:rFonts w:eastAsia="Times New Roman"/>
          <w:noProof/>
          <w:sz w:val="22"/>
        </w:rPr>
        <w:t xml:space="preserve"> charakteristika pedagogických sborů</w:t>
      </w:r>
      <w:r w:rsidR="0066019E" w:rsidRPr="00B175FB">
        <w:rPr>
          <w:rFonts w:eastAsia="Times New Roman"/>
          <w:noProof/>
          <w:sz w:val="22"/>
        </w:rPr>
        <w:t>,</w:t>
      </w:r>
      <w:r w:rsidRPr="00B175FB">
        <w:rPr>
          <w:rFonts w:eastAsia="Times New Roman"/>
          <w:noProof/>
          <w:sz w:val="22"/>
          <w:vertAlign w:val="superscript"/>
        </w:rPr>
        <w:footnoteReference w:id="7"/>
      </w:r>
      <w:r w:rsidR="00DB5455" w:rsidRPr="00B175FB">
        <w:rPr>
          <w:rFonts w:eastAsia="Times New Roman"/>
          <w:noProof/>
          <w:sz w:val="22"/>
        </w:rPr>
        <w:t xml:space="preserve"> míra předčasných </w:t>
      </w:r>
      <w:r w:rsidRPr="00B175FB">
        <w:rPr>
          <w:rFonts w:eastAsia="Times New Roman"/>
          <w:noProof/>
          <w:sz w:val="22"/>
        </w:rPr>
        <w:t>o</w:t>
      </w:r>
      <w:r w:rsidR="00EE287D" w:rsidRPr="00B175FB">
        <w:rPr>
          <w:rFonts w:eastAsia="Times New Roman"/>
          <w:noProof/>
          <w:sz w:val="22"/>
        </w:rPr>
        <w:t>d</w:t>
      </w:r>
      <w:r w:rsidRPr="00B175FB">
        <w:rPr>
          <w:rFonts w:eastAsia="Times New Roman"/>
          <w:noProof/>
          <w:sz w:val="22"/>
        </w:rPr>
        <w:t>chodů</w:t>
      </w:r>
      <w:r w:rsidR="00DB5455" w:rsidRPr="00B175FB">
        <w:rPr>
          <w:rFonts w:eastAsia="Times New Roman"/>
          <w:noProof/>
          <w:sz w:val="22"/>
        </w:rPr>
        <w:t xml:space="preserve"> ze vzdělávání</w:t>
      </w:r>
      <w:r w:rsidRPr="00B175FB">
        <w:rPr>
          <w:rFonts w:eastAsia="Times New Roman"/>
          <w:noProof/>
          <w:sz w:val="22"/>
          <w:vertAlign w:val="superscript"/>
        </w:rPr>
        <w:footnoteReference w:id="8"/>
      </w:r>
      <w:r w:rsidRPr="00B175FB">
        <w:rPr>
          <w:rFonts w:eastAsia="Times New Roman"/>
          <w:noProof/>
          <w:sz w:val="22"/>
        </w:rPr>
        <w:t xml:space="preserve"> atd.) i samotné výsledky vzdělávání (jak </w:t>
      </w:r>
      <w:r w:rsidR="00A60539" w:rsidRPr="00B175FB">
        <w:rPr>
          <w:rFonts w:eastAsia="Times New Roman"/>
          <w:sz w:val="22"/>
        </w:rPr>
        <w:t xml:space="preserve">z </w:t>
      </w:r>
      <w:r w:rsidRPr="00B175FB">
        <w:rPr>
          <w:rFonts w:eastAsia="Times New Roman"/>
          <w:sz w:val="22"/>
        </w:rPr>
        <w:t>plošn</w:t>
      </w:r>
      <w:r w:rsidR="00A60539" w:rsidRPr="00B175FB">
        <w:rPr>
          <w:rFonts w:eastAsia="Times New Roman"/>
          <w:sz w:val="22"/>
        </w:rPr>
        <w:t>ých</w:t>
      </w:r>
      <w:r w:rsidRPr="00B175FB">
        <w:rPr>
          <w:rFonts w:eastAsia="Times New Roman"/>
          <w:noProof/>
          <w:sz w:val="22"/>
        </w:rPr>
        <w:t>, tak</w:t>
      </w:r>
      <w:r w:rsidR="00F15323" w:rsidRPr="00B175FB">
        <w:rPr>
          <w:rFonts w:eastAsia="Times New Roman"/>
          <w:noProof/>
          <w:sz w:val="22"/>
        </w:rPr>
        <w:t> </w:t>
      </w:r>
      <w:r w:rsidRPr="00B175FB">
        <w:rPr>
          <w:rFonts w:eastAsia="Times New Roman"/>
          <w:sz w:val="22"/>
        </w:rPr>
        <w:t>výběrov</w:t>
      </w:r>
      <w:r w:rsidR="00A60539" w:rsidRPr="00B175FB">
        <w:rPr>
          <w:rFonts w:eastAsia="Times New Roman"/>
          <w:sz w:val="22"/>
        </w:rPr>
        <w:t>ých</w:t>
      </w:r>
      <w:r w:rsidRPr="00B175FB">
        <w:rPr>
          <w:rFonts w:eastAsia="Times New Roman"/>
          <w:noProof/>
          <w:sz w:val="22"/>
        </w:rPr>
        <w:t xml:space="preserve"> testování</w:t>
      </w:r>
      <w:r w:rsidR="00DB5455" w:rsidRPr="00B175FB">
        <w:rPr>
          <w:rFonts w:eastAsia="Times New Roman"/>
          <w:noProof/>
          <w:sz w:val="22"/>
        </w:rPr>
        <w:t>)</w:t>
      </w:r>
      <w:r w:rsidR="0066019E" w:rsidRPr="00B175FB">
        <w:rPr>
          <w:rFonts w:eastAsia="Times New Roman"/>
          <w:noProof/>
          <w:sz w:val="22"/>
          <w:vertAlign w:val="superscript"/>
        </w:rPr>
        <w:footnoteReference w:id="9"/>
      </w:r>
      <w:r w:rsidR="00DB5455" w:rsidRPr="00B175FB">
        <w:rPr>
          <w:rFonts w:eastAsia="Times New Roman"/>
          <w:noProof/>
          <w:sz w:val="22"/>
        </w:rPr>
        <w:t xml:space="preserve"> dokládají nárůst regionálních disparit zejména v regionálním školství. </w:t>
      </w:r>
      <w:r w:rsidRPr="00B175FB">
        <w:rPr>
          <w:rFonts w:eastAsia="Times New Roman"/>
          <w:noProof/>
          <w:sz w:val="22"/>
        </w:rPr>
        <w:t>Mezi</w:t>
      </w:r>
      <w:r w:rsidR="0023560F" w:rsidRPr="00B175FB">
        <w:rPr>
          <w:rFonts w:eastAsia="Times New Roman"/>
          <w:noProof/>
          <w:sz w:val="22"/>
        </w:rPr>
        <w:t> </w:t>
      </w:r>
      <w:r w:rsidRPr="00B175FB">
        <w:rPr>
          <w:rFonts w:eastAsia="Times New Roman"/>
          <w:noProof/>
          <w:sz w:val="22"/>
        </w:rPr>
        <w:t>konkrétní problémy vzdělávacího systému</w:t>
      </w:r>
      <w:r w:rsidR="00F1110F" w:rsidRPr="00B175FB">
        <w:rPr>
          <w:rFonts w:eastAsia="Times New Roman"/>
          <w:noProof/>
          <w:sz w:val="22"/>
        </w:rPr>
        <w:t xml:space="preserve"> </w:t>
      </w:r>
      <w:r w:rsidRPr="00B175FB">
        <w:rPr>
          <w:rFonts w:eastAsia="Times New Roman"/>
          <w:noProof/>
          <w:sz w:val="22"/>
        </w:rPr>
        <w:t>v tomto ohledu patří</w:t>
      </w:r>
      <w:r w:rsidR="002400BE" w:rsidRPr="00B175FB">
        <w:rPr>
          <w:rFonts w:eastAsia="Times New Roman"/>
          <w:noProof/>
          <w:sz w:val="22"/>
        </w:rPr>
        <w:t xml:space="preserve"> </w:t>
      </w:r>
      <w:r w:rsidR="00874B4D" w:rsidRPr="00B175FB">
        <w:rPr>
          <w:rFonts w:eastAsia="Times New Roman"/>
          <w:noProof/>
          <w:sz w:val="22"/>
        </w:rPr>
        <w:t xml:space="preserve">také </w:t>
      </w:r>
      <w:r w:rsidR="00490E52" w:rsidRPr="00B175FB">
        <w:rPr>
          <w:rFonts w:eastAsia="Times New Roman"/>
          <w:noProof/>
          <w:sz w:val="22"/>
        </w:rPr>
        <w:t>r</w:t>
      </w:r>
      <w:r w:rsidRPr="00B175FB">
        <w:rPr>
          <w:rFonts w:eastAsia="Times New Roman"/>
          <w:noProof/>
          <w:sz w:val="22"/>
        </w:rPr>
        <w:t>elativně vysoký počet žáků, kteří</w:t>
      </w:r>
      <w:r w:rsidR="0073301A" w:rsidRPr="00B175FB">
        <w:rPr>
          <w:rFonts w:eastAsia="Times New Roman"/>
          <w:noProof/>
          <w:sz w:val="22"/>
        </w:rPr>
        <w:t> </w:t>
      </w:r>
      <w:r w:rsidRPr="00B175FB">
        <w:rPr>
          <w:rFonts w:eastAsia="Times New Roman"/>
          <w:noProof/>
          <w:sz w:val="22"/>
        </w:rPr>
        <w:t>na</w:t>
      </w:r>
      <w:r w:rsidR="0073301A" w:rsidRPr="00B175FB">
        <w:rPr>
          <w:rFonts w:eastAsia="Times New Roman"/>
          <w:noProof/>
          <w:sz w:val="22"/>
        </w:rPr>
        <w:t> </w:t>
      </w:r>
      <w:r w:rsidRPr="00B175FB">
        <w:rPr>
          <w:rFonts w:eastAsia="Times New Roman"/>
          <w:noProof/>
          <w:sz w:val="22"/>
        </w:rPr>
        <w:t>konci ZŠ dosahují velmi nízké úrovně základních typů gramotnost</w:t>
      </w:r>
      <w:r w:rsidR="00311E90" w:rsidRPr="00B175FB">
        <w:rPr>
          <w:rFonts w:eastAsia="Times New Roman"/>
          <w:noProof/>
          <w:sz w:val="22"/>
        </w:rPr>
        <w:t>í</w:t>
      </w:r>
      <w:r w:rsidRPr="00B175FB">
        <w:rPr>
          <w:rFonts w:eastAsia="Times New Roman"/>
          <w:noProof/>
          <w:sz w:val="22"/>
        </w:rPr>
        <w:t xml:space="preserve">, a </w:t>
      </w:r>
      <w:r w:rsidR="00490E52" w:rsidRPr="00B175FB">
        <w:rPr>
          <w:rFonts w:eastAsia="Times New Roman"/>
          <w:noProof/>
          <w:sz w:val="22"/>
        </w:rPr>
        <w:t>dále</w:t>
      </w:r>
      <w:r w:rsidRPr="00B175FB">
        <w:rPr>
          <w:rFonts w:eastAsia="Times New Roman"/>
          <w:noProof/>
          <w:sz w:val="22"/>
        </w:rPr>
        <w:t xml:space="preserve"> </w:t>
      </w:r>
      <w:r w:rsidR="004B669D" w:rsidRPr="00B175FB">
        <w:rPr>
          <w:rFonts w:eastAsia="Times New Roman"/>
          <w:noProof/>
          <w:sz w:val="22"/>
        </w:rPr>
        <w:t xml:space="preserve">jejich </w:t>
      </w:r>
      <w:r w:rsidRPr="00B175FB">
        <w:rPr>
          <w:rFonts w:eastAsia="Times New Roman"/>
          <w:noProof/>
          <w:sz w:val="22"/>
        </w:rPr>
        <w:t xml:space="preserve">vysoké zastoupení v některých regionech </w:t>
      </w:r>
      <w:r w:rsidR="00490E52" w:rsidRPr="00B175FB">
        <w:rPr>
          <w:rFonts w:eastAsia="Times New Roman"/>
          <w:noProof/>
          <w:sz w:val="22"/>
        </w:rPr>
        <w:t>(</w:t>
      </w:r>
      <w:r w:rsidRPr="00B175FB">
        <w:rPr>
          <w:rFonts w:eastAsia="Times New Roman"/>
          <w:noProof/>
          <w:sz w:val="22"/>
        </w:rPr>
        <w:t xml:space="preserve">především </w:t>
      </w:r>
      <w:r w:rsidR="00C07CE9" w:rsidRPr="00B175FB">
        <w:rPr>
          <w:rFonts w:eastAsia="Times New Roman"/>
          <w:noProof/>
          <w:sz w:val="22"/>
        </w:rPr>
        <w:t xml:space="preserve">v </w:t>
      </w:r>
      <w:r w:rsidRPr="00B175FB">
        <w:rPr>
          <w:rFonts w:eastAsia="Times New Roman"/>
          <w:noProof/>
          <w:sz w:val="22"/>
        </w:rPr>
        <w:t>Ústeckém a Karlovarském kraji</w:t>
      </w:r>
      <w:r w:rsidR="00490E52" w:rsidRPr="00B175FB">
        <w:rPr>
          <w:rFonts w:eastAsia="Times New Roman"/>
          <w:noProof/>
          <w:sz w:val="22"/>
        </w:rPr>
        <w:t>)</w:t>
      </w:r>
      <w:r w:rsidRPr="00B175FB">
        <w:rPr>
          <w:rFonts w:eastAsia="Times New Roman"/>
          <w:noProof/>
          <w:sz w:val="22"/>
        </w:rPr>
        <w:t>. Výrazné nerovnosti v kvalitě škol</w:t>
      </w:r>
      <w:r w:rsidR="00490E52" w:rsidRPr="00B175FB">
        <w:rPr>
          <w:rFonts w:eastAsia="Times New Roman"/>
          <w:noProof/>
          <w:sz w:val="22"/>
        </w:rPr>
        <w:t>,</w:t>
      </w:r>
      <w:r w:rsidRPr="00B175FB">
        <w:rPr>
          <w:rFonts w:eastAsia="Times New Roman"/>
          <w:noProof/>
          <w:sz w:val="22"/>
        </w:rPr>
        <w:t xml:space="preserve"> a</w:t>
      </w:r>
      <w:r w:rsidR="0023560F" w:rsidRPr="00B175FB">
        <w:rPr>
          <w:rFonts w:eastAsia="Times New Roman"/>
          <w:noProof/>
          <w:sz w:val="22"/>
        </w:rPr>
        <w:t> </w:t>
      </w:r>
      <w:r w:rsidRPr="00B175FB">
        <w:rPr>
          <w:rFonts w:eastAsia="Times New Roman"/>
          <w:noProof/>
          <w:sz w:val="22"/>
        </w:rPr>
        <w:t>to</w:t>
      </w:r>
      <w:r w:rsidR="0023560F" w:rsidRPr="00B175FB">
        <w:rPr>
          <w:rFonts w:eastAsia="Times New Roman"/>
          <w:noProof/>
          <w:sz w:val="22"/>
        </w:rPr>
        <w:t> </w:t>
      </w:r>
      <w:r w:rsidR="00490E52" w:rsidRPr="00B175FB">
        <w:rPr>
          <w:rFonts w:eastAsia="Times New Roman"/>
          <w:noProof/>
          <w:sz w:val="22"/>
        </w:rPr>
        <w:t>jak</w:t>
      </w:r>
      <w:r w:rsidRPr="00B175FB">
        <w:rPr>
          <w:rFonts w:eastAsia="Times New Roman"/>
          <w:noProof/>
          <w:sz w:val="22"/>
        </w:rPr>
        <w:t xml:space="preserve"> </w:t>
      </w:r>
      <w:r w:rsidR="00775B96" w:rsidRPr="00B175FB">
        <w:rPr>
          <w:rFonts w:eastAsia="Times New Roman"/>
          <w:noProof/>
          <w:sz w:val="22"/>
        </w:rPr>
        <w:t>v</w:t>
      </w:r>
      <w:r w:rsidRPr="00B175FB">
        <w:rPr>
          <w:rFonts w:eastAsia="Times New Roman"/>
          <w:noProof/>
          <w:sz w:val="22"/>
        </w:rPr>
        <w:t xml:space="preserve"> podobě regionálních nerovností</w:t>
      </w:r>
      <w:r w:rsidR="00490E52" w:rsidRPr="00B175FB">
        <w:rPr>
          <w:rFonts w:eastAsia="Times New Roman"/>
          <w:noProof/>
          <w:sz w:val="22"/>
        </w:rPr>
        <w:t>, tak</w:t>
      </w:r>
      <w:r w:rsidRPr="00B175FB">
        <w:rPr>
          <w:rFonts w:eastAsia="Times New Roman"/>
          <w:noProof/>
          <w:sz w:val="22"/>
        </w:rPr>
        <w:t xml:space="preserve"> i nerovností uvnitř regionů</w:t>
      </w:r>
      <w:r w:rsidR="00490E52" w:rsidRPr="00B175FB">
        <w:rPr>
          <w:rFonts w:eastAsia="Times New Roman"/>
          <w:noProof/>
          <w:sz w:val="22"/>
        </w:rPr>
        <w:t>,</w:t>
      </w:r>
      <w:r w:rsidRPr="00B175FB">
        <w:rPr>
          <w:rFonts w:eastAsia="Times New Roman"/>
          <w:noProof/>
          <w:sz w:val="22"/>
        </w:rPr>
        <w:t xml:space="preserve"> do velké míry determinují individuální vzdělávací výsledky a vedou k omezení rovnosti šancí na dosažení kvalitního vzdělání. Nedostatečná předškolní připravenost dětí ze sociálně </w:t>
      </w:r>
      <w:r w:rsidR="00C26CBD" w:rsidRPr="00B175FB">
        <w:rPr>
          <w:rFonts w:eastAsia="Times New Roman"/>
          <w:noProof/>
          <w:sz w:val="22"/>
        </w:rPr>
        <w:t>znevýhod</w:t>
      </w:r>
      <w:r w:rsidR="003D1A2C" w:rsidRPr="00B175FB">
        <w:rPr>
          <w:rFonts w:eastAsia="Times New Roman"/>
          <w:noProof/>
          <w:sz w:val="22"/>
        </w:rPr>
        <w:t>ňujícího</w:t>
      </w:r>
      <w:r w:rsidR="00C26CBD" w:rsidRPr="00B175FB">
        <w:rPr>
          <w:rFonts w:eastAsia="Times New Roman"/>
          <w:noProof/>
          <w:sz w:val="22"/>
        </w:rPr>
        <w:t xml:space="preserve"> </w:t>
      </w:r>
      <w:r w:rsidRPr="00B175FB">
        <w:rPr>
          <w:rFonts w:eastAsia="Times New Roman"/>
          <w:noProof/>
          <w:sz w:val="22"/>
        </w:rPr>
        <w:t xml:space="preserve">prostředí a omezená schopnost </w:t>
      </w:r>
      <w:r w:rsidR="00874B4D" w:rsidRPr="00B175FB">
        <w:rPr>
          <w:rFonts w:eastAsia="Times New Roman"/>
          <w:noProof/>
          <w:sz w:val="22"/>
        </w:rPr>
        <w:t xml:space="preserve">státní správy </w:t>
      </w:r>
      <w:r w:rsidR="00D6696E" w:rsidRPr="00B175FB">
        <w:rPr>
          <w:rFonts w:eastAsia="Times New Roman"/>
          <w:noProof/>
          <w:sz w:val="22"/>
        </w:rPr>
        <w:t>a </w:t>
      </w:r>
      <w:r w:rsidR="00874B4D" w:rsidRPr="00B175FB">
        <w:rPr>
          <w:rFonts w:eastAsia="Times New Roman"/>
          <w:noProof/>
          <w:sz w:val="22"/>
        </w:rPr>
        <w:t>samosprávy</w:t>
      </w:r>
      <w:r w:rsidRPr="00B175FB">
        <w:rPr>
          <w:rFonts w:eastAsia="Times New Roman"/>
          <w:noProof/>
          <w:sz w:val="22"/>
        </w:rPr>
        <w:t xml:space="preserve"> reagovat na rizikové faktory na straně rodiny</w:t>
      </w:r>
      <w:r w:rsidR="004B669D" w:rsidRPr="00B175FB">
        <w:rPr>
          <w:rFonts w:eastAsia="Times New Roman"/>
          <w:sz w:val="22"/>
        </w:rPr>
        <w:t xml:space="preserve"> tento stav dále prohlubují</w:t>
      </w:r>
      <w:r w:rsidRPr="00B175FB">
        <w:rPr>
          <w:rFonts w:eastAsia="Times New Roman"/>
          <w:sz w:val="22"/>
        </w:rPr>
        <w:t xml:space="preserve">. </w:t>
      </w:r>
      <w:r w:rsidR="00874B4D" w:rsidRPr="00B175FB">
        <w:rPr>
          <w:rFonts w:eastAsia="Times New Roman"/>
          <w:sz w:val="22"/>
        </w:rPr>
        <w:t>Systém</w:t>
      </w:r>
      <w:r w:rsidR="0023560F" w:rsidRPr="00B175FB">
        <w:rPr>
          <w:rFonts w:eastAsia="Times New Roman"/>
          <w:sz w:val="22"/>
        </w:rPr>
        <w:t> </w:t>
      </w:r>
      <w:r w:rsidR="004B669D" w:rsidRPr="00B175FB">
        <w:rPr>
          <w:rFonts w:eastAsia="Times New Roman"/>
          <w:sz w:val="22"/>
        </w:rPr>
        <w:t>se</w:t>
      </w:r>
      <w:r w:rsidR="0023560F" w:rsidRPr="00B175FB">
        <w:rPr>
          <w:rFonts w:eastAsia="Times New Roman"/>
          <w:sz w:val="22"/>
        </w:rPr>
        <w:t> </w:t>
      </w:r>
      <w:r w:rsidR="004B669D" w:rsidRPr="00B175FB">
        <w:rPr>
          <w:rFonts w:eastAsia="Times New Roman"/>
          <w:sz w:val="22"/>
        </w:rPr>
        <w:t>vyznačuje</w:t>
      </w:r>
      <w:r w:rsidRPr="00B175FB">
        <w:rPr>
          <w:rFonts w:eastAsia="Times New Roman"/>
          <w:noProof/>
          <w:sz w:val="22"/>
        </w:rPr>
        <w:t xml:space="preserve"> rovněž </w:t>
      </w:r>
      <w:r w:rsidR="004B669D" w:rsidRPr="00B175FB">
        <w:rPr>
          <w:rFonts w:eastAsia="Times New Roman"/>
          <w:sz w:val="22"/>
        </w:rPr>
        <w:t xml:space="preserve">omezenou schopností </w:t>
      </w:r>
      <w:r w:rsidRPr="00B175FB">
        <w:rPr>
          <w:rFonts w:eastAsia="Times New Roman"/>
          <w:sz w:val="22"/>
        </w:rPr>
        <w:t>rozvoj</w:t>
      </w:r>
      <w:r w:rsidR="004B669D" w:rsidRPr="00B175FB">
        <w:rPr>
          <w:rFonts w:eastAsia="Times New Roman"/>
          <w:sz w:val="22"/>
        </w:rPr>
        <w:t>e</w:t>
      </w:r>
      <w:r w:rsidRPr="00B175FB">
        <w:rPr>
          <w:rFonts w:eastAsia="Times New Roman"/>
          <w:noProof/>
          <w:sz w:val="22"/>
        </w:rPr>
        <w:t xml:space="preserve"> nadaných a mimořádně nadaných </w:t>
      </w:r>
      <w:r w:rsidR="00425CD3" w:rsidRPr="00B175FB">
        <w:rPr>
          <w:rFonts w:eastAsia="Times New Roman"/>
          <w:noProof/>
          <w:sz w:val="22"/>
        </w:rPr>
        <w:t>žáků v</w:t>
      </w:r>
      <w:r w:rsidRPr="00B175FB">
        <w:rPr>
          <w:rFonts w:eastAsia="Times New Roman"/>
          <w:noProof/>
          <w:sz w:val="22"/>
        </w:rPr>
        <w:t xml:space="preserve"> </w:t>
      </w:r>
      <w:r w:rsidR="004B669D" w:rsidRPr="00B175FB">
        <w:rPr>
          <w:rFonts w:eastAsia="Times New Roman"/>
          <w:sz w:val="22"/>
        </w:rPr>
        <w:t>běžných</w:t>
      </w:r>
      <w:r w:rsidRPr="00B175FB">
        <w:rPr>
          <w:rFonts w:eastAsia="Times New Roman"/>
          <w:noProof/>
          <w:sz w:val="22"/>
        </w:rPr>
        <w:t xml:space="preserve"> ZŠ, </w:t>
      </w:r>
      <w:r w:rsidR="00A60539" w:rsidRPr="00B175FB">
        <w:rPr>
          <w:rFonts w:eastAsia="Times New Roman"/>
          <w:sz w:val="22"/>
        </w:rPr>
        <w:t>což</w:t>
      </w:r>
      <w:r w:rsidRPr="00B175FB">
        <w:rPr>
          <w:rFonts w:eastAsia="Times New Roman"/>
          <w:noProof/>
          <w:sz w:val="22"/>
        </w:rPr>
        <w:t xml:space="preserve"> posiluje tendence k diferenciaci školní soustavy</w:t>
      </w:r>
      <w:r w:rsidR="0066019E" w:rsidRPr="00B175FB">
        <w:rPr>
          <w:rFonts w:eastAsia="Times New Roman"/>
          <w:noProof/>
          <w:sz w:val="22"/>
        </w:rPr>
        <w:t>.</w:t>
      </w:r>
      <w:r w:rsidRPr="00B175FB">
        <w:rPr>
          <w:rFonts w:eastAsia="Times New Roman"/>
          <w:noProof/>
          <w:sz w:val="22"/>
          <w:vertAlign w:val="superscript"/>
        </w:rPr>
        <w:footnoteReference w:id="10"/>
      </w:r>
      <w:r w:rsidRPr="00B175FB">
        <w:rPr>
          <w:rFonts w:eastAsia="Times New Roman"/>
          <w:noProof/>
          <w:sz w:val="22"/>
        </w:rPr>
        <w:t xml:space="preserve"> </w:t>
      </w:r>
      <w:r w:rsidR="004A314E">
        <w:rPr>
          <w:rFonts w:eastAsia="Times New Roman"/>
          <w:noProof/>
          <w:sz w:val="22"/>
        </w:rPr>
        <w:t xml:space="preserve">ČR </w:t>
      </w:r>
      <w:r w:rsidR="00D97578">
        <w:rPr>
          <w:rFonts w:eastAsia="Times New Roman"/>
          <w:noProof/>
          <w:sz w:val="22"/>
        </w:rPr>
        <w:t>zajišťuje rovný přístup dívek a chlapců ke</w:t>
      </w:r>
      <w:r w:rsidR="00920482">
        <w:rPr>
          <w:rFonts w:eastAsia="Times New Roman"/>
          <w:noProof/>
          <w:sz w:val="22"/>
        </w:rPr>
        <w:t> </w:t>
      </w:r>
      <w:r w:rsidR="00D97578">
        <w:rPr>
          <w:rFonts w:eastAsia="Times New Roman"/>
          <w:noProof/>
          <w:sz w:val="22"/>
        </w:rPr>
        <w:t>vzdělávání, přesto v</w:t>
      </w:r>
      <w:r w:rsidRPr="00B175FB">
        <w:rPr>
          <w:rFonts w:eastAsia="Times New Roman"/>
          <w:noProof/>
          <w:sz w:val="22"/>
        </w:rPr>
        <w:t xml:space="preserve"> rámci vzdělávacího systému </w:t>
      </w:r>
      <w:r w:rsidR="00D97578">
        <w:rPr>
          <w:rFonts w:eastAsia="Times New Roman"/>
          <w:sz w:val="22"/>
        </w:rPr>
        <w:t>přetrvávají</w:t>
      </w:r>
      <w:r w:rsidR="00D97578">
        <w:rPr>
          <w:rFonts w:eastAsia="Times New Roman"/>
          <w:noProof/>
          <w:sz w:val="22"/>
        </w:rPr>
        <w:t xml:space="preserve"> i</w:t>
      </w:r>
      <w:r w:rsidR="0023560F" w:rsidRPr="00B175FB">
        <w:rPr>
          <w:rFonts w:eastAsia="Times New Roman"/>
          <w:noProof/>
          <w:sz w:val="22"/>
        </w:rPr>
        <w:t> </w:t>
      </w:r>
      <w:r w:rsidR="00FA2413" w:rsidRPr="00B175FB">
        <w:rPr>
          <w:rFonts w:eastAsia="Times New Roman"/>
          <w:noProof/>
          <w:sz w:val="22"/>
        </w:rPr>
        <w:t xml:space="preserve">stereotypní volby </w:t>
      </w:r>
      <w:r w:rsidRPr="00B175FB">
        <w:rPr>
          <w:rFonts w:eastAsia="Times New Roman"/>
          <w:noProof/>
          <w:sz w:val="22"/>
        </w:rPr>
        <w:t>vzdělávacích drah</w:t>
      </w:r>
      <w:r w:rsidR="00FA2413" w:rsidRPr="00B175FB">
        <w:rPr>
          <w:rFonts w:eastAsia="Times New Roman"/>
          <w:noProof/>
          <w:sz w:val="22"/>
        </w:rPr>
        <w:t xml:space="preserve"> –</w:t>
      </w:r>
      <w:r w:rsidR="00F15323" w:rsidRPr="00B175FB">
        <w:rPr>
          <w:rFonts w:eastAsia="Times New Roman"/>
          <w:noProof/>
          <w:sz w:val="22"/>
        </w:rPr>
        <w:t> </w:t>
      </w:r>
      <w:r w:rsidR="00FA2413" w:rsidRPr="00B175FB">
        <w:rPr>
          <w:rFonts w:eastAsia="Times New Roman"/>
          <w:noProof/>
          <w:sz w:val="22"/>
        </w:rPr>
        <w:t>např.</w:t>
      </w:r>
      <w:r w:rsidR="00F15323" w:rsidRPr="00B175FB">
        <w:rPr>
          <w:rFonts w:eastAsia="Times New Roman"/>
          <w:noProof/>
          <w:sz w:val="22"/>
        </w:rPr>
        <w:t> </w:t>
      </w:r>
      <w:r w:rsidR="00D97578">
        <w:rPr>
          <w:rFonts w:eastAsia="Times New Roman"/>
          <w:noProof/>
          <w:sz w:val="22"/>
        </w:rPr>
        <w:t xml:space="preserve">dívky volí </w:t>
      </w:r>
      <w:r w:rsidR="00FA2413" w:rsidRPr="00B175FB">
        <w:rPr>
          <w:rFonts w:eastAsia="Times New Roman"/>
          <w:noProof/>
          <w:sz w:val="22"/>
        </w:rPr>
        <w:t>s</w:t>
      </w:r>
      <w:r w:rsidR="001F2752" w:rsidRPr="00B175FB">
        <w:rPr>
          <w:rFonts w:eastAsia="Times New Roman"/>
          <w:noProof/>
          <w:sz w:val="22"/>
        </w:rPr>
        <w:t xml:space="preserve">polečenské </w:t>
      </w:r>
      <w:r w:rsidR="00065ED3" w:rsidRPr="00B175FB">
        <w:rPr>
          <w:rFonts w:eastAsia="Times New Roman"/>
          <w:noProof/>
          <w:sz w:val="22"/>
        </w:rPr>
        <w:t xml:space="preserve">a lékařské </w:t>
      </w:r>
      <w:r w:rsidR="00D97578">
        <w:rPr>
          <w:rFonts w:eastAsia="Times New Roman"/>
          <w:noProof/>
          <w:sz w:val="22"/>
        </w:rPr>
        <w:t>obory a chlapci směřují do</w:t>
      </w:r>
      <w:r w:rsidR="00FA2413" w:rsidRPr="00B175FB">
        <w:rPr>
          <w:rFonts w:eastAsia="Times New Roman"/>
          <w:noProof/>
          <w:sz w:val="22"/>
        </w:rPr>
        <w:t xml:space="preserve"> STEM </w:t>
      </w:r>
      <w:r w:rsidR="00D97578">
        <w:rPr>
          <w:rFonts w:eastAsia="Times New Roman"/>
          <w:noProof/>
          <w:sz w:val="22"/>
        </w:rPr>
        <w:t>oborů</w:t>
      </w:r>
      <w:r w:rsidR="00FA2413" w:rsidRPr="00B175FB">
        <w:rPr>
          <w:rFonts w:eastAsia="Times New Roman"/>
          <w:noProof/>
          <w:sz w:val="22"/>
        </w:rPr>
        <w:t>.</w:t>
      </w:r>
      <w:r w:rsidR="001B5FDF" w:rsidRPr="00B175FB">
        <w:rPr>
          <w:rStyle w:val="Znakapoznpodarou"/>
          <w:rFonts w:eastAsia="Times New Roman"/>
          <w:b w:val="0"/>
          <w:noProof/>
          <w:sz w:val="22"/>
        </w:rPr>
        <w:footnoteReference w:id="11"/>
      </w:r>
    </w:p>
    <w:p w:rsidR="00D83A86" w:rsidRPr="00B175FB" w:rsidRDefault="001F3720">
      <w:pPr>
        <w:spacing w:line="276" w:lineRule="auto"/>
        <w:jc w:val="both"/>
        <w:rPr>
          <w:rFonts w:eastAsia="Times New Roman"/>
          <w:noProof/>
          <w:sz w:val="22"/>
        </w:rPr>
      </w:pPr>
      <w:r w:rsidRPr="00B175FB">
        <w:rPr>
          <w:rFonts w:eastAsia="Times New Roman"/>
          <w:noProof/>
          <w:sz w:val="22"/>
        </w:rPr>
        <w:t>Přetrvávajícím</w:t>
      </w:r>
      <w:r w:rsidR="00D83A86" w:rsidRPr="00B175FB">
        <w:rPr>
          <w:rFonts w:eastAsia="Times New Roman"/>
          <w:noProof/>
          <w:sz w:val="22"/>
        </w:rPr>
        <w:t xml:space="preserve"> problémem českého vzdělávacího systému</w:t>
      </w:r>
      <w:r w:rsidRPr="00B175FB">
        <w:rPr>
          <w:rFonts w:eastAsia="Times New Roman"/>
          <w:noProof/>
          <w:sz w:val="22"/>
        </w:rPr>
        <w:t xml:space="preserve"> je</w:t>
      </w:r>
      <w:r w:rsidR="00D83A86" w:rsidRPr="00B175FB">
        <w:rPr>
          <w:rFonts w:eastAsia="Times New Roman"/>
          <w:noProof/>
          <w:sz w:val="22"/>
        </w:rPr>
        <w:t xml:space="preserve"> vysoká studijní neúspěšnost</w:t>
      </w:r>
      <w:r w:rsidR="00874B4D" w:rsidRPr="00B175FB">
        <w:rPr>
          <w:rFonts w:eastAsia="Times New Roman"/>
          <w:noProof/>
          <w:sz w:val="22"/>
        </w:rPr>
        <w:t xml:space="preserve"> v prvních letech studia</w:t>
      </w:r>
      <w:r w:rsidR="00D83A86" w:rsidRPr="00B175FB">
        <w:rPr>
          <w:rFonts w:eastAsia="Times New Roman"/>
          <w:noProof/>
          <w:sz w:val="22"/>
        </w:rPr>
        <w:t xml:space="preserve"> na </w:t>
      </w:r>
      <w:r w:rsidR="00595F28" w:rsidRPr="00B175FB">
        <w:rPr>
          <w:rFonts w:eastAsia="Times New Roman"/>
          <w:noProof/>
          <w:sz w:val="22"/>
        </w:rPr>
        <w:t>VŠ</w:t>
      </w:r>
      <w:r w:rsidR="00D83A86" w:rsidRPr="00B175FB">
        <w:rPr>
          <w:rFonts w:eastAsia="Times New Roman"/>
          <w:noProof/>
          <w:sz w:val="22"/>
        </w:rPr>
        <w:t>, a to jak u běžných studentů, tak u studentů se specifickými potřebami</w:t>
      </w:r>
      <w:r w:rsidR="00BA2396" w:rsidRPr="00B175FB">
        <w:rPr>
          <w:rFonts w:eastAsia="Times New Roman"/>
          <w:noProof/>
          <w:sz w:val="22"/>
        </w:rPr>
        <w:t xml:space="preserve"> (dále jen „SP“)</w:t>
      </w:r>
      <w:r w:rsidR="00157DE2" w:rsidRPr="00B175FB">
        <w:rPr>
          <w:rFonts w:eastAsia="Times New Roman"/>
          <w:noProof/>
          <w:sz w:val="22"/>
        </w:rPr>
        <w:t>.</w:t>
      </w:r>
      <w:r w:rsidR="00D83A86" w:rsidRPr="00B175FB">
        <w:rPr>
          <w:rFonts w:eastAsia="Times New Roman"/>
          <w:noProof/>
          <w:sz w:val="22"/>
        </w:rPr>
        <w:t xml:space="preserve"> Důvodem</w:t>
      </w:r>
      <w:r w:rsidR="0085513D" w:rsidRPr="00B175FB">
        <w:rPr>
          <w:rFonts w:eastAsia="Times New Roman"/>
          <w:noProof/>
          <w:sz w:val="22"/>
        </w:rPr>
        <w:t> </w:t>
      </w:r>
      <w:r w:rsidR="00D83A86" w:rsidRPr="00B175FB">
        <w:rPr>
          <w:rFonts w:eastAsia="Times New Roman"/>
          <w:noProof/>
          <w:sz w:val="22"/>
        </w:rPr>
        <w:t xml:space="preserve">je </w:t>
      </w:r>
      <w:r w:rsidR="00FA6B9D" w:rsidRPr="00B175FB">
        <w:rPr>
          <w:rFonts w:eastAsia="Times New Roman"/>
          <w:noProof/>
          <w:sz w:val="22"/>
        </w:rPr>
        <w:t>zejména</w:t>
      </w:r>
      <w:r w:rsidR="00D83A86" w:rsidRPr="00B175FB">
        <w:rPr>
          <w:rFonts w:eastAsia="Times New Roman"/>
          <w:noProof/>
          <w:sz w:val="22"/>
        </w:rPr>
        <w:t xml:space="preserve"> </w:t>
      </w:r>
      <w:r w:rsidR="00874B4D" w:rsidRPr="00B175FB">
        <w:rPr>
          <w:rFonts w:eastAsia="Times New Roman"/>
          <w:noProof/>
          <w:sz w:val="22"/>
        </w:rPr>
        <w:t xml:space="preserve">ne zcela vhodná </w:t>
      </w:r>
      <w:r w:rsidR="00D83A86" w:rsidRPr="00B175FB">
        <w:rPr>
          <w:rFonts w:eastAsia="Times New Roman"/>
          <w:noProof/>
          <w:sz w:val="22"/>
        </w:rPr>
        <w:t xml:space="preserve">volba studijního </w:t>
      </w:r>
      <w:r w:rsidR="00090745" w:rsidRPr="00B175FB">
        <w:rPr>
          <w:rFonts w:eastAsia="Times New Roman"/>
          <w:noProof/>
          <w:sz w:val="22"/>
        </w:rPr>
        <w:t xml:space="preserve">programu </w:t>
      </w:r>
      <w:r w:rsidR="00D83A86" w:rsidRPr="00B175FB">
        <w:rPr>
          <w:rFonts w:eastAsia="Times New Roman"/>
          <w:noProof/>
          <w:sz w:val="22"/>
        </w:rPr>
        <w:t xml:space="preserve">pramenící </w:t>
      </w:r>
      <w:r w:rsidR="00654648" w:rsidRPr="00B175FB">
        <w:rPr>
          <w:rFonts w:eastAsia="Times New Roman"/>
          <w:noProof/>
          <w:sz w:val="22"/>
        </w:rPr>
        <w:t xml:space="preserve">z </w:t>
      </w:r>
      <w:r w:rsidR="00874B4D" w:rsidRPr="00B175FB">
        <w:rPr>
          <w:rFonts w:eastAsia="Times New Roman"/>
          <w:noProof/>
          <w:sz w:val="22"/>
        </w:rPr>
        <w:t xml:space="preserve">nepřesné </w:t>
      </w:r>
      <w:r w:rsidR="00654648" w:rsidRPr="00B175FB">
        <w:rPr>
          <w:rFonts w:eastAsia="Times New Roman"/>
          <w:noProof/>
          <w:sz w:val="22"/>
        </w:rPr>
        <w:t xml:space="preserve">představy </w:t>
      </w:r>
      <w:r w:rsidR="00D83A86" w:rsidRPr="00B175FB">
        <w:rPr>
          <w:rFonts w:eastAsia="Times New Roman"/>
          <w:noProof/>
          <w:sz w:val="22"/>
        </w:rPr>
        <w:t>o</w:t>
      </w:r>
      <w:r w:rsidR="00047E65" w:rsidRPr="00B175FB">
        <w:rPr>
          <w:rFonts w:eastAsia="Times New Roman"/>
          <w:noProof/>
          <w:sz w:val="22"/>
        </w:rPr>
        <w:t> </w:t>
      </w:r>
      <w:r w:rsidR="00D83A86" w:rsidRPr="00B175FB">
        <w:rPr>
          <w:rFonts w:eastAsia="Times New Roman"/>
          <w:noProof/>
          <w:sz w:val="22"/>
        </w:rPr>
        <w:t>studiu</w:t>
      </w:r>
      <w:r w:rsidR="00654648" w:rsidRPr="00B175FB">
        <w:rPr>
          <w:rFonts w:eastAsia="Times New Roman"/>
          <w:noProof/>
          <w:sz w:val="22"/>
        </w:rPr>
        <w:t>, nedostatečné</w:t>
      </w:r>
      <w:r w:rsidR="00874B4D" w:rsidRPr="00B175FB">
        <w:rPr>
          <w:rFonts w:eastAsia="Times New Roman"/>
          <w:noProof/>
          <w:sz w:val="22"/>
        </w:rPr>
        <w:t xml:space="preserve"> </w:t>
      </w:r>
      <w:r w:rsidR="00697FF4" w:rsidRPr="00B175FB">
        <w:rPr>
          <w:rFonts w:eastAsia="Times New Roman"/>
          <w:noProof/>
          <w:sz w:val="22"/>
        </w:rPr>
        <w:t>prác</w:t>
      </w:r>
      <w:r w:rsidR="00170977" w:rsidRPr="00B175FB">
        <w:rPr>
          <w:rFonts w:eastAsia="Times New Roman"/>
          <w:noProof/>
          <w:sz w:val="22"/>
        </w:rPr>
        <w:t>e</w:t>
      </w:r>
      <w:r w:rsidR="00697FF4" w:rsidRPr="00B175FB">
        <w:rPr>
          <w:rFonts w:eastAsia="Times New Roman"/>
          <w:noProof/>
          <w:sz w:val="22"/>
        </w:rPr>
        <w:t xml:space="preserve"> </w:t>
      </w:r>
      <w:r w:rsidR="00D83A86" w:rsidRPr="00B175FB">
        <w:rPr>
          <w:rFonts w:eastAsia="Times New Roman"/>
          <w:noProof/>
          <w:sz w:val="22"/>
        </w:rPr>
        <w:t>se</w:t>
      </w:r>
      <w:r w:rsidR="0023560F" w:rsidRPr="00B175FB">
        <w:rPr>
          <w:rFonts w:eastAsia="Times New Roman"/>
          <w:noProof/>
          <w:sz w:val="22"/>
        </w:rPr>
        <w:t xml:space="preserve"> </w:t>
      </w:r>
      <w:r w:rsidR="00D83A86" w:rsidRPr="00B175FB">
        <w:rPr>
          <w:rFonts w:eastAsia="Times New Roman"/>
          <w:noProof/>
          <w:sz w:val="22"/>
        </w:rPr>
        <w:t xml:space="preserve">zájemci o studium </w:t>
      </w:r>
      <w:r w:rsidR="00874B4D" w:rsidRPr="00B175FB">
        <w:rPr>
          <w:rFonts w:eastAsia="Times New Roman"/>
          <w:noProof/>
          <w:sz w:val="22"/>
        </w:rPr>
        <w:t xml:space="preserve">a </w:t>
      </w:r>
      <w:r w:rsidR="00654648" w:rsidRPr="00B175FB">
        <w:rPr>
          <w:rFonts w:eastAsia="Times New Roman"/>
          <w:noProof/>
          <w:sz w:val="22"/>
        </w:rPr>
        <w:t xml:space="preserve">nedostatečné </w:t>
      </w:r>
      <w:r w:rsidR="00874B4D" w:rsidRPr="00B175FB">
        <w:rPr>
          <w:rFonts w:eastAsia="Times New Roman"/>
          <w:noProof/>
          <w:sz w:val="22"/>
        </w:rPr>
        <w:t>připravenost</w:t>
      </w:r>
      <w:r w:rsidR="00654648" w:rsidRPr="00B175FB">
        <w:rPr>
          <w:rFonts w:eastAsia="Times New Roman"/>
          <w:noProof/>
          <w:sz w:val="22"/>
        </w:rPr>
        <w:t>i</w:t>
      </w:r>
      <w:r w:rsidR="00874B4D" w:rsidRPr="00B175FB">
        <w:rPr>
          <w:rFonts w:eastAsia="Times New Roman"/>
          <w:noProof/>
          <w:sz w:val="22"/>
        </w:rPr>
        <w:t xml:space="preserve"> </w:t>
      </w:r>
      <w:r w:rsidR="00D83A86" w:rsidRPr="00B175FB">
        <w:rPr>
          <w:rFonts w:eastAsia="Times New Roman"/>
          <w:noProof/>
          <w:sz w:val="22"/>
        </w:rPr>
        <w:t>akademických a</w:t>
      </w:r>
      <w:r w:rsidR="00B26A49" w:rsidRPr="00B175FB">
        <w:rPr>
          <w:rFonts w:eastAsia="Times New Roman"/>
          <w:noProof/>
          <w:sz w:val="22"/>
        </w:rPr>
        <w:t> </w:t>
      </w:r>
      <w:r w:rsidR="00D83A86" w:rsidRPr="00B175FB">
        <w:rPr>
          <w:rFonts w:eastAsia="Times New Roman"/>
          <w:noProof/>
          <w:sz w:val="22"/>
        </w:rPr>
        <w:t>neakademických pracovníků</w:t>
      </w:r>
      <w:r w:rsidR="005E2472" w:rsidRPr="00B175FB">
        <w:rPr>
          <w:rFonts w:eastAsia="Times New Roman"/>
          <w:noProof/>
          <w:sz w:val="22"/>
        </w:rPr>
        <w:t xml:space="preserve"> pro práci se studenty ohrožený</w:t>
      </w:r>
      <w:r w:rsidR="00C670CA">
        <w:rPr>
          <w:rFonts w:eastAsia="Times New Roman"/>
          <w:noProof/>
          <w:sz w:val="22"/>
        </w:rPr>
        <w:t>mi</w:t>
      </w:r>
      <w:r w:rsidR="005E2472" w:rsidRPr="00B175FB">
        <w:rPr>
          <w:rFonts w:eastAsia="Times New Roman"/>
          <w:noProof/>
          <w:sz w:val="22"/>
        </w:rPr>
        <w:t xml:space="preserve"> neúspěchem</w:t>
      </w:r>
      <w:r w:rsidR="001B5FDF" w:rsidRPr="00B175FB">
        <w:rPr>
          <w:rFonts w:eastAsia="Times New Roman"/>
          <w:noProof/>
          <w:sz w:val="22"/>
        </w:rPr>
        <w:t>.</w:t>
      </w:r>
      <w:r w:rsidR="00AA3AB3" w:rsidRPr="00B175FB">
        <w:rPr>
          <w:rFonts w:eastAsia="Times New Roman"/>
          <w:noProof/>
          <w:sz w:val="22"/>
          <w:vertAlign w:val="superscript"/>
        </w:rPr>
        <w:footnoteReference w:id="12"/>
      </w:r>
      <w:r w:rsidR="00AA3AB3" w:rsidRPr="00B175FB">
        <w:rPr>
          <w:rFonts w:eastAsia="Times New Roman"/>
          <w:noProof/>
          <w:sz w:val="22"/>
        </w:rPr>
        <w:t xml:space="preserve"> </w:t>
      </w:r>
      <w:r w:rsidR="006C7EE8" w:rsidRPr="00B175FB">
        <w:rPr>
          <w:rFonts w:eastAsia="Times New Roman"/>
          <w:noProof/>
          <w:sz w:val="22"/>
        </w:rPr>
        <w:t xml:space="preserve">Velmi vysoká studijní neúspěšnost </w:t>
      </w:r>
      <w:r w:rsidR="002302F4" w:rsidRPr="00B175FB">
        <w:rPr>
          <w:rFonts w:eastAsia="Times New Roman"/>
          <w:noProof/>
          <w:sz w:val="22"/>
        </w:rPr>
        <w:t xml:space="preserve">způsobená </w:t>
      </w:r>
      <w:r w:rsidR="00DB4CC8" w:rsidRPr="00B175FB">
        <w:rPr>
          <w:rFonts w:eastAsia="Times New Roman"/>
          <w:noProof/>
          <w:sz w:val="22"/>
        </w:rPr>
        <w:t>do</w:t>
      </w:r>
      <w:r w:rsidR="00390BFB" w:rsidRPr="00B175FB">
        <w:rPr>
          <w:rFonts w:eastAsia="Times New Roman"/>
          <w:noProof/>
          <w:sz w:val="22"/>
        </w:rPr>
        <w:t> </w:t>
      </w:r>
      <w:r w:rsidR="00DB4CC8" w:rsidRPr="00B175FB">
        <w:rPr>
          <w:rFonts w:eastAsia="Times New Roman"/>
          <w:noProof/>
          <w:sz w:val="22"/>
        </w:rPr>
        <w:t>značné míry</w:t>
      </w:r>
      <w:r w:rsidR="002302F4" w:rsidRPr="00B175FB">
        <w:rPr>
          <w:rFonts w:eastAsia="Times New Roman"/>
          <w:noProof/>
          <w:sz w:val="22"/>
        </w:rPr>
        <w:t xml:space="preserve"> ekonomickými faktory</w:t>
      </w:r>
      <w:r w:rsidR="006C7EE8" w:rsidRPr="00B175FB">
        <w:rPr>
          <w:rFonts w:eastAsia="Times New Roman"/>
          <w:noProof/>
          <w:sz w:val="22"/>
        </w:rPr>
        <w:t xml:space="preserve"> se </w:t>
      </w:r>
      <w:r w:rsidR="002302F4" w:rsidRPr="00B175FB">
        <w:rPr>
          <w:rFonts w:eastAsia="Times New Roman"/>
          <w:noProof/>
          <w:sz w:val="22"/>
        </w:rPr>
        <w:t xml:space="preserve">projevuje </w:t>
      </w:r>
      <w:r w:rsidR="006C7EE8" w:rsidRPr="00B175FB">
        <w:rPr>
          <w:rFonts w:eastAsia="Times New Roman"/>
          <w:noProof/>
          <w:sz w:val="22"/>
        </w:rPr>
        <w:t>také u postgraduálního studia.</w:t>
      </w:r>
    </w:p>
    <w:p w:rsidR="00A113E7" w:rsidRPr="00B175FB" w:rsidRDefault="00133D8A" w:rsidP="00240BA0">
      <w:pPr>
        <w:spacing w:line="276" w:lineRule="auto"/>
        <w:jc w:val="both"/>
        <w:rPr>
          <w:rFonts w:eastAsia="Times New Roman"/>
          <w:noProof/>
          <w:sz w:val="22"/>
        </w:rPr>
      </w:pPr>
      <w:r w:rsidRPr="00B175FB">
        <w:rPr>
          <w:rFonts w:eastAsia="Times New Roman"/>
          <w:noProof/>
          <w:sz w:val="22"/>
        </w:rPr>
        <w:t xml:space="preserve">Nerovnosti se projevují </w:t>
      </w:r>
      <w:r w:rsidR="00C81188" w:rsidRPr="00B175FB">
        <w:rPr>
          <w:rFonts w:eastAsia="Times New Roman"/>
          <w:noProof/>
          <w:sz w:val="22"/>
        </w:rPr>
        <w:t>i</w:t>
      </w:r>
      <w:r w:rsidRPr="00B175FB">
        <w:rPr>
          <w:rFonts w:eastAsia="Times New Roman"/>
          <w:noProof/>
          <w:sz w:val="22"/>
        </w:rPr>
        <w:t xml:space="preserve"> </w:t>
      </w:r>
      <w:r w:rsidR="00DF163B" w:rsidRPr="00B175FB">
        <w:rPr>
          <w:rFonts w:eastAsia="Times New Roman"/>
          <w:noProof/>
          <w:sz w:val="22"/>
        </w:rPr>
        <w:t>v</w:t>
      </w:r>
      <w:r w:rsidRPr="00B175FB">
        <w:rPr>
          <w:rFonts w:eastAsia="Times New Roman"/>
          <w:noProof/>
          <w:sz w:val="22"/>
        </w:rPr>
        <w:t xml:space="preserve"> </w:t>
      </w:r>
      <w:r w:rsidR="00C81188" w:rsidRPr="00B175FB">
        <w:rPr>
          <w:rFonts w:eastAsia="Times New Roman"/>
          <w:noProof/>
          <w:sz w:val="22"/>
        </w:rPr>
        <w:t>rozdílných podmínkách</w:t>
      </w:r>
      <w:r w:rsidR="00951908" w:rsidRPr="00B175FB">
        <w:rPr>
          <w:rFonts w:eastAsia="Times New Roman"/>
          <w:noProof/>
          <w:sz w:val="22"/>
        </w:rPr>
        <w:t>,</w:t>
      </w:r>
      <w:r w:rsidR="00C81188" w:rsidRPr="00B175FB">
        <w:rPr>
          <w:rFonts w:eastAsia="Times New Roman"/>
          <w:noProof/>
          <w:sz w:val="22"/>
        </w:rPr>
        <w:t xml:space="preserve"> ve kterých je vzdělávání poskytováno.</w:t>
      </w:r>
      <w:r w:rsidRPr="00B175FB">
        <w:rPr>
          <w:rFonts w:eastAsia="Times New Roman"/>
          <w:noProof/>
          <w:sz w:val="22"/>
        </w:rPr>
        <w:t xml:space="preserve"> Nezanedbatelná část škol se potýká s </w:t>
      </w:r>
      <w:r w:rsidR="00C75118" w:rsidRPr="00B175FB">
        <w:rPr>
          <w:rFonts w:eastAsia="Times New Roman"/>
          <w:noProof/>
          <w:sz w:val="22"/>
        </w:rPr>
        <w:t>nedostatečným</w:t>
      </w:r>
      <w:r w:rsidR="00991DC1" w:rsidRPr="00B175FB">
        <w:rPr>
          <w:rFonts w:eastAsia="Times New Roman"/>
          <w:noProof/>
          <w:sz w:val="22"/>
        </w:rPr>
        <w:t xml:space="preserve"> </w:t>
      </w:r>
      <w:r w:rsidRPr="00B175FB">
        <w:rPr>
          <w:rFonts w:eastAsia="Times New Roman"/>
          <w:noProof/>
          <w:sz w:val="22"/>
        </w:rPr>
        <w:t>vybavení</w:t>
      </w:r>
      <w:r w:rsidR="00C75118" w:rsidRPr="00B175FB">
        <w:rPr>
          <w:rFonts w:eastAsia="Times New Roman"/>
          <w:noProof/>
          <w:sz w:val="22"/>
        </w:rPr>
        <w:t>m</w:t>
      </w:r>
      <w:r w:rsidRPr="00B175FB">
        <w:rPr>
          <w:rFonts w:eastAsia="Times New Roman"/>
          <w:noProof/>
          <w:sz w:val="22"/>
        </w:rPr>
        <w:t xml:space="preserve"> </w:t>
      </w:r>
      <w:r w:rsidR="00B26A49" w:rsidRPr="00B175FB">
        <w:rPr>
          <w:rFonts w:eastAsia="Times New Roman"/>
          <w:noProof/>
          <w:sz w:val="22"/>
        </w:rPr>
        <w:t>informačními a komunikačními techn</w:t>
      </w:r>
      <w:r w:rsidR="00373816" w:rsidRPr="00B175FB">
        <w:rPr>
          <w:rFonts w:eastAsia="Times New Roman"/>
          <w:noProof/>
          <w:sz w:val="22"/>
        </w:rPr>
        <w:t>o</w:t>
      </w:r>
      <w:r w:rsidR="00B26A49" w:rsidRPr="00B175FB">
        <w:rPr>
          <w:rFonts w:eastAsia="Times New Roman"/>
          <w:noProof/>
          <w:sz w:val="22"/>
        </w:rPr>
        <w:t>logiemi</w:t>
      </w:r>
      <w:r w:rsidR="00047E65" w:rsidRPr="00B175FB">
        <w:rPr>
          <w:rFonts w:eastAsia="Times New Roman"/>
          <w:noProof/>
          <w:sz w:val="22"/>
        </w:rPr>
        <w:t xml:space="preserve"> </w:t>
      </w:r>
      <w:r w:rsidRPr="00B175FB">
        <w:rPr>
          <w:rFonts w:eastAsia="Times New Roman"/>
          <w:sz w:val="22"/>
        </w:rPr>
        <w:t>neodpovídající</w:t>
      </w:r>
      <w:r w:rsidR="006F4C2D" w:rsidRPr="00B175FB">
        <w:rPr>
          <w:rFonts w:eastAsia="Times New Roman"/>
          <w:sz w:val="22"/>
        </w:rPr>
        <w:t>m</w:t>
      </w:r>
      <w:r w:rsidR="009B7F34">
        <w:rPr>
          <w:rFonts w:eastAsia="Times New Roman"/>
          <w:sz w:val="22"/>
        </w:rPr>
        <w:t>i</w:t>
      </w:r>
      <w:r w:rsidRPr="00B175FB">
        <w:rPr>
          <w:rFonts w:eastAsia="Times New Roman"/>
          <w:noProof/>
          <w:sz w:val="22"/>
        </w:rPr>
        <w:t xml:space="preserve"> současným potřebám výuky. </w:t>
      </w:r>
      <w:r w:rsidR="00942DA0" w:rsidRPr="00B175FB">
        <w:rPr>
          <w:rFonts w:eastAsia="Times New Roman"/>
          <w:noProof/>
          <w:sz w:val="22"/>
        </w:rPr>
        <w:t>Podpora</w:t>
      </w:r>
      <w:r w:rsidRPr="00B175FB">
        <w:rPr>
          <w:rFonts w:eastAsia="Times New Roman"/>
          <w:noProof/>
          <w:sz w:val="22"/>
        </w:rPr>
        <w:t xml:space="preserve"> </w:t>
      </w:r>
      <w:r w:rsidR="00942DA0" w:rsidRPr="00B175FB">
        <w:rPr>
          <w:rFonts w:eastAsia="Times New Roman"/>
          <w:noProof/>
          <w:sz w:val="22"/>
        </w:rPr>
        <w:t>je</w:t>
      </w:r>
      <w:r w:rsidRPr="00B175FB">
        <w:rPr>
          <w:rFonts w:eastAsia="Times New Roman"/>
          <w:noProof/>
          <w:sz w:val="22"/>
        </w:rPr>
        <w:t xml:space="preserve"> v tomto ohledu nezbytn</w:t>
      </w:r>
      <w:r w:rsidR="00942DA0" w:rsidRPr="00B175FB">
        <w:rPr>
          <w:rFonts w:eastAsia="Times New Roman"/>
          <w:noProof/>
          <w:sz w:val="22"/>
        </w:rPr>
        <w:t>á</w:t>
      </w:r>
      <w:r w:rsidRPr="00B175FB">
        <w:rPr>
          <w:rFonts w:eastAsia="Times New Roman"/>
          <w:noProof/>
          <w:sz w:val="22"/>
        </w:rPr>
        <w:t xml:space="preserve"> </w:t>
      </w:r>
      <w:r w:rsidR="00C75118" w:rsidRPr="00B175FB">
        <w:rPr>
          <w:rFonts w:eastAsia="Times New Roman"/>
          <w:noProof/>
          <w:sz w:val="22"/>
        </w:rPr>
        <w:t>zejména</w:t>
      </w:r>
      <w:r w:rsidRPr="00B175FB">
        <w:rPr>
          <w:rFonts w:eastAsia="Times New Roman"/>
          <w:noProof/>
          <w:sz w:val="22"/>
        </w:rPr>
        <w:t xml:space="preserve"> v oblasti modernizace </w:t>
      </w:r>
      <w:r w:rsidR="00942DA0" w:rsidRPr="00B175FB">
        <w:rPr>
          <w:rFonts w:eastAsia="Times New Roman"/>
          <w:noProof/>
          <w:sz w:val="22"/>
        </w:rPr>
        <w:t xml:space="preserve">a správy </w:t>
      </w:r>
      <w:r w:rsidRPr="00B175FB">
        <w:rPr>
          <w:rFonts w:eastAsia="Times New Roman"/>
          <w:noProof/>
          <w:sz w:val="22"/>
        </w:rPr>
        <w:t xml:space="preserve">vybavení </w:t>
      </w:r>
      <w:r w:rsidR="00A60539" w:rsidRPr="00B175FB">
        <w:rPr>
          <w:rFonts w:eastAsia="Times New Roman"/>
          <w:sz w:val="22"/>
        </w:rPr>
        <w:t>regionálního školství</w:t>
      </w:r>
      <w:r w:rsidRPr="00B175FB">
        <w:rPr>
          <w:rFonts w:eastAsia="Times New Roman"/>
          <w:noProof/>
          <w:sz w:val="22"/>
        </w:rPr>
        <w:t xml:space="preserve"> za účelem snížení nerovností mezi jednotlivými školami a v kontextu tlaku na růst kvality vzdělávání napříč </w:t>
      </w:r>
      <w:r w:rsidR="00C75118" w:rsidRPr="00B175FB">
        <w:rPr>
          <w:rFonts w:eastAsia="Times New Roman"/>
          <w:noProof/>
          <w:sz w:val="22"/>
        </w:rPr>
        <w:t xml:space="preserve">vzdělávací </w:t>
      </w:r>
      <w:r w:rsidRPr="00B175FB">
        <w:rPr>
          <w:rFonts w:eastAsia="Times New Roman"/>
          <w:noProof/>
          <w:sz w:val="22"/>
        </w:rPr>
        <w:t>soustavou a regiony</w:t>
      </w:r>
      <w:r w:rsidR="001B5FDF" w:rsidRPr="00B175FB">
        <w:rPr>
          <w:rFonts w:eastAsia="Times New Roman"/>
          <w:noProof/>
          <w:sz w:val="22"/>
        </w:rPr>
        <w:t>.</w:t>
      </w:r>
      <w:r w:rsidR="000B5E63" w:rsidRPr="00B175FB">
        <w:rPr>
          <w:rFonts w:eastAsia="Times New Roman"/>
          <w:noProof/>
          <w:sz w:val="22"/>
          <w:vertAlign w:val="superscript"/>
        </w:rPr>
        <w:footnoteReference w:id="13"/>
      </w:r>
      <w:r w:rsidR="000B5E63" w:rsidRPr="00B175FB">
        <w:rPr>
          <w:rFonts w:eastAsia="Times New Roman"/>
          <w:noProof/>
          <w:sz w:val="22"/>
        </w:rPr>
        <w:t xml:space="preserve"> </w:t>
      </w:r>
      <w:r w:rsidR="00A60539" w:rsidRPr="00B175FB">
        <w:rPr>
          <w:rFonts w:eastAsia="Times New Roman"/>
          <w:sz w:val="22"/>
        </w:rPr>
        <w:t>Di</w:t>
      </w:r>
      <w:r w:rsidRPr="00B175FB">
        <w:rPr>
          <w:rFonts w:eastAsia="Times New Roman"/>
          <w:sz w:val="22"/>
        </w:rPr>
        <w:t>sparity</w:t>
      </w:r>
      <w:r w:rsidRPr="00B175FB">
        <w:rPr>
          <w:rFonts w:eastAsia="Times New Roman"/>
          <w:noProof/>
          <w:sz w:val="22"/>
        </w:rPr>
        <w:t xml:space="preserve"> se projevují i</w:t>
      </w:r>
      <w:r w:rsidR="00B26A49" w:rsidRPr="00B175FB">
        <w:rPr>
          <w:rFonts w:eastAsia="Times New Roman"/>
          <w:noProof/>
          <w:sz w:val="22"/>
        </w:rPr>
        <w:t> </w:t>
      </w:r>
      <w:r w:rsidRPr="00B175FB">
        <w:rPr>
          <w:rFonts w:eastAsia="Times New Roman"/>
          <w:noProof/>
          <w:sz w:val="22"/>
        </w:rPr>
        <w:t>v</w:t>
      </w:r>
      <w:r w:rsidR="009D1797" w:rsidRPr="00B175FB">
        <w:rPr>
          <w:rFonts w:eastAsia="Times New Roman"/>
          <w:noProof/>
          <w:sz w:val="22"/>
        </w:rPr>
        <w:t xml:space="preserve"> dostupnosti, nabídce a kvalitě </w:t>
      </w:r>
      <w:r w:rsidR="00AF72DA" w:rsidRPr="00B175FB">
        <w:rPr>
          <w:rFonts w:eastAsia="Times New Roman"/>
          <w:noProof/>
          <w:sz w:val="22"/>
        </w:rPr>
        <w:t>zájmové</w:t>
      </w:r>
      <w:r w:rsidR="009D1797" w:rsidRPr="00B175FB">
        <w:rPr>
          <w:rFonts w:eastAsia="Times New Roman"/>
          <w:noProof/>
          <w:sz w:val="22"/>
        </w:rPr>
        <w:t>ho</w:t>
      </w:r>
      <w:r w:rsidR="00AF72DA" w:rsidRPr="00B175FB">
        <w:rPr>
          <w:rFonts w:eastAsia="Times New Roman"/>
          <w:noProof/>
          <w:sz w:val="22"/>
        </w:rPr>
        <w:t xml:space="preserve"> vzdělávání.</w:t>
      </w:r>
      <w:r w:rsidR="00AE53CA" w:rsidRPr="00B175FB">
        <w:rPr>
          <w:rFonts w:eastAsia="Times New Roman"/>
          <w:noProof/>
          <w:sz w:val="22"/>
        </w:rPr>
        <w:t xml:space="preserve"> </w:t>
      </w:r>
    </w:p>
    <w:p w:rsidR="00133D8A" w:rsidRPr="00B175FB" w:rsidRDefault="00AE53CA" w:rsidP="00C11FEF">
      <w:pPr>
        <w:spacing w:line="276" w:lineRule="auto"/>
        <w:jc w:val="both"/>
        <w:rPr>
          <w:rFonts w:eastAsia="Times New Roman"/>
          <w:noProof/>
          <w:sz w:val="22"/>
        </w:rPr>
      </w:pPr>
      <w:r w:rsidRPr="00B175FB">
        <w:rPr>
          <w:rFonts w:eastAsia="Times New Roman"/>
          <w:noProof/>
          <w:sz w:val="22"/>
        </w:rPr>
        <w:t xml:space="preserve">Vysoké školství se potýká se stále nedostatečnou infrastrukturní základnou a </w:t>
      </w:r>
      <w:r w:rsidR="00B57AAB" w:rsidRPr="00B175FB">
        <w:rPr>
          <w:rFonts w:eastAsia="Times New Roman"/>
          <w:noProof/>
          <w:sz w:val="22"/>
        </w:rPr>
        <w:t xml:space="preserve">neoptimálním </w:t>
      </w:r>
      <w:r w:rsidRPr="00B175FB">
        <w:rPr>
          <w:rFonts w:eastAsia="Times New Roman"/>
          <w:noProof/>
          <w:sz w:val="22"/>
        </w:rPr>
        <w:t xml:space="preserve">stavem vybavení potřebného pro </w:t>
      </w:r>
      <w:r w:rsidR="00B57AAB" w:rsidRPr="00B175FB">
        <w:rPr>
          <w:rFonts w:eastAsia="Times New Roman"/>
          <w:noProof/>
          <w:sz w:val="22"/>
        </w:rPr>
        <w:t xml:space="preserve">zajištění </w:t>
      </w:r>
      <w:r w:rsidRPr="00B175FB">
        <w:rPr>
          <w:rFonts w:eastAsia="Times New Roman"/>
          <w:noProof/>
          <w:sz w:val="22"/>
        </w:rPr>
        <w:t>kvalitních podmínek pro studium v době rychle se vyvíjejících technologií</w:t>
      </w:r>
      <w:r w:rsidR="003951D3" w:rsidRPr="00B175FB">
        <w:rPr>
          <w:rFonts w:eastAsia="Times New Roman"/>
          <w:noProof/>
          <w:sz w:val="22"/>
        </w:rPr>
        <w:t xml:space="preserve">. Důvodem </w:t>
      </w:r>
      <w:r w:rsidR="003B3930" w:rsidRPr="00B175FB">
        <w:rPr>
          <w:rFonts w:eastAsia="Times New Roman"/>
          <w:noProof/>
          <w:sz w:val="22"/>
        </w:rPr>
        <w:t xml:space="preserve">je </w:t>
      </w:r>
      <w:r w:rsidR="00CC1A46" w:rsidRPr="00B175FB">
        <w:rPr>
          <w:rFonts w:eastAsia="Times New Roman"/>
          <w:noProof/>
          <w:sz w:val="22"/>
        </w:rPr>
        <w:t xml:space="preserve">zejména </w:t>
      </w:r>
      <w:r w:rsidR="003951D3" w:rsidRPr="00B175FB">
        <w:rPr>
          <w:rFonts w:eastAsia="Times New Roman"/>
          <w:noProof/>
          <w:sz w:val="22"/>
        </w:rPr>
        <w:t>dlouhodobé podfinancování této oblasti</w:t>
      </w:r>
      <w:r w:rsidR="00632073" w:rsidRPr="00B175FB">
        <w:rPr>
          <w:rFonts w:eastAsia="Times New Roman"/>
          <w:noProof/>
          <w:sz w:val="22"/>
        </w:rPr>
        <w:t xml:space="preserve"> i rozdíly v míře investic v hlavním městě Praze a</w:t>
      </w:r>
      <w:r w:rsidR="00D6696E" w:rsidRPr="00B175FB">
        <w:rPr>
          <w:rFonts w:eastAsia="Times New Roman"/>
          <w:noProof/>
          <w:sz w:val="22"/>
        </w:rPr>
        <w:t> </w:t>
      </w:r>
      <w:r w:rsidR="00632073" w:rsidRPr="00B175FB">
        <w:rPr>
          <w:rFonts w:eastAsia="Times New Roman"/>
          <w:noProof/>
          <w:sz w:val="22"/>
        </w:rPr>
        <w:t>v ostatních regionech v programovém období 2007</w:t>
      </w:r>
      <w:r w:rsidR="009B7F34">
        <w:rPr>
          <w:rFonts w:eastAsia="Times New Roman"/>
          <w:noProof/>
          <w:sz w:val="22"/>
        </w:rPr>
        <w:t>-</w:t>
      </w:r>
      <w:r w:rsidR="00632073" w:rsidRPr="00B175FB">
        <w:rPr>
          <w:rFonts w:eastAsia="Times New Roman"/>
          <w:noProof/>
          <w:sz w:val="22"/>
        </w:rPr>
        <w:t>2013</w:t>
      </w:r>
      <w:r w:rsidR="003951D3" w:rsidRPr="00B175FB">
        <w:rPr>
          <w:rFonts w:eastAsia="Times New Roman"/>
          <w:noProof/>
          <w:sz w:val="22"/>
        </w:rPr>
        <w:t xml:space="preserve">. </w:t>
      </w:r>
      <w:r w:rsidRPr="00B175FB">
        <w:rPr>
          <w:rFonts w:eastAsia="Times New Roman"/>
          <w:noProof/>
          <w:sz w:val="22"/>
        </w:rPr>
        <w:t xml:space="preserve">Byť v posledních letech dochází k výrazným investicím, rozvoj nových technologií a forem výuky vyžaduje i nadále tuto oblast </w:t>
      </w:r>
      <w:r w:rsidR="00CC1A46" w:rsidRPr="00B175FB">
        <w:rPr>
          <w:rFonts w:eastAsia="Times New Roman"/>
          <w:noProof/>
          <w:sz w:val="22"/>
        </w:rPr>
        <w:t xml:space="preserve">výrazně </w:t>
      </w:r>
      <w:r w:rsidRPr="00B175FB">
        <w:rPr>
          <w:rFonts w:eastAsia="Times New Roman"/>
          <w:noProof/>
          <w:sz w:val="22"/>
        </w:rPr>
        <w:t>podporovat</w:t>
      </w:r>
      <w:r w:rsidR="00B95B3F" w:rsidRPr="00B175FB">
        <w:rPr>
          <w:rFonts w:eastAsia="Times New Roman"/>
          <w:noProof/>
          <w:sz w:val="22"/>
        </w:rPr>
        <w:t xml:space="preserve"> a také navazovat na již </w:t>
      </w:r>
      <w:r w:rsidR="00C91FB1" w:rsidRPr="00B175FB">
        <w:rPr>
          <w:rFonts w:eastAsia="Times New Roman"/>
          <w:noProof/>
          <w:sz w:val="22"/>
        </w:rPr>
        <w:t xml:space="preserve">realizované </w:t>
      </w:r>
      <w:r w:rsidR="00B95B3F" w:rsidRPr="00B175FB">
        <w:rPr>
          <w:rFonts w:eastAsia="Times New Roman"/>
          <w:noProof/>
          <w:sz w:val="22"/>
        </w:rPr>
        <w:t>intervence z minulých programových období</w:t>
      </w:r>
      <w:r w:rsidRPr="00B175FB">
        <w:rPr>
          <w:rFonts w:eastAsia="Times New Roman"/>
          <w:noProof/>
          <w:sz w:val="22"/>
        </w:rPr>
        <w:t xml:space="preserve">. </w:t>
      </w:r>
      <w:r w:rsidR="00BF435E" w:rsidRPr="00B175FB">
        <w:rPr>
          <w:rFonts w:eastAsia="Times New Roman"/>
          <w:noProof/>
          <w:sz w:val="22"/>
        </w:rPr>
        <w:t>Zároveň</w:t>
      </w:r>
      <w:r w:rsidR="003951D3" w:rsidRPr="00B175FB">
        <w:rPr>
          <w:rFonts w:eastAsia="Times New Roman"/>
          <w:noProof/>
          <w:sz w:val="22"/>
        </w:rPr>
        <w:t xml:space="preserve"> </w:t>
      </w:r>
      <w:r w:rsidR="00637BFD" w:rsidRPr="00B175FB">
        <w:rPr>
          <w:rFonts w:eastAsia="Times New Roman"/>
          <w:noProof/>
          <w:sz w:val="22"/>
        </w:rPr>
        <w:t>není</w:t>
      </w:r>
      <w:r w:rsidR="003951D3" w:rsidRPr="00B175FB">
        <w:rPr>
          <w:rFonts w:eastAsia="Times New Roman"/>
          <w:noProof/>
          <w:sz w:val="22"/>
        </w:rPr>
        <w:t xml:space="preserve"> na mnohých </w:t>
      </w:r>
      <w:r w:rsidR="00B26A49" w:rsidRPr="00B175FB">
        <w:rPr>
          <w:rFonts w:eastAsia="Times New Roman"/>
          <w:noProof/>
          <w:sz w:val="22"/>
        </w:rPr>
        <w:t>VŠ</w:t>
      </w:r>
      <w:r w:rsidR="003951D3" w:rsidRPr="00B175FB">
        <w:rPr>
          <w:rFonts w:eastAsia="Times New Roman"/>
          <w:noProof/>
          <w:sz w:val="22"/>
        </w:rPr>
        <w:t xml:space="preserve"> stále dostatečné vybavení, které by umožnilo studium a dodalo potřebnou motivaci ke studiu studentům se</w:t>
      </w:r>
      <w:r w:rsidR="00854768" w:rsidRPr="00B175FB">
        <w:rPr>
          <w:rFonts w:eastAsia="Times New Roman"/>
          <w:noProof/>
          <w:sz w:val="22"/>
        </w:rPr>
        <w:t> </w:t>
      </w:r>
      <w:r w:rsidR="00047E65" w:rsidRPr="00B175FB">
        <w:rPr>
          <w:rFonts w:eastAsia="Times New Roman"/>
          <w:noProof/>
          <w:sz w:val="22"/>
        </w:rPr>
        <w:t>SP</w:t>
      </w:r>
      <w:r w:rsidR="003951D3" w:rsidRPr="00B175FB">
        <w:rPr>
          <w:rFonts w:eastAsia="Times New Roman"/>
          <w:noProof/>
          <w:sz w:val="22"/>
        </w:rPr>
        <w:t>, a</w:t>
      </w:r>
      <w:r w:rsidR="00047E65" w:rsidRPr="00B175FB">
        <w:rPr>
          <w:rFonts w:eastAsia="Times New Roman"/>
          <w:noProof/>
          <w:sz w:val="22"/>
        </w:rPr>
        <w:t> </w:t>
      </w:r>
      <w:r w:rsidR="003951D3" w:rsidRPr="00B175FB">
        <w:rPr>
          <w:rFonts w:eastAsia="Times New Roman"/>
          <w:noProof/>
          <w:sz w:val="22"/>
        </w:rPr>
        <w:t>to</w:t>
      </w:r>
      <w:r w:rsidR="00047E65" w:rsidRPr="00B175FB">
        <w:rPr>
          <w:rFonts w:eastAsia="Times New Roman"/>
          <w:noProof/>
          <w:sz w:val="22"/>
        </w:rPr>
        <w:t> </w:t>
      </w:r>
      <w:r w:rsidR="003951D3" w:rsidRPr="00B175FB">
        <w:rPr>
          <w:rFonts w:eastAsia="Times New Roman"/>
          <w:noProof/>
          <w:sz w:val="22"/>
        </w:rPr>
        <w:t>jak studentům se zdravotním omezením, tak studentům z</w:t>
      </w:r>
      <w:r w:rsidR="00507C88" w:rsidRPr="00B175FB">
        <w:rPr>
          <w:rFonts w:eastAsia="Times New Roman"/>
          <w:noProof/>
          <w:sz w:val="22"/>
        </w:rPr>
        <w:t> </w:t>
      </w:r>
      <w:r w:rsidR="003951D3" w:rsidRPr="00B175FB">
        <w:rPr>
          <w:rFonts w:eastAsia="Times New Roman"/>
          <w:noProof/>
          <w:sz w:val="22"/>
        </w:rPr>
        <w:t>ekonomicky a</w:t>
      </w:r>
      <w:r w:rsidR="00854768" w:rsidRPr="00B175FB">
        <w:rPr>
          <w:rFonts w:eastAsia="Times New Roman"/>
          <w:noProof/>
          <w:sz w:val="22"/>
        </w:rPr>
        <w:t> </w:t>
      </w:r>
      <w:r w:rsidR="003951D3" w:rsidRPr="00B175FB">
        <w:rPr>
          <w:rFonts w:eastAsia="Times New Roman"/>
          <w:noProof/>
          <w:sz w:val="22"/>
        </w:rPr>
        <w:t>sociálně znevýhod</w:t>
      </w:r>
      <w:r w:rsidR="00425CD3" w:rsidRPr="00B175FB">
        <w:rPr>
          <w:rFonts w:eastAsia="Times New Roman"/>
          <w:noProof/>
          <w:sz w:val="22"/>
        </w:rPr>
        <w:t>ňujícího</w:t>
      </w:r>
      <w:r w:rsidR="003951D3" w:rsidRPr="00B175FB">
        <w:rPr>
          <w:rFonts w:eastAsia="Times New Roman"/>
          <w:noProof/>
          <w:sz w:val="22"/>
        </w:rPr>
        <w:t xml:space="preserve"> prostředí. </w:t>
      </w:r>
    </w:p>
    <w:p w:rsidR="00BF3625" w:rsidRDefault="00BF3625" w:rsidP="00240BA0">
      <w:pPr>
        <w:spacing w:line="276" w:lineRule="auto"/>
        <w:jc w:val="both"/>
        <w:rPr>
          <w:rFonts w:eastAsia="Times New Roman"/>
          <w:noProof/>
          <w:sz w:val="22"/>
        </w:rPr>
      </w:pPr>
      <w:r w:rsidRPr="00B175FB">
        <w:rPr>
          <w:rFonts w:eastAsia="Times New Roman"/>
          <w:noProof/>
          <w:sz w:val="22"/>
          <w:lang w:eastAsia="cs-CZ"/>
        </w:rPr>
        <mc:AlternateContent>
          <mc:Choice Requires="wps">
            <w:drawing>
              <wp:inline distT="0" distB="0" distL="0" distR="0" wp14:anchorId="24263E65" wp14:editId="1951E7A0">
                <wp:extent cx="6121021" cy="1404620"/>
                <wp:effectExtent l="0" t="0" r="13335" b="21590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021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05FC" w:rsidRPr="00D51B61" w:rsidRDefault="00E505FC" w:rsidP="005746F9">
                            <w:pPr>
                              <w:spacing w:line="276" w:lineRule="auto"/>
                              <w:rPr>
                                <w:rFonts w:eastAsia="Times New Roman"/>
                                <w:b/>
                                <w:sz w:val="22"/>
                              </w:rPr>
                            </w:pPr>
                            <w:r w:rsidRPr="00D51B61">
                              <w:rPr>
                                <w:rFonts w:eastAsia="Times New Roman"/>
                                <w:b/>
                                <w:sz w:val="22"/>
                              </w:rPr>
                              <w:t>OP JAK přispěje ke snížení vzdělanostních nerovností, k maximalizaci rozvoje potenciálu každého jednotlivce a ke snížení studijní neúspěšnosti</w:t>
                            </w:r>
                            <w:r>
                              <w:rPr>
                                <w:rFonts w:eastAsia="Times New Roman"/>
                                <w:b/>
                                <w:sz w:val="22"/>
                              </w:rPr>
                              <w:t xml:space="preserve"> s cílem:</w:t>
                            </w:r>
                          </w:p>
                          <w:p w:rsidR="00E505FC" w:rsidRPr="00D51B61" w:rsidRDefault="00E505FC" w:rsidP="006A2F6A">
                            <w:pPr>
                              <w:pStyle w:val="Odstavecseseznamem"/>
                              <w:numPr>
                                <w:ilvl w:val="0"/>
                                <w:numId w:val="59"/>
                              </w:numPr>
                              <w:spacing w:line="276" w:lineRule="auto"/>
                              <w:jc w:val="both"/>
                              <w:rPr>
                                <w:rFonts w:eastAsia="Times New Roman" w:cs="Times New Roman"/>
                                <w:sz w:val="22"/>
                              </w:rPr>
                            </w:pPr>
                            <w:r w:rsidRPr="00D51B61">
                              <w:rPr>
                                <w:rFonts w:eastAsia="Times New Roman" w:cs="Times New Roman"/>
                                <w:sz w:val="22"/>
                              </w:rPr>
                              <w:t>Snížit vzdělanostní nerovnosti a zvýšit spravedlnost v přístupu ke vzdělání se zaměřením na</w:t>
                            </w:r>
                            <w:r>
                              <w:rPr>
                                <w:rFonts w:eastAsia="Times New Roman" w:cs="Times New Roman"/>
                                <w:sz w:val="22"/>
                              </w:rPr>
                              <w:t> </w:t>
                            </w:r>
                            <w:r w:rsidRPr="00D51B61">
                              <w:rPr>
                                <w:rFonts w:eastAsia="Times New Roman" w:cs="Times New Roman"/>
                                <w:sz w:val="22"/>
                              </w:rPr>
                              <w:t>spravedlivé a rovné šance a přístup ke kvalitnímu vzdělání všech dětí, žáků a studentů.</w:t>
                            </w:r>
                          </w:p>
                          <w:p w:rsidR="00E505FC" w:rsidRPr="00D51B61" w:rsidRDefault="00E505FC" w:rsidP="006A2F6A">
                            <w:pPr>
                              <w:pStyle w:val="Odstavecseseznamem"/>
                              <w:numPr>
                                <w:ilvl w:val="1"/>
                                <w:numId w:val="59"/>
                              </w:numPr>
                              <w:spacing w:line="276" w:lineRule="auto"/>
                              <w:jc w:val="both"/>
                              <w:rPr>
                                <w:rFonts w:eastAsia="Times New Roman" w:cs="Times New Roman"/>
                                <w:sz w:val="22"/>
                              </w:rPr>
                            </w:pPr>
                            <w:r w:rsidRPr="00D51B61"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Snížení </w:t>
                            </w:r>
                            <w:r>
                              <w:rPr>
                                <w:rFonts w:eastAsia="Times New Roman" w:cs="Times New Roman"/>
                                <w:sz w:val="22"/>
                              </w:rPr>
                              <w:t>regionální</w:t>
                            </w:r>
                            <w:r w:rsidRPr="00D51B61"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 i vnitro</w:t>
                            </w:r>
                            <w:r>
                              <w:rPr>
                                <w:rFonts w:eastAsia="Times New Roman" w:cs="Times New Roman"/>
                                <w:sz w:val="22"/>
                              </w:rPr>
                              <w:t>regionální</w:t>
                            </w:r>
                            <w:r w:rsidRPr="00D51B61"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 diferenciace kvality vzdělávací soustavy.</w:t>
                            </w:r>
                          </w:p>
                          <w:p w:rsidR="00E505FC" w:rsidRPr="00D51B61" w:rsidRDefault="00E505FC" w:rsidP="006A2F6A">
                            <w:pPr>
                              <w:pStyle w:val="Odstavecseseznamem"/>
                              <w:numPr>
                                <w:ilvl w:val="1"/>
                                <w:numId w:val="59"/>
                              </w:numPr>
                              <w:spacing w:line="276" w:lineRule="auto"/>
                              <w:jc w:val="both"/>
                              <w:rPr>
                                <w:rFonts w:eastAsia="Times New Roman" w:cs="Times New Roman"/>
                                <w:sz w:val="22"/>
                              </w:rPr>
                            </w:pPr>
                            <w:r w:rsidRPr="00D51B61">
                              <w:rPr>
                                <w:rFonts w:eastAsia="Times New Roman" w:cs="Times New Roman"/>
                                <w:sz w:val="22"/>
                              </w:rPr>
                              <w:t>Posílení kvality vzdělání na všech úrovních vzdělávací soustavy.</w:t>
                            </w:r>
                          </w:p>
                          <w:p w:rsidR="00E505FC" w:rsidRPr="00D51B61" w:rsidRDefault="00E505FC" w:rsidP="006A2F6A">
                            <w:pPr>
                              <w:pStyle w:val="Odstavecseseznamem"/>
                              <w:numPr>
                                <w:ilvl w:val="1"/>
                                <w:numId w:val="59"/>
                              </w:numPr>
                              <w:spacing w:line="276" w:lineRule="auto"/>
                              <w:jc w:val="both"/>
                              <w:rPr>
                                <w:rFonts w:eastAsia="Times New Roman" w:cs="Times New Roman"/>
                                <w:sz w:val="22"/>
                              </w:rPr>
                            </w:pPr>
                            <w:r w:rsidRPr="00D51B61">
                              <w:rPr>
                                <w:rFonts w:eastAsia="Times New Roman" w:cs="Times New Roman"/>
                                <w:sz w:val="22"/>
                              </w:rPr>
                              <w:t>Posílení kvalitního a dostupného vzdělání dětí, žáků a studentů ze sociálně znevýhodňujícího prostředí.</w:t>
                            </w:r>
                          </w:p>
                          <w:p w:rsidR="00E505FC" w:rsidRDefault="00E505FC" w:rsidP="006A2F6A">
                            <w:pPr>
                              <w:pStyle w:val="Odstavecseseznamem"/>
                              <w:numPr>
                                <w:ilvl w:val="1"/>
                                <w:numId w:val="59"/>
                              </w:numPr>
                              <w:spacing w:line="276" w:lineRule="auto"/>
                              <w:jc w:val="both"/>
                              <w:rPr>
                                <w:rFonts w:eastAsia="Times New Roman" w:cs="Times New Roman"/>
                                <w:sz w:val="22"/>
                              </w:rPr>
                            </w:pPr>
                            <w:r w:rsidRPr="00D51B61">
                              <w:rPr>
                                <w:rFonts w:eastAsia="Times New Roman" w:cs="Times New Roman"/>
                                <w:sz w:val="22"/>
                              </w:rPr>
                              <w:t>Posílení schopnosti vzdělávací soustavy a spolupracujících služeb včasně identifikovat negativní dopady rodinného prostředí na vzdělávací výsledky a</w:t>
                            </w:r>
                            <w:r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 za využití vhodných opatření </w:t>
                            </w:r>
                            <w:r w:rsidRPr="00D51B61"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je </w:t>
                            </w:r>
                            <w:r>
                              <w:rPr>
                                <w:rFonts w:eastAsia="Times New Roman" w:cs="Times New Roman"/>
                                <w:sz w:val="22"/>
                              </w:rPr>
                              <w:t>i</w:t>
                            </w:r>
                            <w:r w:rsidRPr="00B93495">
                              <w:t xml:space="preserve"> </w:t>
                            </w:r>
                            <w:r w:rsidRPr="00B93495">
                              <w:rPr>
                                <w:rFonts w:eastAsia="Times New Roman" w:cs="Times New Roman"/>
                                <w:sz w:val="22"/>
                              </w:rPr>
                              <w:t>ve vazbě na snižování sociopatologických jevů ve vzdělávání</w:t>
                            </w:r>
                            <w:r w:rsidRPr="00D51B61"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 minimalizovat</w:t>
                            </w:r>
                            <w:r>
                              <w:rPr>
                                <w:rFonts w:eastAsia="Times New Roman" w:cs="Times New Roman"/>
                                <w:sz w:val="22"/>
                              </w:rPr>
                              <w:t>.</w:t>
                            </w:r>
                          </w:p>
                          <w:p w:rsidR="00E505FC" w:rsidRDefault="00E505FC" w:rsidP="006A2F6A">
                            <w:pPr>
                              <w:pStyle w:val="Odstavecseseznamem"/>
                              <w:numPr>
                                <w:ilvl w:val="1"/>
                                <w:numId w:val="59"/>
                              </w:numPr>
                              <w:spacing w:line="276" w:lineRule="auto"/>
                              <w:jc w:val="both"/>
                              <w:rPr>
                                <w:rFonts w:eastAsia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sz w:val="22"/>
                              </w:rPr>
                              <w:t>Posílení</w:t>
                            </w:r>
                            <w:r w:rsidRPr="00D97578"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 genderové </w:t>
                            </w:r>
                            <w:r>
                              <w:rPr>
                                <w:rFonts w:eastAsia="Times New Roman" w:cs="Times New Roman"/>
                                <w:sz w:val="22"/>
                              </w:rPr>
                              <w:t>rovnosti</w:t>
                            </w:r>
                            <w:r w:rsidRPr="00D97578"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 ve vzdělávání</w:t>
                            </w:r>
                            <w:r>
                              <w:rPr>
                                <w:rFonts w:eastAsia="Times New Roman" w:cs="Times New Roman"/>
                                <w:sz w:val="22"/>
                              </w:rPr>
                              <w:t>.</w:t>
                            </w:r>
                          </w:p>
                          <w:p w:rsidR="00E505FC" w:rsidRPr="00D51B61" w:rsidRDefault="00E505FC" w:rsidP="006A2F6A">
                            <w:pPr>
                              <w:pStyle w:val="Odstavecseseznamem"/>
                              <w:numPr>
                                <w:ilvl w:val="1"/>
                                <w:numId w:val="59"/>
                              </w:numPr>
                              <w:spacing w:line="276" w:lineRule="auto"/>
                              <w:jc w:val="both"/>
                              <w:rPr>
                                <w:rFonts w:eastAsia="Times New Roman" w:cs="Times New Roman"/>
                                <w:sz w:val="22"/>
                              </w:rPr>
                            </w:pPr>
                            <w:r w:rsidRPr="000C60D7">
                              <w:rPr>
                                <w:rFonts w:eastAsia="Times New Roman" w:cs="Times New Roman"/>
                                <w:sz w:val="22"/>
                              </w:rPr>
                              <w:t>Posílení schopnosti vzdělávací soustavy pečovat o klima škol a duševní zdraví dětí, žáků, studentů a pedagogických pracovníků</w:t>
                            </w:r>
                            <w:r>
                              <w:rPr>
                                <w:rFonts w:eastAsia="Times New Roman" w:cs="Times New Roman"/>
                                <w:sz w:val="22"/>
                              </w:rPr>
                              <w:t>.</w:t>
                            </w:r>
                          </w:p>
                          <w:p w:rsidR="00E505FC" w:rsidRPr="00D51B61" w:rsidRDefault="00E505FC" w:rsidP="006A2F6A">
                            <w:pPr>
                              <w:pStyle w:val="Odstavecseseznamem"/>
                              <w:numPr>
                                <w:ilvl w:val="0"/>
                                <w:numId w:val="59"/>
                              </w:numPr>
                              <w:spacing w:line="276" w:lineRule="auto"/>
                              <w:jc w:val="both"/>
                              <w:rPr>
                                <w:rFonts w:eastAsia="Times New Roman" w:cs="Times New Roman"/>
                                <w:sz w:val="22"/>
                              </w:rPr>
                            </w:pPr>
                            <w:r w:rsidRPr="00D51B61">
                              <w:rPr>
                                <w:rFonts w:eastAsia="Times New Roman" w:cs="Times New Roman"/>
                                <w:sz w:val="22"/>
                              </w:rPr>
                              <w:t>Maximalizovat rozvoj potenciálu každého jednotlivce po celý život s ohledem na jeho specifické potřeby a nadání.</w:t>
                            </w:r>
                          </w:p>
                          <w:p w:rsidR="00E505FC" w:rsidRPr="00C8737F" w:rsidRDefault="00E505FC" w:rsidP="006A2F6A">
                            <w:pPr>
                              <w:pStyle w:val="Odstavecseseznamem"/>
                              <w:numPr>
                                <w:ilvl w:val="0"/>
                                <w:numId w:val="59"/>
                              </w:numPr>
                              <w:spacing w:line="276" w:lineRule="auto"/>
                              <w:jc w:val="both"/>
                              <w:rPr>
                                <w:rFonts w:eastAsia="Times New Roman" w:cs="Times New Roman"/>
                                <w:sz w:val="22"/>
                              </w:rPr>
                            </w:pPr>
                            <w:r w:rsidRPr="00D51B61"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Snížit </w:t>
                            </w:r>
                            <w:r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podíl předčasných odchodů ze vzdělávání a </w:t>
                            </w:r>
                            <w:r w:rsidRPr="00D51B61">
                              <w:rPr>
                                <w:rFonts w:eastAsia="Times New Roman" w:cs="Times New Roman"/>
                                <w:sz w:val="22"/>
                              </w:rPr>
                              <w:t>studijní neúspěšnost, zefektivnit systematickou práci se</w:t>
                            </w:r>
                            <w:r>
                              <w:rPr>
                                <w:rFonts w:eastAsia="Times New Roman" w:cs="Times New Roman"/>
                                <w:sz w:val="22"/>
                              </w:rPr>
                              <w:t> </w:t>
                            </w:r>
                            <w:r w:rsidRPr="00D51B61"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zájemci o studium na </w:t>
                            </w:r>
                            <w:r>
                              <w:rPr>
                                <w:rFonts w:eastAsia="Times New Roman" w:cs="Times New Roman"/>
                                <w:sz w:val="22"/>
                              </w:rPr>
                              <w:t>VŠ</w:t>
                            </w:r>
                            <w:r w:rsidRPr="00D51B61">
                              <w:rPr>
                                <w:rFonts w:eastAsia="Times New Roman" w:cs="Times New Roman"/>
                                <w:sz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4263E65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width:481.95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">
                <v:textbox style="mso-fit-shape-to-text:t">
                  <w:txbxContent>
                    <w:p w:rsidR="00E505FC" w:rsidRPr="00D51B61" w:rsidRDefault="00E505FC" w:rsidP="005746F9">
                      <w:pPr>
                        <w:spacing w:line="276" w:lineRule="auto"/>
                        <w:rPr>
                          <w:rFonts w:eastAsia="Times New Roman"/>
                          <w:b/>
                          <w:sz w:val="22"/>
                        </w:rPr>
                      </w:pPr>
                      <w:r w:rsidRPr="00D51B61">
                        <w:rPr>
                          <w:rFonts w:eastAsia="Times New Roman"/>
                          <w:b/>
                          <w:sz w:val="22"/>
                        </w:rPr>
                        <w:t>OP JAK přispěje ke snížení vzdělanostních nerovností, k maximalizaci rozvoje potenciálu každého jednotlivce a ke snížení studijní neúspěšnosti</w:t>
                      </w:r>
                      <w:r>
                        <w:rPr>
                          <w:rFonts w:eastAsia="Times New Roman"/>
                          <w:b/>
                          <w:sz w:val="22"/>
                        </w:rPr>
                        <w:t xml:space="preserve"> s cílem:</w:t>
                      </w:r>
                    </w:p>
                    <w:p w:rsidR="00E505FC" w:rsidRPr="00D51B61" w:rsidRDefault="00E505FC" w:rsidP="006A2F6A">
                      <w:pPr>
                        <w:pStyle w:val="Odstavecseseznamem"/>
                        <w:numPr>
                          <w:ilvl w:val="0"/>
                          <w:numId w:val="59"/>
                        </w:numPr>
                        <w:spacing w:line="276" w:lineRule="auto"/>
                        <w:jc w:val="both"/>
                        <w:rPr>
                          <w:rFonts w:eastAsia="Times New Roman" w:cs="Times New Roman"/>
                          <w:sz w:val="22"/>
                        </w:rPr>
                      </w:pPr>
                      <w:r w:rsidRPr="00D51B61">
                        <w:rPr>
                          <w:rFonts w:eastAsia="Times New Roman" w:cs="Times New Roman"/>
                          <w:sz w:val="22"/>
                        </w:rPr>
                        <w:t>Snížit vzdělanostní nerovnosti a zvýšit spravedlnost v přístupu ke vzdělání se zaměřením na</w:t>
                      </w:r>
                      <w:r>
                        <w:rPr>
                          <w:rFonts w:eastAsia="Times New Roman" w:cs="Times New Roman"/>
                          <w:sz w:val="22"/>
                        </w:rPr>
                        <w:t> </w:t>
                      </w:r>
                      <w:r w:rsidRPr="00D51B61">
                        <w:rPr>
                          <w:rFonts w:eastAsia="Times New Roman" w:cs="Times New Roman"/>
                          <w:sz w:val="22"/>
                        </w:rPr>
                        <w:t>spravedlivé a rovné šance a přístup ke kvalitnímu vzdělání všech dětí, žáků a studentů.</w:t>
                      </w:r>
                    </w:p>
                    <w:p w:rsidR="00E505FC" w:rsidRPr="00D51B61" w:rsidRDefault="00E505FC" w:rsidP="006A2F6A">
                      <w:pPr>
                        <w:pStyle w:val="Odstavecseseznamem"/>
                        <w:numPr>
                          <w:ilvl w:val="1"/>
                          <w:numId w:val="59"/>
                        </w:numPr>
                        <w:spacing w:line="276" w:lineRule="auto"/>
                        <w:jc w:val="both"/>
                        <w:rPr>
                          <w:rFonts w:eastAsia="Times New Roman" w:cs="Times New Roman"/>
                          <w:sz w:val="22"/>
                        </w:rPr>
                      </w:pPr>
                      <w:r w:rsidRPr="00D51B61">
                        <w:rPr>
                          <w:rFonts w:eastAsia="Times New Roman" w:cs="Times New Roman"/>
                          <w:sz w:val="22"/>
                        </w:rPr>
                        <w:t xml:space="preserve">Snížení </w:t>
                      </w:r>
                      <w:r>
                        <w:rPr>
                          <w:rFonts w:eastAsia="Times New Roman" w:cs="Times New Roman"/>
                          <w:sz w:val="22"/>
                        </w:rPr>
                        <w:t>regionální</w:t>
                      </w:r>
                      <w:r w:rsidRPr="00D51B61">
                        <w:rPr>
                          <w:rFonts w:eastAsia="Times New Roman" w:cs="Times New Roman"/>
                          <w:sz w:val="22"/>
                        </w:rPr>
                        <w:t xml:space="preserve"> i vnitro</w:t>
                      </w:r>
                      <w:r>
                        <w:rPr>
                          <w:rFonts w:eastAsia="Times New Roman" w:cs="Times New Roman"/>
                          <w:sz w:val="22"/>
                        </w:rPr>
                        <w:t>regionální</w:t>
                      </w:r>
                      <w:r w:rsidRPr="00D51B61">
                        <w:rPr>
                          <w:rFonts w:eastAsia="Times New Roman" w:cs="Times New Roman"/>
                          <w:sz w:val="22"/>
                        </w:rPr>
                        <w:t xml:space="preserve"> diferenciace kvality vzdělávací soustavy.</w:t>
                      </w:r>
                    </w:p>
                    <w:p w:rsidR="00E505FC" w:rsidRPr="00D51B61" w:rsidRDefault="00E505FC" w:rsidP="006A2F6A">
                      <w:pPr>
                        <w:pStyle w:val="Odstavecseseznamem"/>
                        <w:numPr>
                          <w:ilvl w:val="1"/>
                          <w:numId w:val="59"/>
                        </w:numPr>
                        <w:spacing w:line="276" w:lineRule="auto"/>
                        <w:jc w:val="both"/>
                        <w:rPr>
                          <w:rFonts w:eastAsia="Times New Roman" w:cs="Times New Roman"/>
                          <w:sz w:val="22"/>
                        </w:rPr>
                      </w:pPr>
                      <w:r w:rsidRPr="00D51B61">
                        <w:rPr>
                          <w:rFonts w:eastAsia="Times New Roman" w:cs="Times New Roman"/>
                          <w:sz w:val="22"/>
                        </w:rPr>
                        <w:t>Posílení kvality vzdělání na všech úrovních vzdělávací soustavy.</w:t>
                      </w:r>
                    </w:p>
                    <w:p w:rsidR="00E505FC" w:rsidRPr="00D51B61" w:rsidRDefault="00E505FC" w:rsidP="006A2F6A">
                      <w:pPr>
                        <w:pStyle w:val="Odstavecseseznamem"/>
                        <w:numPr>
                          <w:ilvl w:val="1"/>
                          <w:numId w:val="59"/>
                        </w:numPr>
                        <w:spacing w:line="276" w:lineRule="auto"/>
                        <w:jc w:val="both"/>
                        <w:rPr>
                          <w:rFonts w:eastAsia="Times New Roman" w:cs="Times New Roman"/>
                          <w:sz w:val="22"/>
                        </w:rPr>
                      </w:pPr>
                      <w:r w:rsidRPr="00D51B61">
                        <w:rPr>
                          <w:rFonts w:eastAsia="Times New Roman" w:cs="Times New Roman"/>
                          <w:sz w:val="22"/>
                        </w:rPr>
                        <w:t>Posílení kvalitního a dostupného vzdělání dětí, žáků a studentů ze sociálně znevýhodňujícího prostředí.</w:t>
                      </w:r>
                    </w:p>
                    <w:p w:rsidR="00E505FC" w:rsidRDefault="00E505FC" w:rsidP="006A2F6A">
                      <w:pPr>
                        <w:pStyle w:val="Odstavecseseznamem"/>
                        <w:numPr>
                          <w:ilvl w:val="1"/>
                          <w:numId w:val="59"/>
                        </w:numPr>
                        <w:spacing w:line="276" w:lineRule="auto"/>
                        <w:jc w:val="both"/>
                        <w:rPr>
                          <w:rFonts w:eastAsia="Times New Roman" w:cs="Times New Roman"/>
                          <w:sz w:val="22"/>
                        </w:rPr>
                      </w:pPr>
                      <w:r w:rsidRPr="00D51B61">
                        <w:rPr>
                          <w:rFonts w:eastAsia="Times New Roman" w:cs="Times New Roman"/>
                          <w:sz w:val="22"/>
                        </w:rPr>
                        <w:t>Posílení schopnosti vzdělávací soustavy a spolupracujících služeb včasně identifikovat negativní dopady rodinného prostředí na vzdělávací výsledky a</w:t>
                      </w:r>
                      <w:r>
                        <w:rPr>
                          <w:rFonts w:eastAsia="Times New Roman" w:cs="Times New Roman"/>
                          <w:sz w:val="22"/>
                        </w:rPr>
                        <w:t xml:space="preserve"> za využití vhodných opatření </w:t>
                      </w:r>
                      <w:r w:rsidRPr="00D51B61">
                        <w:rPr>
                          <w:rFonts w:eastAsia="Times New Roman" w:cs="Times New Roman"/>
                          <w:sz w:val="22"/>
                        </w:rPr>
                        <w:t xml:space="preserve">je </w:t>
                      </w:r>
                      <w:r>
                        <w:rPr>
                          <w:rFonts w:eastAsia="Times New Roman" w:cs="Times New Roman"/>
                          <w:sz w:val="22"/>
                        </w:rPr>
                        <w:t>i</w:t>
                      </w:r>
                      <w:r w:rsidRPr="00B93495">
                        <w:t xml:space="preserve"> </w:t>
                      </w:r>
                      <w:r w:rsidRPr="00B93495">
                        <w:rPr>
                          <w:rFonts w:eastAsia="Times New Roman" w:cs="Times New Roman"/>
                          <w:sz w:val="22"/>
                        </w:rPr>
                        <w:t>ve vazbě na snižování sociopatologických jevů ve vzdělávání</w:t>
                      </w:r>
                      <w:r w:rsidRPr="00D51B61">
                        <w:rPr>
                          <w:rFonts w:eastAsia="Times New Roman" w:cs="Times New Roman"/>
                          <w:sz w:val="22"/>
                        </w:rPr>
                        <w:t xml:space="preserve"> minimalizovat</w:t>
                      </w:r>
                      <w:r>
                        <w:rPr>
                          <w:rFonts w:eastAsia="Times New Roman" w:cs="Times New Roman"/>
                          <w:sz w:val="22"/>
                        </w:rPr>
                        <w:t>.</w:t>
                      </w:r>
                    </w:p>
                    <w:p w:rsidR="00E505FC" w:rsidRDefault="00E505FC" w:rsidP="006A2F6A">
                      <w:pPr>
                        <w:pStyle w:val="Odstavecseseznamem"/>
                        <w:numPr>
                          <w:ilvl w:val="1"/>
                          <w:numId w:val="59"/>
                        </w:numPr>
                        <w:spacing w:line="276" w:lineRule="auto"/>
                        <w:jc w:val="both"/>
                        <w:rPr>
                          <w:rFonts w:eastAsia="Times New Roman" w:cs="Times New Roman"/>
                          <w:sz w:val="22"/>
                        </w:rPr>
                      </w:pPr>
                      <w:r>
                        <w:rPr>
                          <w:rFonts w:eastAsia="Times New Roman" w:cs="Times New Roman"/>
                          <w:sz w:val="22"/>
                        </w:rPr>
                        <w:t>Posílení</w:t>
                      </w:r>
                      <w:r w:rsidRPr="00D97578">
                        <w:rPr>
                          <w:rFonts w:eastAsia="Times New Roman" w:cs="Times New Roman"/>
                          <w:sz w:val="22"/>
                        </w:rPr>
                        <w:t xml:space="preserve"> genderové </w:t>
                      </w:r>
                      <w:r>
                        <w:rPr>
                          <w:rFonts w:eastAsia="Times New Roman" w:cs="Times New Roman"/>
                          <w:sz w:val="22"/>
                        </w:rPr>
                        <w:t>rovnosti</w:t>
                      </w:r>
                      <w:r w:rsidRPr="00D97578">
                        <w:rPr>
                          <w:rFonts w:eastAsia="Times New Roman" w:cs="Times New Roman"/>
                          <w:sz w:val="22"/>
                        </w:rPr>
                        <w:t xml:space="preserve"> ve vzdělávání</w:t>
                      </w:r>
                      <w:r>
                        <w:rPr>
                          <w:rFonts w:eastAsia="Times New Roman" w:cs="Times New Roman"/>
                          <w:sz w:val="22"/>
                        </w:rPr>
                        <w:t>.</w:t>
                      </w:r>
                    </w:p>
                    <w:p w:rsidR="00E505FC" w:rsidRPr="00D51B61" w:rsidRDefault="00E505FC" w:rsidP="006A2F6A">
                      <w:pPr>
                        <w:pStyle w:val="Odstavecseseznamem"/>
                        <w:numPr>
                          <w:ilvl w:val="1"/>
                          <w:numId w:val="59"/>
                        </w:numPr>
                        <w:spacing w:line="276" w:lineRule="auto"/>
                        <w:jc w:val="both"/>
                        <w:rPr>
                          <w:rFonts w:eastAsia="Times New Roman" w:cs="Times New Roman"/>
                          <w:sz w:val="22"/>
                        </w:rPr>
                      </w:pPr>
                      <w:r w:rsidRPr="000C60D7">
                        <w:rPr>
                          <w:rFonts w:eastAsia="Times New Roman" w:cs="Times New Roman"/>
                          <w:sz w:val="22"/>
                        </w:rPr>
                        <w:t>Posílení schopnosti vzdělávací soustavy pečovat o klima škol a duševní zdraví dětí, žáků, studentů a pedagogických pracovníků</w:t>
                      </w:r>
                      <w:r>
                        <w:rPr>
                          <w:rFonts w:eastAsia="Times New Roman" w:cs="Times New Roman"/>
                          <w:sz w:val="22"/>
                        </w:rPr>
                        <w:t>.</w:t>
                      </w:r>
                    </w:p>
                    <w:p w:rsidR="00E505FC" w:rsidRPr="00D51B61" w:rsidRDefault="00E505FC" w:rsidP="006A2F6A">
                      <w:pPr>
                        <w:pStyle w:val="Odstavecseseznamem"/>
                        <w:numPr>
                          <w:ilvl w:val="0"/>
                          <w:numId w:val="59"/>
                        </w:numPr>
                        <w:spacing w:line="276" w:lineRule="auto"/>
                        <w:jc w:val="both"/>
                        <w:rPr>
                          <w:rFonts w:eastAsia="Times New Roman" w:cs="Times New Roman"/>
                          <w:sz w:val="22"/>
                        </w:rPr>
                      </w:pPr>
                      <w:r w:rsidRPr="00D51B61">
                        <w:rPr>
                          <w:rFonts w:eastAsia="Times New Roman" w:cs="Times New Roman"/>
                          <w:sz w:val="22"/>
                        </w:rPr>
                        <w:t>Maximalizovat rozvoj potenciálu každého jednotlivce po celý život s ohledem na jeho specifické potřeby a nadání.</w:t>
                      </w:r>
                    </w:p>
                    <w:p w:rsidR="00E505FC" w:rsidRPr="00C8737F" w:rsidRDefault="00E505FC" w:rsidP="006A2F6A">
                      <w:pPr>
                        <w:pStyle w:val="Odstavecseseznamem"/>
                        <w:numPr>
                          <w:ilvl w:val="0"/>
                          <w:numId w:val="59"/>
                        </w:numPr>
                        <w:spacing w:line="276" w:lineRule="auto"/>
                        <w:jc w:val="both"/>
                        <w:rPr>
                          <w:rFonts w:eastAsia="Times New Roman" w:cs="Times New Roman"/>
                          <w:sz w:val="22"/>
                        </w:rPr>
                      </w:pPr>
                      <w:r w:rsidRPr="00D51B61">
                        <w:rPr>
                          <w:rFonts w:eastAsia="Times New Roman" w:cs="Times New Roman"/>
                          <w:sz w:val="22"/>
                        </w:rPr>
                        <w:t xml:space="preserve">Snížit </w:t>
                      </w:r>
                      <w:r>
                        <w:rPr>
                          <w:rFonts w:eastAsia="Times New Roman" w:cs="Times New Roman"/>
                          <w:sz w:val="22"/>
                        </w:rPr>
                        <w:t xml:space="preserve">podíl předčasných odchodů ze vzdělávání a </w:t>
                      </w:r>
                      <w:r w:rsidRPr="00D51B61">
                        <w:rPr>
                          <w:rFonts w:eastAsia="Times New Roman" w:cs="Times New Roman"/>
                          <w:sz w:val="22"/>
                        </w:rPr>
                        <w:t>studijní neúspěšnost, zefektivnit systematickou práci se</w:t>
                      </w:r>
                      <w:r>
                        <w:rPr>
                          <w:rFonts w:eastAsia="Times New Roman" w:cs="Times New Roman"/>
                          <w:sz w:val="22"/>
                        </w:rPr>
                        <w:t> </w:t>
                      </w:r>
                      <w:r w:rsidRPr="00D51B61">
                        <w:rPr>
                          <w:rFonts w:eastAsia="Times New Roman" w:cs="Times New Roman"/>
                          <w:sz w:val="22"/>
                        </w:rPr>
                        <w:t xml:space="preserve">zájemci o studium na </w:t>
                      </w:r>
                      <w:r>
                        <w:rPr>
                          <w:rFonts w:eastAsia="Times New Roman" w:cs="Times New Roman"/>
                          <w:sz w:val="22"/>
                        </w:rPr>
                        <w:t>VŠ</w:t>
                      </w:r>
                      <w:r w:rsidRPr="00D51B61">
                        <w:rPr>
                          <w:rFonts w:eastAsia="Times New Roman" w:cs="Times New Roman"/>
                          <w:sz w:val="22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51D13" w:rsidRPr="008139D0" w:rsidRDefault="00A51D13" w:rsidP="00240BA0">
      <w:pPr>
        <w:spacing w:line="276" w:lineRule="auto"/>
        <w:jc w:val="both"/>
        <w:rPr>
          <w:sz w:val="22"/>
        </w:rPr>
      </w:pPr>
      <w:r w:rsidRPr="008139D0">
        <w:rPr>
          <w:sz w:val="22"/>
        </w:rPr>
        <w:t>Výše uvedené cíle se aktuálně ukazují jako vysoce extrapolované kvůli pandemii covidu-19. Její dopady budou dlouhodobé a OP JAK, jak je navržen, podstatnou měrou přispěje k jejich překonávání i k budování následné odolnosti proti podobným hrozbám.</w:t>
      </w:r>
    </w:p>
    <w:p w:rsidR="00A51D13" w:rsidRPr="00B175FB" w:rsidRDefault="00A51D13" w:rsidP="00240BA0">
      <w:pPr>
        <w:spacing w:line="276" w:lineRule="auto"/>
        <w:jc w:val="both"/>
        <w:rPr>
          <w:rFonts w:eastAsia="Times New Roman"/>
          <w:noProof/>
          <w:sz w:val="22"/>
        </w:rPr>
      </w:pPr>
    </w:p>
    <w:p w:rsidR="00133D8A" w:rsidRPr="00B175FB" w:rsidRDefault="003C3CFB" w:rsidP="006A2F6A">
      <w:pPr>
        <w:pStyle w:val="Nadpis3"/>
        <w:rPr>
          <w:b/>
          <w:color w:val="1F4E79" w:themeColor="accent5" w:themeShade="80"/>
          <w:lang w:val="cs-CZ" w:eastAsia="cs-CZ" w:bidi="cs-CZ"/>
        </w:rPr>
      </w:pPr>
      <w:bookmarkStart w:id="24" w:name="_Toc33000807"/>
      <w:bookmarkStart w:id="25" w:name="_Toc33000251"/>
      <w:bookmarkStart w:id="26" w:name="_Toc66476032"/>
      <w:bookmarkStart w:id="27" w:name="_Toc68610990"/>
      <w:r w:rsidRPr="00B175FB">
        <w:rPr>
          <w:b/>
          <w:color w:val="1F4E79" w:themeColor="accent5" w:themeShade="80"/>
          <w:lang w:val="cs-CZ" w:eastAsia="cs-CZ" w:bidi="cs-CZ"/>
        </w:rPr>
        <w:t>Nutnost modernizace metod, forem a obsahu vzdělávání</w:t>
      </w:r>
      <w:bookmarkEnd w:id="24"/>
      <w:bookmarkEnd w:id="25"/>
      <w:bookmarkEnd w:id="26"/>
      <w:bookmarkEnd w:id="27"/>
    </w:p>
    <w:p w:rsidR="00230784" w:rsidRPr="00B175FB" w:rsidRDefault="00230784" w:rsidP="00240BA0">
      <w:pPr>
        <w:spacing w:line="276" w:lineRule="auto"/>
        <w:jc w:val="both"/>
        <w:rPr>
          <w:rFonts w:eastAsia="Times New Roman"/>
          <w:noProof/>
          <w:sz w:val="22"/>
        </w:rPr>
      </w:pPr>
      <w:r w:rsidRPr="00B175FB">
        <w:rPr>
          <w:rFonts w:eastAsia="Times New Roman"/>
          <w:noProof/>
          <w:sz w:val="22"/>
        </w:rPr>
        <w:t>Technologie proměňují všechna hospodářská odvětví a zásadním způsobem proměňují všechny stránky života</w:t>
      </w:r>
      <w:r w:rsidR="001B5FDF" w:rsidRPr="00B175FB">
        <w:rPr>
          <w:rFonts w:eastAsia="Times New Roman"/>
          <w:noProof/>
          <w:sz w:val="22"/>
        </w:rPr>
        <w:t>.</w:t>
      </w:r>
      <w:r w:rsidRPr="00B175FB">
        <w:rPr>
          <w:rFonts w:eastAsia="Times New Roman"/>
          <w:noProof/>
          <w:sz w:val="22"/>
          <w:vertAlign w:val="superscript"/>
        </w:rPr>
        <w:footnoteReference w:id="14"/>
      </w:r>
      <w:r w:rsidRPr="00B175FB">
        <w:rPr>
          <w:rFonts w:eastAsia="Times New Roman"/>
          <w:noProof/>
          <w:sz w:val="22"/>
        </w:rPr>
        <w:t xml:space="preserve"> Tyto hluboké změny bývají nazývány 4. průmyslovou revolucí. Mění se soubory dovedností, které</w:t>
      </w:r>
      <w:r w:rsidR="00FB5FE9" w:rsidRPr="00B175FB">
        <w:rPr>
          <w:rFonts w:eastAsia="Times New Roman"/>
          <w:noProof/>
          <w:sz w:val="22"/>
        </w:rPr>
        <w:t> </w:t>
      </w:r>
      <w:r w:rsidRPr="00B175FB">
        <w:rPr>
          <w:rFonts w:eastAsia="Times New Roman"/>
          <w:noProof/>
          <w:sz w:val="22"/>
        </w:rPr>
        <w:t>jsou pro tradiční i nová povolání potřeb</w:t>
      </w:r>
      <w:r w:rsidR="00637BFD" w:rsidRPr="00B175FB">
        <w:rPr>
          <w:rFonts w:eastAsia="Times New Roman"/>
          <w:noProof/>
          <w:sz w:val="22"/>
        </w:rPr>
        <w:t>né</w:t>
      </w:r>
      <w:r w:rsidR="001B5FDF" w:rsidRPr="00B175FB">
        <w:rPr>
          <w:rFonts w:eastAsia="Times New Roman"/>
          <w:noProof/>
          <w:sz w:val="22"/>
        </w:rPr>
        <w:t>.</w:t>
      </w:r>
      <w:r w:rsidR="00AF3587" w:rsidRPr="00B175FB">
        <w:rPr>
          <w:rFonts w:eastAsia="Times New Roman"/>
          <w:noProof/>
          <w:sz w:val="22"/>
          <w:vertAlign w:val="superscript"/>
        </w:rPr>
        <w:footnoteReference w:id="15"/>
      </w:r>
      <w:r w:rsidRPr="00B175FB">
        <w:rPr>
          <w:rFonts w:eastAsia="Times New Roman"/>
          <w:noProof/>
          <w:sz w:val="22"/>
        </w:rPr>
        <w:t xml:space="preserve"> Proměnou prochází také to, jak a kde lidé pracují</w:t>
      </w:r>
      <w:r w:rsidR="003B3930" w:rsidRPr="00B175FB">
        <w:rPr>
          <w:rFonts w:eastAsia="Times New Roman"/>
          <w:noProof/>
          <w:sz w:val="22"/>
        </w:rPr>
        <w:t>, tedy celý</w:t>
      </w:r>
      <w:r w:rsidR="007F6613" w:rsidRPr="00B175FB">
        <w:rPr>
          <w:rFonts w:eastAsia="Times New Roman"/>
          <w:noProof/>
          <w:sz w:val="22"/>
        </w:rPr>
        <w:t xml:space="preserve"> </w:t>
      </w:r>
      <w:r w:rsidRPr="00B175FB">
        <w:rPr>
          <w:rFonts w:eastAsia="Times New Roman"/>
          <w:noProof/>
          <w:sz w:val="22"/>
        </w:rPr>
        <w:t>trh práce</w:t>
      </w:r>
      <w:r w:rsidR="001B5FDF" w:rsidRPr="00B175FB">
        <w:rPr>
          <w:rFonts w:eastAsia="Times New Roman"/>
          <w:noProof/>
          <w:sz w:val="22"/>
        </w:rPr>
        <w:t>.</w:t>
      </w:r>
      <w:r w:rsidRPr="00B175FB">
        <w:rPr>
          <w:rFonts w:eastAsia="Times New Roman"/>
          <w:noProof/>
          <w:sz w:val="22"/>
          <w:vertAlign w:val="superscript"/>
        </w:rPr>
        <w:footnoteReference w:id="16"/>
      </w:r>
      <w:r w:rsidRPr="00B175FB">
        <w:rPr>
          <w:rFonts w:eastAsia="Times New Roman"/>
          <w:noProof/>
          <w:sz w:val="22"/>
        </w:rPr>
        <w:t xml:space="preserve"> </w:t>
      </w:r>
      <w:r w:rsidR="00873B34" w:rsidRPr="00B175FB">
        <w:rPr>
          <w:rFonts w:eastAsia="Times New Roman"/>
          <w:noProof/>
          <w:sz w:val="22"/>
        </w:rPr>
        <w:t>Děti, ž</w:t>
      </w:r>
      <w:r w:rsidRPr="00B175FB">
        <w:rPr>
          <w:rFonts w:eastAsia="Times New Roman"/>
          <w:noProof/>
          <w:sz w:val="22"/>
        </w:rPr>
        <w:t>áci a studenti, kteří se dnes ve školách vzdělávají, se výrazně liší od předchozích generací</w:t>
      </w:r>
      <w:r w:rsidR="005E5B47" w:rsidRPr="00B175FB">
        <w:rPr>
          <w:rFonts w:eastAsia="Times New Roman"/>
          <w:noProof/>
          <w:sz w:val="22"/>
        </w:rPr>
        <w:t>.</w:t>
      </w:r>
      <w:r w:rsidRPr="00B175FB">
        <w:rPr>
          <w:rFonts w:eastAsia="Times New Roman"/>
          <w:noProof/>
          <w:sz w:val="22"/>
          <w:vertAlign w:val="superscript"/>
        </w:rPr>
        <w:footnoteReference w:id="17"/>
      </w:r>
      <w:r w:rsidRPr="00B175FB">
        <w:rPr>
          <w:rFonts w:eastAsia="Times New Roman"/>
          <w:noProof/>
          <w:sz w:val="22"/>
        </w:rPr>
        <w:t xml:space="preserve"> Společným socializačním znakem této generace je především </w:t>
      </w:r>
      <w:r w:rsidR="008B56B2" w:rsidRPr="00B175FB">
        <w:rPr>
          <w:rFonts w:eastAsia="Times New Roman"/>
          <w:noProof/>
          <w:sz w:val="22"/>
        </w:rPr>
        <w:t>využívání</w:t>
      </w:r>
      <w:r w:rsidRPr="00B175FB">
        <w:rPr>
          <w:rFonts w:eastAsia="Times New Roman"/>
          <w:noProof/>
          <w:sz w:val="22"/>
        </w:rPr>
        <w:t xml:space="preserve"> digitální</w:t>
      </w:r>
      <w:r w:rsidR="008B56B2" w:rsidRPr="00B175FB">
        <w:rPr>
          <w:rFonts w:eastAsia="Times New Roman"/>
          <w:noProof/>
          <w:sz w:val="22"/>
        </w:rPr>
        <w:t xml:space="preserve">ch technologií </w:t>
      </w:r>
      <w:r w:rsidR="003B6AFC" w:rsidRPr="00B175FB">
        <w:rPr>
          <w:rFonts w:eastAsia="Times New Roman"/>
          <w:noProof/>
          <w:sz w:val="22"/>
        </w:rPr>
        <w:t>s</w:t>
      </w:r>
      <w:r w:rsidR="00585186" w:rsidRPr="00B175FB">
        <w:rPr>
          <w:rFonts w:eastAsia="Times New Roman"/>
          <w:noProof/>
          <w:sz w:val="22"/>
        </w:rPr>
        <w:t xml:space="preserve"> neomezený</w:t>
      </w:r>
      <w:r w:rsidR="003B6AFC" w:rsidRPr="00B175FB">
        <w:rPr>
          <w:rFonts w:eastAsia="Times New Roman"/>
          <w:noProof/>
          <w:sz w:val="22"/>
        </w:rPr>
        <w:t>m</w:t>
      </w:r>
      <w:r w:rsidR="00585186" w:rsidRPr="00B175FB">
        <w:rPr>
          <w:rFonts w:eastAsia="Times New Roman"/>
          <w:noProof/>
          <w:sz w:val="22"/>
        </w:rPr>
        <w:t xml:space="preserve"> zdroj</w:t>
      </w:r>
      <w:r w:rsidR="003B6AFC" w:rsidRPr="00B175FB">
        <w:rPr>
          <w:rFonts w:eastAsia="Times New Roman"/>
          <w:noProof/>
          <w:sz w:val="22"/>
        </w:rPr>
        <w:t>em</w:t>
      </w:r>
      <w:r w:rsidR="00585186" w:rsidRPr="00B175FB">
        <w:rPr>
          <w:rFonts w:eastAsia="Times New Roman"/>
          <w:noProof/>
          <w:sz w:val="22"/>
        </w:rPr>
        <w:t xml:space="preserve"> informací</w:t>
      </w:r>
      <w:r w:rsidR="00860D22" w:rsidRPr="00B175FB">
        <w:rPr>
          <w:rFonts w:eastAsia="Times New Roman"/>
          <w:noProof/>
          <w:sz w:val="22"/>
        </w:rPr>
        <w:t xml:space="preserve"> </w:t>
      </w:r>
      <w:r w:rsidR="008B56B2" w:rsidRPr="00B175FB">
        <w:rPr>
          <w:rFonts w:eastAsia="Times New Roman"/>
          <w:noProof/>
          <w:sz w:val="22"/>
        </w:rPr>
        <w:t>od útlého věku</w:t>
      </w:r>
      <w:r w:rsidR="00585186" w:rsidRPr="00B175FB">
        <w:rPr>
          <w:rFonts w:eastAsia="Times New Roman"/>
          <w:noProof/>
          <w:sz w:val="22"/>
        </w:rPr>
        <w:t xml:space="preserve">. </w:t>
      </w:r>
      <w:r w:rsidR="00B9151F" w:rsidRPr="00B175FB">
        <w:rPr>
          <w:rFonts w:eastAsia="Times New Roman"/>
          <w:noProof/>
          <w:sz w:val="22"/>
        </w:rPr>
        <w:t>Jedná se o</w:t>
      </w:r>
      <w:r w:rsidR="00585186" w:rsidRPr="00B175FB">
        <w:rPr>
          <w:rFonts w:eastAsia="Times New Roman"/>
          <w:noProof/>
          <w:sz w:val="22"/>
        </w:rPr>
        <w:t xml:space="preserve"> generaci, která se rychle učí v oblastech, </w:t>
      </w:r>
      <w:r w:rsidR="00B9151F" w:rsidRPr="00B175FB">
        <w:rPr>
          <w:rFonts w:eastAsia="Times New Roman"/>
          <w:noProof/>
          <w:sz w:val="22"/>
        </w:rPr>
        <w:t>jež</w:t>
      </w:r>
      <w:r w:rsidR="00585186" w:rsidRPr="00B175FB">
        <w:rPr>
          <w:rFonts w:eastAsia="Times New Roman"/>
          <w:noProof/>
          <w:sz w:val="22"/>
        </w:rPr>
        <w:t xml:space="preserve"> je </w:t>
      </w:r>
      <w:r w:rsidR="00B9151F" w:rsidRPr="00B175FB">
        <w:rPr>
          <w:rFonts w:eastAsia="Times New Roman"/>
          <w:noProof/>
          <w:sz w:val="22"/>
        </w:rPr>
        <w:t xml:space="preserve">zajímá a </w:t>
      </w:r>
      <w:r w:rsidR="00585186" w:rsidRPr="00B175FB">
        <w:rPr>
          <w:rFonts w:eastAsia="Times New Roman"/>
          <w:noProof/>
          <w:sz w:val="22"/>
        </w:rPr>
        <w:t>baví</w:t>
      </w:r>
      <w:r w:rsidR="00D93D9D" w:rsidRPr="00B175FB">
        <w:rPr>
          <w:rFonts w:eastAsia="Times New Roman"/>
          <w:noProof/>
          <w:sz w:val="22"/>
        </w:rPr>
        <w:t>,</w:t>
      </w:r>
      <w:r w:rsidR="003B6AFC" w:rsidRPr="00B175FB">
        <w:rPr>
          <w:rFonts w:eastAsia="Times New Roman"/>
          <w:sz w:val="22"/>
        </w:rPr>
        <w:t xml:space="preserve"> a</w:t>
      </w:r>
      <w:r w:rsidR="002D20B9" w:rsidRPr="00B175FB">
        <w:rPr>
          <w:rFonts w:eastAsia="Times New Roman"/>
          <w:sz w:val="22"/>
        </w:rPr>
        <w:t> </w:t>
      </w:r>
      <w:r w:rsidR="003B6AFC" w:rsidRPr="00B175FB">
        <w:rPr>
          <w:rFonts w:eastAsia="Times New Roman"/>
          <w:sz w:val="22"/>
        </w:rPr>
        <w:t>z</w:t>
      </w:r>
      <w:r w:rsidR="00B9151F" w:rsidRPr="00B175FB">
        <w:rPr>
          <w:rFonts w:eastAsia="Times New Roman"/>
          <w:noProof/>
          <w:sz w:val="22"/>
        </w:rPr>
        <w:t xml:space="preserve">ároveň je </w:t>
      </w:r>
      <w:r w:rsidR="00585186" w:rsidRPr="00B175FB">
        <w:rPr>
          <w:rFonts w:eastAsia="Times New Roman"/>
          <w:noProof/>
          <w:sz w:val="22"/>
        </w:rPr>
        <w:t>adaptabilnější, otevřenější změnám a novým názorům</w:t>
      </w:r>
      <w:r w:rsidR="001B5FDF" w:rsidRPr="00B175FB">
        <w:rPr>
          <w:rFonts w:eastAsia="Times New Roman"/>
          <w:noProof/>
          <w:sz w:val="22"/>
        </w:rPr>
        <w:t>.</w:t>
      </w:r>
      <w:r w:rsidR="00585186" w:rsidRPr="00B175FB">
        <w:rPr>
          <w:rFonts w:eastAsia="Times New Roman"/>
          <w:noProof/>
          <w:sz w:val="22"/>
          <w:vertAlign w:val="superscript"/>
        </w:rPr>
        <w:footnoteReference w:id="18"/>
      </w:r>
      <w:r w:rsidR="00585186" w:rsidRPr="00B175FB">
        <w:rPr>
          <w:rFonts w:eastAsia="Times New Roman"/>
          <w:noProof/>
          <w:sz w:val="22"/>
        </w:rPr>
        <w:t xml:space="preserve"> </w:t>
      </w:r>
    </w:p>
    <w:p w:rsidR="00AC2F4F" w:rsidRPr="00B175FB" w:rsidRDefault="003B3930" w:rsidP="00240BA0">
      <w:pPr>
        <w:spacing w:line="276" w:lineRule="auto"/>
        <w:jc w:val="both"/>
        <w:rPr>
          <w:rFonts w:eastAsia="Times New Roman"/>
          <w:noProof/>
          <w:sz w:val="22"/>
        </w:rPr>
      </w:pPr>
      <w:bookmarkStart w:id="28" w:name="_Hlk29553208"/>
      <w:r w:rsidRPr="00B175FB">
        <w:rPr>
          <w:rFonts w:eastAsia="Times New Roman"/>
          <w:noProof/>
          <w:sz w:val="22"/>
        </w:rPr>
        <w:t>Tyto</w:t>
      </w:r>
      <w:r w:rsidR="00585186" w:rsidRPr="00B175FB">
        <w:rPr>
          <w:rFonts w:eastAsia="Times New Roman"/>
          <w:noProof/>
          <w:sz w:val="22"/>
        </w:rPr>
        <w:t xml:space="preserve"> trendy nevyhnutelně vedou k nutnosti přizpůsobovat prostředí, ve kterém vzdělávání probíhá</w:t>
      </w:r>
      <w:r w:rsidR="00FF11A0" w:rsidRPr="00B175FB">
        <w:rPr>
          <w:rFonts w:eastAsia="Times New Roman"/>
          <w:noProof/>
          <w:sz w:val="22"/>
        </w:rPr>
        <w:t>,</w:t>
      </w:r>
      <w:r w:rsidR="00585186" w:rsidRPr="00B175FB">
        <w:rPr>
          <w:rFonts w:eastAsia="Times New Roman"/>
          <w:noProof/>
          <w:sz w:val="22"/>
        </w:rPr>
        <w:t xml:space="preserve"> a</w:t>
      </w:r>
      <w:r w:rsidR="00FB5FE9" w:rsidRPr="00B175FB">
        <w:rPr>
          <w:rFonts w:eastAsia="Times New Roman"/>
          <w:noProof/>
          <w:sz w:val="22"/>
        </w:rPr>
        <w:t> </w:t>
      </w:r>
      <w:r w:rsidR="00585186" w:rsidRPr="00B175FB">
        <w:rPr>
          <w:rFonts w:eastAsia="Times New Roman"/>
          <w:noProof/>
          <w:sz w:val="22"/>
        </w:rPr>
        <w:t>také</w:t>
      </w:r>
      <w:r w:rsidR="00FB5FE9" w:rsidRPr="00B175FB">
        <w:rPr>
          <w:rFonts w:eastAsia="Times New Roman"/>
          <w:noProof/>
          <w:sz w:val="22"/>
        </w:rPr>
        <w:t> </w:t>
      </w:r>
      <w:r w:rsidR="00D6696E" w:rsidRPr="00B175FB">
        <w:rPr>
          <w:rFonts w:eastAsia="Times New Roman"/>
          <w:noProof/>
          <w:sz w:val="22"/>
        </w:rPr>
        <w:t>ke </w:t>
      </w:r>
      <w:r w:rsidR="00585186" w:rsidRPr="00B175FB">
        <w:rPr>
          <w:rFonts w:eastAsia="Times New Roman"/>
          <w:noProof/>
          <w:sz w:val="22"/>
        </w:rPr>
        <w:t>změně vzdělávací</w:t>
      </w:r>
      <w:r w:rsidRPr="00B175FB">
        <w:rPr>
          <w:rFonts w:eastAsia="Times New Roman"/>
          <w:noProof/>
          <w:sz w:val="22"/>
        </w:rPr>
        <w:t>ch</w:t>
      </w:r>
      <w:r w:rsidR="00332F40" w:rsidRPr="00B175FB">
        <w:rPr>
          <w:rFonts w:eastAsia="Times New Roman"/>
          <w:noProof/>
          <w:sz w:val="22"/>
        </w:rPr>
        <w:t xml:space="preserve"> </w:t>
      </w:r>
      <w:r w:rsidR="00585186" w:rsidRPr="00B175FB">
        <w:rPr>
          <w:rFonts w:eastAsia="Times New Roman"/>
          <w:noProof/>
          <w:sz w:val="22"/>
        </w:rPr>
        <w:t>obsah</w:t>
      </w:r>
      <w:r w:rsidRPr="00B175FB">
        <w:rPr>
          <w:rFonts w:eastAsia="Times New Roman"/>
          <w:noProof/>
          <w:sz w:val="22"/>
        </w:rPr>
        <w:t>ů</w:t>
      </w:r>
      <w:r w:rsidR="00585186" w:rsidRPr="00B175FB">
        <w:rPr>
          <w:rFonts w:eastAsia="Times New Roman"/>
          <w:noProof/>
          <w:sz w:val="22"/>
        </w:rPr>
        <w:t xml:space="preserve"> i způsob</w:t>
      </w:r>
      <w:r w:rsidRPr="00B175FB">
        <w:rPr>
          <w:rFonts w:eastAsia="Times New Roman"/>
          <w:noProof/>
          <w:sz w:val="22"/>
        </w:rPr>
        <w:t>ů</w:t>
      </w:r>
      <w:r w:rsidR="00585186" w:rsidRPr="00B175FB">
        <w:rPr>
          <w:rFonts w:eastAsia="Times New Roman"/>
          <w:noProof/>
          <w:sz w:val="22"/>
        </w:rPr>
        <w:t xml:space="preserve"> je</w:t>
      </w:r>
      <w:r w:rsidRPr="00B175FB">
        <w:rPr>
          <w:rFonts w:eastAsia="Times New Roman"/>
          <w:noProof/>
          <w:sz w:val="22"/>
        </w:rPr>
        <w:t>jich</w:t>
      </w:r>
      <w:r w:rsidR="00585186" w:rsidRPr="00B175FB">
        <w:rPr>
          <w:rFonts w:eastAsia="Times New Roman"/>
          <w:noProof/>
          <w:sz w:val="22"/>
        </w:rPr>
        <w:t xml:space="preserve"> předávání</w:t>
      </w:r>
      <w:r w:rsidR="001B5FDF" w:rsidRPr="00B175FB">
        <w:rPr>
          <w:rFonts w:eastAsia="Times New Roman"/>
          <w:noProof/>
          <w:sz w:val="22"/>
        </w:rPr>
        <w:t>.</w:t>
      </w:r>
      <w:r w:rsidR="00585186" w:rsidRPr="00B175FB">
        <w:rPr>
          <w:rFonts w:eastAsia="Times New Roman"/>
          <w:noProof/>
          <w:sz w:val="22"/>
          <w:vertAlign w:val="superscript"/>
        </w:rPr>
        <w:footnoteReference w:id="19"/>
      </w:r>
      <w:r w:rsidR="00585186" w:rsidRPr="00B175FB">
        <w:rPr>
          <w:rFonts w:eastAsia="Times New Roman"/>
          <w:noProof/>
          <w:sz w:val="22"/>
        </w:rPr>
        <w:t xml:space="preserve"> Je třeba podpořit vzdělávací systém, </w:t>
      </w:r>
      <w:r w:rsidR="00B9151F" w:rsidRPr="00B175FB">
        <w:rPr>
          <w:rFonts w:eastAsia="Times New Roman"/>
          <w:noProof/>
          <w:sz w:val="22"/>
        </w:rPr>
        <w:t>kt</w:t>
      </w:r>
      <w:r w:rsidR="00771026" w:rsidRPr="00B175FB">
        <w:rPr>
          <w:rFonts w:eastAsia="Times New Roman"/>
          <w:noProof/>
          <w:sz w:val="22"/>
        </w:rPr>
        <w:t>er</w:t>
      </w:r>
      <w:r w:rsidR="00B9151F" w:rsidRPr="00B175FB">
        <w:rPr>
          <w:rFonts w:eastAsia="Times New Roman"/>
          <w:noProof/>
          <w:sz w:val="22"/>
        </w:rPr>
        <w:t>ý se</w:t>
      </w:r>
      <w:r w:rsidR="00585186" w:rsidRPr="00B175FB">
        <w:rPr>
          <w:rFonts w:eastAsia="Times New Roman"/>
          <w:noProof/>
          <w:sz w:val="22"/>
        </w:rPr>
        <w:t xml:space="preserve"> </w:t>
      </w:r>
      <w:r w:rsidR="00B9151F" w:rsidRPr="00B175FB">
        <w:rPr>
          <w:rFonts w:eastAsia="Times New Roman"/>
          <w:noProof/>
          <w:sz w:val="22"/>
        </w:rPr>
        <w:t>vyrovná</w:t>
      </w:r>
      <w:r w:rsidR="00585186" w:rsidRPr="00B175FB">
        <w:rPr>
          <w:rFonts w:eastAsia="Times New Roman"/>
          <w:noProof/>
          <w:sz w:val="22"/>
        </w:rPr>
        <w:t xml:space="preserve"> s vnějšími </w:t>
      </w:r>
      <w:r w:rsidR="00B9151F" w:rsidRPr="00B175FB">
        <w:rPr>
          <w:rFonts w:eastAsia="Times New Roman"/>
          <w:noProof/>
          <w:sz w:val="22"/>
        </w:rPr>
        <w:t>změnami a</w:t>
      </w:r>
      <w:r w:rsidR="00585186" w:rsidRPr="00B175FB">
        <w:rPr>
          <w:rFonts w:eastAsia="Times New Roman"/>
          <w:noProof/>
          <w:sz w:val="22"/>
        </w:rPr>
        <w:t xml:space="preserve"> </w:t>
      </w:r>
      <w:r w:rsidR="00B9151F" w:rsidRPr="00B175FB">
        <w:rPr>
          <w:rFonts w:eastAsia="Times New Roman"/>
          <w:noProof/>
          <w:sz w:val="22"/>
        </w:rPr>
        <w:t xml:space="preserve">bude </w:t>
      </w:r>
      <w:r w:rsidR="00585186" w:rsidRPr="00B175FB">
        <w:rPr>
          <w:rFonts w:eastAsia="Times New Roman"/>
          <w:noProof/>
          <w:sz w:val="22"/>
        </w:rPr>
        <w:t>schopen průběžně reagovat na měnící se vzdělávací potřeby žáků a</w:t>
      </w:r>
      <w:r w:rsidR="00D6696E" w:rsidRPr="00B175FB">
        <w:rPr>
          <w:rFonts w:eastAsia="Times New Roman"/>
          <w:noProof/>
          <w:sz w:val="22"/>
        </w:rPr>
        <w:t> </w:t>
      </w:r>
      <w:r w:rsidR="00585186" w:rsidRPr="00B175FB">
        <w:rPr>
          <w:rFonts w:eastAsia="Times New Roman"/>
          <w:noProof/>
          <w:sz w:val="22"/>
        </w:rPr>
        <w:t xml:space="preserve">studentů, </w:t>
      </w:r>
      <w:r w:rsidR="00B9151F" w:rsidRPr="00B175FB">
        <w:rPr>
          <w:rFonts w:eastAsia="Times New Roman"/>
          <w:noProof/>
          <w:sz w:val="22"/>
        </w:rPr>
        <w:t>využívat</w:t>
      </w:r>
      <w:r w:rsidR="00585186" w:rsidRPr="00B175FB">
        <w:rPr>
          <w:rFonts w:eastAsia="Times New Roman"/>
          <w:noProof/>
          <w:sz w:val="22"/>
        </w:rPr>
        <w:t xml:space="preserve"> moderní technologie pro zvýšení efektivity a </w:t>
      </w:r>
      <w:r w:rsidR="00B9151F" w:rsidRPr="00B175FB">
        <w:rPr>
          <w:rFonts w:eastAsia="Times New Roman"/>
          <w:noProof/>
          <w:sz w:val="22"/>
        </w:rPr>
        <w:t>umožní</w:t>
      </w:r>
      <w:r w:rsidR="00585186" w:rsidRPr="00B175FB">
        <w:rPr>
          <w:rFonts w:eastAsia="Times New Roman"/>
          <w:noProof/>
          <w:sz w:val="22"/>
        </w:rPr>
        <w:t xml:space="preserve"> žákům </w:t>
      </w:r>
      <w:r w:rsidRPr="00B175FB">
        <w:rPr>
          <w:rFonts w:eastAsia="Times New Roman"/>
          <w:noProof/>
          <w:sz w:val="22"/>
        </w:rPr>
        <w:t xml:space="preserve">osvojit si </w:t>
      </w:r>
      <w:r w:rsidR="00C128CF" w:rsidRPr="00B175FB">
        <w:rPr>
          <w:rFonts w:eastAsia="Times New Roman"/>
          <w:noProof/>
          <w:sz w:val="22"/>
        </w:rPr>
        <w:t xml:space="preserve">klíčové </w:t>
      </w:r>
      <w:r w:rsidR="00585186" w:rsidRPr="00B175FB">
        <w:rPr>
          <w:rFonts w:eastAsia="Times New Roman"/>
          <w:noProof/>
          <w:sz w:val="22"/>
        </w:rPr>
        <w:t>kompetence</w:t>
      </w:r>
      <w:r w:rsidR="00C128CF" w:rsidRPr="009F501B">
        <w:rPr>
          <w:rStyle w:val="Znakapoznpodarou"/>
          <w:rFonts w:eastAsia="Times New Roman"/>
          <w:b w:val="0"/>
          <w:bCs/>
          <w:noProof/>
          <w:sz w:val="22"/>
        </w:rPr>
        <w:footnoteReference w:id="20"/>
      </w:r>
      <w:r w:rsidR="00585186" w:rsidRPr="00B175FB">
        <w:rPr>
          <w:rFonts w:eastAsia="Times New Roman"/>
          <w:noProof/>
          <w:sz w:val="22"/>
        </w:rPr>
        <w:t>,</w:t>
      </w:r>
      <w:r w:rsidRPr="00B175FB">
        <w:rPr>
          <w:rFonts w:eastAsia="Times New Roman"/>
          <w:noProof/>
          <w:sz w:val="22"/>
        </w:rPr>
        <w:t xml:space="preserve"> znalosti, dovednosti a postoje v jejich provázanosti a komplexnosti,</w:t>
      </w:r>
      <w:r w:rsidR="00B77DA7">
        <w:rPr>
          <w:rFonts w:eastAsia="Times New Roman"/>
          <w:noProof/>
          <w:sz w:val="22"/>
        </w:rPr>
        <w:t xml:space="preserve"> které jsou využitelné v </w:t>
      </w:r>
      <w:r w:rsidR="00585186" w:rsidRPr="00B175FB">
        <w:rPr>
          <w:rFonts w:eastAsia="Times New Roman"/>
          <w:noProof/>
          <w:sz w:val="22"/>
        </w:rPr>
        <w:t>osobním, občanském i profesním životě</w:t>
      </w:r>
      <w:r w:rsidR="00B9151F" w:rsidRPr="00B175FB">
        <w:rPr>
          <w:rFonts w:eastAsia="Times New Roman"/>
          <w:noProof/>
          <w:sz w:val="22"/>
        </w:rPr>
        <w:t xml:space="preserve">. </w:t>
      </w:r>
      <w:r w:rsidR="006921D3" w:rsidRPr="006921D3">
        <w:rPr>
          <w:rFonts w:eastAsia="Times New Roman"/>
          <w:noProof/>
          <w:sz w:val="22"/>
        </w:rPr>
        <w:t xml:space="preserve">Výuka a pedagogická práce musí </w:t>
      </w:r>
      <w:r w:rsidR="00226BF7">
        <w:rPr>
          <w:rFonts w:eastAsia="Times New Roman"/>
          <w:noProof/>
          <w:sz w:val="22"/>
        </w:rPr>
        <w:t>být ve smyslu</w:t>
      </w:r>
      <w:r w:rsidR="006921D3" w:rsidRPr="006921D3">
        <w:rPr>
          <w:rFonts w:eastAsia="Times New Roman"/>
          <w:noProof/>
          <w:sz w:val="22"/>
        </w:rPr>
        <w:t xml:space="preserve"> obsahu, formy i</w:t>
      </w:r>
      <w:r w:rsidR="00226BF7">
        <w:rPr>
          <w:rFonts w:eastAsia="Times New Roman"/>
          <w:noProof/>
          <w:sz w:val="22"/>
        </w:rPr>
        <w:t> </w:t>
      </w:r>
      <w:r w:rsidR="006921D3" w:rsidRPr="006921D3">
        <w:rPr>
          <w:rFonts w:eastAsia="Times New Roman"/>
          <w:noProof/>
          <w:sz w:val="22"/>
        </w:rPr>
        <w:t xml:space="preserve"> metod </w:t>
      </w:r>
      <w:r w:rsidR="006921D3">
        <w:rPr>
          <w:rFonts w:eastAsia="Times New Roman"/>
          <w:noProof/>
          <w:sz w:val="22"/>
        </w:rPr>
        <w:t xml:space="preserve">vzdělávání v souladu </w:t>
      </w:r>
      <w:r w:rsidR="006921D3" w:rsidRPr="006921D3">
        <w:rPr>
          <w:rFonts w:eastAsia="Times New Roman"/>
          <w:noProof/>
          <w:sz w:val="22"/>
        </w:rPr>
        <w:t>s principy nediskriminace a rovných příležitostí</w:t>
      </w:r>
      <w:r w:rsidR="006921D3" w:rsidRPr="006921D3">
        <w:t xml:space="preserve"> </w:t>
      </w:r>
      <w:r w:rsidR="006921D3" w:rsidRPr="006921D3">
        <w:rPr>
          <w:rFonts w:eastAsia="Times New Roman"/>
          <w:noProof/>
          <w:sz w:val="22"/>
        </w:rPr>
        <w:t>(genderových, sociálních, etnických apod</w:t>
      </w:r>
      <w:r w:rsidR="006921D3">
        <w:rPr>
          <w:rFonts w:eastAsia="Times New Roman"/>
          <w:noProof/>
          <w:sz w:val="22"/>
        </w:rPr>
        <w:t>.)</w:t>
      </w:r>
      <w:r w:rsidR="006921D3" w:rsidRPr="006921D3">
        <w:rPr>
          <w:rFonts w:eastAsia="Times New Roman"/>
          <w:noProof/>
          <w:sz w:val="22"/>
        </w:rPr>
        <w:t>, a to na všech úrovních vzdělávání.</w:t>
      </w:r>
    </w:p>
    <w:p w:rsidR="00EC28D6" w:rsidRPr="00B175FB" w:rsidRDefault="00EC28D6" w:rsidP="00EC28D6">
      <w:pPr>
        <w:spacing w:line="276" w:lineRule="auto"/>
        <w:jc w:val="both"/>
        <w:rPr>
          <w:rFonts w:eastAsia="Times New Roman"/>
          <w:noProof/>
          <w:sz w:val="22"/>
        </w:rPr>
      </w:pPr>
      <w:bookmarkStart w:id="29" w:name="_Hlk20467332"/>
      <w:bookmarkEnd w:id="28"/>
      <w:r w:rsidRPr="00B175FB">
        <w:rPr>
          <w:rFonts w:eastAsia="Times New Roman"/>
          <w:noProof/>
          <w:sz w:val="22"/>
        </w:rPr>
        <w:t xml:space="preserve">Současné vzdělávání se </w:t>
      </w:r>
      <w:r w:rsidRPr="00B175FB">
        <w:rPr>
          <w:rFonts w:eastAsia="Times New Roman"/>
          <w:sz w:val="22"/>
        </w:rPr>
        <w:t>stále</w:t>
      </w:r>
      <w:r w:rsidR="007772A9" w:rsidRPr="00B175FB">
        <w:rPr>
          <w:rFonts w:eastAsia="Times New Roman"/>
          <w:sz w:val="22"/>
        </w:rPr>
        <w:t xml:space="preserve"> </w:t>
      </w:r>
      <w:r w:rsidRPr="00B175FB">
        <w:rPr>
          <w:rFonts w:eastAsia="Times New Roman"/>
          <w:noProof/>
          <w:sz w:val="22"/>
        </w:rPr>
        <w:t xml:space="preserve">zaměřuje na </w:t>
      </w:r>
      <w:r w:rsidR="003B3930" w:rsidRPr="00B175FB">
        <w:rPr>
          <w:rFonts w:eastAsia="Times New Roman"/>
          <w:noProof/>
          <w:sz w:val="22"/>
        </w:rPr>
        <w:t>osvojování znalostí, méně na jejich provázání do celostního pojetí kompetencí. Z</w:t>
      </w:r>
      <w:r w:rsidRPr="00B175FB">
        <w:rPr>
          <w:rFonts w:eastAsia="Times New Roman"/>
          <w:noProof/>
          <w:sz w:val="22"/>
        </w:rPr>
        <w:t xml:space="preserve">ávěry </w:t>
      </w:r>
      <w:r w:rsidR="00B26A49" w:rsidRPr="00B175FB">
        <w:rPr>
          <w:rFonts w:eastAsia="Times New Roman"/>
          <w:noProof/>
          <w:sz w:val="22"/>
        </w:rPr>
        <w:t>České školní inspekce (dále jen „</w:t>
      </w:r>
      <w:r w:rsidRPr="00B175FB">
        <w:rPr>
          <w:rFonts w:eastAsia="Times New Roman"/>
          <w:noProof/>
          <w:sz w:val="22"/>
        </w:rPr>
        <w:t>ČŠI</w:t>
      </w:r>
      <w:r w:rsidR="00B26A49" w:rsidRPr="00B175FB">
        <w:rPr>
          <w:rFonts w:eastAsia="Times New Roman"/>
          <w:noProof/>
          <w:sz w:val="22"/>
        </w:rPr>
        <w:t>“)</w:t>
      </w:r>
      <w:r w:rsidRPr="00B175FB">
        <w:rPr>
          <w:rFonts w:eastAsia="Times New Roman"/>
          <w:noProof/>
          <w:sz w:val="22"/>
        </w:rPr>
        <w:t xml:space="preserve"> poukazují na skutečnost, že se v hodinách málo objevují náročnější úkoly </w:t>
      </w:r>
      <w:r w:rsidR="007C4C0D" w:rsidRPr="00B175FB">
        <w:rPr>
          <w:rFonts w:eastAsia="Times New Roman"/>
          <w:sz w:val="22"/>
        </w:rPr>
        <w:t>vyžadující hlubší porozumění.</w:t>
      </w:r>
      <w:r w:rsidRPr="00B175FB">
        <w:rPr>
          <w:rFonts w:eastAsia="Times New Roman"/>
          <w:sz w:val="22"/>
        </w:rPr>
        <w:t xml:space="preserve"> Zároveň </w:t>
      </w:r>
      <w:r w:rsidRPr="00B175FB">
        <w:rPr>
          <w:rFonts w:eastAsia="Times New Roman"/>
          <w:noProof/>
          <w:sz w:val="22"/>
        </w:rPr>
        <w:t xml:space="preserve">převládají testy a úlohy, které vyžadují pamětní reprodukci. Učitelé pak často upřednostňují obsahovou znalost předmětů </w:t>
      </w:r>
      <w:r w:rsidR="007C4C0D" w:rsidRPr="00B175FB">
        <w:rPr>
          <w:rFonts w:eastAsia="Times New Roman"/>
          <w:sz w:val="22"/>
        </w:rPr>
        <w:t>při</w:t>
      </w:r>
      <w:r w:rsidRPr="00B175FB">
        <w:rPr>
          <w:rFonts w:eastAsia="Times New Roman"/>
          <w:sz w:val="22"/>
        </w:rPr>
        <w:t xml:space="preserve"> převažuj</w:t>
      </w:r>
      <w:r w:rsidR="007C4C0D" w:rsidRPr="00B175FB">
        <w:rPr>
          <w:rFonts w:eastAsia="Times New Roman"/>
          <w:sz w:val="22"/>
        </w:rPr>
        <w:t>ícím</w:t>
      </w:r>
      <w:r w:rsidRPr="00B175FB">
        <w:rPr>
          <w:rFonts w:eastAsia="Times New Roman"/>
          <w:sz w:val="22"/>
        </w:rPr>
        <w:t xml:space="preserve"> frontální</w:t>
      </w:r>
      <w:r w:rsidR="007C4C0D" w:rsidRPr="00B175FB">
        <w:rPr>
          <w:rFonts w:eastAsia="Times New Roman"/>
          <w:sz w:val="22"/>
        </w:rPr>
        <w:t>m</w:t>
      </w:r>
      <w:r w:rsidRPr="00B175FB">
        <w:rPr>
          <w:rFonts w:eastAsia="Times New Roman"/>
          <w:sz w:val="22"/>
        </w:rPr>
        <w:t xml:space="preserve"> způsob</w:t>
      </w:r>
      <w:r w:rsidR="007C4C0D" w:rsidRPr="00B175FB">
        <w:rPr>
          <w:rFonts w:eastAsia="Times New Roman"/>
          <w:sz w:val="22"/>
        </w:rPr>
        <w:t>u</w:t>
      </w:r>
      <w:r w:rsidRPr="00B175FB">
        <w:rPr>
          <w:rFonts w:eastAsia="Times New Roman"/>
          <w:noProof/>
          <w:sz w:val="22"/>
        </w:rPr>
        <w:t xml:space="preserve"> výuky. Žáci jsou málo vedeni k samostatnému objevování nových poznatků a kreativitě</w:t>
      </w:r>
      <w:r w:rsidR="001B5FDF" w:rsidRPr="00B175FB">
        <w:rPr>
          <w:rFonts w:eastAsia="Times New Roman"/>
          <w:noProof/>
          <w:sz w:val="22"/>
        </w:rPr>
        <w:t>.</w:t>
      </w:r>
      <w:r w:rsidRPr="00B175FB">
        <w:rPr>
          <w:rFonts w:eastAsia="Times New Roman"/>
          <w:noProof/>
          <w:sz w:val="22"/>
          <w:vertAlign w:val="superscript"/>
        </w:rPr>
        <w:footnoteReference w:id="21"/>
      </w:r>
      <w:r w:rsidRPr="00B175FB">
        <w:rPr>
          <w:rFonts w:eastAsia="Times New Roman"/>
          <w:noProof/>
          <w:sz w:val="22"/>
        </w:rPr>
        <w:t xml:space="preserve"> </w:t>
      </w:r>
      <w:r w:rsidR="007C4C0D" w:rsidRPr="00B175FB">
        <w:rPr>
          <w:rFonts w:eastAsia="Times New Roman"/>
          <w:sz w:val="22"/>
        </w:rPr>
        <w:t>Š</w:t>
      </w:r>
      <w:r w:rsidRPr="00B175FB">
        <w:rPr>
          <w:rFonts w:eastAsia="Times New Roman"/>
          <w:sz w:val="22"/>
        </w:rPr>
        <w:t>etření</w:t>
      </w:r>
      <w:r w:rsidR="000375AC">
        <w:rPr>
          <w:rFonts w:eastAsia="Times New Roman"/>
          <w:sz w:val="22"/>
        </w:rPr>
        <w:t> </w:t>
      </w:r>
      <w:r w:rsidRPr="00B175FB">
        <w:rPr>
          <w:rFonts w:eastAsia="Times New Roman"/>
          <w:noProof/>
          <w:sz w:val="22"/>
        </w:rPr>
        <w:t xml:space="preserve">TALIS </w:t>
      </w:r>
      <w:r w:rsidR="00B26A49" w:rsidRPr="00B175FB">
        <w:rPr>
          <w:rFonts w:eastAsia="Times New Roman"/>
          <w:noProof/>
          <w:sz w:val="22"/>
        </w:rPr>
        <w:t xml:space="preserve">(Teaching and Learning International Survey) </w:t>
      </w:r>
      <w:r w:rsidRPr="00B175FB">
        <w:rPr>
          <w:rFonts w:eastAsia="Times New Roman"/>
          <w:noProof/>
          <w:sz w:val="22"/>
        </w:rPr>
        <w:t>ukázalo, že postupy aktivující u</w:t>
      </w:r>
      <w:r w:rsidR="00D6696E" w:rsidRPr="00B175FB">
        <w:rPr>
          <w:rFonts w:eastAsia="Times New Roman"/>
          <w:noProof/>
          <w:sz w:val="22"/>
        </w:rPr>
        <w:t> </w:t>
      </w:r>
      <w:r w:rsidRPr="00B175FB">
        <w:rPr>
          <w:rFonts w:eastAsia="Times New Roman"/>
          <w:noProof/>
          <w:sz w:val="22"/>
        </w:rPr>
        <w:t>žáků náročnější kognitivní procesy jsou spíše méně rozšířené</w:t>
      </w:r>
      <w:r w:rsidR="001B5FDF" w:rsidRPr="00B175FB">
        <w:rPr>
          <w:rFonts w:eastAsia="Times New Roman"/>
          <w:noProof/>
          <w:sz w:val="22"/>
        </w:rPr>
        <w:t>.</w:t>
      </w:r>
      <w:r w:rsidRPr="00B175FB">
        <w:rPr>
          <w:rFonts w:eastAsia="Times New Roman"/>
          <w:noProof/>
          <w:sz w:val="22"/>
          <w:vertAlign w:val="superscript"/>
        </w:rPr>
        <w:footnoteReference w:id="22"/>
      </w:r>
      <w:r w:rsidRPr="00B175FB">
        <w:rPr>
          <w:rFonts w:eastAsia="Times New Roman"/>
          <w:noProof/>
          <w:sz w:val="22"/>
        </w:rPr>
        <w:t xml:space="preserve"> Tempo zavádění nových a inovativních metod ve vzdělávání není rovnoměrné, což přispívá k dalšímu prohlubování nerovností ve vzdělávání</w:t>
      </w:r>
      <w:r w:rsidR="001B5FDF" w:rsidRPr="00B175FB">
        <w:rPr>
          <w:rFonts w:eastAsia="Times New Roman"/>
          <w:noProof/>
          <w:sz w:val="22"/>
        </w:rPr>
        <w:t>.</w:t>
      </w:r>
      <w:r w:rsidRPr="00B175FB">
        <w:rPr>
          <w:rFonts w:eastAsia="Times New Roman"/>
          <w:noProof/>
          <w:sz w:val="22"/>
          <w:vertAlign w:val="superscript"/>
        </w:rPr>
        <w:footnoteReference w:id="23"/>
      </w:r>
    </w:p>
    <w:bookmarkEnd w:id="29"/>
    <w:p w:rsidR="00585186" w:rsidRPr="00B175FB" w:rsidRDefault="00585186" w:rsidP="00240BA0">
      <w:pPr>
        <w:spacing w:line="276" w:lineRule="auto"/>
        <w:jc w:val="both"/>
        <w:rPr>
          <w:rFonts w:eastAsia="Times New Roman"/>
          <w:sz w:val="22"/>
        </w:rPr>
      </w:pPr>
      <w:r w:rsidRPr="00B175FB">
        <w:rPr>
          <w:rFonts w:eastAsia="Times New Roman"/>
          <w:noProof/>
          <w:sz w:val="22"/>
        </w:rPr>
        <w:t xml:space="preserve">S ohledem na </w:t>
      </w:r>
      <w:r w:rsidR="00A11242">
        <w:rPr>
          <w:rFonts w:eastAsia="Times New Roman"/>
          <w:noProof/>
          <w:sz w:val="22"/>
        </w:rPr>
        <w:t>zahájenou</w:t>
      </w:r>
      <w:r w:rsidR="00A11242" w:rsidRPr="00B175FB">
        <w:rPr>
          <w:rFonts w:eastAsia="Times New Roman"/>
          <w:noProof/>
          <w:sz w:val="22"/>
        </w:rPr>
        <w:t xml:space="preserve"> </w:t>
      </w:r>
      <w:r w:rsidRPr="00B175FB">
        <w:rPr>
          <w:rFonts w:eastAsia="Times New Roman"/>
          <w:noProof/>
          <w:sz w:val="22"/>
        </w:rPr>
        <w:t>revizi kurikula je třeba připravit a dostatečně podpořit školy, kter</w:t>
      </w:r>
      <w:r w:rsidR="00DD4210" w:rsidRPr="00B175FB">
        <w:rPr>
          <w:rFonts w:eastAsia="Times New Roman"/>
          <w:noProof/>
          <w:sz w:val="22"/>
        </w:rPr>
        <w:t>é</w:t>
      </w:r>
      <w:r w:rsidRPr="00B175FB">
        <w:rPr>
          <w:rFonts w:eastAsia="Times New Roman"/>
          <w:noProof/>
          <w:sz w:val="22"/>
        </w:rPr>
        <w:t xml:space="preserve"> </w:t>
      </w:r>
      <w:r w:rsidR="00DD4210" w:rsidRPr="00B175FB">
        <w:rPr>
          <w:rFonts w:eastAsia="Times New Roman"/>
          <w:noProof/>
          <w:sz w:val="22"/>
        </w:rPr>
        <w:t>čeká v souvislosti s</w:t>
      </w:r>
      <w:r w:rsidRPr="00B175FB">
        <w:rPr>
          <w:rFonts w:eastAsia="Times New Roman"/>
          <w:noProof/>
          <w:sz w:val="22"/>
        </w:rPr>
        <w:t xml:space="preserve"> </w:t>
      </w:r>
      <w:r w:rsidR="00DD4210" w:rsidRPr="00B175FB">
        <w:rPr>
          <w:rFonts w:eastAsia="Times New Roman"/>
          <w:noProof/>
          <w:sz w:val="22"/>
        </w:rPr>
        <w:t xml:space="preserve">modernizací obsahu </w:t>
      </w:r>
      <w:r w:rsidR="00F0199E" w:rsidRPr="00B175FB">
        <w:rPr>
          <w:rFonts w:eastAsia="Times New Roman"/>
          <w:noProof/>
          <w:sz w:val="22"/>
        </w:rPr>
        <w:t xml:space="preserve">vzdělávání </w:t>
      </w:r>
      <w:r w:rsidR="00DD4210" w:rsidRPr="00B175FB">
        <w:rPr>
          <w:rFonts w:eastAsia="Times New Roman"/>
          <w:noProof/>
          <w:sz w:val="22"/>
        </w:rPr>
        <w:t>i</w:t>
      </w:r>
      <w:r w:rsidR="00C1564D" w:rsidRPr="00B175FB">
        <w:rPr>
          <w:rFonts w:eastAsia="Times New Roman"/>
          <w:noProof/>
          <w:sz w:val="22"/>
        </w:rPr>
        <w:t xml:space="preserve"> </w:t>
      </w:r>
      <w:r w:rsidRPr="00B175FB">
        <w:rPr>
          <w:rFonts w:eastAsia="Times New Roman"/>
          <w:noProof/>
          <w:sz w:val="22"/>
        </w:rPr>
        <w:t>transformac</w:t>
      </w:r>
      <w:r w:rsidR="00DD4210" w:rsidRPr="00B175FB">
        <w:rPr>
          <w:rFonts w:eastAsia="Times New Roman"/>
          <w:noProof/>
          <w:sz w:val="22"/>
        </w:rPr>
        <w:t>e</w:t>
      </w:r>
      <w:r w:rsidRPr="00B175FB">
        <w:rPr>
          <w:rFonts w:eastAsia="Times New Roman"/>
          <w:noProof/>
          <w:sz w:val="22"/>
        </w:rPr>
        <w:t xml:space="preserve"> </w:t>
      </w:r>
      <w:r w:rsidR="00C1564D" w:rsidRPr="00B175FB">
        <w:rPr>
          <w:rFonts w:eastAsia="Times New Roman"/>
          <w:noProof/>
          <w:sz w:val="22"/>
        </w:rPr>
        <w:t xml:space="preserve">stávajícího způsobu </w:t>
      </w:r>
      <w:r w:rsidRPr="00B175FB">
        <w:rPr>
          <w:rFonts w:eastAsia="Times New Roman"/>
          <w:noProof/>
          <w:sz w:val="22"/>
        </w:rPr>
        <w:t>výuky</w:t>
      </w:r>
      <w:r w:rsidR="001B5FDF" w:rsidRPr="00B175FB">
        <w:rPr>
          <w:rFonts w:eastAsia="Times New Roman"/>
          <w:noProof/>
          <w:sz w:val="22"/>
        </w:rPr>
        <w:t>.</w:t>
      </w:r>
      <w:r w:rsidR="00A87CE2" w:rsidRPr="00B175FB">
        <w:rPr>
          <w:rStyle w:val="Znakapoznpodarou"/>
          <w:rFonts w:eastAsia="Times New Roman"/>
          <w:b w:val="0"/>
          <w:noProof/>
          <w:sz w:val="22"/>
        </w:rPr>
        <w:footnoteReference w:id="24"/>
      </w:r>
      <w:r w:rsidRPr="00B175FB">
        <w:rPr>
          <w:rFonts w:eastAsia="Times New Roman"/>
          <w:noProof/>
          <w:sz w:val="22"/>
        </w:rPr>
        <w:t xml:space="preserve"> Tato podpora musí být doplněna i</w:t>
      </w:r>
      <w:r w:rsidR="00DD4210" w:rsidRPr="00B175FB">
        <w:rPr>
          <w:rFonts w:eastAsia="Times New Roman"/>
          <w:noProof/>
          <w:sz w:val="22"/>
        </w:rPr>
        <w:t xml:space="preserve"> </w:t>
      </w:r>
      <w:r w:rsidRPr="00B175FB">
        <w:rPr>
          <w:rFonts w:eastAsia="Times New Roman"/>
          <w:noProof/>
          <w:sz w:val="22"/>
        </w:rPr>
        <w:t>v oblasti modernizac</w:t>
      </w:r>
      <w:r w:rsidR="00FB67E5" w:rsidRPr="00B175FB">
        <w:rPr>
          <w:rFonts w:eastAsia="Times New Roman"/>
          <w:noProof/>
          <w:sz w:val="22"/>
        </w:rPr>
        <w:t>e</w:t>
      </w:r>
      <w:r w:rsidR="00DD4210" w:rsidRPr="00B175FB">
        <w:rPr>
          <w:rFonts w:eastAsia="Times New Roman"/>
          <w:noProof/>
          <w:sz w:val="22"/>
        </w:rPr>
        <w:t xml:space="preserve"> </w:t>
      </w:r>
      <w:r w:rsidRPr="00B175FB">
        <w:rPr>
          <w:rFonts w:eastAsia="Times New Roman"/>
          <w:noProof/>
          <w:sz w:val="22"/>
        </w:rPr>
        <w:t>a vybavenosti škol.</w:t>
      </w:r>
    </w:p>
    <w:p w:rsidR="00B45AC1" w:rsidRPr="00B175FB" w:rsidRDefault="0048472E">
      <w:pPr>
        <w:spacing w:line="276" w:lineRule="auto"/>
        <w:jc w:val="both"/>
        <w:rPr>
          <w:rFonts w:eastAsia="Times New Roman"/>
          <w:noProof/>
          <w:sz w:val="22"/>
        </w:rPr>
      </w:pPr>
      <w:r w:rsidRPr="00B175FB">
        <w:rPr>
          <w:rFonts w:eastAsia="Times New Roman"/>
          <w:noProof/>
          <w:sz w:val="22"/>
        </w:rPr>
        <w:t xml:space="preserve">Taktéž </w:t>
      </w:r>
      <w:r w:rsidR="004C275D" w:rsidRPr="00B175FB">
        <w:rPr>
          <w:rFonts w:eastAsia="Times New Roman"/>
          <w:noProof/>
          <w:sz w:val="22"/>
        </w:rPr>
        <w:t xml:space="preserve">vysoké školy se </w:t>
      </w:r>
      <w:r w:rsidR="00C1564D" w:rsidRPr="00B175FB">
        <w:rPr>
          <w:rFonts w:eastAsia="Times New Roman"/>
          <w:noProof/>
          <w:sz w:val="22"/>
        </w:rPr>
        <w:t>pro</w:t>
      </w:r>
      <w:r w:rsidR="00E8500B" w:rsidRPr="00B175FB">
        <w:rPr>
          <w:rFonts w:eastAsia="Times New Roman"/>
          <w:noProof/>
          <w:sz w:val="22"/>
        </w:rPr>
        <w:t xml:space="preserve"> příprav</w:t>
      </w:r>
      <w:r w:rsidR="00C1564D" w:rsidRPr="00B175FB">
        <w:rPr>
          <w:rFonts w:eastAsia="Times New Roman"/>
          <w:noProof/>
          <w:sz w:val="22"/>
        </w:rPr>
        <w:t>u</w:t>
      </w:r>
      <w:r w:rsidR="00E8500B" w:rsidRPr="00B175FB">
        <w:rPr>
          <w:rFonts w:eastAsia="Times New Roman"/>
          <w:noProof/>
          <w:sz w:val="22"/>
        </w:rPr>
        <w:t xml:space="preserve"> kvalifikované pracovní síl</w:t>
      </w:r>
      <w:r w:rsidR="009C0A47" w:rsidRPr="00B175FB">
        <w:rPr>
          <w:rFonts w:eastAsia="Times New Roman"/>
          <w:noProof/>
          <w:sz w:val="22"/>
        </w:rPr>
        <w:t>y</w:t>
      </w:r>
      <w:r w:rsidR="00E8500B" w:rsidRPr="00B175FB">
        <w:rPr>
          <w:rFonts w:eastAsia="Times New Roman"/>
          <w:noProof/>
          <w:sz w:val="22"/>
        </w:rPr>
        <w:t xml:space="preserve"> </w:t>
      </w:r>
      <w:r w:rsidR="004C275D" w:rsidRPr="00B175FB">
        <w:rPr>
          <w:rFonts w:eastAsia="Times New Roman"/>
          <w:noProof/>
          <w:sz w:val="22"/>
        </w:rPr>
        <w:t>musí přizpůsobit změnám, které přináší třetí dekáda 21. století</w:t>
      </w:r>
      <w:r w:rsidR="00E8500B" w:rsidRPr="00B175FB">
        <w:rPr>
          <w:rFonts w:eastAsia="Times New Roman"/>
          <w:noProof/>
          <w:sz w:val="22"/>
        </w:rPr>
        <w:t xml:space="preserve">. </w:t>
      </w:r>
      <w:r w:rsidR="00A26394" w:rsidRPr="00B175FB">
        <w:rPr>
          <w:rFonts w:eastAsia="Times New Roman"/>
          <w:noProof/>
          <w:sz w:val="22"/>
        </w:rPr>
        <w:t xml:space="preserve">Obdobně jako v oblasti regionálního školství </w:t>
      </w:r>
      <w:r w:rsidR="00424F36" w:rsidRPr="00B175FB">
        <w:rPr>
          <w:rFonts w:eastAsia="Times New Roman"/>
          <w:noProof/>
          <w:sz w:val="22"/>
        </w:rPr>
        <w:t>jsou</w:t>
      </w:r>
      <w:r w:rsidR="00A26394" w:rsidRPr="00B175FB">
        <w:rPr>
          <w:rFonts w:eastAsia="Times New Roman"/>
          <w:noProof/>
          <w:sz w:val="22"/>
        </w:rPr>
        <w:t xml:space="preserve"> i v oblasti vysok</w:t>
      </w:r>
      <w:r w:rsidR="003C42A2" w:rsidRPr="00B175FB">
        <w:rPr>
          <w:rFonts w:eastAsia="Times New Roman"/>
          <w:noProof/>
          <w:sz w:val="22"/>
        </w:rPr>
        <w:t>ého</w:t>
      </w:r>
      <w:r w:rsidR="00A26394" w:rsidRPr="00B175FB">
        <w:rPr>
          <w:rFonts w:eastAsia="Times New Roman"/>
          <w:noProof/>
          <w:sz w:val="22"/>
        </w:rPr>
        <w:t xml:space="preserve"> škol</w:t>
      </w:r>
      <w:r w:rsidR="003C42A2" w:rsidRPr="00B175FB">
        <w:rPr>
          <w:rFonts w:eastAsia="Times New Roman"/>
          <w:noProof/>
          <w:sz w:val="22"/>
        </w:rPr>
        <w:t>ství</w:t>
      </w:r>
      <w:r w:rsidR="00424F36" w:rsidRPr="00B175FB">
        <w:rPr>
          <w:rFonts w:eastAsia="Times New Roman"/>
          <w:noProof/>
          <w:sz w:val="22"/>
        </w:rPr>
        <w:t xml:space="preserve"> </w:t>
      </w:r>
      <w:r w:rsidR="00E8500B" w:rsidRPr="00B175FB">
        <w:rPr>
          <w:rFonts w:eastAsia="Times New Roman"/>
          <w:noProof/>
          <w:sz w:val="22"/>
        </w:rPr>
        <w:t xml:space="preserve">nedostatečně rozvíjeny digitální </w:t>
      </w:r>
      <w:r w:rsidR="002F26AB" w:rsidRPr="00B175FB">
        <w:rPr>
          <w:rFonts w:eastAsia="Times New Roman"/>
          <w:noProof/>
          <w:sz w:val="22"/>
        </w:rPr>
        <w:t xml:space="preserve">gramotnosti </w:t>
      </w:r>
      <w:r w:rsidR="00E8500B" w:rsidRPr="00B175FB">
        <w:rPr>
          <w:rFonts w:eastAsia="Times New Roman"/>
          <w:noProof/>
          <w:sz w:val="22"/>
        </w:rPr>
        <w:t>a tzv. měkké dovednosti a podnikatelské kompetence studentů, studenti jsou často nedostatečně schopni aplikovat nabyté znalosti a dovednosti v praxi. Přetrvávají tradiční formy výuky (fron</w:t>
      </w:r>
      <w:r w:rsidR="00424F36" w:rsidRPr="00B175FB">
        <w:rPr>
          <w:rFonts w:eastAsia="Times New Roman"/>
          <w:noProof/>
          <w:sz w:val="22"/>
        </w:rPr>
        <w:t>t</w:t>
      </w:r>
      <w:r w:rsidR="00E8500B" w:rsidRPr="00B175FB">
        <w:rPr>
          <w:rFonts w:eastAsia="Times New Roman"/>
          <w:noProof/>
          <w:sz w:val="22"/>
        </w:rPr>
        <w:t xml:space="preserve">ální výuka v prezenčních typech studia, </w:t>
      </w:r>
      <w:r w:rsidR="001009C4" w:rsidRPr="00B175FB">
        <w:rPr>
          <w:rFonts w:eastAsia="Times New Roman"/>
          <w:noProof/>
          <w:sz w:val="22"/>
        </w:rPr>
        <w:t xml:space="preserve">často nevhodné nastavení kombinované či distanční fomy studia, </w:t>
      </w:r>
      <w:r w:rsidR="00E8500B" w:rsidRPr="00B175FB">
        <w:rPr>
          <w:rFonts w:eastAsia="Times New Roman"/>
          <w:noProof/>
          <w:sz w:val="22"/>
        </w:rPr>
        <w:t>velká část studijních programů je stále</w:t>
      </w:r>
      <w:r w:rsidR="00C1564D" w:rsidRPr="00B175FB">
        <w:rPr>
          <w:rFonts w:eastAsia="Times New Roman"/>
          <w:noProof/>
          <w:sz w:val="22"/>
        </w:rPr>
        <w:t xml:space="preserve"> čistě</w:t>
      </w:r>
      <w:r w:rsidR="00E8500B" w:rsidRPr="00B175FB">
        <w:rPr>
          <w:rFonts w:eastAsia="Times New Roman"/>
          <w:noProof/>
          <w:sz w:val="22"/>
        </w:rPr>
        <w:t xml:space="preserve"> </w:t>
      </w:r>
      <w:r w:rsidR="00BC6EF1" w:rsidRPr="00B175FB">
        <w:rPr>
          <w:rFonts w:eastAsia="Times New Roman"/>
          <w:noProof/>
          <w:sz w:val="22"/>
        </w:rPr>
        <w:t xml:space="preserve">akademicky zaměřených </w:t>
      </w:r>
      <w:r w:rsidR="001009C4" w:rsidRPr="00B175FB">
        <w:rPr>
          <w:rFonts w:eastAsia="Times New Roman"/>
          <w:noProof/>
          <w:sz w:val="22"/>
        </w:rPr>
        <w:t>bez dostatečné praxe</w:t>
      </w:r>
      <w:r w:rsidR="00E8500B" w:rsidRPr="00B175FB">
        <w:rPr>
          <w:rFonts w:eastAsia="Times New Roman"/>
          <w:noProof/>
          <w:sz w:val="22"/>
        </w:rPr>
        <w:t>), ač</w:t>
      </w:r>
      <w:r w:rsidR="00424F36" w:rsidRPr="00B175FB">
        <w:rPr>
          <w:rFonts w:eastAsia="Times New Roman"/>
          <w:noProof/>
          <w:sz w:val="22"/>
        </w:rPr>
        <w:t>koliv</w:t>
      </w:r>
      <w:r w:rsidR="00E8500B" w:rsidRPr="00B175FB">
        <w:rPr>
          <w:rFonts w:eastAsia="Times New Roman"/>
          <w:noProof/>
          <w:sz w:val="22"/>
        </w:rPr>
        <w:t xml:space="preserve"> </w:t>
      </w:r>
      <w:r w:rsidR="000415C7" w:rsidRPr="00B175FB">
        <w:rPr>
          <w:rFonts w:eastAsia="Times New Roman"/>
          <w:noProof/>
          <w:sz w:val="22"/>
        </w:rPr>
        <w:t>dynamika</w:t>
      </w:r>
      <w:r w:rsidR="009B0632" w:rsidRPr="00B175FB">
        <w:rPr>
          <w:rFonts w:eastAsia="Times New Roman"/>
          <w:noProof/>
          <w:sz w:val="22"/>
        </w:rPr>
        <w:t> </w:t>
      </w:r>
      <w:r w:rsidR="000415C7" w:rsidRPr="00B175FB">
        <w:rPr>
          <w:rFonts w:eastAsia="Times New Roman"/>
          <w:noProof/>
          <w:sz w:val="22"/>
        </w:rPr>
        <w:t>21</w:t>
      </w:r>
      <w:r w:rsidR="00D6696E" w:rsidRPr="00B175FB">
        <w:rPr>
          <w:rFonts w:eastAsia="Times New Roman"/>
          <w:noProof/>
          <w:sz w:val="22"/>
        </w:rPr>
        <w:t>. </w:t>
      </w:r>
      <w:r w:rsidR="000415C7" w:rsidRPr="00B175FB">
        <w:rPr>
          <w:rFonts w:eastAsia="Times New Roman"/>
          <w:noProof/>
          <w:sz w:val="22"/>
        </w:rPr>
        <w:t>století vyžaduje nové přístupy a inovativní vzdělávací metody výuky.</w:t>
      </w:r>
      <w:r w:rsidR="00C92605" w:rsidRPr="009F501B">
        <w:rPr>
          <w:rStyle w:val="Znakapoznpodarou"/>
          <w:rFonts w:eastAsia="Times New Roman"/>
          <w:b w:val="0"/>
          <w:bCs/>
          <w:noProof/>
          <w:sz w:val="22"/>
        </w:rPr>
        <w:footnoteReference w:id="25"/>
      </w:r>
      <w:r w:rsidR="000415C7" w:rsidRPr="00B175FB">
        <w:rPr>
          <w:rFonts w:eastAsia="Times New Roman"/>
          <w:noProof/>
          <w:sz w:val="22"/>
        </w:rPr>
        <w:t xml:space="preserve"> </w:t>
      </w:r>
      <w:r w:rsidR="00E8500B" w:rsidRPr="00B175FB">
        <w:rPr>
          <w:rFonts w:eastAsia="Times New Roman"/>
          <w:noProof/>
          <w:sz w:val="22"/>
        </w:rPr>
        <w:t xml:space="preserve">Je proto třeba klást větší důraz </w:t>
      </w:r>
      <w:r w:rsidR="00421107" w:rsidRPr="00B175FB">
        <w:rPr>
          <w:rFonts w:eastAsia="Times New Roman"/>
          <w:noProof/>
          <w:sz w:val="22"/>
        </w:rPr>
        <w:t>na </w:t>
      </w:r>
      <w:r w:rsidR="00E8500B" w:rsidRPr="00B175FB">
        <w:rPr>
          <w:rFonts w:eastAsia="Times New Roman"/>
          <w:noProof/>
          <w:sz w:val="22"/>
        </w:rPr>
        <w:t xml:space="preserve">měkké kompetence, rozvoj digitální </w:t>
      </w:r>
      <w:r w:rsidR="002F26AB" w:rsidRPr="00B175FB">
        <w:rPr>
          <w:rFonts w:eastAsia="Times New Roman"/>
          <w:noProof/>
          <w:sz w:val="22"/>
        </w:rPr>
        <w:t>gramotnosti</w:t>
      </w:r>
      <w:r w:rsidR="00E8500B" w:rsidRPr="00B175FB">
        <w:rPr>
          <w:rFonts w:eastAsia="Times New Roman"/>
          <w:noProof/>
          <w:sz w:val="22"/>
        </w:rPr>
        <w:t>, jazykovou vybavenost studentů a zejména pak praktické zaměření studia, které by mělo být ve větší míře realizováno ve spolupráci s  potenciálními zaměstnavateli. Klíčem je zavádění nových metod výuky do studijních programů, tlak</w:t>
      </w:r>
      <w:r w:rsidR="00B406C8" w:rsidRPr="00B175FB">
        <w:rPr>
          <w:rFonts w:eastAsia="Times New Roman"/>
          <w:noProof/>
          <w:sz w:val="22"/>
        </w:rPr>
        <w:t> </w:t>
      </w:r>
      <w:r w:rsidR="00E8500B" w:rsidRPr="00B175FB">
        <w:rPr>
          <w:rFonts w:eastAsia="Times New Roman"/>
          <w:noProof/>
          <w:sz w:val="22"/>
        </w:rPr>
        <w:t>na</w:t>
      </w:r>
      <w:r w:rsidR="00B406C8" w:rsidRPr="00B175FB">
        <w:rPr>
          <w:rFonts w:eastAsia="Times New Roman"/>
          <w:noProof/>
          <w:sz w:val="22"/>
        </w:rPr>
        <w:t> </w:t>
      </w:r>
      <w:r w:rsidR="00E8500B" w:rsidRPr="00B175FB">
        <w:rPr>
          <w:rFonts w:eastAsia="Times New Roman"/>
          <w:noProof/>
          <w:sz w:val="22"/>
        </w:rPr>
        <w:t>rozvoj nových dovedností akademických pracovníků, kteří budou tyto metody při výuce využívat, a</w:t>
      </w:r>
      <w:r w:rsidR="00B406C8" w:rsidRPr="00B175FB">
        <w:rPr>
          <w:rFonts w:eastAsia="Times New Roman"/>
          <w:noProof/>
          <w:sz w:val="22"/>
        </w:rPr>
        <w:t> </w:t>
      </w:r>
      <w:r w:rsidR="00E8500B" w:rsidRPr="00B175FB">
        <w:rPr>
          <w:rFonts w:eastAsia="Times New Roman"/>
          <w:noProof/>
          <w:sz w:val="22"/>
        </w:rPr>
        <w:t>rozvoj vzájemné spolupráce s aplikační sférou, a to jak v době příprav studijních programů, tak </w:t>
      </w:r>
      <w:r w:rsidR="00C1564D" w:rsidRPr="00B175FB">
        <w:rPr>
          <w:rFonts w:eastAsia="Times New Roman"/>
          <w:noProof/>
          <w:sz w:val="22"/>
        </w:rPr>
        <w:t>při jejich</w:t>
      </w:r>
      <w:r w:rsidR="00E8500B" w:rsidRPr="00B175FB">
        <w:rPr>
          <w:rFonts w:eastAsia="Times New Roman"/>
          <w:noProof/>
          <w:sz w:val="22"/>
        </w:rPr>
        <w:t xml:space="preserve"> realizac</w:t>
      </w:r>
      <w:r w:rsidR="00C1564D" w:rsidRPr="00B175FB">
        <w:rPr>
          <w:rFonts w:eastAsia="Times New Roman"/>
          <w:noProof/>
          <w:sz w:val="22"/>
        </w:rPr>
        <w:t>i</w:t>
      </w:r>
      <w:r w:rsidR="00E8500B" w:rsidRPr="00B175FB">
        <w:rPr>
          <w:rFonts w:eastAsia="Times New Roman"/>
          <w:noProof/>
          <w:sz w:val="22"/>
        </w:rPr>
        <w:t xml:space="preserve">. Vzrůstá také tlak </w:t>
      </w:r>
      <w:r w:rsidR="00D6696E" w:rsidRPr="00B175FB">
        <w:rPr>
          <w:rFonts w:eastAsia="Times New Roman"/>
          <w:noProof/>
          <w:sz w:val="22"/>
        </w:rPr>
        <w:t>na </w:t>
      </w:r>
      <w:r w:rsidR="00E8500B" w:rsidRPr="00B175FB">
        <w:rPr>
          <w:rFonts w:eastAsia="Times New Roman"/>
          <w:noProof/>
          <w:sz w:val="22"/>
        </w:rPr>
        <w:t xml:space="preserve">interdisciplinaritu, vzniká </w:t>
      </w:r>
      <w:r w:rsidR="006E5E5A">
        <w:rPr>
          <w:rFonts w:eastAsia="Times New Roman"/>
          <w:noProof/>
          <w:sz w:val="22"/>
        </w:rPr>
        <w:t xml:space="preserve">větší </w:t>
      </w:r>
      <w:r w:rsidR="00E8500B" w:rsidRPr="00B175FB">
        <w:rPr>
          <w:rFonts w:eastAsia="Times New Roman"/>
          <w:noProof/>
          <w:sz w:val="22"/>
        </w:rPr>
        <w:t>potřeba studijních programů</w:t>
      </w:r>
      <w:r w:rsidR="00AA0208" w:rsidRPr="00B175FB">
        <w:rPr>
          <w:rFonts w:eastAsia="Times New Roman"/>
          <w:noProof/>
          <w:sz w:val="22"/>
        </w:rPr>
        <w:t xml:space="preserve"> zaměřených mezioborově</w:t>
      </w:r>
      <w:r w:rsidR="00E8500B" w:rsidRPr="00B175FB">
        <w:rPr>
          <w:rFonts w:eastAsia="Times New Roman"/>
          <w:noProof/>
          <w:sz w:val="22"/>
        </w:rPr>
        <w:t xml:space="preserve">, což vyžaduje často spolupráci nejen v rámci jedné vzdělávací instituce, ale i mezi </w:t>
      </w:r>
      <w:r w:rsidR="003C42A2" w:rsidRPr="00B175FB">
        <w:rPr>
          <w:rFonts w:eastAsia="Times New Roman"/>
          <w:noProof/>
          <w:sz w:val="22"/>
        </w:rPr>
        <w:t>VŠ</w:t>
      </w:r>
      <w:r w:rsidR="00E8500B" w:rsidRPr="00B175FB">
        <w:rPr>
          <w:rFonts w:eastAsia="Times New Roman"/>
          <w:noProof/>
          <w:sz w:val="22"/>
        </w:rPr>
        <w:t xml:space="preserve"> různého zaměření</w:t>
      </w:r>
      <w:r w:rsidR="009C03B4" w:rsidRPr="00B175FB">
        <w:rPr>
          <w:rFonts w:eastAsia="Times New Roman"/>
          <w:noProof/>
          <w:sz w:val="22"/>
        </w:rPr>
        <w:t>, což může přinést nový pohled na danou realitu.</w:t>
      </w:r>
      <w:r w:rsidR="001009C4" w:rsidRPr="00B175FB">
        <w:rPr>
          <w:rFonts w:eastAsia="Times New Roman"/>
          <w:noProof/>
          <w:sz w:val="22"/>
        </w:rPr>
        <w:t xml:space="preserve"> V této oblasti české </w:t>
      </w:r>
      <w:r w:rsidR="003C42A2" w:rsidRPr="00B175FB">
        <w:rPr>
          <w:rFonts w:eastAsia="Times New Roman"/>
          <w:noProof/>
          <w:sz w:val="22"/>
        </w:rPr>
        <w:t>VŠ</w:t>
      </w:r>
      <w:r w:rsidR="001009C4" w:rsidRPr="00B175FB">
        <w:rPr>
          <w:rFonts w:eastAsia="Times New Roman"/>
          <w:noProof/>
          <w:sz w:val="22"/>
        </w:rPr>
        <w:t xml:space="preserve"> často výrazně zaostávají za špičkovými institucemi terciárního vzdělávání v zahraničí.</w:t>
      </w:r>
      <w:r w:rsidR="00C51D7A" w:rsidRPr="00B175FB">
        <w:rPr>
          <w:rFonts w:eastAsia="Times New Roman"/>
          <w:noProof/>
          <w:sz w:val="22"/>
        </w:rPr>
        <w:t xml:space="preserve"> </w:t>
      </w:r>
      <w:r w:rsidR="003C42A2" w:rsidRPr="00B175FB">
        <w:rPr>
          <w:rFonts w:eastAsia="Times New Roman"/>
          <w:noProof/>
          <w:sz w:val="22"/>
        </w:rPr>
        <w:t>VŠ</w:t>
      </w:r>
      <w:r w:rsidR="00C51D7A" w:rsidRPr="00B175FB">
        <w:rPr>
          <w:rFonts w:eastAsia="Times New Roman"/>
          <w:noProof/>
          <w:sz w:val="22"/>
        </w:rPr>
        <w:t xml:space="preserve"> jsou stále relativně málo otevřeny zahraničnímu prostředí, uzavřenost často souvisí s nízkou jazykovou vybaveností </w:t>
      </w:r>
      <w:r w:rsidR="003C42A2" w:rsidRPr="00B175FB">
        <w:rPr>
          <w:rFonts w:eastAsia="Times New Roman"/>
          <w:noProof/>
          <w:sz w:val="22"/>
        </w:rPr>
        <w:t xml:space="preserve">jejich </w:t>
      </w:r>
      <w:r w:rsidR="00C51D7A" w:rsidRPr="00B175FB">
        <w:rPr>
          <w:rFonts w:eastAsia="Times New Roman"/>
          <w:noProof/>
          <w:sz w:val="22"/>
        </w:rPr>
        <w:t xml:space="preserve">akademických i neakademických pracovníků a je </w:t>
      </w:r>
      <w:r w:rsidR="00933D33" w:rsidRPr="00B175FB">
        <w:rPr>
          <w:rFonts w:eastAsia="Times New Roman"/>
          <w:noProof/>
          <w:sz w:val="22"/>
        </w:rPr>
        <w:t xml:space="preserve">jedním z </w:t>
      </w:r>
      <w:r w:rsidR="00C51D7A" w:rsidRPr="00B175FB">
        <w:rPr>
          <w:rFonts w:eastAsia="Times New Roman"/>
          <w:noProof/>
          <w:sz w:val="22"/>
        </w:rPr>
        <w:t>omezující</w:t>
      </w:r>
      <w:r w:rsidR="005565FD" w:rsidRPr="00B175FB">
        <w:rPr>
          <w:rFonts w:eastAsia="Times New Roman"/>
          <w:noProof/>
          <w:sz w:val="22"/>
        </w:rPr>
        <w:t>ch</w:t>
      </w:r>
      <w:r w:rsidR="00C51D7A" w:rsidRPr="00B175FB">
        <w:rPr>
          <w:rFonts w:eastAsia="Times New Roman"/>
          <w:noProof/>
          <w:sz w:val="22"/>
        </w:rPr>
        <w:t xml:space="preserve"> faktor</w:t>
      </w:r>
      <w:r w:rsidR="005565FD" w:rsidRPr="00B175FB">
        <w:rPr>
          <w:rFonts w:eastAsia="Times New Roman"/>
          <w:noProof/>
          <w:sz w:val="22"/>
        </w:rPr>
        <w:t>ů</w:t>
      </w:r>
      <w:r w:rsidR="00C51D7A" w:rsidRPr="00B175FB">
        <w:rPr>
          <w:rFonts w:eastAsia="Times New Roman"/>
          <w:noProof/>
          <w:sz w:val="22"/>
        </w:rPr>
        <w:t xml:space="preserve"> jejich rozvoje.</w:t>
      </w:r>
      <w:r w:rsidR="00CB04AC" w:rsidRPr="00B175FB">
        <w:rPr>
          <w:rFonts w:eastAsia="Times New Roman"/>
          <w:noProof/>
          <w:sz w:val="22"/>
        </w:rPr>
        <w:t xml:space="preserve"> </w:t>
      </w:r>
    </w:p>
    <w:p w:rsidR="00CB04AC" w:rsidRPr="00B175FB" w:rsidRDefault="00CB04AC" w:rsidP="00240BA0">
      <w:pPr>
        <w:spacing w:line="276" w:lineRule="auto"/>
        <w:jc w:val="both"/>
        <w:rPr>
          <w:rFonts w:eastAsia="Times New Roman"/>
          <w:noProof/>
          <w:sz w:val="22"/>
        </w:rPr>
      </w:pPr>
      <w:r w:rsidRPr="00B175FB">
        <w:rPr>
          <w:rFonts w:eastAsia="Times New Roman"/>
          <w:noProof/>
          <w:sz w:val="22"/>
        </w:rPr>
        <w:t>S rozvojem nových forem výuky, tlakem na digitalizaci a rychlým rozvojem tech</w:t>
      </w:r>
      <w:r w:rsidR="007F6613" w:rsidRPr="00B175FB">
        <w:rPr>
          <w:rFonts w:eastAsia="Times New Roman"/>
          <w:noProof/>
          <w:sz w:val="22"/>
        </w:rPr>
        <w:t>n</w:t>
      </w:r>
      <w:r w:rsidRPr="00B175FB">
        <w:rPr>
          <w:rFonts w:eastAsia="Times New Roman"/>
          <w:noProof/>
          <w:sz w:val="22"/>
        </w:rPr>
        <w:t xml:space="preserve">ologií obecně souvisí nedostatečnost vybavení </w:t>
      </w:r>
      <w:r w:rsidR="003C42A2" w:rsidRPr="00B175FB">
        <w:rPr>
          <w:rFonts w:eastAsia="Times New Roman"/>
          <w:noProof/>
          <w:sz w:val="22"/>
        </w:rPr>
        <w:t>českých VŠ</w:t>
      </w:r>
      <w:r w:rsidRPr="00B175FB">
        <w:rPr>
          <w:rFonts w:eastAsia="Times New Roman"/>
          <w:noProof/>
          <w:sz w:val="22"/>
        </w:rPr>
        <w:t xml:space="preserve"> </w:t>
      </w:r>
      <w:r w:rsidR="00C1564D" w:rsidRPr="00B175FB">
        <w:rPr>
          <w:rFonts w:eastAsia="Times New Roman"/>
          <w:noProof/>
          <w:sz w:val="22"/>
        </w:rPr>
        <w:t xml:space="preserve">ve srovnání s kvalitními </w:t>
      </w:r>
      <w:r w:rsidR="003C42A2" w:rsidRPr="00B175FB">
        <w:rPr>
          <w:rFonts w:eastAsia="Times New Roman"/>
          <w:noProof/>
          <w:sz w:val="22"/>
        </w:rPr>
        <w:t>VŠ</w:t>
      </w:r>
      <w:r w:rsidRPr="00B175FB">
        <w:rPr>
          <w:rFonts w:eastAsia="Times New Roman"/>
          <w:noProof/>
          <w:sz w:val="22"/>
        </w:rPr>
        <w:t xml:space="preserve"> </w:t>
      </w:r>
      <w:r w:rsidR="00C1564D" w:rsidRPr="00B175FB">
        <w:rPr>
          <w:rFonts w:eastAsia="Times New Roman"/>
          <w:noProof/>
          <w:sz w:val="22"/>
        </w:rPr>
        <w:t>v</w:t>
      </w:r>
      <w:r w:rsidRPr="00B175FB">
        <w:rPr>
          <w:rFonts w:eastAsia="Times New Roman"/>
          <w:noProof/>
          <w:sz w:val="22"/>
        </w:rPr>
        <w:t xml:space="preserve"> zahraničí. Vybavení je</w:t>
      </w:r>
      <w:r w:rsidR="00B406C8" w:rsidRPr="00B175FB">
        <w:rPr>
          <w:rFonts w:eastAsia="Times New Roman"/>
          <w:noProof/>
          <w:sz w:val="22"/>
        </w:rPr>
        <w:t> </w:t>
      </w:r>
      <w:r w:rsidRPr="00B175FB">
        <w:rPr>
          <w:rFonts w:eastAsia="Times New Roman"/>
          <w:noProof/>
          <w:sz w:val="22"/>
        </w:rPr>
        <w:t>často zastaralé, neadekvátní moderním výukovým trendům</w:t>
      </w:r>
      <w:r w:rsidR="00FB2D24" w:rsidRPr="00B175FB">
        <w:rPr>
          <w:rFonts w:eastAsia="Times New Roman"/>
          <w:noProof/>
          <w:sz w:val="22"/>
        </w:rPr>
        <w:t xml:space="preserve"> a</w:t>
      </w:r>
      <w:r w:rsidR="00C1564D" w:rsidRPr="00B175FB">
        <w:rPr>
          <w:rFonts w:eastAsia="Times New Roman"/>
          <w:noProof/>
          <w:sz w:val="22"/>
        </w:rPr>
        <w:t xml:space="preserve"> negarantuje</w:t>
      </w:r>
      <w:r w:rsidRPr="00B175FB">
        <w:rPr>
          <w:rFonts w:eastAsia="Times New Roman"/>
          <w:noProof/>
          <w:sz w:val="22"/>
        </w:rPr>
        <w:t xml:space="preserve"> podmínky pro poskytování vysoce kvalitních vzdělávacích </w:t>
      </w:r>
      <w:r w:rsidR="00C1564D" w:rsidRPr="00B175FB">
        <w:rPr>
          <w:rFonts w:eastAsia="Times New Roman"/>
          <w:noProof/>
          <w:sz w:val="22"/>
        </w:rPr>
        <w:t>procesů</w:t>
      </w:r>
      <w:r w:rsidRPr="00B175FB">
        <w:rPr>
          <w:rFonts w:eastAsia="Times New Roman"/>
          <w:noProof/>
          <w:sz w:val="22"/>
        </w:rPr>
        <w:t xml:space="preserve">. </w:t>
      </w:r>
    </w:p>
    <w:p w:rsidR="00A11242" w:rsidRDefault="00C903B3">
      <w:pPr>
        <w:spacing w:line="276" w:lineRule="auto"/>
        <w:jc w:val="both"/>
        <w:rPr>
          <w:rFonts w:eastAsia="Times New Roman"/>
          <w:sz w:val="22"/>
        </w:rPr>
      </w:pPr>
      <w:r w:rsidRPr="00B175FB">
        <w:rPr>
          <w:rFonts w:eastAsia="Times New Roman"/>
          <w:sz w:val="22"/>
        </w:rPr>
        <w:t>V</w:t>
      </w:r>
      <w:r w:rsidR="00815660" w:rsidRPr="00B175FB">
        <w:rPr>
          <w:rFonts w:eastAsia="Times New Roman"/>
          <w:sz w:val="22"/>
        </w:rPr>
        <w:t xml:space="preserve"> rychle se </w:t>
      </w:r>
      <w:r w:rsidR="00F0028D" w:rsidRPr="00B175FB">
        <w:rPr>
          <w:rFonts w:eastAsia="Times New Roman"/>
          <w:sz w:val="22"/>
        </w:rPr>
        <w:t>měnící</w:t>
      </w:r>
      <w:r w:rsidR="00753C33" w:rsidRPr="00B175FB">
        <w:rPr>
          <w:rFonts w:eastAsia="Times New Roman"/>
          <w:sz w:val="22"/>
        </w:rPr>
        <w:t>m</w:t>
      </w:r>
      <w:r w:rsidR="00F0028D" w:rsidRPr="00B175FB">
        <w:rPr>
          <w:rFonts w:eastAsia="Times New Roman"/>
          <w:sz w:val="22"/>
        </w:rPr>
        <w:t xml:space="preserve"> </w:t>
      </w:r>
      <w:r w:rsidR="00753C33" w:rsidRPr="00B175FB">
        <w:rPr>
          <w:rFonts w:eastAsia="Times New Roman"/>
          <w:sz w:val="22"/>
        </w:rPr>
        <w:t xml:space="preserve">okolním prostředí </w:t>
      </w:r>
      <w:r w:rsidR="00F0028D" w:rsidRPr="00B175FB">
        <w:rPr>
          <w:rFonts w:eastAsia="Times New Roman"/>
          <w:sz w:val="22"/>
        </w:rPr>
        <w:t xml:space="preserve">bude nezbytné, aby se lidé vzdělávali průběžně po celý svůj život. </w:t>
      </w:r>
      <w:r w:rsidR="00AC2F4F" w:rsidRPr="00B175FB">
        <w:rPr>
          <w:rFonts w:eastAsia="Times New Roman"/>
          <w:sz w:val="22"/>
        </w:rPr>
        <w:t>V</w:t>
      </w:r>
      <w:r w:rsidR="0055784D" w:rsidRPr="00B175FB">
        <w:rPr>
          <w:rFonts w:eastAsia="Times New Roman"/>
          <w:sz w:val="22"/>
        </w:rPr>
        <w:t> </w:t>
      </w:r>
      <w:r w:rsidR="00AC2F4F" w:rsidRPr="00B175FB">
        <w:rPr>
          <w:rFonts w:eastAsia="Times New Roman"/>
          <w:sz w:val="22"/>
        </w:rPr>
        <w:t xml:space="preserve">tomto ohledu je zcela zásadním krokem </w:t>
      </w:r>
      <w:r w:rsidRPr="00B175FB">
        <w:rPr>
          <w:rFonts w:eastAsia="Times New Roman"/>
          <w:sz w:val="22"/>
        </w:rPr>
        <w:t xml:space="preserve">vybavit </w:t>
      </w:r>
      <w:r w:rsidR="00332F7E" w:rsidRPr="00B175FB">
        <w:rPr>
          <w:rFonts w:eastAsia="Times New Roman"/>
          <w:sz w:val="22"/>
        </w:rPr>
        <w:t xml:space="preserve">děti, </w:t>
      </w:r>
      <w:r w:rsidRPr="00B175FB">
        <w:rPr>
          <w:rFonts w:eastAsia="Times New Roman"/>
          <w:sz w:val="22"/>
        </w:rPr>
        <w:t xml:space="preserve">žáky a studenty v rámci počátečního vzdělávání kompetencemi pro celoživotní učení. </w:t>
      </w:r>
      <w:r w:rsidR="0096162B" w:rsidRPr="00B175FB">
        <w:rPr>
          <w:rFonts w:eastAsia="Times New Roman"/>
          <w:sz w:val="22"/>
        </w:rPr>
        <w:t xml:space="preserve">Rovněž </w:t>
      </w:r>
      <w:r w:rsidRPr="00B175FB">
        <w:rPr>
          <w:rFonts w:eastAsia="Times New Roman"/>
          <w:sz w:val="22"/>
        </w:rPr>
        <w:t xml:space="preserve">lze </w:t>
      </w:r>
      <w:r w:rsidR="00A433AE" w:rsidRPr="00B175FB">
        <w:rPr>
          <w:rFonts w:eastAsia="Times New Roman"/>
          <w:sz w:val="22"/>
        </w:rPr>
        <w:t xml:space="preserve">počítat </w:t>
      </w:r>
      <w:r w:rsidR="00AC2F4F" w:rsidRPr="00B175FB">
        <w:rPr>
          <w:rFonts w:eastAsia="Times New Roman"/>
          <w:sz w:val="22"/>
        </w:rPr>
        <w:t xml:space="preserve">s výrazně aktivnější rolí </w:t>
      </w:r>
      <w:r w:rsidR="0055784D" w:rsidRPr="00B175FB">
        <w:rPr>
          <w:rFonts w:eastAsia="Times New Roman"/>
          <w:sz w:val="22"/>
        </w:rPr>
        <w:t xml:space="preserve">nejen </w:t>
      </w:r>
      <w:r w:rsidR="00AC2F4F" w:rsidRPr="00B175FB">
        <w:rPr>
          <w:rFonts w:eastAsia="Times New Roman"/>
          <w:sz w:val="22"/>
        </w:rPr>
        <w:t xml:space="preserve">škol </w:t>
      </w:r>
      <w:r w:rsidR="001C5D35" w:rsidRPr="00B175FB">
        <w:rPr>
          <w:rFonts w:eastAsia="Times New Roman"/>
          <w:sz w:val="22"/>
        </w:rPr>
        <w:t xml:space="preserve">(včetně </w:t>
      </w:r>
      <w:r w:rsidR="003C42A2" w:rsidRPr="00B175FB">
        <w:rPr>
          <w:rFonts w:eastAsia="Times New Roman"/>
          <w:sz w:val="22"/>
        </w:rPr>
        <w:t>VŠ</w:t>
      </w:r>
      <w:r w:rsidR="001C5D35" w:rsidRPr="00B175FB">
        <w:rPr>
          <w:rFonts w:eastAsia="Times New Roman"/>
          <w:sz w:val="22"/>
        </w:rPr>
        <w:t>)</w:t>
      </w:r>
      <w:r w:rsidR="0055784D" w:rsidRPr="00B175FB">
        <w:rPr>
          <w:rFonts w:eastAsia="Times New Roman"/>
          <w:sz w:val="22"/>
        </w:rPr>
        <w:t xml:space="preserve"> a</w:t>
      </w:r>
      <w:r w:rsidR="00751E0E" w:rsidRPr="00B175FB">
        <w:rPr>
          <w:rFonts w:eastAsia="Times New Roman"/>
          <w:sz w:val="22"/>
        </w:rPr>
        <w:t> </w:t>
      </w:r>
      <w:r w:rsidR="00AC2F4F" w:rsidRPr="00B175FB">
        <w:rPr>
          <w:rFonts w:eastAsia="Times New Roman"/>
          <w:sz w:val="22"/>
        </w:rPr>
        <w:t>školských zařízení</w:t>
      </w:r>
      <w:r w:rsidR="00AA32A3" w:rsidRPr="00B175FB">
        <w:rPr>
          <w:rFonts w:eastAsia="Times New Roman"/>
          <w:sz w:val="22"/>
        </w:rPr>
        <w:t>,</w:t>
      </w:r>
      <w:r w:rsidR="00AC2F4F" w:rsidRPr="00B175FB">
        <w:rPr>
          <w:rFonts w:eastAsia="Times New Roman"/>
          <w:sz w:val="22"/>
        </w:rPr>
        <w:t xml:space="preserve"> </w:t>
      </w:r>
      <w:r w:rsidR="00815660" w:rsidRPr="00B175FB">
        <w:rPr>
          <w:rFonts w:eastAsia="Times New Roman"/>
          <w:sz w:val="22"/>
        </w:rPr>
        <w:t>a</w:t>
      </w:r>
      <w:r w:rsidR="00AA32A3" w:rsidRPr="00B175FB">
        <w:rPr>
          <w:rFonts w:eastAsia="Times New Roman"/>
          <w:sz w:val="22"/>
        </w:rPr>
        <w:t>le například i</w:t>
      </w:r>
      <w:r w:rsidR="00815660" w:rsidRPr="00B175FB">
        <w:rPr>
          <w:rFonts w:eastAsia="Times New Roman"/>
          <w:sz w:val="22"/>
        </w:rPr>
        <w:t xml:space="preserve"> knihoven</w:t>
      </w:r>
      <w:r w:rsidR="00812CD7" w:rsidRPr="00B175FB">
        <w:rPr>
          <w:rFonts w:eastAsia="Times New Roman"/>
          <w:sz w:val="22"/>
        </w:rPr>
        <w:t xml:space="preserve"> a </w:t>
      </w:r>
      <w:r w:rsidR="003955CA" w:rsidRPr="00B175FB">
        <w:rPr>
          <w:rFonts w:eastAsia="Times New Roman"/>
          <w:sz w:val="22"/>
        </w:rPr>
        <w:t>paměťových institucí (zejména muzeí)</w:t>
      </w:r>
      <w:r w:rsidR="0096162B" w:rsidRPr="00B175FB">
        <w:rPr>
          <w:rFonts w:eastAsia="Times New Roman"/>
          <w:sz w:val="22"/>
        </w:rPr>
        <w:t xml:space="preserve"> </w:t>
      </w:r>
      <w:r w:rsidR="00C1564D" w:rsidRPr="00B175FB">
        <w:rPr>
          <w:rFonts w:eastAsia="Times New Roman"/>
          <w:sz w:val="22"/>
        </w:rPr>
        <w:t xml:space="preserve">v oblasti </w:t>
      </w:r>
      <w:r w:rsidR="009E06DD" w:rsidRPr="00B175FB">
        <w:rPr>
          <w:rFonts w:eastAsia="Times New Roman"/>
          <w:sz w:val="22"/>
        </w:rPr>
        <w:t xml:space="preserve">poskytování </w:t>
      </w:r>
      <w:r w:rsidR="003955CA" w:rsidRPr="00B175FB">
        <w:rPr>
          <w:rFonts w:eastAsia="Times New Roman"/>
          <w:sz w:val="22"/>
        </w:rPr>
        <w:t xml:space="preserve">služeb </w:t>
      </w:r>
      <w:r w:rsidR="00292058" w:rsidRPr="00B175FB">
        <w:rPr>
          <w:rFonts w:eastAsia="Times New Roman"/>
          <w:noProof/>
          <w:sz w:val="22"/>
        </w:rPr>
        <w:t xml:space="preserve">dalšího neprofesního vzdělávání (zejména </w:t>
      </w:r>
      <w:r w:rsidR="0096162B" w:rsidRPr="00B175FB">
        <w:rPr>
          <w:rFonts w:eastAsia="Times New Roman"/>
          <w:sz w:val="22"/>
        </w:rPr>
        <w:t>občanského vzdělávání</w:t>
      </w:r>
      <w:r w:rsidR="00292058" w:rsidRPr="00B175FB">
        <w:rPr>
          <w:rFonts w:eastAsia="Times New Roman"/>
          <w:noProof/>
          <w:sz w:val="22"/>
        </w:rPr>
        <w:t>)</w:t>
      </w:r>
      <w:r w:rsidR="0096162B" w:rsidRPr="00B175FB">
        <w:rPr>
          <w:rFonts w:eastAsia="Times New Roman"/>
          <w:sz w:val="22"/>
        </w:rPr>
        <w:t xml:space="preserve"> a</w:t>
      </w:r>
      <w:r w:rsidR="0055784D" w:rsidRPr="00B175FB">
        <w:rPr>
          <w:rFonts w:eastAsia="Times New Roman"/>
          <w:sz w:val="22"/>
        </w:rPr>
        <w:t> </w:t>
      </w:r>
      <w:r w:rsidR="00C1564D" w:rsidRPr="00B175FB">
        <w:rPr>
          <w:rFonts w:eastAsia="Times New Roman"/>
          <w:sz w:val="22"/>
        </w:rPr>
        <w:t>celoživotního učení</w:t>
      </w:r>
      <w:r w:rsidR="00B65C2D" w:rsidRPr="00B175FB">
        <w:rPr>
          <w:rFonts w:eastAsia="Times New Roman"/>
          <w:sz w:val="22"/>
        </w:rPr>
        <w:t>/vzdělávání</w:t>
      </w:r>
      <w:r w:rsidR="0096162B" w:rsidRPr="00B175FB">
        <w:rPr>
          <w:rFonts w:eastAsia="Times New Roman"/>
          <w:sz w:val="22"/>
        </w:rPr>
        <w:t>.</w:t>
      </w:r>
      <w:r w:rsidR="00AC2F4F" w:rsidRPr="00B175FB">
        <w:rPr>
          <w:rFonts w:eastAsia="Times New Roman"/>
          <w:sz w:val="22"/>
        </w:rPr>
        <w:t xml:space="preserve"> </w:t>
      </w:r>
    </w:p>
    <w:p w:rsidR="00292058" w:rsidRPr="00B175FB" w:rsidRDefault="00292058">
      <w:pPr>
        <w:spacing w:line="276" w:lineRule="auto"/>
        <w:jc w:val="both"/>
        <w:rPr>
          <w:rFonts w:eastAsia="Times New Roman"/>
          <w:noProof/>
          <w:sz w:val="22"/>
        </w:rPr>
      </w:pPr>
      <w:r w:rsidRPr="00B175FB">
        <w:rPr>
          <w:rFonts w:eastAsia="Times New Roman"/>
          <w:noProof/>
          <w:sz w:val="22"/>
        </w:rPr>
        <w:t xml:space="preserve">Cílem občanského </w:t>
      </w:r>
      <w:r w:rsidR="00A556A6" w:rsidRPr="00B175FB">
        <w:rPr>
          <w:rFonts w:eastAsia="Times New Roman"/>
          <w:noProof/>
          <w:sz w:val="22"/>
        </w:rPr>
        <w:t>vzdělávání</w:t>
      </w:r>
      <w:r w:rsidRPr="00B175FB">
        <w:rPr>
          <w:rFonts w:eastAsia="Times New Roman"/>
          <w:noProof/>
          <w:sz w:val="22"/>
        </w:rPr>
        <w:t xml:space="preserve"> </w:t>
      </w:r>
      <w:r w:rsidR="00A556A6" w:rsidRPr="00B175FB">
        <w:rPr>
          <w:rFonts w:eastAsia="Times New Roman"/>
          <w:noProof/>
          <w:sz w:val="22"/>
        </w:rPr>
        <w:t>je vybavit občana kompetencemi potřebnými pro zodpovědný život v</w:t>
      </w:r>
      <w:r w:rsidR="00871F83" w:rsidRPr="00B175FB">
        <w:rPr>
          <w:rFonts w:eastAsia="Times New Roman"/>
          <w:noProof/>
          <w:sz w:val="22"/>
        </w:rPr>
        <w:t> </w:t>
      </w:r>
      <w:r w:rsidR="00A556A6" w:rsidRPr="00B175FB">
        <w:rPr>
          <w:rFonts w:eastAsia="Times New Roman"/>
          <w:noProof/>
          <w:sz w:val="22"/>
        </w:rPr>
        <w:t>demokratické společnosti, tj. dovednostmi i</w:t>
      </w:r>
      <w:r w:rsidR="00BC2F5E" w:rsidRPr="00B175FB">
        <w:rPr>
          <w:rFonts w:eastAsia="Times New Roman"/>
          <w:noProof/>
          <w:sz w:val="22"/>
        </w:rPr>
        <w:t> </w:t>
      </w:r>
      <w:r w:rsidR="00A556A6" w:rsidRPr="00B175FB">
        <w:rPr>
          <w:rFonts w:eastAsia="Times New Roman"/>
          <w:noProof/>
          <w:sz w:val="22"/>
        </w:rPr>
        <w:t>znalostmi k zastávání a prosazování demokratických hodnot a</w:t>
      </w:r>
      <w:r w:rsidR="00871F83" w:rsidRPr="00B175FB">
        <w:rPr>
          <w:rFonts w:eastAsia="Times New Roman"/>
          <w:noProof/>
          <w:sz w:val="22"/>
        </w:rPr>
        <w:t> </w:t>
      </w:r>
      <w:r w:rsidR="00A556A6" w:rsidRPr="00B175FB">
        <w:rPr>
          <w:rFonts w:eastAsia="Times New Roman"/>
          <w:noProof/>
          <w:sz w:val="22"/>
        </w:rPr>
        <w:t>postojů.</w:t>
      </w:r>
      <w:r w:rsidR="00C01559">
        <w:rPr>
          <w:rFonts w:eastAsia="Times New Roman"/>
          <w:noProof/>
          <w:sz w:val="22"/>
        </w:rPr>
        <w:t xml:space="preserve"> Cílem by také mělo být </w:t>
      </w:r>
      <w:r w:rsidR="00D45EDF">
        <w:rPr>
          <w:rFonts w:eastAsia="Times New Roman"/>
          <w:noProof/>
          <w:sz w:val="22"/>
        </w:rPr>
        <w:t>větší využití</w:t>
      </w:r>
      <w:r w:rsidR="00C01559">
        <w:rPr>
          <w:rFonts w:eastAsia="Times New Roman"/>
          <w:noProof/>
          <w:sz w:val="22"/>
        </w:rPr>
        <w:t xml:space="preserve"> moderních technologií ve vzdělávání s vědomím jejich kladů a</w:t>
      </w:r>
      <w:r w:rsidR="00F10877">
        <w:rPr>
          <w:rFonts w:eastAsia="Times New Roman"/>
          <w:noProof/>
          <w:sz w:val="22"/>
        </w:rPr>
        <w:t> </w:t>
      </w:r>
      <w:r w:rsidR="00C01559">
        <w:rPr>
          <w:rFonts w:eastAsia="Times New Roman"/>
          <w:noProof/>
          <w:sz w:val="22"/>
        </w:rPr>
        <w:t>záporů.</w:t>
      </w:r>
      <w:r w:rsidRPr="00B175FB">
        <w:rPr>
          <w:rFonts w:eastAsia="Times New Roman"/>
          <w:noProof/>
          <w:sz w:val="22"/>
        </w:rPr>
        <w:t xml:space="preserve"> V tomto ohledu je třeba podpořit i</w:t>
      </w:r>
      <w:r w:rsidR="00BC2F5E" w:rsidRPr="00B175FB">
        <w:rPr>
          <w:rFonts w:eastAsia="Times New Roman"/>
          <w:noProof/>
          <w:sz w:val="22"/>
        </w:rPr>
        <w:t> </w:t>
      </w:r>
      <w:r w:rsidRPr="00B175FB">
        <w:rPr>
          <w:rFonts w:eastAsia="Times New Roman"/>
          <w:noProof/>
          <w:sz w:val="22"/>
        </w:rPr>
        <w:t>oblast vzdělávání dospělých prostřednictvím dostatečné nabídky a dostupnosti kurzů neprofesního vzdělávání.</w:t>
      </w:r>
    </w:p>
    <w:p w:rsidR="00AC2F4F" w:rsidRDefault="003C42A2">
      <w:pPr>
        <w:spacing w:line="276" w:lineRule="auto"/>
        <w:jc w:val="both"/>
        <w:rPr>
          <w:rFonts w:eastAsia="Times New Roman"/>
          <w:noProof/>
          <w:sz w:val="22"/>
        </w:rPr>
      </w:pPr>
      <w:r w:rsidRPr="00B175FB">
        <w:rPr>
          <w:rFonts w:eastAsia="Times New Roman"/>
          <w:noProof/>
          <w:sz w:val="22"/>
        </w:rPr>
        <w:t>VŠ</w:t>
      </w:r>
      <w:r w:rsidR="001C5D35" w:rsidRPr="00B175FB">
        <w:rPr>
          <w:rFonts w:eastAsia="Times New Roman"/>
          <w:noProof/>
          <w:sz w:val="22"/>
        </w:rPr>
        <w:t xml:space="preserve"> </w:t>
      </w:r>
      <w:r w:rsidR="00592CCD" w:rsidRPr="00B175FB">
        <w:rPr>
          <w:rFonts w:eastAsia="Times New Roman"/>
          <w:noProof/>
          <w:sz w:val="22"/>
        </w:rPr>
        <w:t xml:space="preserve">musí být </w:t>
      </w:r>
      <w:r w:rsidR="001C5D35" w:rsidRPr="00B175FB">
        <w:rPr>
          <w:rFonts w:eastAsia="Times New Roman"/>
          <w:noProof/>
          <w:sz w:val="22"/>
        </w:rPr>
        <w:t>centry vzdělanosti disponují</w:t>
      </w:r>
      <w:r w:rsidRPr="00B175FB">
        <w:rPr>
          <w:rFonts w:eastAsia="Times New Roman"/>
          <w:noProof/>
          <w:sz w:val="22"/>
        </w:rPr>
        <w:t>cími</w:t>
      </w:r>
      <w:r w:rsidR="001C5D35" w:rsidRPr="00B175FB">
        <w:rPr>
          <w:rFonts w:eastAsia="Times New Roman"/>
          <w:noProof/>
          <w:sz w:val="22"/>
        </w:rPr>
        <w:t xml:space="preserve"> nejaktuálnějšími informacemi o trendech v</w:t>
      </w:r>
      <w:r w:rsidR="00B65C2D" w:rsidRPr="00B175FB">
        <w:rPr>
          <w:rFonts w:eastAsia="Times New Roman"/>
          <w:noProof/>
          <w:sz w:val="22"/>
        </w:rPr>
        <w:t> oblastech vzdělávání</w:t>
      </w:r>
      <w:r w:rsidR="001C5D35" w:rsidRPr="00B175FB">
        <w:rPr>
          <w:rFonts w:eastAsia="Times New Roman"/>
          <w:noProof/>
          <w:sz w:val="22"/>
        </w:rPr>
        <w:t xml:space="preserve">, na něž se zaměřují, a přirozeně by se tak v těchto oblastech měly stát jedním z hlavních poskytovatelů kvalitního celoživotního </w:t>
      </w:r>
      <w:r w:rsidR="00B65C2D" w:rsidRPr="00B175FB">
        <w:rPr>
          <w:rFonts w:eastAsia="Times New Roman"/>
          <w:noProof/>
          <w:sz w:val="22"/>
        </w:rPr>
        <w:t>vzdělávání</w:t>
      </w:r>
      <w:r w:rsidR="00751E0E" w:rsidRPr="00B175FB">
        <w:rPr>
          <w:rFonts w:eastAsia="Times New Roman"/>
          <w:noProof/>
          <w:sz w:val="22"/>
        </w:rPr>
        <w:t xml:space="preserve"> (dále jen „CŽV“)</w:t>
      </w:r>
      <w:r w:rsidR="001C5D35" w:rsidRPr="00B175FB">
        <w:rPr>
          <w:rFonts w:eastAsia="Times New Roman"/>
          <w:noProof/>
          <w:sz w:val="22"/>
        </w:rPr>
        <w:t xml:space="preserve">. Dosud je však tato oblast málo rozvinutá, rezervy jsou spatřovány </w:t>
      </w:r>
      <w:r w:rsidR="00613862" w:rsidRPr="00B175FB">
        <w:rPr>
          <w:rFonts w:eastAsia="Times New Roman"/>
          <w:noProof/>
          <w:sz w:val="22"/>
        </w:rPr>
        <w:t xml:space="preserve">jak </w:t>
      </w:r>
      <w:r w:rsidR="001C5D35" w:rsidRPr="00B175FB">
        <w:rPr>
          <w:rFonts w:eastAsia="Times New Roman"/>
          <w:noProof/>
          <w:sz w:val="22"/>
        </w:rPr>
        <w:t>v</w:t>
      </w:r>
      <w:r w:rsidR="00613862" w:rsidRPr="00B175FB">
        <w:rPr>
          <w:rFonts w:eastAsia="Times New Roman"/>
          <w:noProof/>
          <w:sz w:val="22"/>
        </w:rPr>
        <w:t> šíři nabídky</w:t>
      </w:r>
      <w:r w:rsidR="00D16F1B" w:rsidRPr="00B175FB">
        <w:rPr>
          <w:rFonts w:eastAsia="Times New Roman"/>
          <w:noProof/>
          <w:sz w:val="22"/>
        </w:rPr>
        <w:t>, tak</w:t>
      </w:r>
      <w:r w:rsidR="00613862" w:rsidRPr="00B175FB">
        <w:rPr>
          <w:rFonts w:eastAsia="Times New Roman"/>
          <w:noProof/>
          <w:sz w:val="22"/>
        </w:rPr>
        <w:t xml:space="preserve"> i </w:t>
      </w:r>
      <w:r w:rsidR="00D16F1B" w:rsidRPr="00B175FB">
        <w:rPr>
          <w:rFonts w:eastAsia="Times New Roman"/>
          <w:noProof/>
          <w:sz w:val="22"/>
        </w:rPr>
        <w:t>v</w:t>
      </w:r>
      <w:r w:rsidR="00613862" w:rsidRPr="00B175FB">
        <w:rPr>
          <w:rFonts w:eastAsia="Times New Roman"/>
          <w:noProof/>
          <w:sz w:val="22"/>
        </w:rPr>
        <w:t xml:space="preserve"> </w:t>
      </w:r>
      <w:r w:rsidR="001C5D35" w:rsidRPr="00B175FB">
        <w:rPr>
          <w:rFonts w:eastAsia="Times New Roman"/>
          <w:noProof/>
          <w:sz w:val="22"/>
        </w:rPr>
        <w:t>atraktivitě kurzů samotných</w:t>
      </w:r>
      <w:r w:rsidR="001B09E7" w:rsidRPr="00B175FB">
        <w:rPr>
          <w:rFonts w:eastAsia="Times New Roman"/>
          <w:noProof/>
          <w:sz w:val="22"/>
        </w:rPr>
        <w:t>, v infrastrukturním vybavení a </w:t>
      </w:r>
      <w:r w:rsidR="00592CCD" w:rsidRPr="00B175FB">
        <w:rPr>
          <w:rFonts w:eastAsia="Times New Roman"/>
          <w:noProof/>
          <w:sz w:val="22"/>
        </w:rPr>
        <w:t xml:space="preserve">v </w:t>
      </w:r>
      <w:r w:rsidR="001C5D35" w:rsidRPr="00B175FB">
        <w:rPr>
          <w:rFonts w:eastAsia="Times New Roman"/>
          <w:noProof/>
          <w:sz w:val="22"/>
        </w:rPr>
        <w:t xml:space="preserve">přístupu </w:t>
      </w:r>
      <w:r w:rsidR="00613862" w:rsidRPr="00B175FB">
        <w:rPr>
          <w:rFonts w:eastAsia="Times New Roman"/>
          <w:noProof/>
          <w:sz w:val="22"/>
        </w:rPr>
        <w:t xml:space="preserve">akademických i neakademických pracovníků </w:t>
      </w:r>
      <w:r w:rsidR="001C5D35" w:rsidRPr="00B175FB">
        <w:rPr>
          <w:rFonts w:eastAsia="Times New Roman"/>
          <w:noProof/>
          <w:sz w:val="22"/>
        </w:rPr>
        <w:t>ke specifické cílové skupině</w:t>
      </w:r>
      <w:r w:rsidR="00EA1219" w:rsidRPr="00B175FB">
        <w:rPr>
          <w:rFonts w:eastAsia="Times New Roman"/>
          <w:noProof/>
          <w:sz w:val="22"/>
        </w:rPr>
        <w:t>.</w:t>
      </w:r>
    </w:p>
    <w:p w:rsidR="00154DCE" w:rsidRPr="00B175FB" w:rsidRDefault="00154DCE">
      <w:pPr>
        <w:spacing w:line="276" w:lineRule="auto"/>
        <w:jc w:val="both"/>
        <w:rPr>
          <w:rFonts w:eastAsia="Times New Roman"/>
          <w:noProof/>
          <w:sz w:val="22"/>
        </w:rPr>
      </w:pPr>
      <w:r>
        <w:rPr>
          <w:rFonts w:eastAsia="Times New Roman"/>
          <w:noProof/>
          <w:sz w:val="22"/>
        </w:rPr>
        <w:t>V relevantních případech bud</w:t>
      </w:r>
      <w:r w:rsidR="00442CDB">
        <w:rPr>
          <w:rFonts w:eastAsia="Times New Roman"/>
          <w:noProof/>
          <w:sz w:val="22"/>
        </w:rPr>
        <w:t>ou</w:t>
      </w:r>
      <w:r>
        <w:rPr>
          <w:rFonts w:eastAsia="Times New Roman"/>
          <w:noProof/>
          <w:sz w:val="22"/>
        </w:rPr>
        <w:t xml:space="preserve"> </w:t>
      </w:r>
      <w:r w:rsidR="00442CDB">
        <w:rPr>
          <w:rFonts w:eastAsia="Times New Roman"/>
          <w:noProof/>
          <w:sz w:val="22"/>
        </w:rPr>
        <w:t>intervence</w:t>
      </w:r>
      <w:r>
        <w:rPr>
          <w:rFonts w:eastAsia="Times New Roman"/>
          <w:noProof/>
          <w:sz w:val="22"/>
        </w:rPr>
        <w:t xml:space="preserve"> zaměř</w:t>
      </w:r>
      <w:r w:rsidR="006E3D10">
        <w:rPr>
          <w:rFonts w:eastAsia="Times New Roman"/>
          <w:noProof/>
          <w:sz w:val="22"/>
        </w:rPr>
        <w:t>e</w:t>
      </w:r>
      <w:r>
        <w:rPr>
          <w:rFonts w:eastAsia="Times New Roman"/>
          <w:noProof/>
          <w:sz w:val="22"/>
        </w:rPr>
        <w:t>n</w:t>
      </w:r>
      <w:r w:rsidR="00442CDB">
        <w:rPr>
          <w:rFonts w:eastAsia="Times New Roman"/>
          <w:noProof/>
          <w:sz w:val="22"/>
        </w:rPr>
        <w:t>é</w:t>
      </w:r>
      <w:r>
        <w:rPr>
          <w:rFonts w:eastAsia="Times New Roman"/>
          <w:noProof/>
          <w:sz w:val="22"/>
        </w:rPr>
        <w:t xml:space="preserve"> na vzdělávání reagovat na potřeby Národní RIS3 strategie.</w:t>
      </w:r>
    </w:p>
    <w:p w:rsidR="005D4338" w:rsidRPr="00B175FB" w:rsidRDefault="005D4338" w:rsidP="00240BA0">
      <w:pPr>
        <w:spacing w:line="276" w:lineRule="auto"/>
        <w:jc w:val="both"/>
        <w:rPr>
          <w:rFonts w:eastAsia="Times New Roman"/>
          <w:b/>
          <w:noProof/>
          <w:sz w:val="22"/>
        </w:rPr>
      </w:pPr>
      <w:r w:rsidRPr="00B175FB">
        <w:rPr>
          <w:rFonts w:eastAsia="Times New Roman"/>
          <w:b/>
          <w:noProof/>
          <w:sz w:val="22"/>
          <w:lang w:eastAsia="cs-CZ"/>
        </w:rPr>
        <mc:AlternateContent>
          <mc:Choice Requires="wps">
            <w:drawing>
              <wp:inline distT="0" distB="0" distL="0" distR="0" wp14:anchorId="02773A56" wp14:editId="4800F8EE">
                <wp:extent cx="6120130" cy="3898496"/>
                <wp:effectExtent l="0" t="0" r="13970" b="25400"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89849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05FC" w:rsidRPr="00E36773" w:rsidRDefault="00E505FC" w:rsidP="004906B3">
                            <w:pPr>
                              <w:spacing w:line="276" w:lineRule="auto"/>
                              <w:rPr>
                                <w:rFonts w:eastAsia="Times New Roman"/>
                                <w:b/>
                                <w:sz w:val="22"/>
                              </w:rPr>
                            </w:pPr>
                            <w:r w:rsidRPr="00E36773">
                              <w:rPr>
                                <w:rFonts w:eastAsia="Times New Roman"/>
                                <w:b/>
                                <w:sz w:val="22"/>
                              </w:rPr>
                              <w:t>OP JAK přispěje k modernizaci obsahů a metod vzdělávání</w:t>
                            </w:r>
                            <w:r>
                              <w:rPr>
                                <w:rFonts w:eastAsia="Times New Roman"/>
                                <w:b/>
                                <w:sz w:val="22"/>
                              </w:rPr>
                              <w:t xml:space="preserve"> s cílem:</w:t>
                            </w:r>
                          </w:p>
                          <w:p w:rsidR="00E505FC" w:rsidRPr="00E36773" w:rsidRDefault="00E505FC" w:rsidP="006A2F6A">
                            <w:pPr>
                              <w:pStyle w:val="Odstavecseseznamem"/>
                              <w:numPr>
                                <w:ilvl w:val="0"/>
                                <w:numId w:val="58"/>
                              </w:numPr>
                              <w:spacing w:line="276" w:lineRule="auto"/>
                              <w:jc w:val="both"/>
                              <w:rPr>
                                <w:rFonts w:eastAsia="Times New Roman" w:cs="Times New Roman"/>
                                <w:sz w:val="22"/>
                              </w:rPr>
                            </w:pPr>
                            <w:r w:rsidRPr="00E36773"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Přizpůsobit vzdělávací systém, aby se dokázal rychleji adaptovat na dynamické prostředí a vývoj spojený s procesy jako rozvoj nových technologií, digitalizace, internacionalizace nebo udržitelný rozvoj. </w:t>
                            </w:r>
                          </w:p>
                          <w:p w:rsidR="00E505FC" w:rsidRPr="00E36773" w:rsidRDefault="00E505FC" w:rsidP="006A2F6A">
                            <w:pPr>
                              <w:pStyle w:val="Odstavecseseznamem"/>
                              <w:numPr>
                                <w:ilvl w:val="1"/>
                                <w:numId w:val="58"/>
                              </w:numPr>
                              <w:spacing w:line="276" w:lineRule="auto"/>
                              <w:jc w:val="both"/>
                              <w:rPr>
                                <w:rFonts w:eastAsia="Times New Roman" w:cs="Times New Roman"/>
                                <w:sz w:val="22"/>
                              </w:rPr>
                            </w:pPr>
                            <w:r w:rsidRPr="00E36773">
                              <w:rPr>
                                <w:rFonts w:eastAsia="Times New Roman" w:cs="Times New Roman"/>
                                <w:sz w:val="22"/>
                              </w:rPr>
                              <w:t>Zaměřit vzdělávání více na získávání transversálních kompetencí potřebných pro aktivní občanský, profesní i osobní život.</w:t>
                            </w:r>
                          </w:p>
                          <w:p w:rsidR="00E505FC" w:rsidRDefault="00E505FC" w:rsidP="006A2F6A">
                            <w:pPr>
                              <w:pStyle w:val="Odstavecseseznamem"/>
                              <w:numPr>
                                <w:ilvl w:val="1"/>
                                <w:numId w:val="58"/>
                              </w:numPr>
                              <w:spacing w:line="276" w:lineRule="auto"/>
                              <w:jc w:val="both"/>
                              <w:rPr>
                                <w:rFonts w:eastAsia="Times New Roman" w:cs="Times New Roman"/>
                                <w:sz w:val="22"/>
                              </w:rPr>
                            </w:pPr>
                            <w:r w:rsidRPr="00E36773">
                              <w:rPr>
                                <w:rFonts w:eastAsia="Times New Roman" w:cs="Times New Roman"/>
                                <w:sz w:val="22"/>
                              </w:rPr>
                              <w:t>Rozvíjet kompetence a všechny základní gramotnosti – čtenářskou, matematickou, jazykovou, sociální gramotnost</w:t>
                            </w:r>
                            <w:r>
                              <w:rPr>
                                <w:rFonts w:eastAsia="Times New Roman" w:cs="Times New Roman"/>
                                <w:sz w:val="22"/>
                              </w:rPr>
                              <w:t>, dovednosti STEM</w:t>
                            </w:r>
                            <w:r w:rsidRPr="00E36773"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 a kritické myšlení s cílem získat schopnost pracovat kriticky a efektivně s informacemi.</w:t>
                            </w:r>
                          </w:p>
                          <w:p w:rsidR="00E505FC" w:rsidRPr="00E36773" w:rsidRDefault="00E505FC" w:rsidP="006A2F6A">
                            <w:pPr>
                              <w:pStyle w:val="Odstavecseseznamem"/>
                              <w:numPr>
                                <w:ilvl w:val="1"/>
                                <w:numId w:val="58"/>
                              </w:numPr>
                              <w:spacing w:line="276" w:lineRule="auto"/>
                              <w:jc w:val="both"/>
                              <w:rPr>
                                <w:rFonts w:eastAsia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sz w:val="22"/>
                              </w:rPr>
                              <w:t>Zvýšit úroveň digitálních dovedností, digitální gramotnosti a informatického myšlení dětí, žáků, studentů a učitelů.</w:t>
                            </w:r>
                          </w:p>
                          <w:p w:rsidR="00E505FC" w:rsidRPr="00E36773" w:rsidRDefault="00E505FC" w:rsidP="006A2F6A">
                            <w:pPr>
                              <w:pStyle w:val="Odstavecseseznamem"/>
                              <w:numPr>
                                <w:ilvl w:val="0"/>
                                <w:numId w:val="58"/>
                              </w:numPr>
                              <w:spacing w:line="276" w:lineRule="auto"/>
                              <w:jc w:val="both"/>
                              <w:rPr>
                                <w:rFonts w:eastAsia="Times New Roman" w:cs="Times New Roman"/>
                                <w:sz w:val="22"/>
                              </w:rPr>
                            </w:pPr>
                            <w:r w:rsidRPr="00E36773">
                              <w:rPr>
                                <w:rFonts w:eastAsia="Times New Roman" w:cs="Times New Roman"/>
                                <w:sz w:val="22"/>
                              </w:rPr>
                              <w:t>Zvýšit relevanci výuky, modernizaci a inovace v oblasti vzdělávacích metod.</w:t>
                            </w:r>
                          </w:p>
                          <w:p w:rsidR="00E505FC" w:rsidRPr="00E36773" w:rsidRDefault="00E505FC" w:rsidP="006A2F6A">
                            <w:pPr>
                              <w:pStyle w:val="Odstavecseseznamem"/>
                              <w:numPr>
                                <w:ilvl w:val="1"/>
                                <w:numId w:val="58"/>
                              </w:numPr>
                              <w:spacing w:line="276" w:lineRule="auto"/>
                              <w:jc w:val="both"/>
                              <w:rPr>
                                <w:rFonts w:eastAsia="Times New Roman" w:cs="Times New Roman"/>
                                <w:sz w:val="22"/>
                              </w:rPr>
                            </w:pPr>
                            <w:r w:rsidRPr="00E36773">
                              <w:rPr>
                                <w:rFonts w:eastAsia="Times New Roman" w:cs="Times New Roman"/>
                                <w:sz w:val="22"/>
                              </w:rPr>
                              <w:t>Zvýšit kvalitu vzdělávání na všech stupních vzdělávacího systému.</w:t>
                            </w:r>
                          </w:p>
                          <w:p w:rsidR="00E505FC" w:rsidRPr="00B63221" w:rsidRDefault="00E505FC" w:rsidP="006A2F6A">
                            <w:pPr>
                              <w:pStyle w:val="Odstavecseseznamem"/>
                              <w:numPr>
                                <w:ilvl w:val="1"/>
                                <w:numId w:val="58"/>
                              </w:numPr>
                              <w:spacing w:line="276" w:lineRule="auto"/>
                              <w:jc w:val="both"/>
                              <w:rPr>
                                <w:rFonts w:eastAsia="Times New Roman" w:cs="Times New Roman"/>
                                <w:sz w:val="22"/>
                              </w:rPr>
                            </w:pPr>
                            <w:r w:rsidRPr="00B63221"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Posílit </w:t>
                            </w:r>
                            <w:r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průřezově </w:t>
                            </w:r>
                            <w:r w:rsidRPr="00B63221">
                              <w:rPr>
                                <w:rFonts w:eastAsia="Times New Roman" w:cs="Times New Roman"/>
                                <w:sz w:val="22"/>
                              </w:rPr>
                              <w:t>oblast kariérového poradenství v základním a středním vzdělávání.</w:t>
                            </w:r>
                          </w:p>
                          <w:p w:rsidR="00E505FC" w:rsidRPr="00E36773" w:rsidRDefault="00E505FC" w:rsidP="006A2F6A">
                            <w:pPr>
                              <w:pStyle w:val="Odstavecseseznamem"/>
                              <w:numPr>
                                <w:ilvl w:val="1"/>
                                <w:numId w:val="58"/>
                              </w:numPr>
                              <w:spacing w:line="276" w:lineRule="auto"/>
                              <w:jc w:val="both"/>
                              <w:rPr>
                                <w:rFonts w:eastAsia="Times New Roman" w:cs="Times New Roman"/>
                                <w:sz w:val="22"/>
                              </w:rPr>
                            </w:pPr>
                            <w:r w:rsidRPr="00E36773"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Posílit práci se zájemci o studium na </w:t>
                            </w:r>
                            <w:r>
                              <w:rPr>
                                <w:rFonts w:eastAsia="Times New Roman" w:cs="Times New Roman"/>
                                <w:sz w:val="22"/>
                              </w:rPr>
                              <w:t>VŠ</w:t>
                            </w:r>
                            <w:r w:rsidRPr="00E36773">
                              <w:rPr>
                                <w:rFonts w:eastAsia="Times New Roman" w:cs="Times New Roman"/>
                                <w:sz w:val="22"/>
                              </w:rPr>
                              <w:t>.</w:t>
                            </w:r>
                          </w:p>
                          <w:p w:rsidR="00E505FC" w:rsidRPr="00E36773" w:rsidRDefault="00E505FC" w:rsidP="006A2F6A">
                            <w:pPr>
                              <w:pStyle w:val="Odstavecseseznamem"/>
                              <w:numPr>
                                <w:ilvl w:val="1"/>
                                <w:numId w:val="58"/>
                              </w:numPr>
                              <w:spacing w:line="276" w:lineRule="auto"/>
                              <w:jc w:val="both"/>
                              <w:rPr>
                                <w:rFonts w:eastAsia="Times New Roman" w:cs="Times New Roman"/>
                                <w:sz w:val="22"/>
                              </w:rPr>
                            </w:pPr>
                            <w:r w:rsidRPr="00E36773"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Zlepšit studijní prostředí na všech typech škol a </w:t>
                            </w:r>
                            <w:r>
                              <w:rPr>
                                <w:rFonts w:eastAsia="Times New Roman" w:cs="Times New Roman"/>
                                <w:sz w:val="22"/>
                              </w:rPr>
                              <w:t>zvýšit</w:t>
                            </w:r>
                            <w:r w:rsidRPr="00E36773"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 motivac</w:t>
                            </w:r>
                            <w:r>
                              <w:rPr>
                                <w:rFonts w:eastAsia="Times New Roman" w:cs="Times New Roman"/>
                                <w:sz w:val="22"/>
                              </w:rPr>
                              <w:t>i</w:t>
                            </w:r>
                            <w:r w:rsidRPr="00E36773"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 a celkově well-being žáků a studentů.</w:t>
                            </w:r>
                          </w:p>
                          <w:p w:rsidR="00E505FC" w:rsidRPr="00E36773" w:rsidRDefault="00E505FC" w:rsidP="006A2F6A">
                            <w:pPr>
                              <w:pStyle w:val="Odstavecseseznamem"/>
                              <w:numPr>
                                <w:ilvl w:val="1"/>
                                <w:numId w:val="58"/>
                              </w:numPr>
                              <w:spacing w:line="276" w:lineRule="auto"/>
                              <w:jc w:val="both"/>
                              <w:rPr>
                                <w:rFonts w:eastAsia="Times New Roman" w:cs="Times New Roman"/>
                                <w:sz w:val="22"/>
                              </w:rPr>
                            </w:pPr>
                            <w:r w:rsidRPr="00E36773"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Posílit a rozvinout kombinované a distanční formy vzdělávání na </w:t>
                            </w:r>
                            <w:r>
                              <w:rPr>
                                <w:rFonts w:eastAsia="Times New Roman" w:cs="Times New Roman"/>
                                <w:sz w:val="22"/>
                              </w:rPr>
                              <w:t>VŠ</w:t>
                            </w:r>
                            <w:r w:rsidRPr="00E36773">
                              <w:rPr>
                                <w:rFonts w:eastAsia="Times New Roman" w:cs="Times New Roman"/>
                                <w:sz w:val="22"/>
                              </w:rPr>
                              <w:t>.</w:t>
                            </w:r>
                          </w:p>
                          <w:p w:rsidR="00E505FC" w:rsidRPr="00E36773" w:rsidRDefault="00E505FC" w:rsidP="006A2F6A">
                            <w:pPr>
                              <w:pStyle w:val="Odstavecseseznamem"/>
                              <w:numPr>
                                <w:ilvl w:val="1"/>
                                <w:numId w:val="58"/>
                              </w:numPr>
                              <w:spacing w:line="276" w:lineRule="auto"/>
                              <w:jc w:val="both"/>
                              <w:rPr>
                                <w:rFonts w:eastAsia="Times New Roman" w:cs="Times New Roman"/>
                                <w:sz w:val="22"/>
                              </w:rPr>
                            </w:pPr>
                            <w:r w:rsidRPr="00E36773"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Posílit prvek internacionalizace, zlepšit podmínky pro internacionalizaci na </w:t>
                            </w:r>
                            <w:r>
                              <w:rPr>
                                <w:rFonts w:eastAsia="Times New Roman" w:cs="Times New Roman"/>
                                <w:sz w:val="22"/>
                              </w:rPr>
                              <w:t>VŠ</w:t>
                            </w:r>
                            <w:r w:rsidRPr="00E36773">
                              <w:rPr>
                                <w:rFonts w:eastAsia="Times New Roman" w:cs="Times New Roman"/>
                                <w:sz w:val="22"/>
                              </w:rPr>
                              <w:t>.</w:t>
                            </w:r>
                          </w:p>
                          <w:p w:rsidR="00E505FC" w:rsidRPr="00E36773" w:rsidRDefault="00E505FC" w:rsidP="006A2F6A">
                            <w:pPr>
                              <w:pStyle w:val="Odstavecseseznamem"/>
                              <w:numPr>
                                <w:ilvl w:val="1"/>
                                <w:numId w:val="58"/>
                              </w:numPr>
                              <w:spacing w:line="276" w:lineRule="auto"/>
                              <w:jc w:val="both"/>
                              <w:rPr>
                                <w:rFonts w:eastAsia="Times New Roman" w:cs="Times New Roman"/>
                                <w:sz w:val="22"/>
                              </w:rPr>
                            </w:pPr>
                            <w:r w:rsidRPr="00E36773">
                              <w:rPr>
                                <w:rFonts w:eastAsia="Times New Roman" w:cs="Times New Roman"/>
                                <w:sz w:val="22"/>
                              </w:rPr>
                              <w:t>Posílit prvky aplikovatelnosti nabytých znalostí a dovedností a spolupráci se</w:t>
                            </w:r>
                            <w:r>
                              <w:rPr>
                                <w:rFonts w:eastAsia="Times New Roman" w:cs="Times New Roman"/>
                                <w:sz w:val="22"/>
                              </w:rPr>
                              <w:t> </w:t>
                            </w:r>
                            <w:r w:rsidRPr="00E36773">
                              <w:rPr>
                                <w:rFonts w:eastAsia="Times New Roman" w:cs="Times New Roman"/>
                                <w:sz w:val="22"/>
                              </w:rPr>
                              <w:t>zaměstnavateli / praxí.</w:t>
                            </w:r>
                          </w:p>
                          <w:p w:rsidR="00E505FC" w:rsidRDefault="00E505FC" w:rsidP="006A2F6A">
                            <w:pPr>
                              <w:pStyle w:val="Odstavecseseznamem"/>
                              <w:numPr>
                                <w:ilvl w:val="0"/>
                                <w:numId w:val="58"/>
                              </w:numPr>
                              <w:spacing w:line="276" w:lineRule="auto"/>
                              <w:jc w:val="both"/>
                              <w:rPr>
                                <w:rFonts w:eastAsia="Times New Roman" w:cs="Times New Roman"/>
                                <w:sz w:val="22"/>
                              </w:rPr>
                            </w:pPr>
                            <w:r w:rsidRPr="00E36773"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Posílit oblast celoživotního učení / </w:t>
                            </w:r>
                            <w:r w:rsidRPr="00BC2F5E">
                              <w:rPr>
                                <w:rFonts w:eastAsia="Times New Roman" w:cs="Times New Roman"/>
                                <w:sz w:val="22"/>
                              </w:rPr>
                              <w:t>dalšího</w:t>
                            </w:r>
                            <w:r w:rsidRPr="00E36773"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 vzdělávání</w:t>
                            </w:r>
                            <w:r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 včetně občanského vzdělávání, a to zejména</w:t>
                            </w:r>
                            <w:r w:rsidRPr="00E36773"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cs="Times New Roman"/>
                                <w:sz w:val="22"/>
                              </w:rPr>
                              <w:t>ve</w:t>
                            </w:r>
                            <w:r w:rsidRPr="00E36773"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 školách a školských zařízeních.</w:t>
                            </w:r>
                          </w:p>
                          <w:p w:rsidR="00E505FC" w:rsidRPr="00E36773" w:rsidRDefault="00E505FC" w:rsidP="006A2F6A">
                            <w:pPr>
                              <w:pStyle w:val="Odstavecseseznamem"/>
                              <w:numPr>
                                <w:ilvl w:val="0"/>
                                <w:numId w:val="58"/>
                              </w:numPr>
                              <w:spacing w:line="276" w:lineRule="auto"/>
                              <w:jc w:val="both"/>
                              <w:rPr>
                                <w:rFonts w:eastAsia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Snižovat různé formy </w:t>
                            </w:r>
                            <w:bookmarkStart w:id="31" w:name="_Hlk68599046"/>
                            <w:r>
                              <w:rPr>
                                <w:rFonts w:eastAsia="Times New Roman" w:cs="Times New Roman"/>
                                <w:sz w:val="22"/>
                              </w:rPr>
                              <w:t>znevýhodnění (genderové, sociální, etnické apod</w:t>
                            </w:r>
                            <w:bookmarkEnd w:id="31"/>
                            <w:r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.)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2773A56" id="_x0000_s1027" type="#_x0000_t202" style="width:481.9pt;height:30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">
                <v:textbox style="mso-fit-shape-to-text:t">
                  <w:txbxContent>
                    <w:p w:rsidR="00E505FC" w:rsidRPr="00E36773" w:rsidRDefault="00E505FC" w:rsidP="004906B3">
                      <w:pPr>
                        <w:spacing w:line="276" w:lineRule="auto"/>
                        <w:rPr>
                          <w:rFonts w:eastAsia="Times New Roman"/>
                          <w:b/>
                          <w:sz w:val="22"/>
                        </w:rPr>
                      </w:pPr>
                      <w:r w:rsidRPr="00E36773">
                        <w:rPr>
                          <w:rFonts w:eastAsia="Times New Roman"/>
                          <w:b/>
                          <w:sz w:val="22"/>
                        </w:rPr>
                        <w:t>OP JAK přispěje k modernizaci obsahů a metod vzdělávání</w:t>
                      </w:r>
                      <w:r>
                        <w:rPr>
                          <w:rFonts w:eastAsia="Times New Roman"/>
                          <w:b/>
                          <w:sz w:val="22"/>
                        </w:rPr>
                        <w:t xml:space="preserve"> s cílem:</w:t>
                      </w:r>
                    </w:p>
                    <w:p w:rsidR="00E505FC" w:rsidRPr="00E36773" w:rsidRDefault="00E505FC" w:rsidP="006A2F6A">
                      <w:pPr>
                        <w:pStyle w:val="Odstavecseseznamem"/>
                        <w:numPr>
                          <w:ilvl w:val="0"/>
                          <w:numId w:val="58"/>
                        </w:numPr>
                        <w:spacing w:line="276" w:lineRule="auto"/>
                        <w:jc w:val="both"/>
                        <w:rPr>
                          <w:rFonts w:eastAsia="Times New Roman" w:cs="Times New Roman"/>
                          <w:sz w:val="22"/>
                        </w:rPr>
                      </w:pPr>
                      <w:r w:rsidRPr="00E36773">
                        <w:rPr>
                          <w:rFonts w:eastAsia="Times New Roman" w:cs="Times New Roman"/>
                          <w:sz w:val="22"/>
                        </w:rPr>
                        <w:t xml:space="preserve">Přizpůsobit vzdělávací systém, aby se dokázal rychleji adaptovat na dynamické prostředí a vývoj spojený s procesy jako rozvoj nových technologií, digitalizace, internacionalizace nebo udržitelný rozvoj. </w:t>
                      </w:r>
                    </w:p>
                    <w:p w:rsidR="00E505FC" w:rsidRPr="00E36773" w:rsidRDefault="00E505FC" w:rsidP="006A2F6A">
                      <w:pPr>
                        <w:pStyle w:val="Odstavecseseznamem"/>
                        <w:numPr>
                          <w:ilvl w:val="1"/>
                          <w:numId w:val="58"/>
                        </w:numPr>
                        <w:spacing w:line="276" w:lineRule="auto"/>
                        <w:jc w:val="both"/>
                        <w:rPr>
                          <w:rFonts w:eastAsia="Times New Roman" w:cs="Times New Roman"/>
                          <w:sz w:val="22"/>
                        </w:rPr>
                      </w:pPr>
                      <w:r w:rsidRPr="00E36773">
                        <w:rPr>
                          <w:rFonts w:eastAsia="Times New Roman" w:cs="Times New Roman"/>
                          <w:sz w:val="22"/>
                        </w:rPr>
                        <w:t>Zaměřit vzdělávání více na získávání transversálních kompetencí potřebných pro aktivní občanský, profesní i osobní život.</w:t>
                      </w:r>
                    </w:p>
                    <w:p w:rsidR="00E505FC" w:rsidRDefault="00E505FC" w:rsidP="006A2F6A">
                      <w:pPr>
                        <w:pStyle w:val="Odstavecseseznamem"/>
                        <w:numPr>
                          <w:ilvl w:val="1"/>
                          <w:numId w:val="58"/>
                        </w:numPr>
                        <w:spacing w:line="276" w:lineRule="auto"/>
                        <w:jc w:val="both"/>
                        <w:rPr>
                          <w:rFonts w:eastAsia="Times New Roman" w:cs="Times New Roman"/>
                          <w:sz w:val="22"/>
                        </w:rPr>
                      </w:pPr>
                      <w:r w:rsidRPr="00E36773">
                        <w:rPr>
                          <w:rFonts w:eastAsia="Times New Roman" w:cs="Times New Roman"/>
                          <w:sz w:val="22"/>
                        </w:rPr>
                        <w:t>Rozvíjet kompetence a všechny základní gramotnosti – čtenářskou, matematickou, jazykovou, sociální gramotnost</w:t>
                      </w:r>
                      <w:r>
                        <w:rPr>
                          <w:rFonts w:eastAsia="Times New Roman" w:cs="Times New Roman"/>
                          <w:sz w:val="22"/>
                        </w:rPr>
                        <w:t>, dovednosti STEM</w:t>
                      </w:r>
                      <w:r w:rsidRPr="00E36773">
                        <w:rPr>
                          <w:rFonts w:eastAsia="Times New Roman" w:cs="Times New Roman"/>
                          <w:sz w:val="22"/>
                        </w:rPr>
                        <w:t xml:space="preserve"> a kritické myšlení s cílem získat schopnost pracovat kriticky a efektivně s informacemi.</w:t>
                      </w:r>
                    </w:p>
                    <w:p w:rsidR="00E505FC" w:rsidRPr="00E36773" w:rsidRDefault="00E505FC" w:rsidP="006A2F6A">
                      <w:pPr>
                        <w:pStyle w:val="Odstavecseseznamem"/>
                        <w:numPr>
                          <w:ilvl w:val="1"/>
                          <w:numId w:val="58"/>
                        </w:numPr>
                        <w:spacing w:line="276" w:lineRule="auto"/>
                        <w:jc w:val="both"/>
                        <w:rPr>
                          <w:rFonts w:eastAsia="Times New Roman" w:cs="Times New Roman"/>
                          <w:sz w:val="22"/>
                        </w:rPr>
                      </w:pPr>
                      <w:r>
                        <w:rPr>
                          <w:rFonts w:eastAsia="Times New Roman" w:cs="Times New Roman"/>
                          <w:sz w:val="22"/>
                        </w:rPr>
                        <w:t>Zvýšit úroveň digitálních dovedností, digitální gramotnosti a informatického myšlení dětí, žáků, studentů a učitelů.</w:t>
                      </w:r>
                    </w:p>
                    <w:p w:rsidR="00E505FC" w:rsidRPr="00E36773" w:rsidRDefault="00E505FC" w:rsidP="006A2F6A">
                      <w:pPr>
                        <w:pStyle w:val="Odstavecseseznamem"/>
                        <w:numPr>
                          <w:ilvl w:val="0"/>
                          <w:numId w:val="58"/>
                        </w:numPr>
                        <w:spacing w:line="276" w:lineRule="auto"/>
                        <w:jc w:val="both"/>
                        <w:rPr>
                          <w:rFonts w:eastAsia="Times New Roman" w:cs="Times New Roman"/>
                          <w:sz w:val="22"/>
                        </w:rPr>
                      </w:pPr>
                      <w:r w:rsidRPr="00E36773">
                        <w:rPr>
                          <w:rFonts w:eastAsia="Times New Roman" w:cs="Times New Roman"/>
                          <w:sz w:val="22"/>
                        </w:rPr>
                        <w:t>Zvýšit relevanci výuky, modernizaci a inovace v oblasti vzdělávacích metod.</w:t>
                      </w:r>
                    </w:p>
                    <w:p w:rsidR="00E505FC" w:rsidRPr="00E36773" w:rsidRDefault="00E505FC" w:rsidP="006A2F6A">
                      <w:pPr>
                        <w:pStyle w:val="Odstavecseseznamem"/>
                        <w:numPr>
                          <w:ilvl w:val="1"/>
                          <w:numId w:val="58"/>
                        </w:numPr>
                        <w:spacing w:line="276" w:lineRule="auto"/>
                        <w:jc w:val="both"/>
                        <w:rPr>
                          <w:rFonts w:eastAsia="Times New Roman" w:cs="Times New Roman"/>
                          <w:sz w:val="22"/>
                        </w:rPr>
                      </w:pPr>
                      <w:r w:rsidRPr="00E36773">
                        <w:rPr>
                          <w:rFonts w:eastAsia="Times New Roman" w:cs="Times New Roman"/>
                          <w:sz w:val="22"/>
                        </w:rPr>
                        <w:t>Zvýšit kvalitu vzdělávání na všech stupních vzdělávacího systému.</w:t>
                      </w:r>
                    </w:p>
                    <w:p w:rsidR="00E505FC" w:rsidRPr="00B63221" w:rsidRDefault="00E505FC" w:rsidP="006A2F6A">
                      <w:pPr>
                        <w:pStyle w:val="Odstavecseseznamem"/>
                        <w:numPr>
                          <w:ilvl w:val="1"/>
                          <w:numId w:val="58"/>
                        </w:numPr>
                        <w:spacing w:line="276" w:lineRule="auto"/>
                        <w:jc w:val="both"/>
                        <w:rPr>
                          <w:rFonts w:eastAsia="Times New Roman" w:cs="Times New Roman"/>
                          <w:sz w:val="22"/>
                        </w:rPr>
                      </w:pPr>
                      <w:r w:rsidRPr="00B63221">
                        <w:rPr>
                          <w:rFonts w:eastAsia="Times New Roman" w:cs="Times New Roman"/>
                          <w:sz w:val="22"/>
                        </w:rPr>
                        <w:t xml:space="preserve">Posílit </w:t>
                      </w:r>
                      <w:r>
                        <w:rPr>
                          <w:rFonts w:eastAsia="Times New Roman" w:cs="Times New Roman"/>
                          <w:sz w:val="22"/>
                        </w:rPr>
                        <w:t xml:space="preserve">průřezově </w:t>
                      </w:r>
                      <w:r w:rsidRPr="00B63221">
                        <w:rPr>
                          <w:rFonts w:eastAsia="Times New Roman" w:cs="Times New Roman"/>
                          <w:sz w:val="22"/>
                        </w:rPr>
                        <w:t>oblast kariérového poradenství v základním a středním vzdělávání.</w:t>
                      </w:r>
                    </w:p>
                    <w:p w:rsidR="00E505FC" w:rsidRPr="00E36773" w:rsidRDefault="00E505FC" w:rsidP="006A2F6A">
                      <w:pPr>
                        <w:pStyle w:val="Odstavecseseznamem"/>
                        <w:numPr>
                          <w:ilvl w:val="1"/>
                          <w:numId w:val="58"/>
                        </w:numPr>
                        <w:spacing w:line="276" w:lineRule="auto"/>
                        <w:jc w:val="both"/>
                        <w:rPr>
                          <w:rFonts w:eastAsia="Times New Roman" w:cs="Times New Roman"/>
                          <w:sz w:val="22"/>
                        </w:rPr>
                      </w:pPr>
                      <w:r w:rsidRPr="00E36773">
                        <w:rPr>
                          <w:rFonts w:eastAsia="Times New Roman" w:cs="Times New Roman"/>
                          <w:sz w:val="22"/>
                        </w:rPr>
                        <w:t xml:space="preserve">Posílit práci se zájemci o studium na </w:t>
                      </w:r>
                      <w:r>
                        <w:rPr>
                          <w:rFonts w:eastAsia="Times New Roman" w:cs="Times New Roman"/>
                          <w:sz w:val="22"/>
                        </w:rPr>
                        <w:t>VŠ</w:t>
                      </w:r>
                      <w:r w:rsidRPr="00E36773">
                        <w:rPr>
                          <w:rFonts w:eastAsia="Times New Roman" w:cs="Times New Roman"/>
                          <w:sz w:val="22"/>
                        </w:rPr>
                        <w:t>.</w:t>
                      </w:r>
                    </w:p>
                    <w:p w:rsidR="00E505FC" w:rsidRPr="00E36773" w:rsidRDefault="00E505FC" w:rsidP="006A2F6A">
                      <w:pPr>
                        <w:pStyle w:val="Odstavecseseznamem"/>
                        <w:numPr>
                          <w:ilvl w:val="1"/>
                          <w:numId w:val="58"/>
                        </w:numPr>
                        <w:spacing w:line="276" w:lineRule="auto"/>
                        <w:jc w:val="both"/>
                        <w:rPr>
                          <w:rFonts w:eastAsia="Times New Roman" w:cs="Times New Roman"/>
                          <w:sz w:val="22"/>
                        </w:rPr>
                      </w:pPr>
                      <w:r w:rsidRPr="00E36773">
                        <w:rPr>
                          <w:rFonts w:eastAsia="Times New Roman" w:cs="Times New Roman"/>
                          <w:sz w:val="22"/>
                        </w:rPr>
                        <w:t xml:space="preserve">Zlepšit studijní prostředí na všech typech škol a </w:t>
                      </w:r>
                      <w:r>
                        <w:rPr>
                          <w:rFonts w:eastAsia="Times New Roman" w:cs="Times New Roman"/>
                          <w:sz w:val="22"/>
                        </w:rPr>
                        <w:t>zvýšit</w:t>
                      </w:r>
                      <w:r w:rsidRPr="00E36773">
                        <w:rPr>
                          <w:rFonts w:eastAsia="Times New Roman" w:cs="Times New Roman"/>
                          <w:sz w:val="22"/>
                        </w:rPr>
                        <w:t xml:space="preserve"> motivac</w:t>
                      </w:r>
                      <w:r>
                        <w:rPr>
                          <w:rFonts w:eastAsia="Times New Roman" w:cs="Times New Roman"/>
                          <w:sz w:val="22"/>
                        </w:rPr>
                        <w:t>i</w:t>
                      </w:r>
                      <w:r w:rsidRPr="00E36773">
                        <w:rPr>
                          <w:rFonts w:eastAsia="Times New Roman" w:cs="Times New Roman"/>
                          <w:sz w:val="22"/>
                        </w:rPr>
                        <w:t xml:space="preserve"> a celkově well-being žáků a studentů.</w:t>
                      </w:r>
                    </w:p>
                    <w:p w:rsidR="00E505FC" w:rsidRPr="00E36773" w:rsidRDefault="00E505FC" w:rsidP="006A2F6A">
                      <w:pPr>
                        <w:pStyle w:val="Odstavecseseznamem"/>
                        <w:numPr>
                          <w:ilvl w:val="1"/>
                          <w:numId w:val="58"/>
                        </w:numPr>
                        <w:spacing w:line="276" w:lineRule="auto"/>
                        <w:jc w:val="both"/>
                        <w:rPr>
                          <w:rFonts w:eastAsia="Times New Roman" w:cs="Times New Roman"/>
                          <w:sz w:val="22"/>
                        </w:rPr>
                      </w:pPr>
                      <w:r w:rsidRPr="00E36773">
                        <w:rPr>
                          <w:rFonts w:eastAsia="Times New Roman" w:cs="Times New Roman"/>
                          <w:sz w:val="22"/>
                        </w:rPr>
                        <w:t xml:space="preserve">Posílit a rozvinout kombinované a distanční formy vzdělávání na </w:t>
                      </w:r>
                      <w:r>
                        <w:rPr>
                          <w:rFonts w:eastAsia="Times New Roman" w:cs="Times New Roman"/>
                          <w:sz w:val="22"/>
                        </w:rPr>
                        <w:t>VŠ</w:t>
                      </w:r>
                      <w:r w:rsidRPr="00E36773">
                        <w:rPr>
                          <w:rFonts w:eastAsia="Times New Roman" w:cs="Times New Roman"/>
                          <w:sz w:val="22"/>
                        </w:rPr>
                        <w:t>.</w:t>
                      </w:r>
                    </w:p>
                    <w:p w:rsidR="00E505FC" w:rsidRPr="00E36773" w:rsidRDefault="00E505FC" w:rsidP="006A2F6A">
                      <w:pPr>
                        <w:pStyle w:val="Odstavecseseznamem"/>
                        <w:numPr>
                          <w:ilvl w:val="1"/>
                          <w:numId w:val="58"/>
                        </w:numPr>
                        <w:spacing w:line="276" w:lineRule="auto"/>
                        <w:jc w:val="both"/>
                        <w:rPr>
                          <w:rFonts w:eastAsia="Times New Roman" w:cs="Times New Roman"/>
                          <w:sz w:val="22"/>
                        </w:rPr>
                      </w:pPr>
                      <w:r w:rsidRPr="00E36773">
                        <w:rPr>
                          <w:rFonts w:eastAsia="Times New Roman" w:cs="Times New Roman"/>
                          <w:sz w:val="22"/>
                        </w:rPr>
                        <w:t xml:space="preserve">Posílit prvek internacionalizace, zlepšit podmínky pro internacionalizaci na </w:t>
                      </w:r>
                      <w:r>
                        <w:rPr>
                          <w:rFonts w:eastAsia="Times New Roman" w:cs="Times New Roman"/>
                          <w:sz w:val="22"/>
                        </w:rPr>
                        <w:t>VŠ</w:t>
                      </w:r>
                      <w:r w:rsidRPr="00E36773">
                        <w:rPr>
                          <w:rFonts w:eastAsia="Times New Roman" w:cs="Times New Roman"/>
                          <w:sz w:val="22"/>
                        </w:rPr>
                        <w:t>.</w:t>
                      </w:r>
                    </w:p>
                    <w:p w:rsidR="00E505FC" w:rsidRPr="00E36773" w:rsidRDefault="00E505FC" w:rsidP="006A2F6A">
                      <w:pPr>
                        <w:pStyle w:val="Odstavecseseznamem"/>
                        <w:numPr>
                          <w:ilvl w:val="1"/>
                          <w:numId w:val="58"/>
                        </w:numPr>
                        <w:spacing w:line="276" w:lineRule="auto"/>
                        <w:jc w:val="both"/>
                        <w:rPr>
                          <w:rFonts w:eastAsia="Times New Roman" w:cs="Times New Roman"/>
                          <w:sz w:val="22"/>
                        </w:rPr>
                      </w:pPr>
                      <w:r w:rsidRPr="00E36773">
                        <w:rPr>
                          <w:rFonts w:eastAsia="Times New Roman" w:cs="Times New Roman"/>
                          <w:sz w:val="22"/>
                        </w:rPr>
                        <w:t>Posílit prvky aplikovatelnosti nabytých znalostí a dovedností a spolupráci se</w:t>
                      </w:r>
                      <w:r>
                        <w:rPr>
                          <w:rFonts w:eastAsia="Times New Roman" w:cs="Times New Roman"/>
                          <w:sz w:val="22"/>
                        </w:rPr>
                        <w:t> </w:t>
                      </w:r>
                      <w:r w:rsidRPr="00E36773">
                        <w:rPr>
                          <w:rFonts w:eastAsia="Times New Roman" w:cs="Times New Roman"/>
                          <w:sz w:val="22"/>
                        </w:rPr>
                        <w:t>zaměstnavateli / praxí.</w:t>
                      </w:r>
                    </w:p>
                    <w:p w:rsidR="00E505FC" w:rsidRDefault="00E505FC" w:rsidP="006A2F6A">
                      <w:pPr>
                        <w:pStyle w:val="Odstavecseseznamem"/>
                        <w:numPr>
                          <w:ilvl w:val="0"/>
                          <w:numId w:val="58"/>
                        </w:numPr>
                        <w:spacing w:line="276" w:lineRule="auto"/>
                        <w:jc w:val="both"/>
                        <w:rPr>
                          <w:rFonts w:eastAsia="Times New Roman" w:cs="Times New Roman"/>
                          <w:sz w:val="22"/>
                        </w:rPr>
                      </w:pPr>
                      <w:r w:rsidRPr="00E36773">
                        <w:rPr>
                          <w:rFonts w:eastAsia="Times New Roman" w:cs="Times New Roman"/>
                          <w:sz w:val="22"/>
                        </w:rPr>
                        <w:t xml:space="preserve">Posílit oblast celoživotního učení / </w:t>
                      </w:r>
                      <w:r w:rsidRPr="00BC2F5E">
                        <w:rPr>
                          <w:rFonts w:eastAsia="Times New Roman" w:cs="Times New Roman"/>
                          <w:sz w:val="22"/>
                        </w:rPr>
                        <w:t>dalšího</w:t>
                      </w:r>
                      <w:r w:rsidRPr="00E36773">
                        <w:rPr>
                          <w:rFonts w:eastAsia="Times New Roman" w:cs="Times New Roman"/>
                          <w:sz w:val="22"/>
                        </w:rPr>
                        <w:t xml:space="preserve"> vzdělávání</w:t>
                      </w:r>
                      <w:r>
                        <w:rPr>
                          <w:rFonts w:eastAsia="Times New Roman" w:cs="Times New Roman"/>
                          <w:sz w:val="22"/>
                        </w:rPr>
                        <w:t xml:space="preserve"> včetně občanského vzdělávání, a to zejména</w:t>
                      </w:r>
                      <w:r w:rsidRPr="00E36773">
                        <w:rPr>
                          <w:rFonts w:eastAsia="Times New Roman" w:cs="Times New Roman"/>
                          <w:sz w:val="22"/>
                        </w:rPr>
                        <w:t xml:space="preserve"> </w:t>
                      </w:r>
                      <w:r>
                        <w:rPr>
                          <w:rFonts w:eastAsia="Times New Roman" w:cs="Times New Roman"/>
                          <w:sz w:val="22"/>
                        </w:rPr>
                        <w:t>ve</w:t>
                      </w:r>
                      <w:r w:rsidRPr="00E36773">
                        <w:rPr>
                          <w:rFonts w:eastAsia="Times New Roman" w:cs="Times New Roman"/>
                          <w:sz w:val="22"/>
                        </w:rPr>
                        <w:t xml:space="preserve"> školách a školských zařízeních.</w:t>
                      </w:r>
                    </w:p>
                    <w:p w:rsidR="00E505FC" w:rsidRPr="00E36773" w:rsidRDefault="00E505FC" w:rsidP="006A2F6A">
                      <w:pPr>
                        <w:pStyle w:val="Odstavecseseznamem"/>
                        <w:numPr>
                          <w:ilvl w:val="0"/>
                          <w:numId w:val="58"/>
                        </w:numPr>
                        <w:spacing w:line="276" w:lineRule="auto"/>
                        <w:jc w:val="both"/>
                        <w:rPr>
                          <w:rFonts w:eastAsia="Times New Roman" w:cs="Times New Roman"/>
                          <w:sz w:val="22"/>
                        </w:rPr>
                      </w:pPr>
                      <w:r>
                        <w:rPr>
                          <w:rFonts w:eastAsia="Times New Roman" w:cs="Times New Roman"/>
                          <w:sz w:val="22"/>
                        </w:rPr>
                        <w:t xml:space="preserve">Snižovat různé formy </w:t>
                      </w:r>
                      <w:bookmarkStart w:id="32" w:name="_Hlk68599046"/>
                      <w:r>
                        <w:rPr>
                          <w:rFonts w:eastAsia="Times New Roman" w:cs="Times New Roman"/>
                          <w:sz w:val="22"/>
                        </w:rPr>
                        <w:t>znevýhodnění (genderové, sociální, etnické apod</w:t>
                      </w:r>
                      <w:bookmarkEnd w:id="32"/>
                      <w:r>
                        <w:rPr>
                          <w:rFonts w:eastAsia="Times New Roman" w:cs="Times New Roman"/>
                          <w:sz w:val="22"/>
                        </w:rPr>
                        <w:t xml:space="preserve">.)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809C2" w:rsidRPr="00B175FB" w:rsidRDefault="00B809C2" w:rsidP="006A2F6A">
      <w:pPr>
        <w:pStyle w:val="Nadpis3"/>
        <w:rPr>
          <w:b/>
          <w:color w:val="1F4E79" w:themeColor="accent5" w:themeShade="80"/>
          <w:lang w:val="cs-CZ" w:eastAsia="cs-CZ" w:bidi="cs-CZ"/>
        </w:rPr>
      </w:pPr>
      <w:bookmarkStart w:id="33" w:name="_Toc33000808"/>
      <w:bookmarkStart w:id="34" w:name="_Toc33000252"/>
      <w:bookmarkStart w:id="35" w:name="_Toc66476033"/>
      <w:bookmarkStart w:id="36" w:name="_Toc68610991"/>
      <w:r w:rsidRPr="00B175FB">
        <w:rPr>
          <w:b/>
          <w:color w:val="1F4E79" w:themeColor="accent5" w:themeShade="80"/>
          <w:lang w:val="cs-CZ" w:eastAsia="cs-CZ" w:bidi="cs-CZ"/>
        </w:rPr>
        <w:t>Nedostatečn</w:t>
      </w:r>
      <w:r w:rsidR="007D712B" w:rsidRPr="00B175FB">
        <w:rPr>
          <w:b/>
          <w:color w:val="1F4E79" w:themeColor="accent5" w:themeShade="80"/>
          <w:lang w:val="cs-CZ" w:eastAsia="cs-CZ" w:bidi="cs-CZ"/>
        </w:rPr>
        <w:t>á</w:t>
      </w:r>
      <w:r w:rsidRPr="00B175FB">
        <w:rPr>
          <w:b/>
          <w:color w:val="1F4E79" w:themeColor="accent5" w:themeShade="80"/>
          <w:lang w:val="cs-CZ" w:eastAsia="cs-CZ" w:bidi="cs-CZ"/>
        </w:rPr>
        <w:t xml:space="preserve"> </w:t>
      </w:r>
      <w:r w:rsidR="00EC28D6" w:rsidRPr="00B175FB">
        <w:rPr>
          <w:b/>
          <w:color w:val="1F4E79" w:themeColor="accent5" w:themeShade="80"/>
          <w:lang w:val="cs-CZ" w:eastAsia="cs-CZ" w:bidi="cs-CZ"/>
        </w:rPr>
        <w:t>podpora</w:t>
      </w:r>
      <w:r w:rsidR="007D712B" w:rsidRPr="00B175FB">
        <w:rPr>
          <w:b/>
          <w:color w:val="1F4E79" w:themeColor="accent5" w:themeShade="80"/>
          <w:lang w:val="cs-CZ" w:eastAsia="cs-CZ" w:bidi="cs-CZ"/>
        </w:rPr>
        <w:t xml:space="preserve"> pedagogických pracovníků a</w:t>
      </w:r>
      <w:r w:rsidR="00EC28D6" w:rsidRPr="00B175FB">
        <w:rPr>
          <w:b/>
          <w:color w:val="1F4E79" w:themeColor="accent5" w:themeShade="80"/>
          <w:lang w:val="cs-CZ" w:eastAsia="cs-CZ" w:bidi="cs-CZ"/>
        </w:rPr>
        <w:t xml:space="preserve"> škol</w:t>
      </w:r>
      <w:bookmarkEnd w:id="33"/>
      <w:bookmarkEnd w:id="34"/>
      <w:bookmarkEnd w:id="35"/>
      <w:bookmarkEnd w:id="36"/>
    </w:p>
    <w:p w:rsidR="00B809C2" w:rsidRPr="00B175FB" w:rsidRDefault="000129F7" w:rsidP="00D6696E">
      <w:pPr>
        <w:spacing w:before="0" w:line="276" w:lineRule="auto"/>
        <w:jc w:val="both"/>
        <w:rPr>
          <w:rFonts w:eastAsia="Times New Roman"/>
          <w:noProof/>
          <w:sz w:val="22"/>
        </w:rPr>
      </w:pPr>
      <w:r w:rsidRPr="00B175FB">
        <w:rPr>
          <w:rFonts w:eastAsia="Times New Roman"/>
          <w:noProof/>
          <w:sz w:val="22"/>
        </w:rPr>
        <w:t>K</w:t>
      </w:r>
      <w:r w:rsidR="000B5E63" w:rsidRPr="00B175FB">
        <w:rPr>
          <w:rFonts w:eastAsia="Times New Roman"/>
          <w:noProof/>
          <w:sz w:val="22"/>
        </w:rPr>
        <w:t xml:space="preserve">valita samotných učitelů </w:t>
      </w:r>
      <w:r w:rsidRPr="00B175FB">
        <w:rPr>
          <w:rFonts w:eastAsia="Times New Roman"/>
          <w:noProof/>
          <w:sz w:val="22"/>
        </w:rPr>
        <w:t xml:space="preserve">je dle dostupných empirických zjištění </w:t>
      </w:r>
      <w:r w:rsidR="000B5E63" w:rsidRPr="00B175FB">
        <w:rPr>
          <w:rFonts w:eastAsia="Times New Roman"/>
          <w:noProof/>
          <w:sz w:val="22"/>
        </w:rPr>
        <w:t xml:space="preserve">zcela určujícím faktorem kvality </w:t>
      </w:r>
      <w:r w:rsidR="00370B63" w:rsidRPr="00B175FB">
        <w:rPr>
          <w:rFonts w:eastAsia="Times New Roman"/>
          <w:noProof/>
          <w:sz w:val="22"/>
        </w:rPr>
        <w:t xml:space="preserve">poskytovaného </w:t>
      </w:r>
      <w:r w:rsidR="000B5E63" w:rsidRPr="00B175FB">
        <w:rPr>
          <w:rFonts w:eastAsia="Times New Roman"/>
          <w:noProof/>
          <w:sz w:val="22"/>
        </w:rPr>
        <w:t xml:space="preserve">vzdělávání. </w:t>
      </w:r>
      <w:r w:rsidR="00B809C2" w:rsidRPr="00B175FB">
        <w:rPr>
          <w:rFonts w:eastAsia="Times New Roman"/>
          <w:noProof/>
          <w:sz w:val="22"/>
        </w:rPr>
        <w:t>Společnou charakteristikou vzdělávacích systémů obecně považovaných za</w:t>
      </w:r>
      <w:r w:rsidR="00957F19" w:rsidRPr="00B175FB">
        <w:rPr>
          <w:rFonts w:eastAsia="Times New Roman"/>
          <w:noProof/>
          <w:sz w:val="22"/>
        </w:rPr>
        <w:t> </w:t>
      </w:r>
      <w:r w:rsidR="00B809C2" w:rsidRPr="00B175FB">
        <w:rPr>
          <w:rFonts w:eastAsia="Times New Roman"/>
          <w:noProof/>
          <w:sz w:val="22"/>
        </w:rPr>
        <w:t>úspěšné je významná pozornost věnovaná výběru, počáteční přípravě a průběžné profesní podpoře učitelů</w:t>
      </w:r>
      <w:r w:rsidR="002A42F5" w:rsidRPr="00B175FB">
        <w:rPr>
          <w:rFonts w:eastAsia="Times New Roman"/>
          <w:noProof/>
          <w:sz w:val="22"/>
        </w:rPr>
        <w:t>.</w:t>
      </w:r>
      <w:r w:rsidR="000B5E63" w:rsidRPr="00B175FB">
        <w:rPr>
          <w:rFonts w:eastAsia="Times New Roman"/>
          <w:noProof/>
          <w:sz w:val="22"/>
          <w:vertAlign w:val="superscript"/>
        </w:rPr>
        <w:footnoteReference w:id="26"/>
      </w:r>
      <w:r w:rsidR="00B809C2" w:rsidRPr="00B175FB">
        <w:rPr>
          <w:rFonts w:eastAsia="Times New Roman"/>
          <w:noProof/>
          <w:sz w:val="22"/>
        </w:rPr>
        <w:t xml:space="preserve"> Školský systém v </w:t>
      </w:r>
      <w:r w:rsidR="006B0F12" w:rsidRPr="00B175FB">
        <w:rPr>
          <w:rFonts w:eastAsia="Times New Roman"/>
          <w:noProof/>
          <w:sz w:val="22"/>
        </w:rPr>
        <w:t>ČR</w:t>
      </w:r>
      <w:r w:rsidR="00B809C2" w:rsidRPr="00B175FB">
        <w:rPr>
          <w:rFonts w:eastAsia="Times New Roman"/>
          <w:noProof/>
          <w:sz w:val="22"/>
        </w:rPr>
        <w:t xml:space="preserve"> se v oblasti vzdělávání, zaměstnávání a dalšího rozvoje učitelů </w:t>
      </w:r>
      <w:r w:rsidR="00C57D88" w:rsidRPr="00B175FB">
        <w:rPr>
          <w:rFonts w:eastAsia="Times New Roman"/>
          <w:noProof/>
          <w:sz w:val="22"/>
        </w:rPr>
        <w:t>i přes</w:t>
      </w:r>
      <w:r w:rsidR="00CB5605" w:rsidRPr="00B175FB">
        <w:rPr>
          <w:rFonts w:eastAsia="Times New Roman"/>
          <w:noProof/>
          <w:sz w:val="22"/>
        </w:rPr>
        <w:t xml:space="preserve"> významný pokrok z posledních let potýká s řadou</w:t>
      </w:r>
      <w:r w:rsidR="00C57D88" w:rsidRPr="00B175FB">
        <w:rPr>
          <w:rFonts w:eastAsia="Times New Roman"/>
          <w:noProof/>
          <w:sz w:val="22"/>
        </w:rPr>
        <w:t xml:space="preserve"> </w:t>
      </w:r>
      <w:r w:rsidR="00B809C2" w:rsidRPr="00B175FB">
        <w:rPr>
          <w:rFonts w:eastAsia="Times New Roman"/>
          <w:noProof/>
          <w:sz w:val="22"/>
        </w:rPr>
        <w:t>problémů. Jedním z nich je nízká atraktivita učitelské profese v regionálním školství</w:t>
      </w:r>
      <w:r w:rsidR="00A11242">
        <w:rPr>
          <w:rFonts w:eastAsia="Times New Roman"/>
          <w:noProof/>
          <w:sz w:val="22"/>
        </w:rPr>
        <w:t xml:space="preserve"> i přes systematické zvy</w:t>
      </w:r>
      <w:r w:rsidR="006F32F4">
        <w:rPr>
          <w:rFonts w:eastAsia="Times New Roman"/>
          <w:noProof/>
          <w:sz w:val="22"/>
        </w:rPr>
        <w:t>š</w:t>
      </w:r>
      <w:r w:rsidR="00A11242">
        <w:rPr>
          <w:rFonts w:eastAsia="Times New Roman"/>
          <w:noProof/>
          <w:sz w:val="22"/>
        </w:rPr>
        <w:t>ování prostředků na platy</w:t>
      </w:r>
      <w:r w:rsidR="00CB5605" w:rsidRPr="00B175FB">
        <w:rPr>
          <w:rFonts w:eastAsia="Times New Roman"/>
          <w:noProof/>
          <w:sz w:val="22"/>
        </w:rPr>
        <w:t xml:space="preserve">. </w:t>
      </w:r>
      <w:r w:rsidR="00B809C2" w:rsidRPr="00B175FB">
        <w:rPr>
          <w:rFonts w:eastAsia="Times New Roman"/>
          <w:noProof/>
          <w:sz w:val="22"/>
        </w:rPr>
        <w:t>Situaci komplikují rovněž omezené možnosti kariérního postupu a</w:t>
      </w:r>
      <w:r w:rsidR="004D12F2" w:rsidRPr="00B175FB">
        <w:rPr>
          <w:rFonts w:eastAsia="Times New Roman"/>
          <w:noProof/>
          <w:sz w:val="22"/>
        </w:rPr>
        <w:t> </w:t>
      </w:r>
      <w:r w:rsidR="00DB1BDC" w:rsidRPr="00B175FB">
        <w:rPr>
          <w:rFonts w:eastAsia="Times New Roman"/>
          <w:noProof/>
          <w:sz w:val="22"/>
        </w:rPr>
        <w:t xml:space="preserve">zpochybňování </w:t>
      </w:r>
      <w:r w:rsidR="00B809C2" w:rsidRPr="00B175FB">
        <w:rPr>
          <w:rFonts w:eastAsia="Times New Roman"/>
          <w:noProof/>
          <w:sz w:val="22"/>
        </w:rPr>
        <w:t>příležitosti k</w:t>
      </w:r>
      <w:r w:rsidR="00E67A83" w:rsidRPr="00B175FB">
        <w:rPr>
          <w:rFonts w:eastAsia="Times New Roman"/>
          <w:noProof/>
          <w:sz w:val="22"/>
        </w:rPr>
        <w:t> </w:t>
      </w:r>
      <w:r w:rsidR="00B809C2" w:rsidRPr="00B175FB">
        <w:rPr>
          <w:rFonts w:eastAsia="Times New Roman"/>
          <w:noProof/>
          <w:sz w:val="22"/>
        </w:rPr>
        <w:t>seberealizaci</w:t>
      </w:r>
      <w:r w:rsidR="00342748" w:rsidRPr="00B175FB">
        <w:rPr>
          <w:rFonts w:eastAsia="Times New Roman"/>
          <w:sz w:val="22"/>
        </w:rPr>
        <w:t xml:space="preserve">. </w:t>
      </w:r>
      <w:r w:rsidR="00B809C2" w:rsidRPr="00B175FB">
        <w:rPr>
          <w:rFonts w:eastAsia="Times New Roman"/>
          <w:noProof/>
          <w:sz w:val="22"/>
        </w:rPr>
        <w:t>O komplexní podporu rozvoje profese a</w:t>
      </w:r>
      <w:r w:rsidR="00A51D13">
        <w:rPr>
          <w:rFonts w:eastAsia="Times New Roman"/>
          <w:noProof/>
          <w:sz w:val="22"/>
        </w:rPr>
        <w:t> </w:t>
      </w:r>
      <w:r w:rsidR="00B809C2" w:rsidRPr="00B175FB">
        <w:rPr>
          <w:rFonts w:eastAsia="Times New Roman"/>
          <w:noProof/>
          <w:sz w:val="22"/>
        </w:rPr>
        <w:t>přípravy je třeba usilovat prostřednictvím uceleného systému podpory profesního rozvoje učitelů, který zahrnuje všechny oblasti tzv.</w:t>
      </w:r>
      <w:r w:rsidR="00854768" w:rsidRPr="00B175FB">
        <w:rPr>
          <w:rFonts w:eastAsia="Times New Roman"/>
          <w:noProof/>
          <w:sz w:val="22"/>
        </w:rPr>
        <w:t> </w:t>
      </w:r>
      <w:r w:rsidR="00B809C2" w:rsidRPr="00B175FB">
        <w:rPr>
          <w:rFonts w:eastAsia="Times New Roman"/>
          <w:noProof/>
          <w:sz w:val="22"/>
        </w:rPr>
        <w:t>profesionalizačního kontinua</w:t>
      </w:r>
      <w:r w:rsidR="00DB1BDC" w:rsidRPr="00B175FB">
        <w:rPr>
          <w:rFonts w:eastAsia="Times New Roman"/>
          <w:noProof/>
          <w:sz w:val="22"/>
        </w:rPr>
        <w:t xml:space="preserve"> </w:t>
      </w:r>
      <w:r w:rsidR="003C42A2" w:rsidRPr="00B175FB">
        <w:rPr>
          <w:rFonts w:eastAsia="Times New Roman"/>
          <w:noProof/>
          <w:sz w:val="22"/>
        </w:rPr>
        <w:t>–</w:t>
      </w:r>
      <w:r w:rsidR="00DB1BDC" w:rsidRPr="00B175FB">
        <w:rPr>
          <w:rFonts w:eastAsia="Times New Roman"/>
          <w:noProof/>
          <w:sz w:val="22"/>
        </w:rPr>
        <w:t xml:space="preserve"> </w:t>
      </w:r>
      <w:r w:rsidR="000B5E63" w:rsidRPr="00B175FB">
        <w:rPr>
          <w:rFonts w:eastAsia="Times New Roman"/>
          <w:noProof/>
          <w:sz w:val="22"/>
        </w:rPr>
        <w:t>získávání kvalitních zájemců o</w:t>
      </w:r>
      <w:r w:rsidR="003C42A2" w:rsidRPr="00B175FB">
        <w:rPr>
          <w:rFonts w:eastAsia="Times New Roman"/>
          <w:noProof/>
          <w:sz w:val="22"/>
        </w:rPr>
        <w:t> </w:t>
      </w:r>
      <w:r w:rsidR="000B5E63" w:rsidRPr="00B175FB">
        <w:rPr>
          <w:rFonts w:eastAsia="Times New Roman"/>
          <w:noProof/>
          <w:sz w:val="22"/>
        </w:rPr>
        <w:t>studium učitelství</w:t>
      </w:r>
      <w:r w:rsidR="00722386" w:rsidRPr="00B175FB">
        <w:rPr>
          <w:rFonts w:eastAsia="Times New Roman"/>
          <w:noProof/>
          <w:sz w:val="22"/>
        </w:rPr>
        <w:t>;</w:t>
      </w:r>
      <w:r w:rsidR="00B809C2" w:rsidRPr="00B175FB">
        <w:rPr>
          <w:rFonts w:eastAsia="Times New Roman"/>
          <w:noProof/>
          <w:sz w:val="22"/>
        </w:rPr>
        <w:t xml:space="preserve"> kvalitní přípravné učitelské vzdělávání, které vede k</w:t>
      </w:r>
      <w:r w:rsidR="00E67A83" w:rsidRPr="00B175FB">
        <w:rPr>
          <w:rFonts w:eastAsia="Times New Roman"/>
          <w:noProof/>
          <w:sz w:val="22"/>
        </w:rPr>
        <w:t> </w:t>
      </w:r>
      <w:r w:rsidR="00B809C2" w:rsidRPr="00B175FB">
        <w:rPr>
          <w:rFonts w:eastAsia="Times New Roman"/>
          <w:noProof/>
          <w:sz w:val="22"/>
        </w:rPr>
        <w:t>využívání moderních vyučovacích metod</w:t>
      </w:r>
      <w:r w:rsidR="00722386" w:rsidRPr="00B175FB">
        <w:rPr>
          <w:rFonts w:eastAsia="Times New Roman"/>
          <w:noProof/>
          <w:sz w:val="22"/>
        </w:rPr>
        <w:t>;</w:t>
      </w:r>
      <w:r w:rsidR="00B809C2" w:rsidRPr="00B175FB">
        <w:rPr>
          <w:rFonts w:eastAsia="Times New Roman"/>
          <w:noProof/>
          <w:sz w:val="22"/>
        </w:rPr>
        <w:t xml:space="preserve"> uvádění do učitelské profese</w:t>
      </w:r>
      <w:r w:rsidR="00722386" w:rsidRPr="00B175FB">
        <w:rPr>
          <w:rFonts w:eastAsia="Times New Roman"/>
          <w:noProof/>
          <w:sz w:val="22"/>
        </w:rPr>
        <w:t>;</w:t>
      </w:r>
      <w:r w:rsidR="00B809C2" w:rsidRPr="00B175FB">
        <w:rPr>
          <w:rFonts w:eastAsia="Times New Roman"/>
          <w:noProof/>
          <w:sz w:val="22"/>
        </w:rPr>
        <w:t xml:space="preserve"> další vzdělávání a profesní rozvoj učitelů včetně mentoringu</w:t>
      </w:r>
      <w:r w:rsidR="002A42F5" w:rsidRPr="00B175FB">
        <w:rPr>
          <w:rFonts w:eastAsia="Times New Roman"/>
          <w:noProof/>
          <w:sz w:val="22"/>
        </w:rPr>
        <w:t>.</w:t>
      </w:r>
      <w:r w:rsidR="007C77CB" w:rsidRPr="00B175FB">
        <w:rPr>
          <w:rFonts w:eastAsia="Times New Roman"/>
          <w:noProof/>
          <w:sz w:val="22"/>
          <w:vertAlign w:val="superscript"/>
        </w:rPr>
        <w:footnoteReference w:id="27"/>
      </w:r>
      <w:r w:rsidR="007C77CB" w:rsidRPr="00B175FB">
        <w:rPr>
          <w:rFonts w:eastAsia="Times New Roman"/>
          <w:noProof/>
          <w:sz w:val="22"/>
        </w:rPr>
        <w:t xml:space="preserve"> </w:t>
      </w:r>
    </w:p>
    <w:p w:rsidR="00A3133B" w:rsidRPr="00B175FB" w:rsidRDefault="007C77CB" w:rsidP="00240BA0">
      <w:pPr>
        <w:spacing w:line="276" w:lineRule="auto"/>
        <w:jc w:val="both"/>
        <w:rPr>
          <w:rFonts w:eastAsia="Times New Roman"/>
          <w:noProof/>
          <w:sz w:val="22"/>
        </w:rPr>
      </w:pPr>
      <w:r w:rsidRPr="00B175FB">
        <w:rPr>
          <w:rFonts w:eastAsia="Times New Roman"/>
          <w:noProof/>
          <w:sz w:val="22"/>
        </w:rPr>
        <w:t>V reakci na výše uvedené je nutné podporovat promyšlený systém vzdělávacích cest, který by dokázal stimulovat zájem o učitelskou profesi, podchytil zájemce s různými dosavadními zkušenostmi a efektivně je</w:t>
      </w:r>
      <w:r w:rsidR="00B53CAB" w:rsidRPr="00B175FB">
        <w:rPr>
          <w:rFonts w:eastAsia="Times New Roman"/>
          <w:noProof/>
          <w:sz w:val="22"/>
        </w:rPr>
        <w:t> </w:t>
      </w:r>
      <w:r w:rsidRPr="00B175FB">
        <w:rPr>
          <w:rFonts w:eastAsia="Times New Roman"/>
          <w:noProof/>
          <w:sz w:val="22"/>
        </w:rPr>
        <w:t>připravoval pro dynamicky se proměňující práci učitele</w:t>
      </w:r>
      <w:r w:rsidR="00CD4931" w:rsidRPr="00B175FB">
        <w:rPr>
          <w:rFonts w:eastAsia="Times New Roman"/>
          <w:noProof/>
          <w:sz w:val="22"/>
        </w:rPr>
        <w:t>.</w:t>
      </w:r>
      <w:r w:rsidRPr="00B175FB">
        <w:rPr>
          <w:rFonts w:eastAsia="Times New Roman"/>
          <w:noProof/>
          <w:sz w:val="22"/>
          <w:vertAlign w:val="superscript"/>
        </w:rPr>
        <w:footnoteReference w:id="28"/>
      </w:r>
      <w:r w:rsidRPr="00B175FB">
        <w:rPr>
          <w:rFonts w:eastAsia="Times New Roman"/>
          <w:noProof/>
          <w:sz w:val="22"/>
        </w:rPr>
        <w:t xml:space="preserve"> </w:t>
      </w:r>
      <w:r w:rsidR="00483DE6" w:rsidRPr="00B175FB">
        <w:rPr>
          <w:rFonts w:eastAsia="Times New Roman"/>
          <w:noProof/>
          <w:sz w:val="22"/>
        </w:rPr>
        <w:t xml:space="preserve">Je nutné zaměřit se na podporu rozvoje kompetencí ředitelů </w:t>
      </w:r>
      <w:r w:rsidRPr="00B175FB">
        <w:rPr>
          <w:rFonts w:eastAsia="Times New Roman"/>
          <w:noProof/>
          <w:sz w:val="22"/>
        </w:rPr>
        <w:t>a systém podpory je</w:t>
      </w:r>
      <w:r w:rsidR="00256E9D" w:rsidRPr="00B175FB">
        <w:rPr>
          <w:rFonts w:eastAsia="Times New Roman"/>
          <w:noProof/>
          <w:sz w:val="22"/>
        </w:rPr>
        <w:t>jich</w:t>
      </w:r>
      <w:r w:rsidRPr="00B175FB">
        <w:rPr>
          <w:rFonts w:eastAsia="Times New Roman"/>
          <w:noProof/>
          <w:sz w:val="22"/>
        </w:rPr>
        <w:t xml:space="preserve"> práce,</w:t>
      </w:r>
      <w:r w:rsidR="00483DE6" w:rsidRPr="00B175FB">
        <w:rPr>
          <w:rFonts w:eastAsia="Times New Roman"/>
          <w:noProof/>
          <w:sz w:val="22"/>
        </w:rPr>
        <w:t xml:space="preserve"> jelikož</w:t>
      </w:r>
      <w:r w:rsidRPr="00B175FB">
        <w:rPr>
          <w:rFonts w:eastAsia="Times New Roman"/>
          <w:noProof/>
          <w:sz w:val="22"/>
        </w:rPr>
        <w:t xml:space="preserve"> osoba ředitele a způsob jeho pedagogického vedení výrazně ovlivňuje práci učitelů a kvalitu školy. Stále chybí </w:t>
      </w:r>
      <w:r w:rsidR="00EE130F" w:rsidRPr="00B175FB">
        <w:rPr>
          <w:rFonts w:eastAsia="Times New Roman"/>
          <w:sz w:val="22"/>
        </w:rPr>
        <w:t xml:space="preserve">i </w:t>
      </w:r>
      <w:r w:rsidRPr="00B175FB">
        <w:rPr>
          <w:rFonts w:eastAsia="Times New Roman"/>
          <w:noProof/>
          <w:sz w:val="22"/>
        </w:rPr>
        <w:t>adekvátní rozsah podpory práce učitele ze strany dalších profesionálů – např. psychologů, speciálních pedagogů</w:t>
      </w:r>
      <w:r w:rsidR="002A42F5" w:rsidRPr="00B175FB">
        <w:rPr>
          <w:rFonts w:eastAsia="Times New Roman"/>
          <w:noProof/>
          <w:sz w:val="22"/>
        </w:rPr>
        <w:t>.</w:t>
      </w:r>
      <w:r w:rsidRPr="00B175FB">
        <w:rPr>
          <w:rFonts w:eastAsia="Times New Roman"/>
          <w:sz w:val="22"/>
          <w:vertAlign w:val="superscript"/>
        </w:rPr>
        <w:footnoteReference w:id="29"/>
      </w:r>
      <w:r w:rsidRPr="00B175FB">
        <w:rPr>
          <w:rFonts w:eastAsia="Times New Roman"/>
          <w:sz w:val="22"/>
        </w:rPr>
        <w:t xml:space="preserve"> </w:t>
      </w:r>
      <w:r w:rsidR="00EE130F" w:rsidRPr="00B175FB">
        <w:rPr>
          <w:rFonts w:eastAsia="Times New Roman"/>
          <w:sz w:val="22"/>
        </w:rPr>
        <w:t>Je potřeba zajistit</w:t>
      </w:r>
      <w:r w:rsidRPr="00B175FB">
        <w:rPr>
          <w:rFonts w:eastAsia="Times New Roman"/>
          <w:noProof/>
          <w:sz w:val="22"/>
        </w:rPr>
        <w:t xml:space="preserve"> efektivní </w:t>
      </w:r>
      <w:r w:rsidRPr="00B175FB">
        <w:rPr>
          <w:rFonts w:eastAsia="Times New Roman"/>
          <w:sz w:val="22"/>
        </w:rPr>
        <w:t>podpor</w:t>
      </w:r>
      <w:r w:rsidR="00EE130F" w:rsidRPr="00B175FB">
        <w:rPr>
          <w:rFonts w:eastAsia="Times New Roman"/>
          <w:sz w:val="22"/>
        </w:rPr>
        <w:t>u</w:t>
      </w:r>
      <w:r w:rsidRPr="00B175FB">
        <w:rPr>
          <w:rFonts w:eastAsia="Times New Roman"/>
          <w:noProof/>
          <w:sz w:val="22"/>
        </w:rPr>
        <w:t xml:space="preserve"> začínajících učitelů, </w:t>
      </w:r>
      <w:r w:rsidR="00C448C1" w:rsidRPr="00B175FB">
        <w:rPr>
          <w:rFonts w:eastAsia="Times New Roman"/>
          <w:noProof/>
          <w:sz w:val="22"/>
        </w:rPr>
        <w:t>neboť</w:t>
      </w:r>
      <w:r w:rsidRPr="00B175FB">
        <w:rPr>
          <w:rFonts w:eastAsia="Times New Roman"/>
          <w:noProof/>
          <w:sz w:val="22"/>
        </w:rPr>
        <w:t xml:space="preserve"> zhruba třetina</w:t>
      </w:r>
      <w:r w:rsidR="00C448C1" w:rsidRPr="00B175FB">
        <w:rPr>
          <w:rFonts w:eastAsia="Times New Roman"/>
          <w:noProof/>
          <w:sz w:val="22"/>
        </w:rPr>
        <w:t xml:space="preserve"> z n</w:t>
      </w:r>
      <w:r w:rsidR="005409C7" w:rsidRPr="00B175FB">
        <w:rPr>
          <w:rFonts w:eastAsia="Times New Roman"/>
          <w:noProof/>
          <w:sz w:val="22"/>
        </w:rPr>
        <w:t>ich</w:t>
      </w:r>
      <w:r w:rsidRPr="00B175FB">
        <w:rPr>
          <w:rFonts w:eastAsia="Times New Roman"/>
          <w:noProof/>
          <w:sz w:val="22"/>
        </w:rPr>
        <w:t xml:space="preserve"> zvažuje odchod ze školství</w:t>
      </w:r>
      <w:r w:rsidR="002A42F5" w:rsidRPr="00B175FB">
        <w:rPr>
          <w:rFonts w:eastAsia="Times New Roman"/>
          <w:noProof/>
          <w:sz w:val="22"/>
        </w:rPr>
        <w:t>.</w:t>
      </w:r>
      <w:r w:rsidRPr="00B175FB">
        <w:rPr>
          <w:rFonts w:eastAsia="Times New Roman"/>
          <w:noProof/>
          <w:sz w:val="22"/>
          <w:vertAlign w:val="superscript"/>
        </w:rPr>
        <w:footnoteReference w:id="30"/>
      </w:r>
      <w:r w:rsidRPr="00B175FB">
        <w:rPr>
          <w:rFonts w:eastAsia="Times New Roman"/>
          <w:noProof/>
          <w:sz w:val="22"/>
        </w:rPr>
        <w:t> </w:t>
      </w:r>
      <w:r w:rsidR="00A3133B" w:rsidRPr="00B175FB">
        <w:rPr>
          <w:rFonts w:eastAsia="Times New Roman"/>
          <w:noProof/>
          <w:sz w:val="22"/>
        </w:rPr>
        <w:t>Subjektivně vnímaná profesní zdatnost českých učitelů je v oblasti motivace a aktivního zapojování žáků do výuky v</w:t>
      </w:r>
      <w:r w:rsidR="00B53CAB" w:rsidRPr="00B175FB">
        <w:rPr>
          <w:rFonts w:eastAsia="Times New Roman"/>
          <w:noProof/>
          <w:sz w:val="22"/>
        </w:rPr>
        <w:t> </w:t>
      </w:r>
      <w:r w:rsidR="00A3133B" w:rsidRPr="00B175FB">
        <w:rPr>
          <w:rFonts w:eastAsia="Times New Roman"/>
          <w:noProof/>
          <w:sz w:val="22"/>
        </w:rPr>
        <w:t>porovnání s</w:t>
      </w:r>
      <w:r w:rsidR="003C42A2" w:rsidRPr="00B175FB">
        <w:rPr>
          <w:rFonts w:eastAsia="Times New Roman"/>
          <w:noProof/>
          <w:sz w:val="22"/>
        </w:rPr>
        <w:t>e státy</w:t>
      </w:r>
      <w:r w:rsidR="00A3133B" w:rsidRPr="00B175FB">
        <w:rPr>
          <w:rFonts w:eastAsia="Times New Roman"/>
          <w:noProof/>
          <w:sz w:val="22"/>
        </w:rPr>
        <w:t xml:space="preserve"> E</w:t>
      </w:r>
      <w:r w:rsidR="003C42A2" w:rsidRPr="00B175FB">
        <w:rPr>
          <w:rFonts w:eastAsia="Times New Roman"/>
          <w:noProof/>
          <w:sz w:val="22"/>
        </w:rPr>
        <w:t>vropské unie (dále jen „EU“)</w:t>
      </w:r>
      <w:r w:rsidR="00A3133B" w:rsidRPr="00B175FB">
        <w:rPr>
          <w:rFonts w:eastAsia="Times New Roman"/>
          <w:noProof/>
          <w:sz w:val="22"/>
        </w:rPr>
        <w:t xml:space="preserve"> velmi podprůměrná a patří k nejnižším v rámci celého mezinárodního šetření TALIS. </w:t>
      </w:r>
      <w:r w:rsidRPr="00B175FB">
        <w:rPr>
          <w:rFonts w:eastAsia="Times New Roman"/>
          <w:noProof/>
          <w:sz w:val="22"/>
        </w:rPr>
        <w:t xml:space="preserve">Stávající systém dalšího profesního vzdělávání </w:t>
      </w:r>
      <w:r w:rsidR="00EE130F" w:rsidRPr="00B175FB">
        <w:rPr>
          <w:rFonts w:eastAsia="Times New Roman"/>
          <w:sz w:val="22"/>
        </w:rPr>
        <w:t>není dostatečně efektivní a</w:t>
      </w:r>
      <w:r w:rsidR="003C42A2" w:rsidRPr="00B175FB">
        <w:rPr>
          <w:rFonts w:eastAsia="Times New Roman"/>
          <w:sz w:val="22"/>
        </w:rPr>
        <w:t> </w:t>
      </w:r>
      <w:r w:rsidR="00EE130F" w:rsidRPr="00B175FB">
        <w:rPr>
          <w:rFonts w:eastAsia="Times New Roman"/>
          <w:sz w:val="22"/>
        </w:rPr>
        <w:t xml:space="preserve">v jeho </w:t>
      </w:r>
      <w:r w:rsidR="008C1B74" w:rsidRPr="00B175FB">
        <w:rPr>
          <w:rFonts w:eastAsia="Times New Roman"/>
          <w:sz w:val="22"/>
        </w:rPr>
        <w:t>nabídce</w:t>
      </w:r>
      <w:r w:rsidR="00EE130F" w:rsidRPr="00B175FB">
        <w:rPr>
          <w:rFonts w:eastAsia="Times New Roman"/>
          <w:sz w:val="22"/>
        </w:rPr>
        <w:t xml:space="preserve"> p</w:t>
      </w:r>
      <w:r w:rsidRPr="00B175FB">
        <w:rPr>
          <w:rFonts w:eastAsia="Times New Roman"/>
          <w:sz w:val="22"/>
        </w:rPr>
        <w:t>řevažuj</w:t>
      </w:r>
      <w:r w:rsidR="008C1B74" w:rsidRPr="00B175FB">
        <w:rPr>
          <w:rFonts w:eastAsia="Times New Roman"/>
          <w:sz w:val="22"/>
        </w:rPr>
        <w:t>í</w:t>
      </w:r>
      <w:r w:rsidRPr="00B175FB">
        <w:rPr>
          <w:rFonts w:eastAsia="Times New Roman"/>
          <w:sz w:val="22"/>
        </w:rPr>
        <w:t xml:space="preserve"> jednorázov</w:t>
      </w:r>
      <w:r w:rsidR="008C1B74" w:rsidRPr="00B175FB">
        <w:rPr>
          <w:rFonts w:eastAsia="Times New Roman"/>
          <w:sz w:val="22"/>
        </w:rPr>
        <w:t>é</w:t>
      </w:r>
      <w:r w:rsidRPr="00B175FB">
        <w:rPr>
          <w:rFonts w:eastAsia="Times New Roman"/>
          <w:sz w:val="22"/>
        </w:rPr>
        <w:t xml:space="preserve"> krátkodob</w:t>
      </w:r>
      <w:r w:rsidR="008C1B74" w:rsidRPr="00B175FB">
        <w:rPr>
          <w:rFonts w:eastAsia="Times New Roman"/>
          <w:sz w:val="22"/>
        </w:rPr>
        <w:t>é</w:t>
      </w:r>
      <w:r w:rsidRPr="00B175FB">
        <w:rPr>
          <w:rFonts w:eastAsia="Times New Roman"/>
          <w:sz w:val="22"/>
        </w:rPr>
        <w:t xml:space="preserve"> aktivit</w:t>
      </w:r>
      <w:r w:rsidR="008C1B74" w:rsidRPr="00B175FB">
        <w:rPr>
          <w:rFonts w:eastAsia="Times New Roman"/>
          <w:sz w:val="22"/>
        </w:rPr>
        <w:t>y realizované</w:t>
      </w:r>
      <w:r w:rsidRPr="00B175FB">
        <w:rPr>
          <w:rFonts w:eastAsia="Times New Roman"/>
          <w:noProof/>
          <w:sz w:val="22"/>
        </w:rPr>
        <w:t xml:space="preserve"> mimo prostředí školy</w:t>
      </w:r>
      <w:r w:rsidR="002A42F5" w:rsidRPr="00B175FB">
        <w:rPr>
          <w:rFonts w:eastAsia="Times New Roman"/>
          <w:noProof/>
          <w:sz w:val="22"/>
        </w:rPr>
        <w:t>.</w:t>
      </w:r>
      <w:r w:rsidRPr="00B175FB">
        <w:rPr>
          <w:rFonts w:eastAsia="Times New Roman"/>
          <w:noProof/>
          <w:sz w:val="22"/>
          <w:vertAlign w:val="superscript"/>
        </w:rPr>
        <w:footnoteReference w:id="31"/>
      </w:r>
      <w:r w:rsidRPr="00B175FB">
        <w:rPr>
          <w:rFonts w:eastAsia="Times New Roman"/>
          <w:noProof/>
          <w:sz w:val="22"/>
        </w:rPr>
        <w:t xml:space="preserve"> Zkušenosti z</w:t>
      </w:r>
      <w:r w:rsidR="003C42A2" w:rsidRPr="00B175FB">
        <w:rPr>
          <w:rFonts w:eastAsia="Times New Roman"/>
          <w:noProof/>
          <w:sz w:val="22"/>
        </w:rPr>
        <w:t> </w:t>
      </w:r>
      <w:r w:rsidRPr="00B175FB">
        <w:rPr>
          <w:rFonts w:eastAsia="Times New Roman"/>
          <w:noProof/>
          <w:sz w:val="22"/>
        </w:rPr>
        <w:t>jiných školských systémů a</w:t>
      </w:r>
      <w:r w:rsidR="00B53CAB" w:rsidRPr="00B175FB">
        <w:rPr>
          <w:rFonts w:eastAsia="Times New Roman"/>
          <w:noProof/>
          <w:sz w:val="22"/>
        </w:rPr>
        <w:t> </w:t>
      </w:r>
      <w:r w:rsidRPr="00B175FB">
        <w:rPr>
          <w:rFonts w:eastAsia="Times New Roman"/>
          <w:noProof/>
          <w:sz w:val="22"/>
        </w:rPr>
        <w:t xml:space="preserve">výzkumy </w:t>
      </w:r>
      <w:r w:rsidR="008C1B74" w:rsidRPr="00B175FB">
        <w:rPr>
          <w:rFonts w:eastAsia="Times New Roman"/>
          <w:sz w:val="22"/>
        </w:rPr>
        <w:t>proti tomu</w:t>
      </w:r>
      <w:r w:rsidRPr="00B175FB">
        <w:rPr>
          <w:rFonts w:eastAsia="Times New Roman"/>
          <w:noProof/>
          <w:sz w:val="22"/>
        </w:rPr>
        <w:t xml:space="preserve"> ukazují, že nejefektivnější je vzájemné profesní sdílení a</w:t>
      </w:r>
      <w:r w:rsidR="003C42A2" w:rsidRPr="00B175FB">
        <w:rPr>
          <w:rFonts w:eastAsia="Times New Roman"/>
          <w:noProof/>
          <w:sz w:val="22"/>
        </w:rPr>
        <w:t> </w:t>
      </w:r>
      <w:r w:rsidRPr="00B175FB">
        <w:rPr>
          <w:rFonts w:eastAsia="Times New Roman"/>
          <w:noProof/>
          <w:sz w:val="22"/>
        </w:rPr>
        <w:t xml:space="preserve">podpora </w:t>
      </w:r>
      <w:r w:rsidRPr="00B175FB">
        <w:rPr>
          <w:rFonts w:eastAsia="Times New Roman"/>
          <w:sz w:val="22"/>
        </w:rPr>
        <w:t>re</w:t>
      </w:r>
      <w:r w:rsidR="00290F6F" w:rsidRPr="00B175FB">
        <w:rPr>
          <w:rFonts w:eastAsia="Times New Roman"/>
          <w:sz w:val="22"/>
        </w:rPr>
        <w:t>a</w:t>
      </w:r>
      <w:r w:rsidRPr="00B175FB">
        <w:rPr>
          <w:rFonts w:eastAsia="Times New Roman"/>
          <w:sz w:val="22"/>
        </w:rPr>
        <w:t>lizovaná</w:t>
      </w:r>
      <w:r w:rsidRPr="00B175FB">
        <w:rPr>
          <w:rFonts w:eastAsia="Times New Roman"/>
          <w:noProof/>
          <w:sz w:val="22"/>
        </w:rPr>
        <w:t xml:space="preserve"> průběžně přímo ve školách</w:t>
      </w:r>
      <w:r w:rsidR="002A42F5" w:rsidRPr="00B175FB">
        <w:rPr>
          <w:rFonts w:eastAsia="Times New Roman"/>
          <w:noProof/>
          <w:sz w:val="22"/>
        </w:rPr>
        <w:t>.</w:t>
      </w:r>
      <w:r w:rsidRPr="00B175FB">
        <w:rPr>
          <w:rFonts w:eastAsia="Times New Roman"/>
          <w:noProof/>
          <w:sz w:val="22"/>
          <w:vertAlign w:val="superscript"/>
        </w:rPr>
        <w:footnoteReference w:id="32"/>
      </w:r>
      <w:r w:rsidRPr="00B175FB">
        <w:rPr>
          <w:rFonts w:eastAsia="Times New Roman"/>
          <w:noProof/>
          <w:sz w:val="22"/>
        </w:rPr>
        <w:t xml:space="preserve"> To předpokládá týmovou práci a součinnost pedagogických pracovníků, spolupráci škol a</w:t>
      </w:r>
      <w:r w:rsidR="00B53CAB" w:rsidRPr="00B175FB">
        <w:rPr>
          <w:rFonts w:eastAsia="Times New Roman"/>
          <w:noProof/>
          <w:sz w:val="22"/>
        </w:rPr>
        <w:t> </w:t>
      </w:r>
      <w:r w:rsidRPr="00B175FB">
        <w:rPr>
          <w:rFonts w:eastAsia="Times New Roman"/>
          <w:noProof/>
          <w:sz w:val="22"/>
        </w:rPr>
        <w:t>dalších aktérů v územích.</w:t>
      </w:r>
      <w:r w:rsidR="00A3133B" w:rsidRPr="00B175FB">
        <w:rPr>
          <w:rFonts w:eastAsia="Times New Roman"/>
          <w:noProof/>
          <w:sz w:val="22"/>
        </w:rPr>
        <w:t xml:space="preserve"> </w:t>
      </w:r>
    </w:p>
    <w:p w:rsidR="00A3133B" w:rsidRPr="00B175FB" w:rsidRDefault="003C42A2" w:rsidP="00240BA0">
      <w:pPr>
        <w:spacing w:line="276" w:lineRule="auto"/>
        <w:jc w:val="both"/>
        <w:rPr>
          <w:rFonts w:eastAsia="Times New Roman"/>
          <w:sz w:val="22"/>
        </w:rPr>
      </w:pPr>
      <w:r w:rsidRPr="00B175FB">
        <w:rPr>
          <w:rFonts w:eastAsia="Times New Roman"/>
          <w:noProof/>
          <w:sz w:val="22"/>
        </w:rPr>
        <w:t>ČR</w:t>
      </w:r>
      <w:r w:rsidR="00A3133B" w:rsidRPr="00B175FB">
        <w:rPr>
          <w:rFonts w:eastAsia="Times New Roman"/>
          <w:noProof/>
          <w:sz w:val="22"/>
        </w:rPr>
        <w:t xml:space="preserve"> je zemí s nejvíce decentralizovaným řízením školství, resp. s nejvyšší mírou </w:t>
      </w:r>
      <w:r w:rsidR="00AB457D" w:rsidRPr="00B175FB">
        <w:rPr>
          <w:rFonts w:eastAsia="Times New Roman"/>
          <w:noProof/>
          <w:sz w:val="22"/>
        </w:rPr>
        <w:t>autonomie škol na světě</w:t>
      </w:r>
      <w:r w:rsidR="002A42F5" w:rsidRPr="00B175FB">
        <w:rPr>
          <w:rFonts w:eastAsia="Times New Roman"/>
          <w:noProof/>
          <w:sz w:val="22"/>
        </w:rPr>
        <w:t>.</w:t>
      </w:r>
      <w:r w:rsidR="006F7094" w:rsidRPr="00B175FB">
        <w:rPr>
          <w:rStyle w:val="Znakapoznpodarou"/>
          <w:rFonts w:eastAsia="Times New Roman"/>
          <w:b w:val="0"/>
          <w:noProof/>
          <w:sz w:val="22"/>
        </w:rPr>
        <w:footnoteReference w:id="33"/>
      </w:r>
      <w:r w:rsidR="00A3133B" w:rsidRPr="00B175FB">
        <w:rPr>
          <w:rFonts w:eastAsia="Times New Roman"/>
          <w:noProof/>
          <w:sz w:val="22"/>
        </w:rPr>
        <w:t xml:space="preserve"> Tato vysoká míra autonomie přináší celou řadu výhod, jako je možnost </w:t>
      </w:r>
      <w:r w:rsidR="00C448C1" w:rsidRPr="00B175FB">
        <w:rPr>
          <w:rFonts w:eastAsia="Times New Roman"/>
          <w:noProof/>
          <w:sz w:val="22"/>
        </w:rPr>
        <w:t>přiz</w:t>
      </w:r>
      <w:r w:rsidR="00A3133B" w:rsidRPr="00B175FB">
        <w:rPr>
          <w:rFonts w:eastAsia="Times New Roman"/>
          <w:noProof/>
          <w:sz w:val="22"/>
        </w:rPr>
        <w:t>působit obsah a způsob výuky potřebám žáků a studentů v daném místě a rychle reagovat na měnící se potřeby. Přináší ovšem také problémy: již zmíněn</w:t>
      </w:r>
      <w:r w:rsidR="00C448C1" w:rsidRPr="00B175FB">
        <w:rPr>
          <w:rFonts w:eastAsia="Times New Roman"/>
          <w:noProof/>
          <w:sz w:val="22"/>
        </w:rPr>
        <w:t>ou</w:t>
      </w:r>
      <w:r w:rsidR="00A3133B" w:rsidRPr="00B175FB">
        <w:rPr>
          <w:rFonts w:eastAsia="Times New Roman"/>
          <w:noProof/>
          <w:sz w:val="22"/>
        </w:rPr>
        <w:t xml:space="preserve"> přetíženost ředitelů a učitelů </w:t>
      </w:r>
      <w:r w:rsidR="00DB1BDC" w:rsidRPr="00B175FB">
        <w:rPr>
          <w:rFonts w:eastAsia="Times New Roman"/>
          <w:noProof/>
          <w:sz w:val="22"/>
        </w:rPr>
        <w:t>administrativou</w:t>
      </w:r>
      <w:r w:rsidR="00A3133B" w:rsidRPr="00B175FB">
        <w:rPr>
          <w:rFonts w:eastAsia="Times New Roman"/>
          <w:noProof/>
          <w:sz w:val="22"/>
        </w:rPr>
        <w:t>, fragmentac</w:t>
      </w:r>
      <w:r w:rsidR="00C448C1" w:rsidRPr="00B175FB">
        <w:rPr>
          <w:rFonts w:eastAsia="Times New Roman"/>
          <w:noProof/>
          <w:sz w:val="22"/>
        </w:rPr>
        <w:t>i</w:t>
      </w:r>
      <w:r w:rsidR="00A3133B" w:rsidRPr="00B175FB">
        <w:rPr>
          <w:rFonts w:eastAsia="Times New Roman"/>
          <w:noProof/>
          <w:sz w:val="22"/>
        </w:rPr>
        <w:t xml:space="preserve"> odborných a podpůrných kapacit, soutěživost škol mezi sebou, růst rozdílů mezi školami a regiony, obtížn</w:t>
      </w:r>
      <w:r w:rsidR="00C448C1" w:rsidRPr="00B175FB">
        <w:rPr>
          <w:rFonts w:eastAsia="Times New Roman"/>
          <w:noProof/>
          <w:sz w:val="22"/>
        </w:rPr>
        <w:t>ou</w:t>
      </w:r>
      <w:r w:rsidR="00A3133B" w:rsidRPr="00B175FB">
        <w:rPr>
          <w:rFonts w:eastAsia="Times New Roman"/>
          <w:noProof/>
          <w:sz w:val="22"/>
        </w:rPr>
        <w:t xml:space="preserve"> komunikac</w:t>
      </w:r>
      <w:r w:rsidR="00C448C1" w:rsidRPr="00B175FB">
        <w:rPr>
          <w:rFonts w:eastAsia="Times New Roman"/>
          <w:noProof/>
          <w:sz w:val="22"/>
        </w:rPr>
        <w:t>i</w:t>
      </w:r>
      <w:r w:rsidR="00A3133B" w:rsidRPr="00B175FB">
        <w:rPr>
          <w:rFonts w:eastAsia="Times New Roman"/>
          <w:noProof/>
          <w:sz w:val="22"/>
        </w:rPr>
        <w:t xml:space="preserve"> mezi množstvím aktérů i složitou realiz</w:t>
      </w:r>
      <w:r w:rsidR="00AB457D" w:rsidRPr="00B175FB">
        <w:rPr>
          <w:rFonts w:eastAsia="Times New Roman"/>
          <w:noProof/>
          <w:sz w:val="22"/>
        </w:rPr>
        <w:t>aci jakékoli národní strategie.</w:t>
      </w:r>
      <w:r w:rsidR="00A3133B" w:rsidRPr="00B175FB">
        <w:rPr>
          <w:rFonts w:eastAsia="Times New Roman"/>
          <w:noProof/>
          <w:sz w:val="22"/>
        </w:rPr>
        <w:t xml:space="preserve"> V tomto ohledu je zcela zásadní koncentrace odborných kapacit v území. Jejím cílem by mělo být především poskytovat nebo koordinovat metodickou podporu školám; podporovat kooperaci škol, jejich vzájemnou komunikaci a sdílení zkušeností; pomoci koordinovat záměry a</w:t>
      </w:r>
      <w:r w:rsidRPr="00B175FB">
        <w:rPr>
          <w:rFonts w:eastAsia="Times New Roman"/>
          <w:noProof/>
          <w:sz w:val="22"/>
        </w:rPr>
        <w:t> </w:t>
      </w:r>
      <w:r w:rsidR="00A3133B" w:rsidRPr="00B175FB">
        <w:rPr>
          <w:rFonts w:eastAsia="Times New Roman"/>
          <w:noProof/>
          <w:sz w:val="22"/>
        </w:rPr>
        <w:t>aktivity jednotlivých škol v daném území; poskytovat právní poradenství; podporovat pozitivní inovace a</w:t>
      </w:r>
      <w:r w:rsidRPr="00B175FB">
        <w:rPr>
          <w:rFonts w:eastAsia="Times New Roman"/>
          <w:noProof/>
          <w:sz w:val="22"/>
        </w:rPr>
        <w:t> </w:t>
      </w:r>
      <w:r w:rsidR="00A3133B" w:rsidRPr="00B175FB">
        <w:rPr>
          <w:rFonts w:eastAsia="Times New Roman"/>
          <w:noProof/>
          <w:sz w:val="22"/>
        </w:rPr>
        <w:t>experimenty ve školách v daném území, pomáhat s jejich vyhodnocováním a dalším rozšiřováním.</w:t>
      </w:r>
      <w:r w:rsidR="00DB1BDC" w:rsidRPr="00B175FB">
        <w:rPr>
          <w:rFonts w:eastAsia="Times New Roman"/>
          <w:noProof/>
          <w:sz w:val="22"/>
        </w:rPr>
        <w:t xml:space="preserve"> </w:t>
      </w:r>
    </w:p>
    <w:p w:rsidR="003D2F6B" w:rsidRPr="00B175FB" w:rsidRDefault="003D2F6B" w:rsidP="00CE71CA">
      <w:pPr>
        <w:spacing w:after="0" w:line="276" w:lineRule="auto"/>
        <w:jc w:val="both"/>
        <w:rPr>
          <w:rFonts w:eastAsia="Times New Roman"/>
          <w:sz w:val="22"/>
        </w:rPr>
      </w:pPr>
      <w:r w:rsidRPr="00B175FB">
        <w:rPr>
          <w:rFonts w:eastAsia="Times New Roman"/>
          <w:sz w:val="22"/>
        </w:rPr>
        <w:t xml:space="preserve">Na </w:t>
      </w:r>
      <w:r w:rsidR="003C42A2" w:rsidRPr="00B175FB">
        <w:rPr>
          <w:rFonts w:eastAsia="Times New Roman"/>
          <w:sz w:val="22"/>
        </w:rPr>
        <w:t>VŠ</w:t>
      </w:r>
      <w:r w:rsidRPr="00B175FB">
        <w:rPr>
          <w:rFonts w:eastAsia="Times New Roman"/>
          <w:sz w:val="22"/>
        </w:rPr>
        <w:t xml:space="preserve"> stále přetrvává stav, kdy učitelé jsou významnými odborníky ve své oblasti</w:t>
      </w:r>
      <w:r w:rsidR="00BB11D5" w:rsidRPr="00B175FB">
        <w:rPr>
          <w:rFonts w:eastAsia="Times New Roman"/>
          <w:sz w:val="22"/>
        </w:rPr>
        <w:t xml:space="preserve"> zájmu</w:t>
      </w:r>
      <w:r w:rsidRPr="00B175FB">
        <w:rPr>
          <w:rFonts w:eastAsia="Times New Roman"/>
          <w:sz w:val="22"/>
        </w:rPr>
        <w:t xml:space="preserve">, </w:t>
      </w:r>
      <w:r w:rsidR="00421107" w:rsidRPr="00B175FB">
        <w:rPr>
          <w:rFonts w:eastAsia="Times New Roman"/>
          <w:sz w:val="22"/>
        </w:rPr>
        <w:t>avšak </w:t>
      </w:r>
      <w:r w:rsidRPr="00B175FB">
        <w:rPr>
          <w:rFonts w:eastAsia="Times New Roman"/>
          <w:sz w:val="22"/>
        </w:rPr>
        <w:t>jejich didaktické kompetence</w:t>
      </w:r>
      <w:r w:rsidR="00AB457D" w:rsidRPr="00B175FB">
        <w:rPr>
          <w:rFonts w:eastAsia="Times New Roman"/>
          <w:sz w:val="22"/>
        </w:rPr>
        <w:t xml:space="preserve"> </w:t>
      </w:r>
      <w:r w:rsidR="00E0640E" w:rsidRPr="00B175FB">
        <w:rPr>
          <w:rFonts w:eastAsia="Times New Roman"/>
          <w:sz w:val="22"/>
        </w:rPr>
        <w:t>nejsou vždy</w:t>
      </w:r>
      <w:r w:rsidR="00DB1BDC" w:rsidRPr="00B175FB">
        <w:rPr>
          <w:rFonts w:eastAsia="Times New Roman"/>
          <w:sz w:val="22"/>
        </w:rPr>
        <w:t xml:space="preserve"> </w:t>
      </w:r>
      <w:r w:rsidR="00AB457D" w:rsidRPr="00B175FB">
        <w:rPr>
          <w:rFonts w:eastAsia="Times New Roman"/>
          <w:sz w:val="22"/>
        </w:rPr>
        <w:t xml:space="preserve">na </w:t>
      </w:r>
      <w:r w:rsidRPr="00B175FB">
        <w:rPr>
          <w:rFonts w:eastAsia="Times New Roman"/>
          <w:sz w:val="22"/>
        </w:rPr>
        <w:t xml:space="preserve">dostatečné úrovni, což </w:t>
      </w:r>
      <w:r w:rsidR="00DB1BDC" w:rsidRPr="00B175FB">
        <w:rPr>
          <w:rFonts w:eastAsia="Times New Roman"/>
          <w:sz w:val="22"/>
        </w:rPr>
        <w:t xml:space="preserve">může mít </w:t>
      </w:r>
      <w:r w:rsidRPr="00B175FB">
        <w:rPr>
          <w:rFonts w:eastAsia="Times New Roman"/>
          <w:sz w:val="22"/>
        </w:rPr>
        <w:t>za následek nereflektování nových metod výuky a vysokou studijní neúspěšnost</w:t>
      </w:r>
      <w:r w:rsidR="00BB11D5" w:rsidRPr="00B175FB">
        <w:rPr>
          <w:rFonts w:eastAsia="Times New Roman"/>
          <w:sz w:val="22"/>
        </w:rPr>
        <w:t>. T</w:t>
      </w:r>
      <w:r w:rsidRPr="00B175FB">
        <w:rPr>
          <w:rFonts w:eastAsia="Times New Roman"/>
          <w:sz w:val="22"/>
        </w:rPr>
        <w:t>aké jazykov</w:t>
      </w:r>
      <w:r w:rsidR="009E4ED0" w:rsidRPr="00B175FB">
        <w:rPr>
          <w:rFonts w:eastAsia="Times New Roman"/>
          <w:sz w:val="22"/>
        </w:rPr>
        <w:t>á</w:t>
      </w:r>
      <w:r w:rsidRPr="00B175FB">
        <w:rPr>
          <w:rFonts w:eastAsia="Times New Roman"/>
          <w:sz w:val="22"/>
        </w:rPr>
        <w:t xml:space="preserve"> </w:t>
      </w:r>
      <w:r w:rsidR="009E4ED0" w:rsidRPr="00B175FB">
        <w:rPr>
          <w:rFonts w:eastAsia="Times New Roman"/>
          <w:sz w:val="22"/>
        </w:rPr>
        <w:t>vybavenost</w:t>
      </w:r>
      <w:r w:rsidRPr="00B175FB">
        <w:rPr>
          <w:rFonts w:eastAsia="Times New Roman"/>
          <w:sz w:val="22"/>
        </w:rPr>
        <w:t xml:space="preserve"> </w:t>
      </w:r>
      <w:r w:rsidR="00C175D9" w:rsidRPr="00B175FB">
        <w:rPr>
          <w:rFonts w:eastAsia="Times New Roman"/>
          <w:sz w:val="22"/>
        </w:rPr>
        <w:t>akademických</w:t>
      </w:r>
      <w:r w:rsidR="00BB11D5" w:rsidRPr="00B175FB">
        <w:rPr>
          <w:rFonts w:eastAsia="Times New Roman"/>
          <w:sz w:val="22"/>
        </w:rPr>
        <w:t xml:space="preserve"> pracovníků </w:t>
      </w:r>
      <w:r w:rsidRPr="00B175FB">
        <w:rPr>
          <w:rFonts w:eastAsia="Times New Roman"/>
          <w:sz w:val="22"/>
        </w:rPr>
        <w:t>j</w:t>
      </w:r>
      <w:r w:rsidR="009E4ED0" w:rsidRPr="00B175FB">
        <w:rPr>
          <w:rFonts w:eastAsia="Times New Roman"/>
          <w:sz w:val="22"/>
        </w:rPr>
        <w:t>e</w:t>
      </w:r>
      <w:r w:rsidRPr="00B175FB">
        <w:rPr>
          <w:rFonts w:eastAsia="Times New Roman"/>
          <w:sz w:val="22"/>
        </w:rPr>
        <w:t xml:space="preserve"> stále</w:t>
      </w:r>
      <w:r w:rsidR="00BB11D5" w:rsidRPr="00B175FB">
        <w:rPr>
          <w:rFonts w:eastAsia="Times New Roman"/>
          <w:sz w:val="22"/>
        </w:rPr>
        <w:t xml:space="preserve"> na</w:t>
      </w:r>
      <w:r w:rsidR="00E716E7" w:rsidRPr="00B175FB">
        <w:rPr>
          <w:rFonts w:eastAsia="Times New Roman"/>
          <w:sz w:val="22"/>
        </w:rPr>
        <w:t> </w:t>
      </w:r>
      <w:r w:rsidR="00BB11D5" w:rsidRPr="00B175FB">
        <w:rPr>
          <w:rFonts w:eastAsia="Times New Roman"/>
          <w:sz w:val="22"/>
        </w:rPr>
        <w:t>nízké úrovni a neumožňuj</w:t>
      </w:r>
      <w:r w:rsidR="003A664E" w:rsidRPr="00B175FB">
        <w:rPr>
          <w:rFonts w:eastAsia="Times New Roman"/>
          <w:sz w:val="22"/>
        </w:rPr>
        <w:t>e</w:t>
      </w:r>
      <w:r w:rsidR="00BB11D5" w:rsidRPr="00B175FB">
        <w:rPr>
          <w:rFonts w:eastAsia="Times New Roman"/>
          <w:sz w:val="22"/>
        </w:rPr>
        <w:t xml:space="preserve"> plnou internacionalizaci studijních programů, stejně tak lze shledávat nedostatky při komunikaci se studenty s</w:t>
      </w:r>
      <w:r w:rsidR="003C42A2" w:rsidRPr="00B175FB">
        <w:rPr>
          <w:rFonts w:eastAsia="Times New Roman"/>
          <w:sz w:val="22"/>
        </w:rPr>
        <w:t>e</w:t>
      </w:r>
      <w:r w:rsidR="00BB11D5" w:rsidRPr="00B175FB">
        <w:rPr>
          <w:rFonts w:eastAsia="Times New Roman"/>
          <w:sz w:val="22"/>
        </w:rPr>
        <w:t xml:space="preserve"> </w:t>
      </w:r>
      <w:r w:rsidR="003C42A2" w:rsidRPr="00B175FB">
        <w:rPr>
          <w:rFonts w:eastAsia="Times New Roman"/>
          <w:sz w:val="22"/>
        </w:rPr>
        <w:t>SP</w:t>
      </w:r>
      <w:r w:rsidR="00BB11D5" w:rsidRPr="00B175FB">
        <w:rPr>
          <w:rFonts w:eastAsia="Times New Roman"/>
          <w:sz w:val="22"/>
        </w:rPr>
        <w:t>.</w:t>
      </w:r>
    </w:p>
    <w:p w:rsidR="00E24042" w:rsidRPr="00B175FB" w:rsidRDefault="00E24042" w:rsidP="00240BA0">
      <w:pPr>
        <w:spacing w:line="276" w:lineRule="auto"/>
        <w:jc w:val="both"/>
        <w:rPr>
          <w:rFonts w:eastAsia="Times New Roman"/>
          <w:noProof/>
          <w:sz w:val="22"/>
        </w:rPr>
      </w:pPr>
      <w:r w:rsidRPr="00B175FB">
        <w:rPr>
          <w:rFonts w:eastAsia="Times New Roman"/>
          <w:noProof/>
          <w:sz w:val="22"/>
          <w:lang w:eastAsia="cs-CZ"/>
        </w:rPr>
        <mc:AlternateContent>
          <mc:Choice Requires="wps">
            <w:drawing>
              <wp:inline distT="0" distB="0" distL="0" distR="0" wp14:anchorId="5FCB1912" wp14:editId="514A7BF0">
                <wp:extent cx="6120130" cy="2480504"/>
                <wp:effectExtent l="0" t="0" r="13970" b="15240"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4805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05FC" w:rsidRPr="00B53CAB" w:rsidRDefault="00E505FC" w:rsidP="00C8737F">
                            <w:pPr>
                              <w:spacing w:line="276" w:lineRule="auto"/>
                              <w:jc w:val="both"/>
                              <w:rPr>
                                <w:rFonts w:eastAsia="Times New Roman"/>
                                <w:b/>
                                <w:sz w:val="22"/>
                              </w:rPr>
                            </w:pPr>
                            <w:r w:rsidRPr="00B53CAB">
                              <w:rPr>
                                <w:rFonts w:eastAsia="Times New Roman"/>
                                <w:b/>
                                <w:sz w:val="22"/>
                              </w:rPr>
                              <w:t>OP JAK přispěje ke zvýšení atraktivity učitels</w:t>
                            </w:r>
                            <w:r>
                              <w:rPr>
                                <w:rFonts w:eastAsia="Times New Roman"/>
                                <w:b/>
                                <w:sz w:val="22"/>
                              </w:rPr>
                              <w:t>k</w:t>
                            </w:r>
                            <w:r w:rsidRPr="00B53CAB">
                              <w:rPr>
                                <w:rFonts w:eastAsia="Times New Roman"/>
                                <w:b/>
                                <w:sz w:val="22"/>
                              </w:rPr>
                              <w:t xml:space="preserve">é profese, k profesnímu rozvoji vedení škol </w:t>
                            </w:r>
                            <w:r w:rsidRPr="00B53CAB">
                              <w:rPr>
                                <w:rFonts w:eastAsia="Times New Roman"/>
                                <w:b/>
                                <w:sz w:val="22"/>
                              </w:rPr>
                              <w:br/>
                              <w:t>a k prohloubení profesních kompetencí</w:t>
                            </w:r>
                            <w:r>
                              <w:rPr>
                                <w:rFonts w:eastAsia="Times New Roman"/>
                                <w:b/>
                                <w:sz w:val="22"/>
                              </w:rPr>
                              <w:t xml:space="preserve"> s cílem:</w:t>
                            </w:r>
                          </w:p>
                          <w:p w:rsidR="00E505FC" w:rsidRPr="00B53CAB" w:rsidRDefault="00E505FC" w:rsidP="006A2F6A">
                            <w:pPr>
                              <w:pStyle w:val="Odstavecseseznamem"/>
                              <w:numPr>
                                <w:ilvl w:val="0"/>
                                <w:numId w:val="57"/>
                              </w:numPr>
                              <w:spacing w:line="276" w:lineRule="auto"/>
                              <w:jc w:val="both"/>
                              <w:rPr>
                                <w:rFonts w:eastAsia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sz w:val="22"/>
                              </w:rPr>
                              <w:t>Zatraktivnit</w:t>
                            </w:r>
                            <w:r w:rsidRPr="00B53CAB"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 učitelsk</w:t>
                            </w:r>
                            <w:r>
                              <w:rPr>
                                <w:rFonts w:eastAsia="Times New Roman" w:cs="Times New Roman"/>
                                <w:sz w:val="22"/>
                              </w:rPr>
                              <w:t>ou</w:t>
                            </w:r>
                            <w:r w:rsidRPr="00B53CAB"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 profes</w:t>
                            </w:r>
                            <w:r>
                              <w:rPr>
                                <w:rFonts w:eastAsia="Times New Roman" w:cs="Times New Roman"/>
                                <w:sz w:val="22"/>
                              </w:rPr>
                              <w:t>i</w:t>
                            </w:r>
                            <w:r w:rsidRPr="00B53CAB"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 prostřednictvím zkvalitňování pregraduálního vzdělávání a podpory začínajících učitelů i jejich dalšího vzdělávání a profesního rozvoje.</w:t>
                            </w:r>
                          </w:p>
                          <w:p w:rsidR="00E505FC" w:rsidRDefault="00E505FC" w:rsidP="006A2F6A">
                            <w:pPr>
                              <w:pStyle w:val="Odstavecseseznamem"/>
                              <w:numPr>
                                <w:ilvl w:val="1"/>
                                <w:numId w:val="57"/>
                              </w:numPr>
                              <w:spacing w:line="276" w:lineRule="auto"/>
                              <w:jc w:val="both"/>
                              <w:rPr>
                                <w:rFonts w:eastAsia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Zlepšit přípravné profesní vzdělávání </w:t>
                            </w:r>
                            <w:r w:rsidRPr="00B53CAB">
                              <w:rPr>
                                <w:rFonts w:eastAsia="Times New Roman" w:cs="Times New Roman"/>
                                <w:sz w:val="22"/>
                              </w:rPr>
                              <w:t>v</w:t>
                            </w:r>
                            <w:r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 kontextu</w:t>
                            </w:r>
                            <w:r w:rsidRPr="00B53CAB">
                              <w:rPr>
                                <w:rFonts w:eastAsia="Times New Roman" w:cs="Times New Roman"/>
                                <w:sz w:val="22"/>
                              </w:rPr>
                              <w:t> dynamicky se měnící</w:t>
                            </w:r>
                            <w:r>
                              <w:rPr>
                                <w:rFonts w:eastAsia="Times New Roman" w:cs="Times New Roman"/>
                                <w:sz w:val="22"/>
                              </w:rPr>
                              <w:t>ch podmínek za </w:t>
                            </w:r>
                            <w:r w:rsidRPr="00B53CAB">
                              <w:rPr>
                                <w:rFonts w:eastAsia="Times New Roman" w:cs="Times New Roman"/>
                                <w:sz w:val="22"/>
                              </w:rPr>
                              <w:t>refle</w:t>
                            </w:r>
                            <w:r>
                              <w:rPr>
                                <w:rFonts w:eastAsia="Times New Roman" w:cs="Times New Roman"/>
                                <w:sz w:val="22"/>
                              </w:rPr>
                              <w:t>xe</w:t>
                            </w:r>
                            <w:r w:rsidRPr="00B53CAB"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 vývoj</w:t>
                            </w:r>
                            <w:r>
                              <w:rPr>
                                <w:rFonts w:eastAsia="Times New Roman" w:cs="Times New Roman"/>
                                <w:sz w:val="22"/>
                              </w:rPr>
                              <w:t>e</w:t>
                            </w:r>
                            <w:r w:rsidRPr="00B53CAB"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 vzdělávací soustavy</w:t>
                            </w:r>
                            <w:r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 (odbornou i praktickou složku).</w:t>
                            </w:r>
                          </w:p>
                          <w:p w:rsidR="00E505FC" w:rsidRPr="00E34772" w:rsidRDefault="00E505FC" w:rsidP="006A2F6A">
                            <w:pPr>
                              <w:pStyle w:val="Odstavecseseznamem"/>
                              <w:numPr>
                                <w:ilvl w:val="1"/>
                                <w:numId w:val="57"/>
                              </w:numPr>
                              <w:spacing w:line="276" w:lineRule="auto"/>
                              <w:jc w:val="both"/>
                              <w:rPr>
                                <w:rFonts w:eastAsia="Times New Roman" w:cs="Times New Roman"/>
                                <w:sz w:val="22"/>
                              </w:rPr>
                            </w:pPr>
                            <w:r w:rsidRPr="00BD393D">
                              <w:rPr>
                                <w:rFonts w:eastAsia="Times New Roman"/>
                                <w:sz w:val="22"/>
                              </w:rPr>
                              <w:t xml:space="preserve">Zlepšit podmínky pro pedagogickou práci školy za využití </w:t>
                            </w:r>
                            <w:r w:rsidRPr="00E34772">
                              <w:rPr>
                                <w:rFonts w:eastAsia="Times New Roman" w:cs="Times New Roman"/>
                                <w:sz w:val="22"/>
                              </w:rPr>
                              <w:t>pedagogické diagnostiky a tomu odpovídající vzdělávací a výchovné strategie, formativního hodnocení a sebehodnocení.</w:t>
                            </w:r>
                          </w:p>
                          <w:p w:rsidR="00E505FC" w:rsidRPr="00B53CAB" w:rsidRDefault="00E505FC" w:rsidP="006A2F6A">
                            <w:pPr>
                              <w:pStyle w:val="Odstavecseseznamem"/>
                              <w:numPr>
                                <w:ilvl w:val="0"/>
                                <w:numId w:val="57"/>
                              </w:numPr>
                              <w:spacing w:line="276" w:lineRule="auto"/>
                              <w:jc w:val="both"/>
                              <w:rPr>
                                <w:rFonts w:eastAsia="Times New Roman" w:cs="Times New Roman"/>
                                <w:sz w:val="22"/>
                              </w:rPr>
                            </w:pPr>
                            <w:r w:rsidRPr="00401343"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Zajistit profesní rozvoj vedení škol a školských zařízení orientovaný na celkové řízení </w:t>
                            </w:r>
                            <w:r>
                              <w:rPr>
                                <w:rFonts w:eastAsia="Times New Roman" w:cs="Times New Roman"/>
                                <w:sz w:val="22"/>
                              </w:rPr>
                              <w:br/>
                            </w:r>
                            <w:r w:rsidRPr="00401343">
                              <w:rPr>
                                <w:rFonts w:eastAsia="Times New Roman" w:cs="Times New Roman"/>
                                <w:sz w:val="22"/>
                              </w:rPr>
                              <w:t>a pedagogické řízení institucí se zaměřením na zvyšování kvality vzdělávání.</w:t>
                            </w:r>
                          </w:p>
                          <w:p w:rsidR="00E505FC" w:rsidRPr="00B53CAB" w:rsidRDefault="00E505FC" w:rsidP="006A2F6A">
                            <w:pPr>
                              <w:pStyle w:val="Odstavecseseznamem"/>
                              <w:numPr>
                                <w:ilvl w:val="0"/>
                                <w:numId w:val="57"/>
                              </w:numPr>
                              <w:spacing w:line="276" w:lineRule="auto"/>
                              <w:jc w:val="both"/>
                              <w:rPr>
                                <w:rFonts w:eastAsia="Times New Roman" w:cs="Times New Roman"/>
                                <w:sz w:val="22"/>
                              </w:rPr>
                            </w:pPr>
                            <w:r w:rsidRPr="00B53CAB">
                              <w:rPr>
                                <w:rFonts w:eastAsia="Times New Roman" w:cs="Times New Roman"/>
                                <w:sz w:val="22"/>
                              </w:rPr>
                              <w:t>Zv</w:t>
                            </w:r>
                            <w:r>
                              <w:rPr>
                                <w:rFonts w:eastAsia="Times New Roman" w:cs="Times New Roman"/>
                                <w:sz w:val="22"/>
                              </w:rPr>
                              <w:t>ýšit</w:t>
                            </w:r>
                            <w:r w:rsidRPr="00B53CAB"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 profesní kompetenc</w:t>
                            </w:r>
                            <w:r>
                              <w:rPr>
                                <w:rFonts w:eastAsia="Times New Roman" w:cs="Times New Roman"/>
                                <w:sz w:val="22"/>
                              </w:rPr>
                              <w:t>e</w:t>
                            </w:r>
                            <w:r w:rsidRPr="00B53CAB">
                              <w:rPr>
                                <w:rFonts w:eastAsia="Times New Roman" w:cs="Times New Roman"/>
                                <w:sz w:val="22"/>
                              </w:rPr>
                              <w:t>, rozv</w:t>
                            </w:r>
                            <w:r>
                              <w:rPr>
                                <w:rFonts w:eastAsia="Times New Roman" w:cs="Times New Roman"/>
                                <w:sz w:val="22"/>
                              </w:rPr>
                              <w:t>inout</w:t>
                            </w:r>
                            <w:r w:rsidRPr="00B53CAB"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 komunikační kompetenc</w:t>
                            </w:r>
                            <w:r>
                              <w:rPr>
                                <w:rFonts w:eastAsia="Times New Roman" w:cs="Times New Roman"/>
                                <w:sz w:val="22"/>
                              </w:rPr>
                              <w:t>e</w:t>
                            </w:r>
                            <w:r w:rsidRPr="00B53CAB">
                              <w:rPr>
                                <w:rFonts w:eastAsia="Times New Roman" w:cs="Times New Roman"/>
                                <w:sz w:val="22"/>
                              </w:rPr>
                              <w:t>, pos</w:t>
                            </w:r>
                            <w:r>
                              <w:rPr>
                                <w:rFonts w:eastAsia="Times New Roman" w:cs="Times New Roman"/>
                                <w:sz w:val="22"/>
                              </w:rPr>
                              <w:t>ílit</w:t>
                            </w:r>
                            <w:r w:rsidRPr="00B53CAB"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 kvalitní spoluprác</w:t>
                            </w:r>
                            <w:r>
                              <w:rPr>
                                <w:rFonts w:eastAsia="Times New Roman" w:cs="Times New Roman"/>
                                <w:sz w:val="22"/>
                              </w:rPr>
                              <w:t>i</w:t>
                            </w:r>
                            <w:r w:rsidRPr="00B53CAB"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cs="Times New Roman"/>
                                <w:sz w:val="22"/>
                              </w:rPr>
                              <w:br/>
                            </w:r>
                            <w:r w:rsidRPr="00B53CAB"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a budování </w:t>
                            </w:r>
                            <w:r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vzájemné </w:t>
                            </w:r>
                            <w:r w:rsidRPr="00B53CAB">
                              <w:rPr>
                                <w:rFonts w:eastAsia="Times New Roman" w:cs="Times New Roman"/>
                                <w:sz w:val="22"/>
                              </w:rPr>
                              <w:t>důvěry všech klíčových aktérů ve vzdělávání.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FCB1912" id="_x0000_s1028" type="#_x0000_t202" style="width:481.9pt;height:195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">
                <v:textbox>
                  <w:txbxContent>
                    <w:p w:rsidR="00E505FC" w:rsidRPr="00B53CAB" w:rsidRDefault="00E505FC" w:rsidP="00C8737F">
                      <w:pPr>
                        <w:spacing w:line="276" w:lineRule="auto"/>
                        <w:jc w:val="both"/>
                        <w:rPr>
                          <w:rFonts w:eastAsia="Times New Roman"/>
                          <w:b/>
                          <w:sz w:val="22"/>
                        </w:rPr>
                      </w:pPr>
                      <w:r w:rsidRPr="00B53CAB">
                        <w:rPr>
                          <w:rFonts w:eastAsia="Times New Roman"/>
                          <w:b/>
                          <w:sz w:val="22"/>
                        </w:rPr>
                        <w:t>OP JAK přispěje ke zvýšení atraktivity učitels</w:t>
                      </w:r>
                      <w:r>
                        <w:rPr>
                          <w:rFonts w:eastAsia="Times New Roman"/>
                          <w:b/>
                          <w:sz w:val="22"/>
                        </w:rPr>
                        <w:t>k</w:t>
                      </w:r>
                      <w:r w:rsidRPr="00B53CAB">
                        <w:rPr>
                          <w:rFonts w:eastAsia="Times New Roman"/>
                          <w:b/>
                          <w:sz w:val="22"/>
                        </w:rPr>
                        <w:t xml:space="preserve">é profese, k profesnímu rozvoji vedení škol </w:t>
                      </w:r>
                      <w:r w:rsidRPr="00B53CAB">
                        <w:rPr>
                          <w:rFonts w:eastAsia="Times New Roman"/>
                          <w:b/>
                          <w:sz w:val="22"/>
                        </w:rPr>
                        <w:br/>
                        <w:t>a k prohloubení profesních kompetencí</w:t>
                      </w:r>
                      <w:r>
                        <w:rPr>
                          <w:rFonts w:eastAsia="Times New Roman"/>
                          <w:b/>
                          <w:sz w:val="22"/>
                        </w:rPr>
                        <w:t xml:space="preserve"> s cílem:</w:t>
                      </w:r>
                    </w:p>
                    <w:p w:rsidR="00E505FC" w:rsidRPr="00B53CAB" w:rsidRDefault="00E505FC" w:rsidP="006A2F6A">
                      <w:pPr>
                        <w:pStyle w:val="Odstavecseseznamem"/>
                        <w:numPr>
                          <w:ilvl w:val="0"/>
                          <w:numId w:val="57"/>
                        </w:numPr>
                        <w:spacing w:line="276" w:lineRule="auto"/>
                        <w:jc w:val="both"/>
                        <w:rPr>
                          <w:rFonts w:eastAsia="Times New Roman" w:cs="Times New Roman"/>
                          <w:sz w:val="22"/>
                        </w:rPr>
                      </w:pPr>
                      <w:r>
                        <w:rPr>
                          <w:rFonts w:eastAsia="Times New Roman" w:cs="Times New Roman"/>
                          <w:sz w:val="22"/>
                        </w:rPr>
                        <w:t>Zatraktivnit</w:t>
                      </w:r>
                      <w:r w:rsidRPr="00B53CAB">
                        <w:rPr>
                          <w:rFonts w:eastAsia="Times New Roman" w:cs="Times New Roman"/>
                          <w:sz w:val="22"/>
                        </w:rPr>
                        <w:t xml:space="preserve"> učitelsk</w:t>
                      </w:r>
                      <w:r>
                        <w:rPr>
                          <w:rFonts w:eastAsia="Times New Roman" w:cs="Times New Roman"/>
                          <w:sz w:val="22"/>
                        </w:rPr>
                        <w:t>ou</w:t>
                      </w:r>
                      <w:r w:rsidRPr="00B53CAB">
                        <w:rPr>
                          <w:rFonts w:eastAsia="Times New Roman" w:cs="Times New Roman"/>
                          <w:sz w:val="22"/>
                        </w:rPr>
                        <w:t xml:space="preserve"> profes</w:t>
                      </w:r>
                      <w:r>
                        <w:rPr>
                          <w:rFonts w:eastAsia="Times New Roman" w:cs="Times New Roman"/>
                          <w:sz w:val="22"/>
                        </w:rPr>
                        <w:t>i</w:t>
                      </w:r>
                      <w:r w:rsidRPr="00B53CAB">
                        <w:rPr>
                          <w:rFonts w:eastAsia="Times New Roman" w:cs="Times New Roman"/>
                          <w:sz w:val="22"/>
                        </w:rPr>
                        <w:t xml:space="preserve"> prostřednictvím zkvalitňování pregraduálního vzdělávání a podpory začínajících učitelů i jejich dalšího vzdělávání a profesního rozvoje.</w:t>
                      </w:r>
                    </w:p>
                    <w:p w:rsidR="00E505FC" w:rsidRDefault="00E505FC" w:rsidP="006A2F6A">
                      <w:pPr>
                        <w:pStyle w:val="Odstavecseseznamem"/>
                        <w:numPr>
                          <w:ilvl w:val="1"/>
                          <w:numId w:val="57"/>
                        </w:numPr>
                        <w:spacing w:line="276" w:lineRule="auto"/>
                        <w:jc w:val="both"/>
                        <w:rPr>
                          <w:rFonts w:eastAsia="Times New Roman" w:cs="Times New Roman"/>
                          <w:sz w:val="22"/>
                        </w:rPr>
                      </w:pPr>
                      <w:r>
                        <w:rPr>
                          <w:rFonts w:eastAsia="Times New Roman" w:cs="Times New Roman"/>
                          <w:sz w:val="22"/>
                        </w:rPr>
                        <w:t xml:space="preserve">Zlepšit přípravné profesní vzdělávání </w:t>
                      </w:r>
                      <w:r w:rsidRPr="00B53CAB">
                        <w:rPr>
                          <w:rFonts w:eastAsia="Times New Roman" w:cs="Times New Roman"/>
                          <w:sz w:val="22"/>
                        </w:rPr>
                        <w:t>v</w:t>
                      </w:r>
                      <w:r>
                        <w:rPr>
                          <w:rFonts w:eastAsia="Times New Roman" w:cs="Times New Roman"/>
                          <w:sz w:val="22"/>
                        </w:rPr>
                        <w:t xml:space="preserve"> kontextu</w:t>
                      </w:r>
                      <w:r w:rsidRPr="00B53CAB">
                        <w:rPr>
                          <w:rFonts w:eastAsia="Times New Roman" w:cs="Times New Roman"/>
                          <w:sz w:val="22"/>
                        </w:rPr>
                        <w:t> dynamicky se měnící</w:t>
                      </w:r>
                      <w:r>
                        <w:rPr>
                          <w:rFonts w:eastAsia="Times New Roman" w:cs="Times New Roman"/>
                          <w:sz w:val="22"/>
                        </w:rPr>
                        <w:t>ch podmínek za </w:t>
                      </w:r>
                      <w:r w:rsidRPr="00B53CAB">
                        <w:rPr>
                          <w:rFonts w:eastAsia="Times New Roman" w:cs="Times New Roman"/>
                          <w:sz w:val="22"/>
                        </w:rPr>
                        <w:t>refle</w:t>
                      </w:r>
                      <w:r>
                        <w:rPr>
                          <w:rFonts w:eastAsia="Times New Roman" w:cs="Times New Roman"/>
                          <w:sz w:val="22"/>
                        </w:rPr>
                        <w:t>xe</w:t>
                      </w:r>
                      <w:r w:rsidRPr="00B53CAB">
                        <w:rPr>
                          <w:rFonts w:eastAsia="Times New Roman" w:cs="Times New Roman"/>
                          <w:sz w:val="22"/>
                        </w:rPr>
                        <w:t xml:space="preserve"> vývoj</w:t>
                      </w:r>
                      <w:r>
                        <w:rPr>
                          <w:rFonts w:eastAsia="Times New Roman" w:cs="Times New Roman"/>
                          <w:sz w:val="22"/>
                        </w:rPr>
                        <w:t>e</w:t>
                      </w:r>
                      <w:r w:rsidRPr="00B53CAB">
                        <w:rPr>
                          <w:rFonts w:eastAsia="Times New Roman" w:cs="Times New Roman"/>
                          <w:sz w:val="22"/>
                        </w:rPr>
                        <w:t xml:space="preserve"> vzdělávací soustavy</w:t>
                      </w:r>
                      <w:r>
                        <w:rPr>
                          <w:rFonts w:eastAsia="Times New Roman" w:cs="Times New Roman"/>
                          <w:sz w:val="22"/>
                        </w:rPr>
                        <w:t xml:space="preserve"> (odbornou i praktickou složku).</w:t>
                      </w:r>
                    </w:p>
                    <w:p w:rsidR="00E505FC" w:rsidRPr="00E34772" w:rsidRDefault="00E505FC" w:rsidP="006A2F6A">
                      <w:pPr>
                        <w:pStyle w:val="Odstavecseseznamem"/>
                        <w:numPr>
                          <w:ilvl w:val="1"/>
                          <w:numId w:val="57"/>
                        </w:numPr>
                        <w:spacing w:line="276" w:lineRule="auto"/>
                        <w:jc w:val="both"/>
                        <w:rPr>
                          <w:rFonts w:eastAsia="Times New Roman" w:cs="Times New Roman"/>
                          <w:sz w:val="22"/>
                        </w:rPr>
                      </w:pPr>
                      <w:r w:rsidRPr="00BD393D">
                        <w:rPr>
                          <w:rFonts w:eastAsia="Times New Roman"/>
                          <w:sz w:val="22"/>
                        </w:rPr>
                        <w:t xml:space="preserve">Zlepšit podmínky pro pedagogickou práci školy za využití </w:t>
                      </w:r>
                      <w:r w:rsidRPr="00E34772">
                        <w:rPr>
                          <w:rFonts w:eastAsia="Times New Roman" w:cs="Times New Roman"/>
                          <w:sz w:val="22"/>
                        </w:rPr>
                        <w:t>pedagogické diagnostiky a tomu odpovídající vzdělávací a výchovné strategie, formativního hodnocení a sebehodnocení.</w:t>
                      </w:r>
                    </w:p>
                    <w:p w:rsidR="00E505FC" w:rsidRPr="00B53CAB" w:rsidRDefault="00E505FC" w:rsidP="006A2F6A">
                      <w:pPr>
                        <w:pStyle w:val="Odstavecseseznamem"/>
                        <w:numPr>
                          <w:ilvl w:val="0"/>
                          <w:numId w:val="57"/>
                        </w:numPr>
                        <w:spacing w:line="276" w:lineRule="auto"/>
                        <w:jc w:val="both"/>
                        <w:rPr>
                          <w:rFonts w:eastAsia="Times New Roman" w:cs="Times New Roman"/>
                          <w:sz w:val="22"/>
                        </w:rPr>
                      </w:pPr>
                      <w:r w:rsidRPr="00401343">
                        <w:rPr>
                          <w:rFonts w:eastAsia="Times New Roman" w:cs="Times New Roman"/>
                          <w:sz w:val="22"/>
                        </w:rPr>
                        <w:t xml:space="preserve">Zajistit profesní rozvoj vedení škol a školských zařízení orientovaný na celkové řízení </w:t>
                      </w:r>
                      <w:r>
                        <w:rPr>
                          <w:rFonts w:eastAsia="Times New Roman" w:cs="Times New Roman"/>
                          <w:sz w:val="22"/>
                        </w:rPr>
                        <w:br/>
                      </w:r>
                      <w:r w:rsidRPr="00401343">
                        <w:rPr>
                          <w:rFonts w:eastAsia="Times New Roman" w:cs="Times New Roman"/>
                          <w:sz w:val="22"/>
                        </w:rPr>
                        <w:t>a pedagogické řízení institucí se zaměřením na zvyšování kvality vzdělávání.</w:t>
                      </w:r>
                    </w:p>
                    <w:p w:rsidR="00E505FC" w:rsidRPr="00B53CAB" w:rsidRDefault="00E505FC" w:rsidP="006A2F6A">
                      <w:pPr>
                        <w:pStyle w:val="Odstavecseseznamem"/>
                        <w:numPr>
                          <w:ilvl w:val="0"/>
                          <w:numId w:val="57"/>
                        </w:numPr>
                        <w:spacing w:line="276" w:lineRule="auto"/>
                        <w:jc w:val="both"/>
                        <w:rPr>
                          <w:rFonts w:eastAsia="Times New Roman" w:cs="Times New Roman"/>
                          <w:sz w:val="22"/>
                        </w:rPr>
                      </w:pPr>
                      <w:r w:rsidRPr="00B53CAB">
                        <w:rPr>
                          <w:rFonts w:eastAsia="Times New Roman" w:cs="Times New Roman"/>
                          <w:sz w:val="22"/>
                        </w:rPr>
                        <w:t>Zv</w:t>
                      </w:r>
                      <w:r>
                        <w:rPr>
                          <w:rFonts w:eastAsia="Times New Roman" w:cs="Times New Roman"/>
                          <w:sz w:val="22"/>
                        </w:rPr>
                        <w:t>ýšit</w:t>
                      </w:r>
                      <w:r w:rsidRPr="00B53CAB">
                        <w:rPr>
                          <w:rFonts w:eastAsia="Times New Roman" w:cs="Times New Roman"/>
                          <w:sz w:val="22"/>
                        </w:rPr>
                        <w:t xml:space="preserve"> profesní kompetenc</w:t>
                      </w:r>
                      <w:r>
                        <w:rPr>
                          <w:rFonts w:eastAsia="Times New Roman" w:cs="Times New Roman"/>
                          <w:sz w:val="22"/>
                        </w:rPr>
                        <w:t>e</w:t>
                      </w:r>
                      <w:r w:rsidRPr="00B53CAB">
                        <w:rPr>
                          <w:rFonts w:eastAsia="Times New Roman" w:cs="Times New Roman"/>
                          <w:sz w:val="22"/>
                        </w:rPr>
                        <w:t>, rozv</w:t>
                      </w:r>
                      <w:r>
                        <w:rPr>
                          <w:rFonts w:eastAsia="Times New Roman" w:cs="Times New Roman"/>
                          <w:sz w:val="22"/>
                        </w:rPr>
                        <w:t>inout</w:t>
                      </w:r>
                      <w:r w:rsidRPr="00B53CAB">
                        <w:rPr>
                          <w:rFonts w:eastAsia="Times New Roman" w:cs="Times New Roman"/>
                          <w:sz w:val="22"/>
                        </w:rPr>
                        <w:t xml:space="preserve"> komunikační kompetenc</w:t>
                      </w:r>
                      <w:r>
                        <w:rPr>
                          <w:rFonts w:eastAsia="Times New Roman" w:cs="Times New Roman"/>
                          <w:sz w:val="22"/>
                        </w:rPr>
                        <w:t>e</w:t>
                      </w:r>
                      <w:r w:rsidRPr="00B53CAB">
                        <w:rPr>
                          <w:rFonts w:eastAsia="Times New Roman" w:cs="Times New Roman"/>
                          <w:sz w:val="22"/>
                        </w:rPr>
                        <w:t>, pos</w:t>
                      </w:r>
                      <w:r>
                        <w:rPr>
                          <w:rFonts w:eastAsia="Times New Roman" w:cs="Times New Roman"/>
                          <w:sz w:val="22"/>
                        </w:rPr>
                        <w:t>ílit</w:t>
                      </w:r>
                      <w:r w:rsidRPr="00B53CAB">
                        <w:rPr>
                          <w:rFonts w:eastAsia="Times New Roman" w:cs="Times New Roman"/>
                          <w:sz w:val="22"/>
                        </w:rPr>
                        <w:t xml:space="preserve"> kvalitní spoluprác</w:t>
                      </w:r>
                      <w:r>
                        <w:rPr>
                          <w:rFonts w:eastAsia="Times New Roman" w:cs="Times New Roman"/>
                          <w:sz w:val="22"/>
                        </w:rPr>
                        <w:t>i</w:t>
                      </w:r>
                      <w:r w:rsidRPr="00B53CAB">
                        <w:rPr>
                          <w:rFonts w:eastAsia="Times New Roman" w:cs="Times New Roman"/>
                          <w:sz w:val="22"/>
                        </w:rPr>
                        <w:t xml:space="preserve"> </w:t>
                      </w:r>
                      <w:r>
                        <w:rPr>
                          <w:rFonts w:eastAsia="Times New Roman" w:cs="Times New Roman"/>
                          <w:sz w:val="22"/>
                        </w:rPr>
                        <w:br/>
                      </w:r>
                      <w:r w:rsidRPr="00B53CAB">
                        <w:rPr>
                          <w:rFonts w:eastAsia="Times New Roman" w:cs="Times New Roman"/>
                          <w:sz w:val="22"/>
                        </w:rPr>
                        <w:t xml:space="preserve">a budování </w:t>
                      </w:r>
                      <w:r>
                        <w:rPr>
                          <w:rFonts w:eastAsia="Times New Roman" w:cs="Times New Roman"/>
                          <w:sz w:val="22"/>
                        </w:rPr>
                        <w:t xml:space="preserve">vzájemné </w:t>
                      </w:r>
                      <w:r w:rsidRPr="00B53CAB">
                        <w:rPr>
                          <w:rFonts w:eastAsia="Times New Roman" w:cs="Times New Roman"/>
                          <w:sz w:val="22"/>
                        </w:rPr>
                        <w:t>důvěry všech klíčových aktérů ve vzdělávání.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8347C" w:rsidRPr="00B175FB" w:rsidRDefault="0098347C" w:rsidP="006A2F6A">
      <w:pPr>
        <w:pStyle w:val="Nadpis3"/>
        <w:rPr>
          <w:b/>
          <w:color w:val="1F4E79" w:themeColor="accent5" w:themeShade="80"/>
          <w:lang w:val="cs-CZ" w:eastAsia="cs-CZ" w:bidi="cs-CZ"/>
        </w:rPr>
      </w:pPr>
      <w:bookmarkStart w:id="37" w:name="_Toc33000809"/>
      <w:bookmarkStart w:id="38" w:name="_Toc33000253"/>
      <w:bookmarkStart w:id="39" w:name="_Toc66476034"/>
      <w:bookmarkStart w:id="40" w:name="_Toc68610992"/>
      <w:r w:rsidRPr="00B175FB">
        <w:rPr>
          <w:b/>
          <w:color w:val="1F4E79" w:themeColor="accent5" w:themeShade="80"/>
          <w:lang w:val="cs-CZ" w:eastAsia="cs-CZ" w:bidi="cs-CZ"/>
        </w:rPr>
        <w:t xml:space="preserve">Slabé strategické řízení oblasti </w:t>
      </w:r>
      <w:r w:rsidR="00373816" w:rsidRPr="00B175FB">
        <w:rPr>
          <w:b/>
          <w:color w:val="1F4E79" w:themeColor="accent5" w:themeShade="80"/>
          <w:lang w:val="cs-CZ" w:eastAsia="cs-CZ" w:bidi="cs-CZ"/>
        </w:rPr>
        <w:t xml:space="preserve">výzkumu, vývoje a inovací </w:t>
      </w:r>
      <w:r w:rsidRPr="00B175FB">
        <w:rPr>
          <w:b/>
          <w:color w:val="1F4E79" w:themeColor="accent5" w:themeShade="80"/>
          <w:lang w:val="cs-CZ" w:eastAsia="cs-CZ" w:bidi="cs-CZ"/>
        </w:rPr>
        <w:t>na národní i regionální úrovni</w:t>
      </w:r>
      <w:bookmarkEnd w:id="37"/>
      <w:bookmarkEnd w:id="38"/>
      <w:bookmarkEnd w:id="39"/>
      <w:bookmarkEnd w:id="40"/>
      <w:r w:rsidRPr="00B175FB">
        <w:rPr>
          <w:b/>
          <w:color w:val="1F4E79" w:themeColor="accent5" w:themeShade="80"/>
          <w:lang w:val="cs-CZ" w:eastAsia="cs-CZ" w:bidi="cs-CZ"/>
        </w:rPr>
        <w:t xml:space="preserve"> </w:t>
      </w:r>
    </w:p>
    <w:p w:rsidR="0098347C" w:rsidRPr="00B175FB" w:rsidRDefault="00373816" w:rsidP="0098347C">
      <w:pPr>
        <w:spacing w:line="276" w:lineRule="auto"/>
        <w:jc w:val="both"/>
        <w:rPr>
          <w:rFonts w:eastAsia="Times New Roman"/>
          <w:noProof/>
          <w:sz w:val="22"/>
        </w:rPr>
      </w:pPr>
      <w:r w:rsidRPr="00B175FB">
        <w:rPr>
          <w:rFonts w:eastAsia="Times New Roman"/>
          <w:noProof/>
          <w:sz w:val="22"/>
        </w:rPr>
        <w:t>ČR</w:t>
      </w:r>
      <w:r w:rsidR="0098347C" w:rsidRPr="00B175FB">
        <w:rPr>
          <w:rFonts w:eastAsia="Times New Roman"/>
          <w:noProof/>
          <w:sz w:val="22"/>
        </w:rPr>
        <w:t xml:space="preserve"> má velký potenciál stát se jedním z lídrů v oblasti výzkumu a vývoje </w:t>
      </w:r>
      <w:r w:rsidR="007A4466" w:rsidRPr="00B175FB">
        <w:rPr>
          <w:rFonts w:eastAsia="Times New Roman"/>
          <w:noProof/>
          <w:sz w:val="22"/>
        </w:rPr>
        <w:t xml:space="preserve">(dále jen „VaV“) </w:t>
      </w:r>
      <w:r w:rsidR="0098347C" w:rsidRPr="00B175FB">
        <w:rPr>
          <w:rFonts w:eastAsia="Times New Roman"/>
          <w:noProof/>
          <w:sz w:val="22"/>
        </w:rPr>
        <w:t xml:space="preserve">v globálním měřítku. Disponuje velkým znalostním potenciálem, technologicky se rozvíjí, od vstupu do </w:t>
      </w:r>
      <w:r w:rsidRPr="00B175FB">
        <w:rPr>
          <w:rFonts w:eastAsia="Times New Roman"/>
          <w:noProof/>
          <w:sz w:val="22"/>
        </w:rPr>
        <w:t>EU</w:t>
      </w:r>
      <w:r w:rsidR="0098347C" w:rsidRPr="00B175FB">
        <w:rPr>
          <w:rFonts w:eastAsia="Times New Roman"/>
          <w:noProof/>
          <w:sz w:val="22"/>
        </w:rPr>
        <w:t xml:space="preserve"> zaznamenala značné investice zejména do infrastruktury pro </w:t>
      </w:r>
      <w:r w:rsidR="00C22787" w:rsidRPr="00B175FB">
        <w:rPr>
          <w:rFonts w:eastAsia="Times New Roman"/>
          <w:noProof/>
          <w:sz w:val="22"/>
        </w:rPr>
        <w:t>VaV</w:t>
      </w:r>
      <w:r w:rsidR="002A42F5" w:rsidRPr="00B175FB">
        <w:rPr>
          <w:rFonts w:eastAsia="Times New Roman"/>
          <w:noProof/>
          <w:sz w:val="22"/>
        </w:rPr>
        <w:t>.</w:t>
      </w:r>
      <w:r w:rsidR="002C65F8" w:rsidRPr="00B175FB">
        <w:rPr>
          <w:rStyle w:val="Znakapoznpodarou"/>
          <w:rFonts w:eastAsia="Times New Roman"/>
          <w:b w:val="0"/>
          <w:noProof/>
          <w:sz w:val="22"/>
        </w:rPr>
        <w:footnoteReference w:id="34"/>
      </w:r>
      <w:r w:rsidR="0098347C" w:rsidRPr="00B175FB">
        <w:rPr>
          <w:rFonts w:eastAsia="Times New Roman"/>
          <w:b/>
          <w:noProof/>
          <w:sz w:val="22"/>
        </w:rPr>
        <w:t xml:space="preserve"> </w:t>
      </w:r>
      <w:r w:rsidR="0098347C" w:rsidRPr="00B175FB">
        <w:rPr>
          <w:rFonts w:eastAsia="Times New Roman"/>
          <w:noProof/>
          <w:sz w:val="22"/>
        </w:rPr>
        <w:t xml:space="preserve">Přesto přetrvává řada </w:t>
      </w:r>
      <w:r w:rsidR="0017546D" w:rsidRPr="00B175FB">
        <w:rPr>
          <w:rFonts w:eastAsia="Times New Roman"/>
          <w:noProof/>
          <w:sz w:val="22"/>
        </w:rPr>
        <w:t>nedostatků, které</w:t>
      </w:r>
      <w:r w:rsidR="00E97EF6" w:rsidRPr="00B175FB">
        <w:rPr>
          <w:rFonts w:eastAsia="Times New Roman"/>
          <w:noProof/>
          <w:sz w:val="22"/>
        </w:rPr>
        <w:t> </w:t>
      </w:r>
      <w:r w:rsidR="0017546D" w:rsidRPr="00B175FB">
        <w:rPr>
          <w:rFonts w:eastAsia="Times New Roman"/>
          <w:noProof/>
          <w:sz w:val="22"/>
        </w:rPr>
        <w:t>jejímu přiblížení se</w:t>
      </w:r>
      <w:r w:rsidR="006B7773" w:rsidRPr="00B175FB">
        <w:rPr>
          <w:rFonts w:eastAsia="Times New Roman"/>
          <w:noProof/>
          <w:sz w:val="22"/>
        </w:rPr>
        <w:t> </w:t>
      </w:r>
      <w:r w:rsidR="0017546D" w:rsidRPr="00B175FB">
        <w:rPr>
          <w:rFonts w:eastAsia="Times New Roman"/>
          <w:noProof/>
          <w:sz w:val="22"/>
        </w:rPr>
        <w:t xml:space="preserve">nejúspěšnějším zemím brání. </w:t>
      </w:r>
    </w:p>
    <w:p w:rsidR="002333C1" w:rsidRPr="00B175FB" w:rsidRDefault="0017546D" w:rsidP="00D6696E">
      <w:pPr>
        <w:spacing w:line="276" w:lineRule="auto"/>
        <w:jc w:val="both"/>
        <w:rPr>
          <w:rFonts w:eastAsia="Times New Roman"/>
          <w:noProof/>
          <w:sz w:val="22"/>
        </w:rPr>
      </w:pPr>
      <w:r w:rsidRPr="00B175FB">
        <w:rPr>
          <w:rFonts w:eastAsia="Times New Roman"/>
          <w:noProof/>
          <w:sz w:val="22"/>
        </w:rPr>
        <w:t xml:space="preserve">Základním předpokladem pro to, aby oblast </w:t>
      </w:r>
      <w:r w:rsidR="00C22787" w:rsidRPr="00B175FB">
        <w:rPr>
          <w:rFonts w:eastAsia="Times New Roman"/>
          <w:noProof/>
          <w:sz w:val="22"/>
        </w:rPr>
        <w:t>VaV</w:t>
      </w:r>
      <w:r w:rsidRPr="00B175FB">
        <w:rPr>
          <w:rFonts w:eastAsia="Times New Roman"/>
          <w:noProof/>
          <w:sz w:val="22"/>
        </w:rPr>
        <w:t xml:space="preserve"> produkovala kvalitní výsledky, je zacílené a</w:t>
      </w:r>
      <w:r w:rsidR="00D6696E" w:rsidRPr="00B175FB">
        <w:rPr>
          <w:rFonts w:eastAsia="Times New Roman"/>
          <w:noProof/>
          <w:sz w:val="22"/>
        </w:rPr>
        <w:t> </w:t>
      </w:r>
      <w:r w:rsidRPr="00B175FB">
        <w:rPr>
          <w:rFonts w:eastAsia="Times New Roman"/>
          <w:noProof/>
          <w:sz w:val="22"/>
        </w:rPr>
        <w:t>koherentní strategické řízení této oblasti, a to jak na národní</w:t>
      </w:r>
      <w:r w:rsidR="002333C1" w:rsidRPr="00B175FB">
        <w:rPr>
          <w:rFonts w:eastAsia="Times New Roman"/>
          <w:noProof/>
          <w:sz w:val="22"/>
        </w:rPr>
        <w:t xml:space="preserve"> (centrální)</w:t>
      </w:r>
      <w:r w:rsidRPr="00B175FB">
        <w:rPr>
          <w:rFonts w:eastAsia="Times New Roman"/>
          <w:noProof/>
          <w:sz w:val="22"/>
        </w:rPr>
        <w:t xml:space="preserve">, tak regionální úrovni. Na národní úrovni přetrvává fragmentace v podpoře výzkumu, vývoje a inovací </w:t>
      </w:r>
      <w:r w:rsidRPr="00B175FB">
        <w:rPr>
          <w:rFonts w:eastAsia="Times New Roman"/>
          <w:sz w:val="22"/>
        </w:rPr>
        <w:t>(</w:t>
      </w:r>
      <w:r w:rsidR="00373816" w:rsidRPr="00B175FB">
        <w:rPr>
          <w:rFonts w:eastAsia="Times New Roman"/>
          <w:sz w:val="22"/>
        </w:rPr>
        <w:t>dále jen „</w:t>
      </w:r>
      <w:r w:rsidRPr="00B175FB">
        <w:rPr>
          <w:rFonts w:eastAsia="Times New Roman"/>
          <w:sz w:val="22"/>
        </w:rPr>
        <w:t>VaVaI</w:t>
      </w:r>
      <w:r w:rsidR="00373816" w:rsidRPr="00B175FB">
        <w:rPr>
          <w:rFonts w:eastAsia="Times New Roman"/>
          <w:sz w:val="22"/>
        </w:rPr>
        <w:t>“</w:t>
      </w:r>
      <w:r w:rsidRPr="00B175FB">
        <w:rPr>
          <w:rFonts w:eastAsia="Times New Roman"/>
          <w:sz w:val="22"/>
        </w:rPr>
        <w:t>)</w:t>
      </w:r>
      <w:r w:rsidRPr="00B175FB">
        <w:rPr>
          <w:rFonts w:eastAsia="Times New Roman"/>
          <w:noProof/>
          <w:sz w:val="22"/>
        </w:rPr>
        <w:t xml:space="preserve"> a nedostatečná koordinace aktérů </w:t>
      </w:r>
      <w:r w:rsidR="00C22787" w:rsidRPr="00B175FB">
        <w:rPr>
          <w:rFonts w:eastAsia="Times New Roman"/>
          <w:noProof/>
          <w:sz w:val="22"/>
        </w:rPr>
        <w:t>VaV</w:t>
      </w:r>
      <w:r w:rsidRPr="00B175FB">
        <w:rPr>
          <w:rFonts w:eastAsia="Times New Roman"/>
          <w:noProof/>
          <w:sz w:val="22"/>
        </w:rPr>
        <w:t xml:space="preserve"> při stanovování jasných priorit s přihlédnutím k budoucím trendům a</w:t>
      </w:r>
      <w:r w:rsidR="00373816" w:rsidRPr="00B175FB">
        <w:rPr>
          <w:rFonts w:eastAsia="Times New Roman"/>
          <w:noProof/>
          <w:sz w:val="22"/>
        </w:rPr>
        <w:t> </w:t>
      </w:r>
      <w:r w:rsidRPr="00B175FB">
        <w:rPr>
          <w:rFonts w:eastAsia="Times New Roman"/>
          <w:noProof/>
          <w:sz w:val="22"/>
        </w:rPr>
        <w:t>potřebám</w:t>
      </w:r>
      <w:r w:rsidR="002A42F5" w:rsidRPr="00B175FB">
        <w:rPr>
          <w:rFonts w:eastAsia="Times New Roman"/>
          <w:noProof/>
          <w:sz w:val="22"/>
        </w:rPr>
        <w:t>,</w:t>
      </w:r>
      <w:r w:rsidR="00D55EA9" w:rsidRPr="00B175FB">
        <w:rPr>
          <w:rStyle w:val="Znakapoznpodarou"/>
          <w:rFonts w:eastAsia="Times New Roman"/>
          <w:b w:val="0"/>
          <w:noProof/>
          <w:sz w:val="22"/>
        </w:rPr>
        <w:footnoteReference w:id="35"/>
      </w:r>
      <w:r w:rsidRPr="00B175FB">
        <w:rPr>
          <w:rFonts w:eastAsia="Times New Roman"/>
          <w:noProof/>
          <w:sz w:val="22"/>
        </w:rPr>
        <w:t xml:space="preserve"> což</w:t>
      </w:r>
      <w:r w:rsidR="00550CAF" w:rsidRPr="00B175FB">
        <w:rPr>
          <w:rFonts w:eastAsia="Times New Roman"/>
          <w:noProof/>
          <w:sz w:val="22"/>
        </w:rPr>
        <w:t> </w:t>
      </w:r>
      <w:r w:rsidRPr="00B175FB">
        <w:rPr>
          <w:rFonts w:eastAsia="Times New Roman"/>
          <w:noProof/>
          <w:sz w:val="22"/>
        </w:rPr>
        <w:t>omezuje efektivní fungování celého systému</w:t>
      </w:r>
      <w:r w:rsidR="002C65F8" w:rsidRPr="00B175FB">
        <w:rPr>
          <w:rFonts w:eastAsia="Times New Roman"/>
          <w:noProof/>
          <w:sz w:val="22"/>
        </w:rPr>
        <w:t xml:space="preserve"> a jeho inovační výkonnost</w:t>
      </w:r>
      <w:r w:rsidR="002A42F5" w:rsidRPr="00B175FB">
        <w:rPr>
          <w:rFonts w:eastAsia="Times New Roman"/>
          <w:noProof/>
          <w:sz w:val="22"/>
        </w:rPr>
        <w:t>.</w:t>
      </w:r>
      <w:r w:rsidR="002C65F8" w:rsidRPr="00B175FB">
        <w:rPr>
          <w:rStyle w:val="Znakapoznpodarou"/>
          <w:rFonts w:eastAsia="Times New Roman"/>
          <w:b w:val="0"/>
          <w:noProof/>
          <w:sz w:val="22"/>
        </w:rPr>
        <w:footnoteReference w:id="36"/>
      </w:r>
      <w:r w:rsidRPr="00B175FB">
        <w:rPr>
          <w:rFonts w:eastAsia="Times New Roman"/>
          <w:noProof/>
          <w:sz w:val="22"/>
        </w:rPr>
        <w:t xml:space="preserve"> Navzdory dílčím posunům v této oblasti (např.</w:t>
      </w:r>
      <w:r w:rsidR="006B7773" w:rsidRPr="00B175FB">
        <w:rPr>
          <w:rFonts w:eastAsia="Times New Roman"/>
          <w:noProof/>
          <w:sz w:val="22"/>
        </w:rPr>
        <w:t> </w:t>
      </w:r>
      <w:r w:rsidRPr="00B175FB">
        <w:rPr>
          <w:rFonts w:eastAsia="Times New Roman"/>
          <w:noProof/>
          <w:sz w:val="22"/>
        </w:rPr>
        <w:t xml:space="preserve">zvyšující se váha a implementace Národní </w:t>
      </w:r>
      <w:r w:rsidR="00CF7C3E" w:rsidRPr="00B175FB">
        <w:rPr>
          <w:rFonts w:eastAsia="Times New Roman"/>
          <w:noProof/>
          <w:sz w:val="22"/>
        </w:rPr>
        <w:t>RIS3 strategie</w:t>
      </w:r>
      <w:r w:rsidR="002333C1" w:rsidRPr="00B175FB">
        <w:rPr>
          <w:rFonts w:eastAsia="Times New Roman"/>
          <w:noProof/>
          <w:sz w:val="22"/>
        </w:rPr>
        <w:t>)</w:t>
      </w:r>
      <w:r w:rsidRPr="00B175FB">
        <w:rPr>
          <w:rFonts w:eastAsia="Times New Roman"/>
          <w:noProof/>
          <w:sz w:val="22"/>
        </w:rPr>
        <w:t xml:space="preserve"> stále zůstává značná část této problematiky </w:t>
      </w:r>
      <w:r w:rsidR="00154A60" w:rsidRPr="00B175FB">
        <w:rPr>
          <w:rFonts w:eastAsia="Times New Roman"/>
          <w:noProof/>
          <w:sz w:val="22"/>
        </w:rPr>
        <w:t xml:space="preserve">nedostatečně </w:t>
      </w:r>
      <w:r w:rsidR="00E0640E" w:rsidRPr="00B175FB">
        <w:rPr>
          <w:rFonts w:eastAsia="Times New Roman"/>
          <w:noProof/>
          <w:sz w:val="22"/>
        </w:rPr>
        <w:t>ošetřena</w:t>
      </w:r>
      <w:r w:rsidRPr="00B175FB">
        <w:rPr>
          <w:rFonts w:eastAsia="Times New Roman"/>
          <w:noProof/>
          <w:sz w:val="22"/>
        </w:rPr>
        <w:t xml:space="preserve">. </w:t>
      </w:r>
      <w:r w:rsidR="002333C1" w:rsidRPr="00B175FB">
        <w:rPr>
          <w:rFonts w:eastAsia="Times New Roman"/>
          <w:noProof/>
          <w:sz w:val="22"/>
        </w:rPr>
        <w:t xml:space="preserve">I nadále je třeba </w:t>
      </w:r>
      <w:r w:rsidR="00E0640E" w:rsidRPr="00B175FB">
        <w:rPr>
          <w:rFonts w:eastAsia="Times New Roman"/>
          <w:noProof/>
          <w:sz w:val="22"/>
        </w:rPr>
        <w:t xml:space="preserve">podporovat </w:t>
      </w:r>
      <w:r w:rsidR="002333C1" w:rsidRPr="00B175FB">
        <w:rPr>
          <w:rFonts w:eastAsia="Times New Roman"/>
          <w:noProof/>
          <w:sz w:val="22"/>
        </w:rPr>
        <w:t>větší zacilování podpory v oblasti VaVaI</w:t>
      </w:r>
      <w:r w:rsidR="0089353A" w:rsidRPr="005B3503">
        <w:rPr>
          <w:rStyle w:val="Znakapoznpodarou"/>
          <w:rFonts w:eastAsia="Times New Roman"/>
          <w:b w:val="0"/>
          <w:noProof/>
          <w:sz w:val="22"/>
        </w:rPr>
        <w:footnoteReference w:id="37"/>
      </w:r>
      <w:r w:rsidR="002333C1" w:rsidRPr="00B175FB">
        <w:rPr>
          <w:rFonts w:eastAsia="Times New Roman"/>
          <w:noProof/>
          <w:sz w:val="22"/>
        </w:rPr>
        <w:t xml:space="preserve"> </w:t>
      </w:r>
      <w:r w:rsidR="00A762A9" w:rsidRPr="00B175FB">
        <w:rPr>
          <w:rFonts w:eastAsia="Times New Roman"/>
          <w:noProof/>
          <w:sz w:val="22"/>
        </w:rPr>
        <w:t>(zejména</w:t>
      </w:r>
      <w:r w:rsidR="006B7773" w:rsidRPr="00B175FB">
        <w:rPr>
          <w:rFonts w:eastAsia="Times New Roman"/>
          <w:noProof/>
          <w:sz w:val="22"/>
        </w:rPr>
        <w:t> </w:t>
      </w:r>
      <w:r w:rsidR="00A762A9" w:rsidRPr="00B175FB">
        <w:rPr>
          <w:rFonts w:eastAsia="Times New Roman"/>
          <w:noProof/>
          <w:sz w:val="22"/>
        </w:rPr>
        <w:t>do </w:t>
      </w:r>
      <w:r w:rsidR="00154A60" w:rsidRPr="00B175FB">
        <w:rPr>
          <w:rFonts w:eastAsia="Times New Roman"/>
          <w:noProof/>
          <w:sz w:val="22"/>
        </w:rPr>
        <w:t xml:space="preserve">oblastí tzv. chytré specializace) </w:t>
      </w:r>
      <w:r w:rsidR="008467D0" w:rsidRPr="00B175FB">
        <w:rPr>
          <w:rFonts w:eastAsia="Times New Roman"/>
          <w:noProof/>
          <w:sz w:val="22"/>
        </w:rPr>
        <w:t>založené na</w:t>
      </w:r>
      <w:r w:rsidR="00E97EF6" w:rsidRPr="00B175FB">
        <w:rPr>
          <w:rFonts w:eastAsia="Times New Roman"/>
          <w:noProof/>
          <w:sz w:val="22"/>
        </w:rPr>
        <w:t> </w:t>
      </w:r>
      <w:r w:rsidR="008467D0" w:rsidRPr="00B175FB">
        <w:rPr>
          <w:rFonts w:eastAsia="Times New Roman"/>
          <w:noProof/>
          <w:sz w:val="22"/>
        </w:rPr>
        <w:t>analytických podkladech</w:t>
      </w:r>
      <w:r w:rsidR="002333C1" w:rsidRPr="00B175FB">
        <w:rPr>
          <w:rFonts w:eastAsia="Times New Roman"/>
          <w:noProof/>
          <w:sz w:val="22"/>
        </w:rPr>
        <w:t xml:space="preserve">, entrepreneurial </w:t>
      </w:r>
      <w:r w:rsidR="001E48CE" w:rsidRPr="00B175FB">
        <w:rPr>
          <w:rFonts w:eastAsia="Times New Roman"/>
          <w:noProof/>
          <w:sz w:val="22"/>
        </w:rPr>
        <w:t xml:space="preserve">discovery </w:t>
      </w:r>
      <w:r w:rsidR="002333C1" w:rsidRPr="00B175FB">
        <w:rPr>
          <w:rFonts w:eastAsia="Times New Roman"/>
          <w:noProof/>
          <w:sz w:val="22"/>
        </w:rPr>
        <w:t>procesu i</w:t>
      </w:r>
      <w:r w:rsidR="006C79F9" w:rsidRPr="00B175FB">
        <w:rPr>
          <w:rFonts w:eastAsia="Times New Roman"/>
          <w:noProof/>
          <w:sz w:val="22"/>
        </w:rPr>
        <w:t> </w:t>
      </w:r>
      <w:r w:rsidR="00BF3CCD" w:rsidRPr="00B175FB">
        <w:rPr>
          <w:rFonts w:eastAsia="Times New Roman"/>
          <w:noProof/>
          <w:sz w:val="22"/>
        </w:rPr>
        <w:t>technology assesmentu a</w:t>
      </w:r>
      <w:r w:rsidR="002333C1" w:rsidRPr="00B175FB">
        <w:rPr>
          <w:rFonts w:eastAsia="Times New Roman"/>
          <w:noProof/>
          <w:sz w:val="22"/>
        </w:rPr>
        <w:t xml:space="preserve"> technology foresightu, na spolupráci aktérů tzv. triple/quadruple helix (zahrnující </w:t>
      </w:r>
      <w:r w:rsidR="00E0640E" w:rsidRPr="00B175FB">
        <w:rPr>
          <w:rFonts w:eastAsia="Times New Roman"/>
          <w:noProof/>
          <w:sz w:val="22"/>
        </w:rPr>
        <w:t xml:space="preserve">rovněž </w:t>
      </w:r>
      <w:r w:rsidR="002333C1" w:rsidRPr="00B175FB">
        <w:rPr>
          <w:rFonts w:eastAsia="Times New Roman"/>
          <w:noProof/>
          <w:sz w:val="22"/>
        </w:rPr>
        <w:t xml:space="preserve">výzkumný a firemní sektor). </w:t>
      </w:r>
      <w:r w:rsidR="00373816" w:rsidRPr="00B175FB">
        <w:rPr>
          <w:rFonts w:eastAsia="Times New Roman"/>
          <w:noProof/>
          <w:sz w:val="22"/>
        </w:rPr>
        <w:t>ČR</w:t>
      </w:r>
      <w:r w:rsidR="00255A51" w:rsidRPr="00B175FB">
        <w:rPr>
          <w:rFonts w:eastAsia="Times New Roman"/>
          <w:noProof/>
          <w:sz w:val="22"/>
        </w:rPr>
        <w:t xml:space="preserve"> má značné rezervy v nastavení </w:t>
      </w:r>
      <w:r w:rsidR="007B7E81" w:rsidRPr="00B175FB">
        <w:rPr>
          <w:rFonts w:eastAsia="Times New Roman"/>
          <w:noProof/>
          <w:sz w:val="22"/>
        </w:rPr>
        <w:t>a implementaci</w:t>
      </w:r>
      <w:r w:rsidR="00255A51" w:rsidRPr="00B175FB">
        <w:rPr>
          <w:rFonts w:eastAsia="Times New Roman"/>
          <w:noProof/>
          <w:sz w:val="22"/>
        </w:rPr>
        <w:t xml:space="preserve"> </w:t>
      </w:r>
      <w:r w:rsidR="00C115EE" w:rsidRPr="00B175FB">
        <w:rPr>
          <w:rFonts w:eastAsia="Times New Roman"/>
          <w:sz w:val="22"/>
        </w:rPr>
        <w:t>O</w:t>
      </w:r>
      <w:r w:rsidR="00255A51" w:rsidRPr="00B175FB">
        <w:rPr>
          <w:rFonts w:eastAsia="Times New Roman"/>
          <w:sz w:val="22"/>
        </w:rPr>
        <w:t xml:space="preserve">pen </w:t>
      </w:r>
      <w:r w:rsidR="00C115EE" w:rsidRPr="00B175FB">
        <w:rPr>
          <w:rFonts w:eastAsia="Times New Roman"/>
          <w:sz w:val="22"/>
        </w:rPr>
        <w:t>S</w:t>
      </w:r>
      <w:r w:rsidR="005E249A" w:rsidRPr="00B175FB">
        <w:rPr>
          <w:rFonts w:eastAsia="Times New Roman"/>
          <w:sz w:val="22"/>
        </w:rPr>
        <w:t>cience</w:t>
      </w:r>
      <w:r w:rsidR="00391B1D" w:rsidRPr="001651D8">
        <w:rPr>
          <w:rStyle w:val="Znakapoznpodarou"/>
          <w:rFonts w:eastAsia="Times New Roman"/>
          <w:b w:val="0"/>
          <w:sz w:val="22"/>
        </w:rPr>
        <w:footnoteReference w:id="38"/>
      </w:r>
      <w:r w:rsidR="00255A51" w:rsidRPr="00B175FB">
        <w:rPr>
          <w:rFonts w:eastAsia="Times New Roman"/>
          <w:noProof/>
          <w:sz w:val="22"/>
        </w:rPr>
        <w:t xml:space="preserve">, přičemž nedostatečná připravenost může být do budoucna brzdou pro </w:t>
      </w:r>
      <w:r w:rsidR="001E48CE" w:rsidRPr="00B175FB">
        <w:rPr>
          <w:rFonts w:eastAsia="Times New Roman"/>
          <w:noProof/>
          <w:sz w:val="22"/>
        </w:rPr>
        <w:t>podporu</w:t>
      </w:r>
      <w:r w:rsidR="00255A51" w:rsidRPr="00B175FB">
        <w:rPr>
          <w:rFonts w:eastAsia="Times New Roman"/>
          <w:noProof/>
          <w:sz w:val="22"/>
        </w:rPr>
        <w:t xml:space="preserve"> z Horizon</w:t>
      </w:r>
      <w:r w:rsidR="001F215C" w:rsidRPr="00B175FB">
        <w:rPr>
          <w:rFonts w:eastAsia="Times New Roman"/>
          <w:noProof/>
          <w:sz w:val="22"/>
        </w:rPr>
        <w:t>tu</w:t>
      </w:r>
      <w:r w:rsidR="00255A51" w:rsidRPr="00B175FB">
        <w:rPr>
          <w:rFonts w:eastAsia="Times New Roman"/>
          <w:noProof/>
          <w:sz w:val="22"/>
        </w:rPr>
        <w:t xml:space="preserve"> E</w:t>
      </w:r>
      <w:r w:rsidR="001F215C" w:rsidRPr="00B175FB">
        <w:rPr>
          <w:rFonts w:eastAsia="Times New Roman"/>
          <w:noProof/>
          <w:sz w:val="22"/>
        </w:rPr>
        <w:t>v</w:t>
      </w:r>
      <w:r w:rsidR="00255A51" w:rsidRPr="00B175FB">
        <w:rPr>
          <w:rFonts w:eastAsia="Times New Roman"/>
          <w:noProof/>
          <w:sz w:val="22"/>
        </w:rPr>
        <w:t>rop</w:t>
      </w:r>
      <w:r w:rsidR="001F215C" w:rsidRPr="00B175FB">
        <w:rPr>
          <w:rFonts w:eastAsia="Times New Roman"/>
          <w:noProof/>
          <w:sz w:val="22"/>
        </w:rPr>
        <w:t>a</w:t>
      </w:r>
      <w:r w:rsidR="002C425A">
        <w:rPr>
          <w:rFonts w:eastAsia="Times New Roman"/>
          <w:noProof/>
          <w:sz w:val="22"/>
        </w:rPr>
        <w:t xml:space="preserve"> i</w:t>
      </w:r>
      <w:r w:rsidR="00AC5EBB">
        <w:rPr>
          <w:rFonts w:eastAsia="Times New Roman"/>
          <w:noProof/>
          <w:sz w:val="22"/>
        </w:rPr>
        <w:t> </w:t>
      </w:r>
      <w:r w:rsidR="002C425A">
        <w:rPr>
          <w:rFonts w:eastAsia="Times New Roman"/>
          <w:noProof/>
          <w:sz w:val="22"/>
        </w:rPr>
        <w:t xml:space="preserve">pro rychlý rozvoj </w:t>
      </w:r>
      <w:r w:rsidR="00AC5EBB">
        <w:rPr>
          <w:rFonts w:eastAsia="Times New Roman"/>
          <w:noProof/>
          <w:sz w:val="22"/>
        </w:rPr>
        <w:t>VaVaI</w:t>
      </w:r>
      <w:r w:rsidR="002C425A">
        <w:rPr>
          <w:rFonts w:eastAsia="Times New Roman"/>
          <w:noProof/>
          <w:sz w:val="22"/>
        </w:rPr>
        <w:t xml:space="preserve"> v rámci celé </w:t>
      </w:r>
      <w:r w:rsidR="008E622D">
        <w:rPr>
          <w:rFonts w:eastAsia="Times New Roman"/>
          <w:noProof/>
          <w:sz w:val="22"/>
        </w:rPr>
        <w:t>EU</w:t>
      </w:r>
      <w:r w:rsidR="00255A51" w:rsidRPr="00B175FB">
        <w:rPr>
          <w:rFonts w:eastAsia="Times New Roman"/>
          <w:noProof/>
          <w:sz w:val="22"/>
        </w:rPr>
        <w:t xml:space="preserve">. </w:t>
      </w:r>
      <w:r w:rsidR="00373816" w:rsidRPr="00B175FB">
        <w:rPr>
          <w:rFonts w:eastAsia="Times New Roman"/>
          <w:noProof/>
          <w:sz w:val="22"/>
        </w:rPr>
        <w:t>ČR</w:t>
      </w:r>
      <w:r w:rsidR="00255A51" w:rsidRPr="00B175FB">
        <w:rPr>
          <w:rFonts w:eastAsia="Times New Roman"/>
          <w:noProof/>
          <w:sz w:val="22"/>
        </w:rPr>
        <w:t xml:space="preserve">  disponuje nedostatečným infrastrukturním zázemím i</w:t>
      </w:r>
      <w:r w:rsidR="008E622D">
        <w:rPr>
          <w:rFonts w:eastAsia="Times New Roman"/>
          <w:noProof/>
          <w:sz w:val="22"/>
        </w:rPr>
        <w:t> </w:t>
      </w:r>
      <w:r w:rsidR="00255A51" w:rsidRPr="00B175FB">
        <w:rPr>
          <w:rFonts w:eastAsia="Times New Roman"/>
          <w:noProof/>
          <w:sz w:val="22"/>
        </w:rPr>
        <w:t>kapacitami a připraveností lidských zdrojů na úrovni národní i</w:t>
      </w:r>
      <w:r w:rsidR="00550CAF" w:rsidRPr="00B175FB">
        <w:rPr>
          <w:rFonts w:eastAsia="Times New Roman"/>
          <w:noProof/>
          <w:sz w:val="22"/>
        </w:rPr>
        <w:t> </w:t>
      </w:r>
      <w:r w:rsidR="00255A51" w:rsidRPr="00B175FB">
        <w:rPr>
          <w:rFonts w:eastAsia="Times New Roman"/>
          <w:noProof/>
          <w:sz w:val="22"/>
        </w:rPr>
        <w:t xml:space="preserve">v rámci výzkumných organizací </w:t>
      </w:r>
      <w:r w:rsidR="005F1E03" w:rsidRPr="00B175FB">
        <w:rPr>
          <w:rFonts w:eastAsia="Times New Roman"/>
          <w:noProof/>
          <w:sz w:val="22"/>
        </w:rPr>
        <w:t xml:space="preserve">(dále jen „VO“) </w:t>
      </w:r>
      <w:r w:rsidR="00391B1D">
        <w:rPr>
          <w:rFonts w:eastAsia="Times New Roman"/>
          <w:sz w:val="22"/>
        </w:rPr>
        <w:t>zejm</w:t>
      </w:r>
      <w:r w:rsidR="00524D6C">
        <w:rPr>
          <w:rFonts w:eastAsia="Times New Roman"/>
          <w:sz w:val="22"/>
        </w:rPr>
        <w:t>éna</w:t>
      </w:r>
      <w:r w:rsidR="00391B1D">
        <w:rPr>
          <w:rFonts w:eastAsia="Times New Roman"/>
          <w:sz w:val="22"/>
        </w:rPr>
        <w:t xml:space="preserve"> </w:t>
      </w:r>
      <w:r w:rsidR="00255A51" w:rsidRPr="00B175FB">
        <w:rPr>
          <w:rFonts w:eastAsia="Times New Roman"/>
          <w:sz w:val="22"/>
        </w:rPr>
        <w:t xml:space="preserve">pro </w:t>
      </w:r>
      <w:r w:rsidR="00255A51" w:rsidRPr="00B175FB">
        <w:rPr>
          <w:rFonts w:eastAsia="Times New Roman"/>
          <w:noProof/>
          <w:sz w:val="22"/>
        </w:rPr>
        <w:t xml:space="preserve">implementaci iniciativy </w:t>
      </w:r>
      <w:r w:rsidR="00373816" w:rsidRPr="00B175FB">
        <w:rPr>
          <w:rFonts w:eastAsia="Times New Roman"/>
          <w:sz w:val="22"/>
        </w:rPr>
        <w:t>European Open Science Cloud</w:t>
      </w:r>
      <w:r w:rsidR="00373816" w:rsidRPr="00B175FB">
        <w:rPr>
          <w:rFonts w:eastAsia="Times New Roman"/>
          <w:noProof/>
          <w:sz w:val="22"/>
        </w:rPr>
        <w:t xml:space="preserve"> (dále jen „</w:t>
      </w:r>
      <w:r w:rsidR="00255A51" w:rsidRPr="00B175FB">
        <w:rPr>
          <w:rFonts w:eastAsia="Times New Roman"/>
          <w:noProof/>
          <w:sz w:val="22"/>
        </w:rPr>
        <w:t>EOSC</w:t>
      </w:r>
      <w:r w:rsidR="00373816" w:rsidRPr="00B175FB">
        <w:rPr>
          <w:rFonts w:eastAsia="Times New Roman"/>
          <w:noProof/>
          <w:sz w:val="22"/>
        </w:rPr>
        <w:t>"</w:t>
      </w:r>
      <w:r w:rsidR="00F00036" w:rsidRPr="00B175FB">
        <w:rPr>
          <w:rFonts w:eastAsia="Times New Roman"/>
          <w:noProof/>
          <w:sz w:val="22"/>
        </w:rPr>
        <w:t xml:space="preserve">) a politiky </w:t>
      </w:r>
      <w:r w:rsidR="0015070C">
        <w:rPr>
          <w:rFonts w:eastAsia="Times New Roman"/>
          <w:noProof/>
          <w:sz w:val="22"/>
        </w:rPr>
        <w:br/>
      </w:r>
      <w:r w:rsidR="00F00036" w:rsidRPr="00B175FB">
        <w:rPr>
          <w:rFonts w:eastAsia="Times New Roman"/>
          <w:noProof/>
          <w:sz w:val="22"/>
        </w:rPr>
        <w:t xml:space="preserve">tzv. </w:t>
      </w:r>
      <w:r w:rsidR="00255A51" w:rsidRPr="00B175FB">
        <w:rPr>
          <w:rFonts w:eastAsia="Times New Roman"/>
          <w:noProof/>
          <w:sz w:val="22"/>
        </w:rPr>
        <w:t>data managementu v souladu s principy FAIR (</w:t>
      </w:r>
      <w:r w:rsidR="003F7534" w:rsidRPr="00B175FB">
        <w:rPr>
          <w:rFonts w:eastAsia="Times New Roman"/>
          <w:sz w:val="22"/>
        </w:rPr>
        <w:t>F</w:t>
      </w:r>
      <w:r w:rsidR="00255A51" w:rsidRPr="00B175FB">
        <w:rPr>
          <w:rFonts w:eastAsia="Times New Roman"/>
          <w:sz w:val="22"/>
        </w:rPr>
        <w:t xml:space="preserve">indable, </w:t>
      </w:r>
      <w:r w:rsidR="003F7534" w:rsidRPr="00B175FB">
        <w:rPr>
          <w:rFonts w:eastAsia="Times New Roman"/>
          <w:sz w:val="22"/>
        </w:rPr>
        <w:t>A</w:t>
      </w:r>
      <w:r w:rsidR="00255A51" w:rsidRPr="00B175FB">
        <w:rPr>
          <w:rFonts w:eastAsia="Times New Roman"/>
          <w:sz w:val="22"/>
        </w:rPr>
        <w:t xml:space="preserve">ccessible, </w:t>
      </w:r>
      <w:r w:rsidR="003F7534" w:rsidRPr="00B175FB">
        <w:rPr>
          <w:rFonts w:eastAsia="Times New Roman"/>
          <w:sz w:val="22"/>
        </w:rPr>
        <w:t>I</w:t>
      </w:r>
      <w:r w:rsidR="00255A51" w:rsidRPr="00B175FB">
        <w:rPr>
          <w:rFonts w:eastAsia="Times New Roman"/>
          <w:sz w:val="22"/>
        </w:rPr>
        <w:t xml:space="preserve">nteroperable, </w:t>
      </w:r>
      <w:r w:rsidR="003F7534" w:rsidRPr="00B175FB">
        <w:rPr>
          <w:rFonts w:eastAsia="Times New Roman"/>
          <w:sz w:val="22"/>
        </w:rPr>
        <w:t>R</w:t>
      </w:r>
      <w:r w:rsidR="00255A51" w:rsidRPr="00B175FB">
        <w:rPr>
          <w:rFonts w:eastAsia="Times New Roman"/>
          <w:sz w:val="22"/>
        </w:rPr>
        <w:t>eusable</w:t>
      </w:r>
      <w:r w:rsidR="00255A51" w:rsidRPr="00B175FB">
        <w:rPr>
          <w:rFonts w:eastAsia="Times New Roman"/>
          <w:noProof/>
          <w:sz w:val="22"/>
        </w:rPr>
        <w:t>)</w:t>
      </w:r>
      <w:r w:rsidR="002A42F5" w:rsidRPr="00B175FB">
        <w:rPr>
          <w:rFonts w:eastAsia="Times New Roman"/>
          <w:noProof/>
          <w:sz w:val="22"/>
        </w:rPr>
        <w:t>.</w:t>
      </w:r>
      <w:r w:rsidR="00E97EF6" w:rsidRPr="00B175FB">
        <w:rPr>
          <w:rStyle w:val="Znakapoznpodarou"/>
          <w:rFonts w:eastAsia="Times New Roman"/>
          <w:b w:val="0"/>
          <w:noProof/>
          <w:sz w:val="22"/>
        </w:rPr>
        <w:footnoteReference w:id="39"/>
      </w:r>
      <w:r w:rsidR="00363411" w:rsidRPr="00B175FB">
        <w:rPr>
          <w:rFonts w:eastAsia="Times New Roman"/>
          <w:noProof/>
          <w:sz w:val="22"/>
        </w:rPr>
        <w:t xml:space="preserve"> </w:t>
      </w:r>
      <w:r w:rsidR="0030628D" w:rsidRPr="00B175FB">
        <w:rPr>
          <w:rFonts w:eastAsia="Times New Roman"/>
          <w:sz w:val="22"/>
        </w:rPr>
        <w:t xml:space="preserve">Omezující </w:t>
      </w:r>
      <w:r w:rsidR="00F747A7" w:rsidRPr="00B175FB">
        <w:rPr>
          <w:rFonts w:eastAsia="Times New Roman"/>
          <w:sz w:val="22"/>
        </w:rPr>
        <w:t>je</w:t>
      </w:r>
      <w:r w:rsidR="00550CAF" w:rsidRPr="00B175FB">
        <w:rPr>
          <w:rFonts w:eastAsia="Times New Roman"/>
          <w:sz w:val="22"/>
        </w:rPr>
        <w:t> </w:t>
      </w:r>
      <w:r w:rsidR="00F747A7" w:rsidRPr="00B175FB">
        <w:rPr>
          <w:rFonts w:eastAsia="Times New Roman"/>
          <w:sz w:val="22"/>
        </w:rPr>
        <w:t>též</w:t>
      </w:r>
      <w:r w:rsidR="00550CAF" w:rsidRPr="00B175FB">
        <w:rPr>
          <w:rFonts w:eastAsia="Times New Roman"/>
          <w:sz w:val="22"/>
        </w:rPr>
        <w:t> </w:t>
      </w:r>
      <w:r w:rsidR="00F747A7" w:rsidRPr="00B175FB">
        <w:rPr>
          <w:rFonts w:eastAsia="Times New Roman"/>
          <w:sz w:val="22"/>
        </w:rPr>
        <w:t>komplikovanost přístupu k doposud roztříštěným informačním</w:t>
      </w:r>
      <w:r w:rsidR="007E4752" w:rsidRPr="00B175FB">
        <w:rPr>
          <w:rFonts w:eastAsia="Times New Roman"/>
          <w:sz w:val="22"/>
        </w:rPr>
        <w:t>,</w:t>
      </w:r>
      <w:r w:rsidR="00F747A7" w:rsidRPr="00B175FB">
        <w:rPr>
          <w:rFonts w:eastAsia="Times New Roman"/>
          <w:sz w:val="22"/>
        </w:rPr>
        <w:t xml:space="preserve"> bibliometrickým</w:t>
      </w:r>
      <w:r w:rsidR="007E4752" w:rsidRPr="00B175FB">
        <w:rPr>
          <w:rFonts w:eastAsia="Times New Roman"/>
          <w:sz w:val="22"/>
        </w:rPr>
        <w:t>, knihovnickým</w:t>
      </w:r>
      <w:r w:rsidR="00F747A7" w:rsidRPr="00B175FB">
        <w:rPr>
          <w:rFonts w:eastAsia="Times New Roman"/>
          <w:sz w:val="22"/>
        </w:rPr>
        <w:t xml:space="preserve"> </w:t>
      </w:r>
      <w:r w:rsidR="007E4752" w:rsidRPr="00B175FB">
        <w:rPr>
          <w:rFonts w:eastAsia="Times New Roman"/>
          <w:sz w:val="22"/>
        </w:rPr>
        <w:t>a</w:t>
      </w:r>
      <w:r w:rsidR="00AC5EBB">
        <w:rPr>
          <w:rFonts w:eastAsia="Times New Roman"/>
          <w:sz w:val="22"/>
        </w:rPr>
        <w:t> </w:t>
      </w:r>
      <w:r w:rsidR="007E4752" w:rsidRPr="00B175FB">
        <w:rPr>
          <w:rFonts w:eastAsia="Times New Roman"/>
          <w:sz w:val="22"/>
        </w:rPr>
        <w:t xml:space="preserve">analytickým </w:t>
      </w:r>
      <w:r w:rsidR="00F747A7" w:rsidRPr="00B175FB">
        <w:rPr>
          <w:rFonts w:eastAsia="Times New Roman"/>
          <w:sz w:val="22"/>
        </w:rPr>
        <w:t xml:space="preserve">zdrojům </w:t>
      </w:r>
      <w:r w:rsidR="007E4752" w:rsidRPr="00B175FB">
        <w:rPr>
          <w:rFonts w:eastAsia="Times New Roman"/>
          <w:sz w:val="22"/>
        </w:rPr>
        <w:t>a</w:t>
      </w:r>
      <w:r w:rsidR="008E622D">
        <w:rPr>
          <w:rFonts w:eastAsia="Times New Roman"/>
          <w:sz w:val="22"/>
        </w:rPr>
        <w:t> </w:t>
      </w:r>
      <w:r w:rsidR="007E4752" w:rsidRPr="00B175FB">
        <w:rPr>
          <w:rFonts w:eastAsia="Times New Roman"/>
          <w:sz w:val="22"/>
        </w:rPr>
        <w:t xml:space="preserve">systémům </w:t>
      </w:r>
      <w:r w:rsidR="00F747A7" w:rsidRPr="00B175FB">
        <w:rPr>
          <w:rFonts w:eastAsia="Times New Roman"/>
          <w:sz w:val="22"/>
        </w:rPr>
        <w:t>využitelným ve VaV</w:t>
      </w:r>
      <w:r w:rsidR="00A65971" w:rsidRPr="00B175FB">
        <w:rPr>
          <w:rFonts w:eastAsia="Times New Roman"/>
          <w:sz w:val="22"/>
        </w:rPr>
        <w:t>aI</w:t>
      </w:r>
      <w:r w:rsidR="00F747A7" w:rsidRPr="00B175FB">
        <w:rPr>
          <w:rFonts w:eastAsia="Times New Roman"/>
          <w:sz w:val="22"/>
        </w:rPr>
        <w:t xml:space="preserve"> a</w:t>
      </w:r>
      <w:r w:rsidR="00421107" w:rsidRPr="00B175FB">
        <w:rPr>
          <w:rFonts w:eastAsia="Times New Roman"/>
          <w:sz w:val="22"/>
        </w:rPr>
        <w:t> </w:t>
      </w:r>
      <w:r w:rsidR="00F747A7" w:rsidRPr="00B175FB">
        <w:rPr>
          <w:rFonts w:eastAsia="Times New Roman"/>
          <w:sz w:val="22"/>
        </w:rPr>
        <w:t>při</w:t>
      </w:r>
      <w:r w:rsidR="00421107" w:rsidRPr="00B175FB">
        <w:rPr>
          <w:rFonts w:eastAsia="Times New Roman"/>
          <w:sz w:val="22"/>
        </w:rPr>
        <w:t> </w:t>
      </w:r>
      <w:r w:rsidR="00F747A7" w:rsidRPr="00B175FB">
        <w:rPr>
          <w:rFonts w:eastAsia="Times New Roman"/>
          <w:sz w:val="22"/>
        </w:rPr>
        <w:t>hledání inovačních příležitostí.</w:t>
      </w:r>
      <w:r w:rsidR="00FA7251">
        <w:rPr>
          <w:rStyle w:val="Znakapoznpodarou"/>
          <w:rFonts w:eastAsia="Times New Roman"/>
          <w:sz w:val="22"/>
        </w:rPr>
        <w:footnoteReference w:id="40"/>
      </w:r>
      <w:r w:rsidR="00F747A7" w:rsidRPr="00B175FB">
        <w:rPr>
          <w:rFonts w:eastAsia="Times New Roman"/>
          <w:sz w:val="22"/>
        </w:rPr>
        <w:t xml:space="preserve"> </w:t>
      </w:r>
      <w:r w:rsidR="008467D0" w:rsidRPr="00B175FB">
        <w:rPr>
          <w:rFonts w:eastAsia="Times New Roman"/>
          <w:sz w:val="22"/>
        </w:rPr>
        <w:t xml:space="preserve">Značnou bariérou je stále vysoká administrativní zátěž spojená s financováním </w:t>
      </w:r>
      <w:r w:rsidR="00014810" w:rsidRPr="00B175FB">
        <w:rPr>
          <w:rFonts w:eastAsia="Times New Roman"/>
          <w:sz w:val="22"/>
        </w:rPr>
        <w:t>VaV</w:t>
      </w:r>
      <w:r w:rsidR="008467D0" w:rsidRPr="00B175FB">
        <w:rPr>
          <w:rFonts w:eastAsia="Times New Roman"/>
          <w:sz w:val="22"/>
        </w:rPr>
        <w:t xml:space="preserve"> doplněna </w:t>
      </w:r>
      <w:r w:rsidR="00C26958">
        <w:rPr>
          <w:rFonts w:eastAsia="Times New Roman"/>
          <w:sz w:val="22"/>
        </w:rPr>
        <w:br/>
      </w:r>
      <w:r w:rsidR="008467D0" w:rsidRPr="00B175FB">
        <w:rPr>
          <w:rFonts w:eastAsia="Times New Roman"/>
          <w:sz w:val="22"/>
        </w:rPr>
        <w:t>o ne vždy zcela koordinované postupy r</w:t>
      </w:r>
      <w:r w:rsidR="001E48CE" w:rsidRPr="00B175FB">
        <w:rPr>
          <w:rFonts w:eastAsia="Times New Roman"/>
          <w:sz w:val="22"/>
        </w:rPr>
        <w:t>ůzných poskytovatelů podpory</w:t>
      </w:r>
      <w:r w:rsidR="008467D0" w:rsidRPr="00B175FB">
        <w:rPr>
          <w:rFonts w:eastAsia="Times New Roman"/>
          <w:sz w:val="22"/>
        </w:rPr>
        <w:t>.</w:t>
      </w:r>
      <w:r w:rsidR="00E41A1F" w:rsidRPr="001651D8">
        <w:rPr>
          <w:rStyle w:val="Znakapoznpodarou"/>
          <w:rFonts w:eastAsia="Times New Roman"/>
          <w:b w:val="0"/>
          <w:sz w:val="22"/>
        </w:rPr>
        <w:footnoteReference w:id="41"/>
      </w:r>
      <w:r w:rsidR="00F367BF" w:rsidRPr="00B175FB">
        <w:rPr>
          <w:rFonts w:asciiTheme="minorHAnsi" w:eastAsia="Times New Roman" w:hAnsiTheme="minorHAnsi" w:cstheme="minorHAnsi"/>
          <w:noProof/>
          <w:sz w:val="22"/>
        </w:rPr>
        <w:t xml:space="preserve"> </w:t>
      </w:r>
    </w:p>
    <w:p w:rsidR="00F8705D" w:rsidRPr="00B175FB" w:rsidRDefault="002333C1" w:rsidP="00D6696E">
      <w:pPr>
        <w:spacing w:line="276" w:lineRule="auto"/>
        <w:jc w:val="both"/>
        <w:rPr>
          <w:rFonts w:eastAsia="Times New Roman"/>
          <w:noProof/>
          <w:sz w:val="22"/>
        </w:rPr>
      </w:pPr>
      <w:r w:rsidRPr="00B175FB">
        <w:rPr>
          <w:rFonts w:eastAsia="Times New Roman"/>
          <w:noProof/>
          <w:sz w:val="22"/>
        </w:rPr>
        <w:t>Regionální úroveň strategického řízení VaVaI, která</w:t>
      </w:r>
      <w:r w:rsidR="007B7E81" w:rsidRPr="00B175FB">
        <w:rPr>
          <w:rFonts w:eastAsia="Times New Roman"/>
          <w:noProof/>
          <w:sz w:val="22"/>
        </w:rPr>
        <w:t xml:space="preserve"> musí doplňovat národní úroveň a jejíž struktury byly vybudovány</w:t>
      </w:r>
      <w:r w:rsidRPr="00B175FB">
        <w:rPr>
          <w:rFonts w:eastAsia="Times New Roman"/>
          <w:noProof/>
          <w:sz w:val="22"/>
        </w:rPr>
        <w:t xml:space="preserve"> z</w:t>
      </w:r>
      <w:r w:rsidR="007B7E81" w:rsidRPr="00B175FB">
        <w:rPr>
          <w:rFonts w:eastAsia="Times New Roman"/>
          <w:noProof/>
          <w:sz w:val="22"/>
        </w:rPr>
        <w:t>ejména v </w:t>
      </w:r>
      <w:r w:rsidR="00363411" w:rsidRPr="00B175FB">
        <w:rPr>
          <w:rFonts w:eastAsia="Times New Roman"/>
          <w:noProof/>
          <w:sz w:val="22"/>
        </w:rPr>
        <w:t>programov</w:t>
      </w:r>
      <w:r w:rsidR="007B7E81" w:rsidRPr="00B175FB">
        <w:rPr>
          <w:rFonts w:eastAsia="Times New Roman"/>
          <w:noProof/>
          <w:sz w:val="22"/>
        </w:rPr>
        <w:t>ém</w:t>
      </w:r>
      <w:r w:rsidR="00363411" w:rsidRPr="00B175FB">
        <w:rPr>
          <w:rFonts w:eastAsia="Times New Roman"/>
          <w:noProof/>
          <w:sz w:val="22"/>
        </w:rPr>
        <w:t xml:space="preserve"> období</w:t>
      </w:r>
      <w:r w:rsidR="00EE7533" w:rsidRPr="00B175FB">
        <w:rPr>
          <w:rFonts w:eastAsia="Times New Roman"/>
          <w:noProof/>
          <w:sz w:val="22"/>
        </w:rPr>
        <w:t xml:space="preserve"> 2014</w:t>
      </w:r>
      <w:r w:rsidR="00C26958">
        <w:rPr>
          <w:rFonts w:eastAsia="Times New Roman"/>
          <w:noProof/>
          <w:sz w:val="22"/>
        </w:rPr>
        <w:t>-</w:t>
      </w:r>
      <w:r w:rsidR="00EE7533" w:rsidRPr="00B175FB">
        <w:rPr>
          <w:rFonts w:eastAsia="Times New Roman"/>
          <w:noProof/>
          <w:sz w:val="22"/>
        </w:rPr>
        <w:t>2020</w:t>
      </w:r>
      <w:r w:rsidR="00363411" w:rsidRPr="00B175FB">
        <w:rPr>
          <w:rFonts w:eastAsia="Times New Roman"/>
          <w:noProof/>
          <w:sz w:val="22"/>
        </w:rPr>
        <w:t>, je stále ve většině</w:t>
      </w:r>
      <w:r w:rsidRPr="00B175FB">
        <w:rPr>
          <w:rFonts w:eastAsia="Times New Roman"/>
          <w:noProof/>
          <w:sz w:val="22"/>
        </w:rPr>
        <w:t xml:space="preserve"> krajů nedostatečně ukotvena</w:t>
      </w:r>
      <w:r w:rsidR="00E0640E" w:rsidRPr="00B175FB">
        <w:rPr>
          <w:rFonts w:eastAsia="Times New Roman"/>
          <w:noProof/>
          <w:sz w:val="22"/>
        </w:rPr>
        <w:t xml:space="preserve">. </w:t>
      </w:r>
      <w:r w:rsidR="008467D0" w:rsidRPr="00B175FB">
        <w:rPr>
          <w:rFonts w:eastAsia="Times New Roman"/>
          <w:sz w:val="22"/>
        </w:rPr>
        <w:t xml:space="preserve">V zemích a regionech, které patří k inovačním lídrům, představuje „měkká infrastruktura“ podporující nové nápady, sdílení a šíření znalostí či koncentraci talentů významné aktivum. Některé globální </w:t>
      </w:r>
      <w:r w:rsidR="0086553E" w:rsidRPr="00B175FB">
        <w:rPr>
          <w:rFonts w:eastAsia="Times New Roman"/>
          <w:sz w:val="22"/>
        </w:rPr>
        <w:t>společnosti</w:t>
      </w:r>
      <w:r w:rsidR="008467D0" w:rsidRPr="00B175FB">
        <w:rPr>
          <w:rFonts w:eastAsia="Times New Roman"/>
          <w:sz w:val="22"/>
        </w:rPr>
        <w:t xml:space="preserve"> cíleně umisťují do regionů s rozvinutou infrastrukturou tohoto typu své výzkumné, vývojové a další strategické kapacity</w:t>
      </w:r>
      <w:r w:rsidR="00534B55" w:rsidRPr="00B175FB">
        <w:rPr>
          <w:rFonts w:eastAsia="Times New Roman"/>
          <w:sz w:val="22"/>
        </w:rPr>
        <w:t xml:space="preserve">, které </w:t>
      </w:r>
      <w:r w:rsidR="008467D0" w:rsidRPr="00B175FB">
        <w:rPr>
          <w:rFonts w:eastAsia="Times New Roman"/>
          <w:sz w:val="22"/>
        </w:rPr>
        <w:t>dále stimulují (nejen) ekonomický rozvoj těchto regionů a zemí</w:t>
      </w:r>
      <w:r w:rsidR="002A42F5" w:rsidRPr="00B175FB">
        <w:rPr>
          <w:rFonts w:eastAsia="Times New Roman"/>
          <w:sz w:val="22"/>
        </w:rPr>
        <w:t>.</w:t>
      </w:r>
      <w:r w:rsidR="006331D5" w:rsidRPr="00B175FB">
        <w:rPr>
          <w:rStyle w:val="Znakapoznpodarou"/>
          <w:rFonts w:eastAsia="Times New Roman"/>
          <w:b w:val="0"/>
          <w:sz w:val="22"/>
        </w:rPr>
        <w:footnoteReference w:id="42"/>
      </w:r>
      <w:r w:rsidR="008467D0" w:rsidRPr="00B175FB">
        <w:rPr>
          <w:rFonts w:eastAsia="Times New Roman"/>
          <w:sz w:val="22"/>
        </w:rPr>
        <w:t xml:space="preserve"> V ČR je inovační politika pro většinu regionů zatím novou agendou, se kterou v uplynulých letech teprve </w:t>
      </w:r>
      <w:r w:rsidR="00E0640E" w:rsidRPr="00B175FB">
        <w:rPr>
          <w:rFonts w:eastAsia="Times New Roman"/>
          <w:sz w:val="22"/>
        </w:rPr>
        <w:t>začínaly</w:t>
      </w:r>
      <w:r w:rsidR="008467D0" w:rsidRPr="00B175FB">
        <w:rPr>
          <w:rFonts w:eastAsia="Times New Roman"/>
          <w:sz w:val="22"/>
        </w:rPr>
        <w:t>.</w:t>
      </w:r>
      <w:r w:rsidR="00A0255A" w:rsidRPr="0071632F">
        <w:rPr>
          <w:rStyle w:val="Znakapoznpodarou"/>
          <w:b w:val="0"/>
          <w:sz w:val="22"/>
        </w:rPr>
        <w:footnoteReference w:id="43"/>
      </w:r>
      <w:r w:rsidR="008467D0" w:rsidRPr="00B175FB">
        <w:rPr>
          <w:rFonts w:eastAsia="Times New Roman"/>
          <w:sz w:val="22"/>
        </w:rPr>
        <w:t xml:space="preserve"> Systematicky a</w:t>
      </w:r>
      <w:r w:rsidR="00D6696E" w:rsidRPr="00B175FB">
        <w:rPr>
          <w:rFonts w:eastAsia="Times New Roman"/>
          <w:sz w:val="22"/>
        </w:rPr>
        <w:t> </w:t>
      </w:r>
      <w:r w:rsidR="008467D0" w:rsidRPr="00B175FB">
        <w:rPr>
          <w:rFonts w:eastAsia="Times New Roman"/>
          <w:sz w:val="22"/>
        </w:rPr>
        <w:t xml:space="preserve">dlouhodobě se podpoře inovačního prostředí věnuje zejména Jihomoravský kraj, který </w:t>
      </w:r>
      <w:r w:rsidR="00E0640E" w:rsidRPr="00B175FB">
        <w:rPr>
          <w:rFonts w:eastAsia="Times New Roman"/>
          <w:sz w:val="22"/>
        </w:rPr>
        <w:t xml:space="preserve">slouží jako inspirace </w:t>
      </w:r>
      <w:r w:rsidR="008467D0" w:rsidRPr="00B175FB">
        <w:rPr>
          <w:rFonts w:eastAsia="Times New Roman"/>
          <w:sz w:val="22"/>
        </w:rPr>
        <w:t>pro ostatní regiony.</w:t>
      </w:r>
      <w:r w:rsidR="008467D0" w:rsidRPr="00B175FB">
        <w:rPr>
          <w:rFonts w:eastAsia="Times New Roman"/>
          <w:noProof/>
          <w:sz w:val="22"/>
        </w:rPr>
        <w:t xml:space="preserve"> </w:t>
      </w:r>
      <w:r w:rsidRPr="00B175FB">
        <w:rPr>
          <w:rFonts w:eastAsia="Times New Roman"/>
          <w:noProof/>
          <w:sz w:val="22"/>
        </w:rPr>
        <w:t>Dle analýz je třeba rozvoj</w:t>
      </w:r>
      <w:r w:rsidR="00E9173B" w:rsidRPr="00B175FB">
        <w:rPr>
          <w:rFonts w:eastAsia="Times New Roman"/>
          <w:noProof/>
          <w:sz w:val="22"/>
        </w:rPr>
        <w:t xml:space="preserve"> inovačních ekosystémů </w:t>
      </w:r>
      <w:r w:rsidRPr="00B175FB">
        <w:rPr>
          <w:rFonts w:eastAsia="Times New Roman"/>
          <w:noProof/>
          <w:sz w:val="22"/>
        </w:rPr>
        <w:t xml:space="preserve">na regionální úrovni </w:t>
      </w:r>
      <w:r w:rsidR="00E9173B" w:rsidRPr="00B175FB">
        <w:rPr>
          <w:rFonts w:eastAsia="Times New Roman"/>
          <w:noProof/>
          <w:sz w:val="22"/>
        </w:rPr>
        <w:t xml:space="preserve">nepřerušeně </w:t>
      </w:r>
      <w:r w:rsidR="00D6696E" w:rsidRPr="00B175FB">
        <w:rPr>
          <w:rFonts w:eastAsia="Times New Roman"/>
          <w:noProof/>
          <w:sz w:val="22"/>
        </w:rPr>
        <w:t> a </w:t>
      </w:r>
      <w:r w:rsidR="00E9173B" w:rsidRPr="00B175FB">
        <w:rPr>
          <w:rFonts w:eastAsia="Times New Roman"/>
          <w:noProof/>
          <w:sz w:val="22"/>
        </w:rPr>
        <w:t xml:space="preserve">systematicky podporovat prostřednictvím soustředěné inovační strategie </w:t>
      </w:r>
      <w:r w:rsidR="006D57B1" w:rsidRPr="00B175FB">
        <w:rPr>
          <w:rFonts w:eastAsia="Times New Roman"/>
          <w:noProof/>
          <w:sz w:val="22"/>
        </w:rPr>
        <w:t>dlouhodobě (</w:t>
      </w:r>
      <w:r w:rsidRPr="00B175FB">
        <w:rPr>
          <w:rFonts w:eastAsia="Times New Roman"/>
          <w:noProof/>
          <w:sz w:val="22"/>
        </w:rPr>
        <w:t>více</w:t>
      </w:r>
      <w:r w:rsidR="00854768" w:rsidRPr="00B175FB">
        <w:rPr>
          <w:rFonts w:eastAsia="Times New Roman"/>
          <w:noProof/>
          <w:sz w:val="22"/>
        </w:rPr>
        <w:t> </w:t>
      </w:r>
      <w:r w:rsidRPr="00B175FB">
        <w:rPr>
          <w:rFonts w:eastAsia="Times New Roman"/>
          <w:noProof/>
          <w:sz w:val="22"/>
        </w:rPr>
        <w:t>než</w:t>
      </w:r>
      <w:r w:rsidR="00854768" w:rsidRPr="00B175FB">
        <w:rPr>
          <w:rFonts w:eastAsia="Times New Roman"/>
          <w:noProof/>
          <w:sz w:val="22"/>
        </w:rPr>
        <w:t> </w:t>
      </w:r>
      <w:r w:rsidRPr="00B175FB">
        <w:rPr>
          <w:rFonts w:eastAsia="Times New Roman"/>
          <w:noProof/>
          <w:sz w:val="22"/>
        </w:rPr>
        <w:t>10 let</w:t>
      </w:r>
      <w:r w:rsidR="006D57B1" w:rsidRPr="00B175FB">
        <w:rPr>
          <w:rFonts w:eastAsia="Times New Roman"/>
          <w:noProof/>
          <w:sz w:val="22"/>
        </w:rPr>
        <w:t>)</w:t>
      </w:r>
      <w:r w:rsidRPr="00B175FB">
        <w:rPr>
          <w:rFonts w:eastAsia="Times New Roman"/>
          <w:noProof/>
          <w:sz w:val="22"/>
        </w:rPr>
        <w:t>, než</w:t>
      </w:r>
      <w:r w:rsidR="00285642" w:rsidRPr="00B175FB">
        <w:rPr>
          <w:rFonts w:eastAsia="Times New Roman"/>
          <w:noProof/>
          <w:sz w:val="22"/>
        </w:rPr>
        <w:t> </w:t>
      </w:r>
      <w:r w:rsidR="00A72872" w:rsidRPr="00B175FB">
        <w:rPr>
          <w:rFonts w:eastAsia="Times New Roman"/>
          <w:noProof/>
          <w:sz w:val="22"/>
        </w:rPr>
        <w:t>jsou regionální řídicí/podpůrné struktury a nástroje dostatečně stabilizované a mohou</w:t>
      </w:r>
      <w:r w:rsidR="008467D0" w:rsidRPr="00B175FB">
        <w:rPr>
          <w:rFonts w:eastAsia="Times New Roman"/>
          <w:noProof/>
          <w:sz w:val="22"/>
        </w:rPr>
        <w:t xml:space="preserve"> přinášet měřitelné výsledky</w:t>
      </w:r>
      <w:r w:rsidR="002A42F5" w:rsidRPr="00B175FB">
        <w:rPr>
          <w:rFonts w:eastAsia="Times New Roman"/>
          <w:noProof/>
          <w:sz w:val="22"/>
        </w:rPr>
        <w:t>.</w:t>
      </w:r>
      <w:r w:rsidR="00550CAF" w:rsidRPr="00B175FB">
        <w:rPr>
          <w:rStyle w:val="Znakapoznpodarou"/>
          <w:rFonts w:eastAsia="Times New Roman"/>
          <w:b w:val="0"/>
          <w:noProof/>
          <w:sz w:val="22"/>
        </w:rPr>
        <w:footnoteReference w:id="44"/>
      </w:r>
      <w:r w:rsidRPr="00B175FB">
        <w:rPr>
          <w:rFonts w:eastAsia="Times New Roman"/>
          <w:noProof/>
          <w:sz w:val="22"/>
        </w:rPr>
        <w:t xml:space="preserve"> </w:t>
      </w:r>
      <w:r w:rsidR="00A40F97">
        <w:rPr>
          <w:rFonts w:eastAsia="Times New Roman"/>
          <w:noProof/>
          <w:sz w:val="22"/>
        </w:rPr>
        <w:t>Výzkumná a inovační výkonnost jednotlivých krajů tak nadále vykazuje značné rozdíly.</w:t>
      </w:r>
      <w:r w:rsidR="00A40F97" w:rsidRPr="0071632F">
        <w:rPr>
          <w:rStyle w:val="Znakapoznpodarou"/>
          <w:b w:val="0"/>
          <w:sz w:val="22"/>
        </w:rPr>
        <w:footnoteReference w:id="45"/>
      </w:r>
    </w:p>
    <w:p w:rsidR="0017546D" w:rsidRPr="00B175FB" w:rsidRDefault="00F8705D" w:rsidP="0098347C">
      <w:pPr>
        <w:spacing w:line="276" w:lineRule="auto"/>
        <w:jc w:val="both"/>
        <w:rPr>
          <w:rFonts w:eastAsia="Times New Roman"/>
          <w:noProof/>
          <w:sz w:val="22"/>
        </w:rPr>
      </w:pPr>
      <w:r w:rsidRPr="00B175FB">
        <w:rPr>
          <w:rFonts w:eastAsia="Times New Roman"/>
          <w:noProof/>
          <w:sz w:val="22"/>
        </w:rPr>
        <w:t xml:space="preserve">Absence efektivních mechanismů </w:t>
      </w:r>
      <w:r w:rsidR="001D35B5" w:rsidRPr="00B175FB">
        <w:rPr>
          <w:rFonts w:eastAsia="Times New Roman"/>
          <w:noProof/>
          <w:sz w:val="22"/>
        </w:rPr>
        <w:t xml:space="preserve">a funkčních nástrojů </w:t>
      </w:r>
      <w:r w:rsidRPr="00B175FB">
        <w:rPr>
          <w:rFonts w:eastAsia="Times New Roman"/>
          <w:noProof/>
          <w:sz w:val="22"/>
        </w:rPr>
        <w:t>pro řízení a koordinaci realizace politiky VaVaI má</w:t>
      </w:r>
      <w:r w:rsidR="00E706B9" w:rsidRPr="00B175FB">
        <w:rPr>
          <w:rFonts w:eastAsia="Times New Roman"/>
          <w:noProof/>
          <w:sz w:val="22"/>
        </w:rPr>
        <w:t> </w:t>
      </w:r>
      <w:r w:rsidRPr="00B175FB">
        <w:rPr>
          <w:rFonts w:eastAsia="Times New Roman"/>
          <w:noProof/>
          <w:sz w:val="22"/>
        </w:rPr>
        <w:t xml:space="preserve">značný dopad na celý systém VaVaI. Proto je podpora strategického řízení této oblasti základní podmínkou pro rozvoj </w:t>
      </w:r>
      <w:r w:rsidR="006C79F9" w:rsidRPr="00B175FB">
        <w:rPr>
          <w:rFonts w:eastAsia="Times New Roman"/>
          <w:noProof/>
          <w:sz w:val="22"/>
        </w:rPr>
        <w:t>VaV</w:t>
      </w:r>
      <w:r w:rsidRPr="00B175FB">
        <w:rPr>
          <w:rFonts w:eastAsia="Times New Roman"/>
          <w:noProof/>
          <w:sz w:val="22"/>
        </w:rPr>
        <w:t xml:space="preserve"> v </w:t>
      </w:r>
      <w:r w:rsidR="006B0F12" w:rsidRPr="00B175FB">
        <w:rPr>
          <w:rFonts w:eastAsia="Times New Roman"/>
          <w:noProof/>
          <w:sz w:val="22"/>
        </w:rPr>
        <w:t>ČR</w:t>
      </w:r>
      <w:r w:rsidR="001F1EBB">
        <w:rPr>
          <w:rFonts w:eastAsia="Times New Roman"/>
          <w:noProof/>
          <w:sz w:val="22"/>
        </w:rPr>
        <w:t>.</w:t>
      </w:r>
      <w:r w:rsidR="0089353A" w:rsidRPr="001651D8">
        <w:rPr>
          <w:rStyle w:val="Znakapoznpodarou"/>
          <w:rFonts w:eastAsia="Times New Roman"/>
          <w:b w:val="0"/>
          <w:sz w:val="22"/>
        </w:rPr>
        <w:footnoteReference w:id="46"/>
      </w:r>
      <w:r w:rsidRPr="00B175FB">
        <w:rPr>
          <w:rFonts w:eastAsia="Times New Roman"/>
          <w:noProof/>
          <w:sz w:val="22"/>
        </w:rPr>
        <w:t xml:space="preserve"> </w:t>
      </w:r>
      <w:r w:rsidR="0067755F" w:rsidRPr="00B175FB">
        <w:rPr>
          <w:rFonts w:eastAsia="Times New Roman"/>
          <w:noProof/>
          <w:sz w:val="22"/>
        </w:rPr>
        <w:t>Významným nástrojem podpory VaVaI v </w:t>
      </w:r>
      <w:r w:rsidR="006B0F12" w:rsidRPr="00B175FB">
        <w:rPr>
          <w:rFonts w:eastAsia="Times New Roman"/>
          <w:noProof/>
          <w:sz w:val="22"/>
        </w:rPr>
        <w:t>ČR</w:t>
      </w:r>
      <w:r w:rsidR="0067755F" w:rsidRPr="00B175FB">
        <w:rPr>
          <w:rFonts w:eastAsia="Times New Roman"/>
          <w:noProof/>
          <w:sz w:val="22"/>
        </w:rPr>
        <w:t xml:space="preserve"> je</w:t>
      </w:r>
      <w:r w:rsidR="00550CAF" w:rsidRPr="00B175FB">
        <w:rPr>
          <w:rFonts w:eastAsia="Times New Roman"/>
          <w:noProof/>
          <w:sz w:val="22"/>
        </w:rPr>
        <w:t> </w:t>
      </w:r>
      <w:r w:rsidR="0067755F" w:rsidRPr="00B175FB">
        <w:rPr>
          <w:rFonts w:eastAsia="Times New Roman"/>
          <w:noProof/>
          <w:sz w:val="22"/>
        </w:rPr>
        <w:t>rovněž posílení mezinárodní vizibility a vědecko</w:t>
      </w:r>
      <w:r w:rsidR="00331FE8" w:rsidRPr="00B175FB">
        <w:rPr>
          <w:rFonts w:eastAsia="Times New Roman"/>
          <w:noProof/>
          <w:sz w:val="22"/>
        </w:rPr>
        <w:t>-</w:t>
      </w:r>
      <w:r w:rsidR="0067755F" w:rsidRPr="00B175FB">
        <w:rPr>
          <w:rFonts w:eastAsia="Times New Roman"/>
          <w:noProof/>
          <w:sz w:val="22"/>
        </w:rPr>
        <w:t>výzkumného marketingu, který je v současné době na</w:t>
      </w:r>
      <w:r w:rsidR="00550CAF" w:rsidRPr="00B175FB">
        <w:rPr>
          <w:rFonts w:eastAsia="Times New Roman"/>
          <w:noProof/>
          <w:sz w:val="22"/>
        </w:rPr>
        <w:t> </w:t>
      </w:r>
      <w:r w:rsidR="0067755F" w:rsidRPr="00B175FB">
        <w:rPr>
          <w:rFonts w:eastAsia="Times New Roman"/>
          <w:noProof/>
          <w:sz w:val="22"/>
        </w:rPr>
        <w:t>nedostatečné úrovni.</w:t>
      </w:r>
      <w:r w:rsidR="00E41A1F" w:rsidRPr="008009B1">
        <w:rPr>
          <w:rStyle w:val="Znakapoznpodarou"/>
          <w:rFonts w:eastAsia="Times New Roman"/>
          <w:b w:val="0"/>
          <w:noProof/>
          <w:sz w:val="22"/>
        </w:rPr>
        <w:footnoteReference w:id="47"/>
      </w:r>
      <w:r w:rsidR="0067755F" w:rsidRPr="00B175FB">
        <w:rPr>
          <w:rFonts w:eastAsia="Times New Roman"/>
          <w:noProof/>
          <w:sz w:val="22"/>
        </w:rPr>
        <w:t xml:space="preserve"> </w:t>
      </w:r>
    </w:p>
    <w:p w:rsidR="00363411" w:rsidRPr="00B175FB" w:rsidRDefault="00363411" w:rsidP="0098347C">
      <w:pPr>
        <w:spacing w:line="276" w:lineRule="auto"/>
        <w:jc w:val="both"/>
        <w:rPr>
          <w:rFonts w:eastAsia="Times New Roman"/>
          <w:noProof/>
          <w:sz w:val="22"/>
        </w:rPr>
      </w:pPr>
      <w:r w:rsidRPr="00B175FB">
        <w:rPr>
          <w:rFonts w:eastAsia="Times New Roman"/>
          <w:noProof/>
          <w:sz w:val="22"/>
          <w:lang w:eastAsia="cs-CZ"/>
        </w:rPr>
        <mc:AlternateContent>
          <mc:Choice Requires="wps">
            <w:drawing>
              <wp:inline distT="0" distB="0" distL="0" distR="0" wp14:anchorId="7CFE3981" wp14:editId="34C5D62D">
                <wp:extent cx="6120130" cy="3498850"/>
                <wp:effectExtent l="0" t="0" r="13970" b="24765"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498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05FC" w:rsidRPr="00C8737F" w:rsidRDefault="00E505FC" w:rsidP="00C8737F">
                            <w:pPr>
                              <w:spacing w:before="56" w:after="56" w:line="276" w:lineRule="auto"/>
                              <w:jc w:val="both"/>
                              <w:rPr>
                                <w:rFonts w:eastAsia="Times New Roman"/>
                                <w:b/>
                                <w:sz w:val="22"/>
                              </w:rPr>
                            </w:pPr>
                            <w:r w:rsidRPr="00C8737F">
                              <w:rPr>
                                <w:rFonts w:eastAsia="Times New Roman"/>
                                <w:b/>
                                <w:sz w:val="22"/>
                              </w:rPr>
                              <w:t>OP JAK přispěje k vytvoření funkčního a koordinovaného systému řízení VaVaI a posílí image České republiky</w:t>
                            </w:r>
                            <w:r>
                              <w:rPr>
                                <w:rFonts w:asciiTheme="minorHAnsi" w:eastAsia="Times New Roman" w:hAnsiTheme="minorHAnsi" w:cstheme="minorHAnsi"/>
                                <w:b/>
                                <w:sz w:val="22"/>
                              </w:rPr>
                              <w:t xml:space="preserve"> </w:t>
                            </w:r>
                            <w:r w:rsidRPr="00212B8E">
                              <w:rPr>
                                <w:rFonts w:eastAsia="Times New Roman"/>
                                <w:b/>
                                <w:sz w:val="22"/>
                              </w:rPr>
                              <w:t>jako země s vysokým inovačním potenciálem</w:t>
                            </w:r>
                            <w:r w:rsidRPr="00C8737F">
                              <w:rPr>
                                <w:rFonts w:eastAsia="Times New Roman"/>
                                <w:b/>
                                <w:sz w:val="22"/>
                              </w:rPr>
                              <w:t xml:space="preserve">. </w:t>
                            </w:r>
                          </w:p>
                          <w:p w:rsidR="00E505FC" w:rsidRPr="00C8737F" w:rsidRDefault="00E505FC" w:rsidP="006A2F6A">
                            <w:pPr>
                              <w:pStyle w:val="Odstavecseseznamem"/>
                              <w:numPr>
                                <w:ilvl w:val="0"/>
                                <w:numId w:val="55"/>
                              </w:numPr>
                              <w:spacing w:before="56" w:after="56" w:line="276" w:lineRule="auto"/>
                              <w:jc w:val="both"/>
                              <w:rPr>
                                <w:rFonts w:eastAsia="Times New Roman" w:cs="Times New Roman"/>
                                <w:sz w:val="22"/>
                              </w:rPr>
                            </w:pPr>
                            <w:r w:rsidRPr="00C8737F"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Posílení strategické inteligence a kompetencí pro řízení politiky VaVaI </w:t>
                            </w:r>
                            <w:r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a podpory inovačních ekosystémů </w:t>
                            </w:r>
                            <w:r w:rsidRPr="00C8737F"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na </w:t>
                            </w:r>
                            <w:r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národní a </w:t>
                            </w:r>
                            <w:r w:rsidRPr="00C8737F"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regionální úrovni. </w:t>
                            </w:r>
                          </w:p>
                          <w:p w:rsidR="00E505FC" w:rsidRPr="00C8737F" w:rsidRDefault="00E505FC" w:rsidP="006A2F6A">
                            <w:pPr>
                              <w:pStyle w:val="Odstavecseseznamem"/>
                              <w:numPr>
                                <w:ilvl w:val="0"/>
                                <w:numId w:val="55"/>
                              </w:numPr>
                              <w:spacing w:before="56" w:after="56" w:line="276" w:lineRule="auto"/>
                              <w:jc w:val="both"/>
                              <w:rPr>
                                <w:rFonts w:eastAsia="Times New Roman" w:cs="Times New Roman"/>
                                <w:sz w:val="22"/>
                              </w:rPr>
                            </w:pPr>
                            <w:r w:rsidRPr="00C8737F"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Vybudování prostředí a kapacit pro implementaci </w:t>
                            </w:r>
                            <w:r>
                              <w:rPr>
                                <w:rFonts w:eastAsia="Times New Roman" w:cs="Times New Roman"/>
                                <w:sz w:val="22"/>
                              </w:rPr>
                              <w:t>O</w:t>
                            </w:r>
                            <w:r w:rsidRPr="00C8737F"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pen </w:t>
                            </w:r>
                            <w:r>
                              <w:rPr>
                                <w:rFonts w:eastAsia="Times New Roman" w:cs="Times New Roman"/>
                                <w:sz w:val="22"/>
                              </w:rPr>
                              <w:t>S</w:t>
                            </w:r>
                            <w:r w:rsidRPr="00C8737F"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cience </w:t>
                            </w:r>
                            <w:r w:rsidRPr="009E3DB4"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zahrnující </w:t>
                            </w:r>
                            <w:r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zejména </w:t>
                            </w:r>
                            <w:r w:rsidRPr="009E3DB4">
                              <w:rPr>
                                <w:rFonts w:eastAsia="Times New Roman" w:cs="Times New Roman"/>
                                <w:sz w:val="22"/>
                              </w:rPr>
                              <w:t>přechod na nový model zpřístupňování výsledků VaVaI v režimu Open Access,</w:t>
                            </w:r>
                            <w:r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 </w:t>
                            </w:r>
                            <w:r w:rsidRPr="009E3DB4">
                              <w:rPr>
                                <w:rFonts w:eastAsia="Times New Roman" w:cs="Times New Roman"/>
                                <w:sz w:val="22"/>
                              </w:rPr>
                              <w:t>implementaci</w:t>
                            </w:r>
                            <w:r w:rsidRPr="00C8737F"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 iniciativy EOSC</w:t>
                            </w:r>
                            <w:r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/>
                                <w:noProof/>
                                <w:sz w:val="22"/>
                              </w:rPr>
                              <w:t xml:space="preserve">a zpřístupňování výzkumných dat </w:t>
                            </w:r>
                            <w:r w:rsidRPr="00595D8C">
                              <w:rPr>
                                <w:rFonts w:eastAsia="Times New Roman"/>
                                <w:noProof/>
                                <w:sz w:val="22"/>
                              </w:rPr>
                              <w:t>v souladu s principy FA</w:t>
                            </w:r>
                            <w:r>
                              <w:rPr>
                                <w:rFonts w:eastAsia="Times New Roman"/>
                                <w:noProof/>
                                <w:sz w:val="22"/>
                              </w:rPr>
                              <w:t>IR</w:t>
                            </w:r>
                            <w:r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 </w:t>
                            </w:r>
                            <w:r w:rsidRPr="009E3DB4"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a systémové </w:t>
                            </w:r>
                            <w:r>
                              <w:rPr>
                                <w:rFonts w:eastAsia="Times New Roman" w:cs="Times New Roman"/>
                                <w:sz w:val="22"/>
                              </w:rPr>
                              <w:t>řešení na národní úrovni pro zajištění propojení dílčích informačních, bibliometrických, knihovnických a analytických zdrojů a systémů využitelných ve VaVaI.</w:t>
                            </w:r>
                          </w:p>
                          <w:p w:rsidR="00E505FC" w:rsidRPr="00C8737F" w:rsidRDefault="00E505FC" w:rsidP="006A2F6A">
                            <w:pPr>
                              <w:pStyle w:val="Odstavecseseznamem"/>
                              <w:numPr>
                                <w:ilvl w:val="0"/>
                                <w:numId w:val="55"/>
                              </w:numPr>
                              <w:spacing w:before="64" w:after="64" w:line="276" w:lineRule="auto"/>
                              <w:jc w:val="both"/>
                              <w:rPr>
                                <w:rFonts w:eastAsia="Times New Roman" w:cs="Times New Roman"/>
                                <w:sz w:val="22"/>
                              </w:rPr>
                            </w:pPr>
                            <w:r w:rsidRPr="00C8737F"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Posílení </w:t>
                            </w:r>
                            <w:r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domácí i zahraniční </w:t>
                            </w:r>
                            <w:r w:rsidRPr="00C8737F">
                              <w:rPr>
                                <w:rFonts w:eastAsia="Times New Roman" w:cs="Times New Roman"/>
                                <w:sz w:val="22"/>
                              </w:rPr>
                              <w:t>image České republiky jako vysoce inovativní země.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CFE3981" id="_x0000_s1029" type="#_x0000_t202" style="width:481.9pt;height:27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">
                <v:textbox style="mso-fit-shape-to-text:t">
                  <w:txbxContent>
                    <w:p w:rsidR="00E505FC" w:rsidRPr="00C8737F" w:rsidRDefault="00E505FC" w:rsidP="00C8737F">
                      <w:pPr>
                        <w:spacing w:before="56" w:after="56" w:line="276" w:lineRule="auto"/>
                        <w:jc w:val="both"/>
                        <w:rPr>
                          <w:rFonts w:eastAsia="Times New Roman"/>
                          <w:b/>
                          <w:sz w:val="22"/>
                        </w:rPr>
                      </w:pPr>
                      <w:r w:rsidRPr="00C8737F">
                        <w:rPr>
                          <w:rFonts w:eastAsia="Times New Roman"/>
                          <w:b/>
                          <w:sz w:val="22"/>
                        </w:rPr>
                        <w:t>OP JAK přispěje k vytvoření funkčního a koordinovaného systému řízení VaVaI a posílí image České republiky</w:t>
                      </w:r>
                      <w:r>
                        <w:rPr>
                          <w:rFonts w:asciiTheme="minorHAnsi" w:eastAsia="Times New Roman" w:hAnsiTheme="minorHAnsi" w:cstheme="minorHAnsi"/>
                          <w:b/>
                          <w:sz w:val="22"/>
                        </w:rPr>
                        <w:t xml:space="preserve"> </w:t>
                      </w:r>
                      <w:r w:rsidRPr="00212B8E">
                        <w:rPr>
                          <w:rFonts w:eastAsia="Times New Roman"/>
                          <w:b/>
                          <w:sz w:val="22"/>
                        </w:rPr>
                        <w:t>jako země s vysokým inovačním potenciálem</w:t>
                      </w:r>
                      <w:r w:rsidRPr="00C8737F">
                        <w:rPr>
                          <w:rFonts w:eastAsia="Times New Roman"/>
                          <w:b/>
                          <w:sz w:val="22"/>
                        </w:rPr>
                        <w:t xml:space="preserve">. </w:t>
                      </w:r>
                    </w:p>
                    <w:p w:rsidR="00E505FC" w:rsidRPr="00C8737F" w:rsidRDefault="00E505FC" w:rsidP="006A2F6A">
                      <w:pPr>
                        <w:pStyle w:val="Odstavecseseznamem"/>
                        <w:numPr>
                          <w:ilvl w:val="0"/>
                          <w:numId w:val="55"/>
                        </w:numPr>
                        <w:spacing w:before="56" w:after="56" w:line="276" w:lineRule="auto"/>
                        <w:jc w:val="both"/>
                        <w:rPr>
                          <w:rFonts w:eastAsia="Times New Roman" w:cs="Times New Roman"/>
                          <w:sz w:val="22"/>
                        </w:rPr>
                      </w:pPr>
                      <w:r w:rsidRPr="00C8737F">
                        <w:rPr>
                          <w:rFonts w:eastAsia="Times New Roman" w:cs="Times New Roman"/>
                          <w:sz w:val="22"/>
                        </w:rPr>
                        <w:t xml:space="preserve">Posílení strategické inteligence a kompetencí pro řízení politiky VaVaI </w:t>
                      </w:r>
                      <w:r>
                        <w:rPr>
                          <w:rFonts w:eastAsia="Times New Roman" w:cs="Times New Roman"/>
                          <w:sz w:val="22"/>
                        </w:rPr>
                        <w:t xml:space="preserve">a podpory inovačních ekosystémů </w:t>
                      </w:r>
                      <w:r w:rsidRPr="00C8737F">
                        <w:rPr>
                          <w:rFonts w:eastAsia="Times New Roman" w:cs="Times New Roman"/>
                          <w:sz w:val="22"/>
                        </w:rPr>
                        <w:t xml:space="preserve">na </w:t>
                      </w:r>
                      <w:r>
                        <w:rPr>
                          <w:rFonts w:eastAsia="Times New Roman" w:cs="Times New Roman"/>
                          <w:sz w:val="22"/>
                        </w:rPr>
                        <w:t xml:space="preserve">národní a </w:t>
                      </w:r>
                      <w:r w:rsidRPr="00C8737F">
                        <w:rPr>
                          <w:rFonts w:eastAsia="Times New Roman" w:cs="Times New Roman"/>
                          <w:sz w:val="22"/>
                        </w:rPr>
                        <w:t xml:space="preserve">regionální úrovni. </w:t>
                      </w:r>
                    </w:p>
                    <w:p w:rsidR="00E505FC" w:rsidRPr="00C8737F" w:rsidRDefault="00E505FC" w:rsidP="006A2F6A">
                      <w:pPr>
                        <w:pStyle w:val="Odstavecseseznamem"/>
                        <w:numPr>
                          <w:ilvl w:val="0"/>
                          <w:numId w:val="55"/>
                        </w:numPr>
                        <w:spacing w:before="56" w:after="56" w:line="276" w:lineRule="auto"/>
                        <w:jc w:val="both"/>
                        <w:rPr>
                          <w:rFonts w:eastAsia="Times New Roman" w:cs="Times New Roman"/>
                          <w:sz w:val="22"/>
                        </w:rPr>
                      </w:pPr>
                      <w:r w:rsidRPr="00C8737F">
                        <w:rPr>
                          <w:rFonts w:eastAsia="Times New Roman" w:cs="Times New Roman"/>
                          <w:sz w:val="22"/>
                        </w:rPr>
                        <w:t xml:space="preserve">Vybudování prostředí a kapacit pro implementaci </w:t>
                      </w:r>
                      <w:r>
                        <w:rPr>
                          <w:rFonts w:eastAsia="Times New Roman" w:cs="Times New Roman"/>
                          <w:sz w:val="22"/>
                        </w:rPr>
                        <w:t>O</w:t>
                      </w:r>
                      <w:r w:rsidRPr="00C8737F">
                        <w:rPr>
                          <w:rFonts w:eastAsia="Times New Roman" w:cs="Times New Roman"/>
                          <w:sz w:val="22"/>
                        </w:rPr>
                        <w:t xml:space="preserve">pen </w:t>
                      </w:r>
                      <w:r>
                        <w:rPr>
                          <w:rFonts w:eastAsia="Times New Roman" w:cs="Times New Roman"/>
                          <w:sz w:val="22"/>
                        </w:rPr>
                        <w:t>S</w:t>
                      </w:r>
                      <w:r w:rsidRPr="00C8737F">
                        <w:rPr>
                          <w:rFonts w:eastAsia="Times New Roman" w:cs="Times New Roman"/>
                          <w:sz w:val="22"/>
                        </w:rPr>
                        <w:t xml:space="preserve">cience </w:t>
                      </w:r>
                      <w:r w:rsidRPr="009E3DB4">
                        <w:rPr>
                          <w:rFonts w:eastAsia="Times New Roman" w:cs="Times New Roman"/>
                          <w:sz w:val="22"/>
                        </w:rPr>
                        <w:t xml:space="preserve">zahrnující </w:t>
                      </w:r>
                      <w:r>
                        <w:rPr>
                          <w:rFonts w:eastAsia="Times New Roman" w:cs="Times New Roman"/>
                          <w:sz w:val="22"/>
                        </w:rPr>
                        <w:t xml:space="preserve">zejména </w:t>
                      </w:r>
                      <w:r w:rsidRPr="009E3DB4">
                        <w:rPr>
                          <w:rFonts w:eastAsia="Times New Roman" w:cs="Times New Roman"/>
                          <w:sz w:val="22"/>
                        </w:rPr>
                        <w:t>přechod na nový model zpřístupňování výsledků VaVaI v režimu Open Access,</w:t>
                      </w:r>
                      <w:r>
                        <w:rPr>
                          <w:rFonts w:eastAsia="Times New Roman" w:cs="Times New Roman"/>
                          <w:sz w:val="22"/>
                        </w:rPr>
                        <w:t xml:space="preserve"> </w:t>
                      </w:r>
                      <w:r w:rsidRPr="009E3DB4">
                        <w:rPr>
                          <w:rFonts w:eastAsia="Times New Roman" w:cs="Times New Roman"/>
                          <w:sz w:val="22"/>
                        </w:rPr>
                        <w:t>implementaci</w:t>
                      </w:r>
                      <w:r w:rsidRPr="00C8737F">
                        <w:rPr>
                          <w:rFonts w:eastAsia="Times New Roman" w:cs="Times New Roman"/>
                          <w:sz w:val="22"/>
                        </w:rPr>
                        <w:t xml:space="preserve"> iniciativy EOSC</w:t>
                      </w:r>
                      <w:r>
                        <w:rPr>
                          <w:rFonts w:eastAsia="Times New Roman" w:cs="Times New Roman"/>
                          <w:sz w:val="22"/>
                        </w:rPr>
                        <w:t xml:space="preserve"> </w:t>
                      </w:r>
                      <w:r>
                        <w:rPr>
                          <w:rFonts w:eastAsia="Times New Roman"/>
                          <w:noProof/>
                          <w:sz w:val="22"/>
                        </w:rPr>
                        <w:t xml:space="preserve">a zpřístupňování výzkumných dat </w:t>
                      </w:r>
                      <w:r w:rsidRPr="00595D8C">
                        <w:rPr>
                          <w:rFonts w:eastAsia="Times New Roman"/>
                          <w:noProof/>
                          <w:sz w:val="22"/>
                        </w:rPr>
                        <w:t>v souladu s principy FA</w:t>
                      </w:r>
                      <w:r>
                        <w:rPr>
                          <w:rFonts w:eastAsia="Times New Roman"/>
                          <w:noProof/>
                          <w:sz w:val="22"/>
                        </w:rPr>
                        <w:t>IR</w:t>
                      </w:r>
                      <w:r>
                        <w:rPr>
                          <w:rFonts w:eastAsia="Times New Roman" w:cs="Times New Roman"/>
                          <w:sz w:val="22"/>
                        </w:rPr>
                        <w:t xml:space="preserve"> </w:t>
                      </w:r>
                      <w:r w:rsidRPr="009E3DB4">
                        <w:rPr>
                          <w:rFonts w:eastAsia="Times New Roman" w:cs="Times New Roman"/>
                          <w:sz w:val="22"/>
                        </w:rPr>
                        <w:t xml:space="preserve">a systémové </w:t>
                      </w:r>
                      <w:r>
                        <w:rPr>
                          <w:rFonts w:eastAsia="Times New Roman" w:cs="Times New Roman"/>
                          <w:sz w:val="22"/>
                        </w:rPr>
                        <w:t>řešení na národní úrovni pro zajištění propojení dílčích informačních, bibliometrických, knihovnických a analytických zdrojů a systémů využitelných ve VaVaI.</w:t>
                      </w:r>
                    </w:p>
                    <w:p w:rsidR="00E505FC" w:rsidRPr="00C8737F" w:rsidRDefault="00E505FC" w:rsidP="006A2F6A">
                      <w:pPr>
                        <w:pStyle w:val="Odstavecseseznamem"/>
                        <w:numPr>
                          <w:ilvl w:val="0"/>
                          <w:numId w:val="55"/>
                        </w:numPr>
                        <w:spacing w:before="64" w:after="64" w:line="276" w:lineRule="auto"/>
                        <w:jc w:val="both"/>
                        <w:rPr>
                          <w:rFonts w:eastAsia="Times New Roman" w:cs="Times New Roman"/>
                          <w:sz w:val="22"/>
                        </w:rPr>
                      </w:pPr>
                      <w:r w:rsidRPr="00C8737F">
                        <w:rPr>
                          <w:rFonts w:eastAsia="Times New Roman" w:cs="Times New Roman"/>
                          <w:sz w:val="22"/>
                        </w:rPr>
                        <w:t xml:space="preserve">Posílení </w:t>
                      </w:r>
                      <w:r>
                        <w:rPr>
                          <w:rFonts w:eastAsia="Times New Roman" w:cs="Times New Roman"/>
                          <w:sz w:val="22"/>
                        </w:rPr>
                        <w:t xml:space="preserve">domácí i zahraniční </w:t>
                      </w:r>
                      <w:r w:rsidRPr="00C8737F">
                        <w:rPr>
                          <w:rFonts w:eastAsia="Times New Roman" w:cs="Times New Roman"/>
                          <w:sz w:val="22"/>
                        </w:rPr>
                        <w:t>image České republiky jako vysoce inovativní země.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83BEB" w:rsidRPr="00B175FB" w:rsidRDefault="00F11DF2" w:rsidP="006A2F6A">
      <w:pPr>
        <w:pStyle w:val="Nadpis3"/>
        <w:rPr>
          <w:b/>
          <w:color w:val="1F4E79" w:themeColor="accent5" w:themeShade="80"/>
          <w:lang w:val="cs-CZ" w:eastAsia="cs-CZ" w:bidi="cs-CZ"/>
        </w:rPr>
      </w:pPr>
      <w:bookmarkStart w:id="41" w:name="_Toc33000810"/>
      <w:bookmarkStart w:id="42" w:name="_Toc33000254"/>
      <w:bookmarkStart w:id="43" w:name="_Toc66476035"/>
      <w:bookmarkStart w:id="44" w:name="_Toc68610993"/>
      <w:r w:rsidRPr="00B175FB">
        <w:rPr>
          <w:b/>
          <w:color w:val="1F4E79" w:themeColor="accent5" w:themeShade="80"/>
          <w:lang w:val="cs-CZ" w:eastAsia="cs-CZ" w:bidi="cs-CZ"/>
        </w:rPr>
        <w:t xml:space="preserve">Přetrvávající </w:t>
      </w:r>
      <w:r w:rsidR="008C6B71" w:rsidRPr="00B175FB">
        <w:rPr>
          <w:b/>
          <w:color w:val="1F4E79" w:themeColor="accent5" w:themeShade="80"/>
          <w:lang w:val="cs-CZ" w:eastAsia="cs-CZ" w:bidi="cs-CZ"/>
        </w:rPr>
        <w:t>nedostatečné</w:t>
      </w:r>
      <w:r w:rsidR="0084469D" w:rsidRPr="00B175FB">
        <w:rPr>
          <w:b/>
          <w:color w:val="1F4E79" w:themeColor="accent5" w:themeShade="80"/>
          <w:lang w:val="cs-CZ" w:eastAsia="cs-CZ" w:bidi="cs-CZ"/>
        </w:rPr>
        <w:t xml:space="preserve"> kapacit</w:t>
      </w:r>
      <w:r w:rsidR="008C6B71" w:rsidRPr="00B175FB">
        <w:rPr>
          <w:b/>
          <w:color w:val="1F4E79" w:themeColor="accent5" w:themeShade="80"/>
          <w:lang w:val="cs-CZ" w:eastAsia="cs-CZ" w:bidi="cs-CZ"/>
        </w:rPr>
        <w:t>y</w:t>
      </w:r>
      <w:r w:rsidR="0084469D" w:rsidRPr="00B175FB">
        <w:rPr>
          <w:b/>
          <w:color w:val="1F4E79" w:themeColor="accent5" w:themeShade="80"/>
          <w:lang w:val="cs-CZ" w:eastAsia="cs-CZ" w:bidi="cs-CZ"/>
        </w:rPr>
        <w:t xml:space="preserve"> pro </w:t>
      </w:r>
      <w:bookmarkEnd w:id="41"/>
      <w:bookmarkEnd w:id="42"/>
      <w:r w:rsidR="00173112">
        <w:rPr>
          <w:b/>
          <w:color w:val="1F4E79" w:themeColor="accent5" w:themeShade="80"/>
          <w:lang w:val="cs-CZ" w:eastAsia="cs-CZ" w:bidi="cs-CZ"/>
        </w:rPr>
        <w:t>špičkový výzkum s aplikačním potenciálem</w:t>
      </w:r>
      <w:bookmarkEnd w:id="43"/>
      <w:bookmarkEnd w:id="44"/>
    </w:p>
    <w:p w:rsidR="00327B2E" w:rsidRPr="00B175FB" w:rsidRDefault="00F13FBC" w:rsidP="00F13FBC">
      <w:pPr>
        <w:spacing w:line="276" w:lineRule="auto"/>
        <w:jc w:val="both"/>
        <w:rPr>
          <w:rFonts w:eastAsia="Times New Roman"/>
          <w:noProof/>
          <w:sz w:val="22"/>
        </w:rPr>
      </w:pPr>
      <w:r w:rsidRPr="00B175FB">
        <w:rPr>
          <w:rFonts w:eastAsia="Times New Roman"/>
          <w:noProof/>
          <w:sz w:val="22"/>
        </w:rPr>
        <w:t xml:space="preserve">Výzkumný systém v </w:t>
      </w:r>
      <w:r w:rsidR="006B0F12" w:rsidRPr="00B175FB">
        <w:rPr>
          <w:rFonts w:eastAsia="Times New Roman"/>
          <w:noProof/>
          <w:sz w:val="22"/>
        </w:rPr>
        <w:t>ČR</w:t>
      </w:r>
      <w:r w:rsidRPr="00B175FB">
        <w:rPr>
          <w:rFonts w:eastAsia="Times New Roman"/>
          <w:noProof/>
          <w:sz w:val="22"/>
        </w:rPr>
        <w:t xml:space="preserve"> zůstává stále poměrně uzavřený</w:t>
      </w:r>
      <w:r w:rsidR="001E6809" w:rsidRPr="00B175FB">
        <w:rPr>
          <w:rFonts w:eastAsia="Times New Roman"/>
          <w:noProof/>
          <w:sz w:val="22"/>
        </w:rPr>
        <w:t>.</w:t>
      </w:r>
      <w:r w:rsidR="00A67ED7" w:rsidRPr="00B175FB">
        <w:rPr>
          <w:rStyle w:val="Znakapoznpodarou"/>
          <w:rFonts w:eastAsia="Times New Roman"/>
          <w:b w:val="0"/>
          <w:noProof/>
          <w:sz w:val="22"/>
        </w:rPr>
        <w:footnoteReference w:id="48"/>
      </w:r>
      <w:r w:rsidRPr="00B175FB">
        <w:rPr>
          <w:rFonts w:eastAsia="Times New Roman"/>
          <w:noProof/>
          <w:sz w:val="22"/>
        </w:rPr>
        <w:t xml:space="preserve"> Zapojení výzkumných týmů českých </w:t>
      </w:r>
      <w:r w:rsidR="005F1E03" w:rsidRPr="00B175FB">
        <w:rPr>
          <w:rFonts w:eastAsia="Times New Roman"/>
          <w:noProof/>
          <w:sz w:val="22"/>
        </w:rPr>
        <w:t>VO</w:t>
      </w:r>
      <w:r w:rsidR="00DC2194" w:rsidRPr="00B175FB">
        <w:rPr>
          <w:rFonts w:eastAsia="Times New Roman"/>
          <w:noProof/>
          <w:sz w:val="22"/>
        </w:rPr>
        <w:t xml:space="preserve"> do </w:t>
      </w:r>
      <w:r w:rsidRPr="00B175FB">
        <w:rPr>
          <w:rFonts w:eastAsia="Times New Roman"/>
          <w:noProof/>
          <w:sz w:val="22"/>
        </w:rPr>
        <w:t xml:space="preserve">mezinárodní výzkumné spolupráce je výrazně menší, než je tomu u zemí, </w:t>
      </w:r>
      <w:r w:rsidR="00DC2194" w:rsidRPr="00B175FB">
        <w:rPr>
          <w:rFonts w:eastAsia="Times New Roman"/>
          <w:noProof/>
          <w:sz w:val="22"/>
        </w:rPr>
        <w:t>které jsou označovány jako tzv. </w:t>
      </w:r>
      <w:r w:rsidRPr="00B175FB">
        <w:rPr>
          <w:rFonts w:eastAsia="Times New Roman"/>
          <w:noProof/>
          <w:sz w:val="22"/>
        </w:rPr>
        <w:t xml:space="preserve">inovative leaders, tedy zemí, které jsou v oblasti VaVaI na špičkové úrovni. </w:t>
      </w:r>
      <w:r w:rsidR="009178C3" w:rsidRPr="00B175FB">
        <w:rPr>
          <w:rFonts w:eastAsia="Times New Roman"/>
          <w:noProof/>
          <w:sz w:val="22"/>
        </w:rPr>
        <w:t>Podíl</w:t>
      </w:r>
      <w:r w:rsidR="00E706B9" w:rsidRPr="00B175FB">
        <w:rPr>
          <w:rFonts w:eastAsia="Times New Roman"/>
          <w:noProof/>
          <w:sz w:val="22"/>
        </w:rPr>
        <w:t> </w:t>
      </w:r>
      <w:r w:rsidR="009178C3" w:rsidRPr="00B175FB">
        <w:rPr>
          <w:rFonts w:eastAsia="Times New Roman"/>
          <w:noProof/>
          <w:sz w:val="22"/>
        </w:rPr>
        <w:t>výzkumníků ze</w:t>
      </w:r>
      <w:r w:rsidR="00854768" w:rsidRPr="00B175FB">
        <w:rPr>
          <w:rFonts w:eastAsia="Times New Roman"/>
          <w:noProof/>
          <w:sz w:val="22"/>
        </w:rPr>
        <w:t> </w:t>
      </w:r>
      <w:r w:rsidR="009178C3" w:rsidRPr="00B175FB">
        <w:rPr>
          <w:rFonts w:eastAsia="Times New Roman"/>
          <w:noProof/>
          <w:sz w:val="22"/>
        </w:rPr>
        <w:t>zahraničí v českých veřejných výzkumných instituc</w:t>
      </w:r>
      <w:r w:rsidR="001E48CE" w:rsidRPr="00B175FB">
        <w:rPr>
          <w:rFonts w:eastAsia="Times New Roman"/>
          <w:noProof/>
          <w:sz w:val="22"/>
        </w:rPr>
        <w:t xml:space="preserve">ích se dlouhodobě pohybuje </w:t>
      </w:r>
      <w:r w:rsidR="008334F2" w:rsidRPr="00B175FB">
        <w:rPr>
          <w:rFonts w:eastAsia="Times New Roman"/>
          <w:noProof/>
          <w:sz w:val="22"/>
        </w:rPr>
        <w:t xml:space="preserve">pouze </w:t>
      </w:r>
      <w:r w:rsidR="001E48CE" w:rsidRPr="00B175FB">
        <w:rPr>
          <w:rFonts w:eastAsia="Times New Roman"/>
          <w:noProof/>
          <w:sz w:val="22"/>
        </w:rPr>
        <w:t>okolo</w:t>
      </w:r>
      <w:r w:rsidR="00E706B9" w:rsidRPr="00B175FB">
        <w:rPr>
          <w:rFonts w:eastAsia="Times New Roman"/>
          <w:noProof/>
          <w:sz w:val="22"/>
        </w:rPr>
        <w:t> </w:t>
      </w:r>
      <w:r w:rsidR="009178C3" w:rsidRPr="00B175FB">
        <w:rPr>
          <w:rFonts w:eastAsia="Times New Roman"/>
          <w:noProof/>
          <w:sz w:val="22"/>
        </w:rPr>
        <w:t>10</w:t>
      </w:r>
      <w:r w:rsidR="006A67B9" w:rsidRPr="00B175FB">
        <w:rPr>
          <w:rFonts w:eastAsia="Times New Roman"/>
          <w:noProof/>
          <w:sz w:val="22"/>
        </w:rPr>
        <w:t>-1</w:t>
      </w:r>
      <w:r w:rsidR="004830E3">
        <w:rPr>
          <w:rFonts w:eastAsia="Times New Roman"/>
          <w:noProof/>
          <w:sz w:val="22"/>
        </w:rPr>
        <w:t>2</w:t>
      </w:r>
      <w:r w:rsidR="00E706B9" w:rsidRPr="00B175FB">
        <w:rPr>
          <w:rFonts w:eastAsia="Times New Roman"/>
          <w:noProof/>
          <w:sz w:val="22"/>
        </w:rPr>
        <w:t> </w:t>
      </w:r>
      <w:r w:rsidR="009178C3" w:rsidRPr="00B175FB">
        <w:rPr>
          <w:rFonts w:eastAsia="Times New Roman"/>
          <w:noProof/>
          <w:sz w:val="22"/>
        </w:rPr>
        <w:t>%</w:t>
      </w:r>
      <w:r w:rsidR="001F1EBB">
        <w:rPr>
          <w:rFonts w:eastAsia="Times New Roman"/>
          <w:noProof/>
          <w:sz w:val="22"/>
        </w:rPr>
        <w:t>.</w:t>
      </w:r>
      <w:r w:rsidR="00A67ED7" w:rsidRPr="00B175FB">
        <w:rPr>
          <w:rStyle w:val="Znakapoznpodarou"/>
          <w:rFonts w:eastAsia="Times New Roman"/>
          <w:b w:val="0"/>
          <w:noProof/>
          <w:sz w:val="22"/>
        </w:rPr>
        <w:footnoteReference w:id="49"/>
      </w:r>
      <w:r w:rsidR="009178C3" w:rsidRPr="00B175FB">
        <w:rPr>
          <w:rFonts w:eastAsia="Times New Roman"/>
          <w:noProof/>
          <w:sz w:val="22"/>
        </w:rPr>
        <w:t xml:space="preserve"> </w:t>
      </w:r>
      <w:r w:rsidRPr="00B175FB">
        <w:rPr>
          <w:rFonts w:eastAsia="Times New Roman"/>
          <w:noProof/>
          <w:sz w:val="22"/>
        </w:rPr>
        <w:t>Nižší míra zapojení do</w:t>
      </w:r>
      <w:r w:rsidR="00D70D14" w:rsidRPr="00B175FB">
        <w:rPr>
          <w:rFonts w:eastAsia="Times New Roman"/>
          <w:noProof/>
          <w:sz w:val="22"/>
        </w:rPr>
        <w:t> </w:t>
      </w:r>
      <w:r w:rsidRPr="00B175FB">
        <w:rPr>
          <w:rFonts w:eastAsia="Times New Roman"/>
          <w:noProof/>
          <w:sz w:val="22"/>
        </w:rPr>
        <w:t>mezinárodní spolupráce je patrná také z nízké účasti českých subjektů v evropském programu Horizon</w:t>
      </w:r>
      <w:r w:rsidR="001F215C" w:rsidRPr="00B175FB">
        <w:rPr>
          <w:rFonts w:eastAsia="Times New Roman"/>
          <w:noProof/>
          <w:sz w:val="22"/>
        </w:rPr>
        <w:t>t</w:t>
      </w:r>
      <w:r w:rsidR="00D70D14" w:rsidRPr="00B175FB">
        <w:rPr>
          <w:rFonts w:eastAsia="Times New Roman"/>
          <w:noProof/>
          <w:sz w:val="22"/>
        </w:rPr>
        <w:t> </w:t>
      </w:r>
      <w:r w:rsidRPr="00B175FB">
        <w:rPr>
          <w:rFonts w:eastAsia="Times New Roman"/>
          <w:noProof/>
          <w:sz w:val="22"/>
        </w:rPr>
        <w:t>2020</w:t>
      </w:r>
      <w:r w:rsidR="00342F40" w:rsidRPr="00B175FB">
        <w:rPr>
          <w:rStyle w:val="Znakapoznpodarou"/>
          <w:rFonts w:eastAsia="Times New Roman"/>
          <w:b w:val="0"/>
          <w:noProof/>
          <w:sz w:val="22"/>
        </w:rPr>
        <w:footnoteReference w:id="50"/>
      </w:r>
      <w:r w:rsidRPr="00B175FB">
        <w:rPr>
          <w:rFonts w:eastAsia="Times New Roman"/>
          <w:noProof/>
          <w:sz w:val="22"/>
        </w:rPr>
        <w:t xml:space="preserve"> či z nízkého počtu společných vědeckých publikací </w:t>
      </w:r>
      <w:r w:rsidR="009178C3" w:rsidRPr="00B175FB">
        <w:rPr>
          <w:rFonts w:eastAsia="Times New Roman"/>
          <w:noProof/>
          <w:sz w:val="22"/>
        </w:rPr>
        <w:t xml:space="preserve">a patentů </w:t>
      </w:r>
      <w:r w:rsidR="00D560BA" w:rsidRPr="00B175FB">
        <w:rPr>
          <w:rFonts w:eastAsia="Times New Roman"/>
          <w:noProof/>
          <w:sz w:val="22"/>
        </w:rPr>
        <w:t>vzniklých v </w:t>
      </w:r>
      <w:r w:rsidR="00D42530" w:rsidRPr="00B175FB">
        <w:rPr>
          <w:rFonts w:eastAsia="Times New Roman"/>
          <w:noProof/>
          <w:sz w:val="22"/>
        </w:rPr>
        <w:t>mezinárodní spolupráci</w:t>
      </w:r>
      <w:r w:rsidR="001E6809" w:rsidRPr="00B175FB">
        <w:rPr>
          <w:rFonts w:eastAsia="Times New Roman"/>
          <w:noProof/>
          <w:sz w:val="22"/>
        </w:rPr>
        <w:t>.</w:t>
      </w:r>
      <w:r w:rsidR="000A7774" w:rsidRPr="00B175FB">
        <w:rPr>
          <w:rStyle w:val="Znakapoznpodarou"/>
          <w:rFonts w:eastAsia="Times New Roman"/>
          <w:b w:val="0"/>
          <w:noProof/>
          <w:sz w:val="22"/>
        </w:rPr>
        <w:footnoteReference w:id="51"/>
      </w:r>
      <w:r w:rsidR="00D42530" w:rsidRPr="00B175FB">
        <w:rPr>
          <w:rFonts w:eastAsia="Times New Roman"/>
          <w:noProof/>
          <w:sz w:val="22"/>
        </w:rPr>
        <w:t xml:space="preserve"> Hodnoty českých </w:t>
      </w:r>
      <w:r w:rsidR="005F1E03" w:rsidRPr="00B175FB">
        <w:rPr>
          <w:rFonts w:eastAsia="Times New Roman"/>
          <w:noProof/>
          <w:sz w:val="22"/>
        </w:rPr>
        <w:t>VO</w:t>
      </w:r>
      <w:r w:rsidR="00D42530" w:rsidRPr="00B175FB">
        <w:rPr>
          <w:rFonts w:eastAsia="Times New Roman"/>
          <w:noProof/>
          <w:sz w:val="22"/>
        </w:rPr>
        <w:t xml:space="preserve"> se pohybují pod evropským průměrem</w:t>
      </w:r>
      <w:r w:rsidR="009178C3" w:rsidRPr="00B175FB">
        <w:rPr>
          <w:rFonts w:eastAsia="Times New Roman"/>
          <w:noProof/>
          <w:sz w:val="22"/>
        </w:rPr>
        <w:t xml:space="preserve"> i pod průměrem zemí OECD</w:t>
      </w:r>
      <w:r w:rsidR="00D42530" w:rsidRPr="00B175FB">
        <w:rPr>
          <w:rFonts w:eastAsia="Times New Roman"/>
          <w:noProof/>
          <w:sz w:val="22"/>
        </w:rPr>
        <w:t xml:space="preserve">. </w:t>
      </w:r>
    </w:p>
    <w:p w:rsidR="005F127E" w:rsidRPr="00B175FB" w:rsidRDefault="00D42530" w:rsidP="00D6696E">
      <w:pPr>
        <w:spacing w:line="276" w:lineRule="auto"/>
        <w:jc w:val="both"/>
        <w:rPr>
          <w:rFonts w:eastAsia="Times New Roman"/>
          <w:sz w:val="22"/>
        </w:rPr>
      </w:pPr>
      <w:r w:rsidRPr="00B175FB">
        <w:rPr>
          <w:rFonts w:eastAsia="Times New Roman"/>
          <w:noProof/>
          <w:sz w:val="22"/>
        </w:rPr>
        <w:t xml:space="preserve">Značná část českých </w:t>
      </w:r>
      <w:r w:rsidR="005F1E03" w:rsidRPr="00B175FB">
        <w:rPr>
          <w:rFonts w:eastAsia="Times New Roman"/>
          <w:noProof/>
          <w:sz w:val="22"/>
        </w:rPr>
        <w:t>VO</w:t>
      </w:r>
      <w:r w:rsidRPr="00B175FB">
        <w:rPr>
          <w:rFonts w:eastAsia="Times New Roman"/>
          <w:noProof/>
          <w:sz w:val="22"/>
        </w:rPr>
        <w:t xml:space="preserve"> stále </w:t>
      </w:r>
      <w:r w:rsidR="009178C3" w:rsidRPr="00B175FB">
        <w:rPr>
          <w:rFonts w:eastAsia="Times New Roman"/>
          <w:noProof/>
          <w:sz w:val="22"/>
        </w:rPr>
        <w:t>nedisponuje</w:t>
      </w:r>
      <w:r w:rsidRPr="00B175FB">
        <w:rPr>
          <w:rFonts w:eastAsia="Times New Roman"/>
          <w:noProof/>
          <w:sz w:val="22"/>
        </w:rPr>
        <w:t xml:space="preserve"> dostatečnými </w:t>
      </w:r>
      <w:r w:rsidR="00AF6D89" w:rsidRPr="00B175FB">
        <w:rPr>
          <w:rFonts w:eastAsia="Times New Roman"/>
          <w:noProof/>
          <w:sz w:val="22"/>
        </w:rPr>
        <w:t xml:space="preserve">dlouhodobými a stabilními </w:t>
      </w:r>
      <w:r w:rsidRPr="00B175FB">
        <w:rPr>
          <w:rFonts w:eastAsia="Times New Roman"/>
          <w:noProof/>
          <w:sz w:val="22"/>
        </w:rPr>
        <w:t xml:space="preserve">vazbami s výzkumnými institucemi ze zahraničí. To </w:t>
      </w:r>
      <w:r w:rsidR="001E48CE" w:rsidRPr="00B175FB">
        <w:rPr>
          <w:rFonts w:eastAsia="Times New Roman"/>
          <w:noProof/>
          <w:sz w:val="22"/>
        </w:rPr>
        <w:t xml:space="preserve">s </w:t>
      </w:r>
      <w:r w:rsidRPr="00B175FB">
        <w:rPr>
          <w:rFonts w:eastAsia="Times New Roman"/>
          <w:noProof/>
          <w:sz w:val="22"/>
        </w:rPr>
        <w:t xml:space="preserve">sebou nese nejen </w:t>
      </w:r>
      <w:r w:rsidR="00B615BE" w:rsidRPr="00B175FB">
        <w:rPr>
          <w:rFonts w:eastAsia="Times New Roman"/>
          <w:noProof/>
          <w:sz w:val="22"/>
        </w:rPr>
        <w:t xml:space="preserve">nižší </w:t>
      </w:r>
      <w:r w:rsidRPr="00B175FB">
        <w:rPr>
          <w:rFonts w:eastAsia="Times New Roman"/>
          <w:noProof/>
          <w:sz w:val="22"/>
        </w:rPr>
        <w:t>schopnost účastnit se a uspět v</w:t>
      </w:r>
      <w:r w:rsidR="00D6696E" w:rsidRPr="00B175FB">
        <w:rPr>
          <w:rFonts w:eastAsia="Times New Roman"/>
          <w:noProof/>
          <w:sz w:val="22"/>
        </w:rPr>
        <w:t> </w:t>
      </w:r>
      <w:r w:rsidRPr="00B175FB">
        <w:rPr>
          <w:rFonts w:eastAsia="Times New Roman"/>
          <w:noProof/>
          <w:sz w:val="22"/>
        </w:rPr>
        <w:t xml:space="preserve">mezinárodních dotačních programech, ale také uzavřenost prostředí výzkumu, které je pak </w:t>
      </w:r>
      <w:r w:rsidR="00513B65" w:rsidRPr="00B175FB">
        <w:rPr>
          <w:rFonts w:eastAsia="Times New Roman"/>
          <w:noProof/>
          <w:sz w:val="22"/>
        </w:rPr>
        <w:t xml:space="preserve">méně </w:t>
      </w:r>
      <w:r w:rsidR="00327B2E" w:rsidRPr="00B175FB">
        <w:rPr>
          <w:rFonts w:eastAsia="Times New Roman"/>
          <w:noProof/>
          <w:sz w:val="22"/>
        </w:rPr>
        <w:t>schopné se</w:t>
      </w:r>
      <w:r w:rsidR="00E706B9" w:rsidRPr="00B175FB">
        <w:rPr>
          <w:rFonts w:eastAsia="Times New Roman"/>
          <w:noProof/>
          <w:sz w:val="22"/>
        </w:rPr>
        <w:t> </w:t>
      </w:r>
      <w:r w:rsidRPr="00B175FB">
        <w:rPr>
          <w:rFonts w:eastAsia="Times New Roman"/>
          <w:noProof/>
          <w:sz w:val="22"/>
        </w:rPr>
        <w:t xml:space="preserve">dynamicky rozvíjet </w:t>
      </w:r>
      <w:r w:rsidR="00A6198C" w:rsidRPr="00B175FB">
        <w:rPr>
          <w:rFonts w:eastAsia="Times New Roman"/>
          <w:noProof/>
          <w:sz w:val="22"/>
        </w:rPr>
        <w:t xml:space="preserve">kvůli </w:t>
      </w:r>
      <w:r w:rsidRPr="00B175FB">
        <w:rPr>
          <w:rFonts w:eastAsia="Times New Roman"/>
          <w:noProof/>
          <w:sz w:val="22"/>
        </w:rPr>
        <w:t xml:space="preserve">nedostatečné absorbci zkušeností ze zahraničí. Institucionální prostředí českých </w:t>
      </w:r>
      <w:r w:rsidR="005F1E03" w:rsidRPr="00B175FB">
        <w:rPr>
          <w:rFonts w:eastAsia="Times New Roman"/>
          <w:noProof/>
          <w:sz w:val="22"/>
        </w:rPr>
        <w:t>VO</w:t>
      </w:r>
      <w:r w:rsidRPr="00B175FB">
        <w:rPr>
          <w:rFonts w:eastAsia="Times New Roman"/>
          <w:noProof/>
          <w:sz w:val="22"/>
        </w:rPr>
        <w:t>, které není do</w:t>
      </w:r>
      <w:r w:rsidR="00A6198C" w:rsidRPr="00B175FB">
        <w:rPr>
          <w:rFonts w:eastAsia="Times New Roman"/>
          <w:noProof/>
          <w:sz w:val="22"/>
        </w:rPr>
        <w:t>s</w:t>
      </w:r>
      <w:r w:rsidRPr="00B175FB">
        <w:rPr>
          <w:rFonts w:eastAsia="Times New Roman"/>
          <w:noProof/>
          <w:sz w:val="22"/>
        </w:rPr>
        <w:t>tatečně internacionalizované</w:t>
      </w:r>
      <w:r w:rsidR="00E92FE3" w:rsidRPr="00B175FB">
        <w:rPr>
          <w:rFonts w:eastAsia="Times New Roman"/>
          <w:noProof/>
          <w:sz w:val="22"/>
        </w:rPr>
        <w:t>,</w:t>
      </w:r>
      <w:r w:rsidR="001321CD" w:rsidRPr="00B175FB">
        <w:rPr>
          <w:rStyle w:val="Znakapoznpodarou"/>
          <w:rFonts w:eastAsia="Times New Roman"/>
          <w:b w:val="0"/>
          <w:noProof/>
          <w:sz w:val="22"/>
        </w:rPr>
        <w:footnoteReference w:id="52"/>
      </w:r>
      <w:r w:rsidRPr="00B175FB">
        <w:rPr>
          <w:rFonts w:eastAsia="Times New Roman"/>
          <w:noProof/>
          <w:sz w:val="22"/>
        </w:rPr>
        <w:t xml:space="preserve"> je náchylnější k inbreedingu, zaostávání v pokroku a nižšímu potenciálu produkovat excelentní výsledky </w:t>
      </w:r>
      <w:r w:rsidR="00E302DE" w:rsidRPr="00B175FB">
        <w:rPr>
          <w:rFonts w:eastAsia="Times New Roman"/>
          <w:sz w:val="22"/>
        </w:rPr>
        <w:t>VaV</w:t>
      </w:r>
      <w:r w:rsidR="001321CD" w:rsidRPr="00B175FB">
        <w:rPr>
          <w:rFonts w:eastAsia="Times New Roman"/>
          <w:noProof/>
          <w:sz w:val="22"/>
        </w:rPr>
        <w:t xml:space="preserve"> (</w:t>
      </w:r>
      <w:r w:rsidR="005A6002">
        <w:rPr>
          <w:rFonts w:eastAsia="Times New Roman"/>
          <w:noProof/>
          <w:sz w:val="22"/>
        </w:rPr>
        <w:t>prokázáno</w:t>
      </w:r>
      <w:r w:rsidR="001321CD" w:rsidRPr="00B175FB">
        <w:rPr>
          <w:rFonts w:eastAsia="Times New Roman"/>
          <w:noProof/>
          <w:sz w:val="22"/>
        </w:rPr>
        <w:t xml:space="preserve"> mimo jiné nízkým podílem světově nejcitovanějších (10 %) publikací na</w:t>
      </w:r>
      <w:r w:rsidR="006B3B0E">
        <w:rPr>
          <w:rFonts w:eastAsia="Times New Roman"/>
          <w:noProof/>
          <w:sz w:val="22"/>
        </w:rPr>
        <w:t> </w:t>
      </w:r>
      <w:r w:rsidR="001321CD" w:rsidRPr="00B175FB">
        <w:rPr>
          <w:rFonts w:eastAsia="Times New Roman"/>
          <w:noProof/>
          <w:sz w:val="22"/>
        </w:rPr>
        <w:t>celkovém počtu publikací</w:t>
      </w:r>
      <w:r w:rsidR="00E706B9" w:rsidRPr="00B175FB">
        <w:rPr>
          <w:rFonts w:eastAsia="Times New Roman"/>
          <w:noProof/>
          <w:sz w:val="22"/>
        </w:rPr>
        <w:t xml:space="preserve"> </w:t>
      </w:r>
      <w:r w:rsidR="001321CD" w:rsidRPr="00B175FB">
        <w:rPr>
          <w:rFonts w:eastAsia="Times New Roman"/>
          <w:noProof/>
          <w:sz w:val="22"/>
        </w:rPr>
        <w:t xml:space="preserve">– </w:t>
      </w:r>
      <w:r w:rsidR="00C867E0" w:rsidRPr="00B175FB">
        <w:rPr>
          <w:rFonts w:eastAsia="Times New Roman"/>
          <w:noProof/>
          <w:sz w:val="22"/>
        </w:rPr>
        <w:t xml:space="preserve">v roce </w:t>
      </w:r>
      <w:r w:rsidR="00221054" w:rsidRPr="00B175FB">
        <w:rPr>
          <w:rFonts w:eastAsia="Times New Roman"/>
          <w:noProof/>
          <w:sz w:val="22"/>
        </w:rPr>
        <w:t>201</w:t>
      </w:r>
      <w:r w:rsidR="00221054">
        <w:rPr>
          <w:rFonts w:eastAsia="Times New Roman"/>
          <w:noProof/>
          <w:sz w:val="22"/>
        </w:rPr>
        <w:t>8</w:t>
      </w:r>
      <w:r w:rsidR="00221054" w:rsidRPr="00B175FB">
        <w:rPr>
          <w:rFonts w:eastAsia="Times New Roman"/>
          <w:noProof/>
          <w:sz w:val="22"/>
        </w:rPr>
        <w:t xml:space="preserve"> </w:t>
      </w:r>
      <w:r w:rsidR="00221054">
        <w:rPr>
          <w:rFonts w:eastAsia="Times New Roman"/>
          <w:noProof/>
          <w:sz w:val="22"/>
        </w:rPr>
        <w:t xml:space="preserve"> </w:t>
      </w:r>
      <w:r w:rsidR="000138C7">
        <w:rPr>
          <w:rFonts w:eastAsia="Times New Roman"/>
          <w:noProof/>
          <w:sz w:val="22"/>
        </w:rPr>
        <w:t>dosáhla pouze necelých 82 % průměru EU v tomto ukazateli, a</w:t>
      </w:r>
      <w:r w:rsidR="006B3B0E">
        <w:rPr>
          <w:rFonts w:eastAsia="Times New Roman"/>
          <w:noProof/>
          <w:sz w:val="22"/>
        </w:rPr>
        <w:t> </w:t>
      </w:r>
      <w:r w:rsidR="000138C7">
        <w:rPr>
          <w:rFonts w:eastAsia="Times New Roman"/>
          <w:noProof/>
          <w:sz w:val="22"/>
        </w:rPr>
        <w:t>tedy velmi podprůměrné hodnoty</w:t>
      </w:r>
      <w:r w:rsidR="00C867E0" w:rsidRPr="00B175FB">
        <w:rPr>
          <w:rFonts w:eastAsia="Times New Roman"/>
          <w:noProof/>
          <w:sz w:val="22"/>
        </w:rPr>
        <w:t>)</w:t>
      </w:r>
      <w:r w:rsidR="004C1F7E" w:rsidRPr="00B175FB">
        <w:rPr>
          <w:rStyle w:val="Znakapoznpodarou"/>
          <w:rFonts w:eastAsia="Times New Roman"/>
          <w:b w:val="0"/>
          <w:noProof/>
          <w:sz w:val="22"/>
        </w:rPr>
        <w:footnoteReference w:id="53"/>
      </w:r>
      <w:r w:rsidR="00E706B9" w:rsidRPr="00B175FB">
        <w:rPr>
          <w:rFonts w:eastAsia="Times New Roman"/>
          <w:noProof/>
          <w:sz w:val="22"/>
        </w:rPr>
        <w:t xml:space="preserve"> </w:t>
      </w:r>
      <w:r w:rsidR="009178C3" w:rsidRPr="00B175FB">
        <w:rPr>
          <w:rFonts w:eastAsia="Times New Roman"/>
          <w:noProof/>
          <w:sz w:val="22"/>
        </w:rPr>
        <w:t>i přicházet s</w:t>
      </w:r>
      <w:r w:rsidR="00EF4E60" w:rsidRPr="00B175FB">
        <w:rPr>
          <w:rFonts w:eastAsia="Times New Roman"/>
          <w:noProof/>
          <w:sz w:val="22"/>
        </w:rPr>
        <w:t> </w:t>
      </w:r>
      <w:r w:rsidR="009178C3" w:rsidRPr="00B175FB">
        <w:rPr>
          <w:rFonts w:eastAsia="Times New Roman"/>
          <w:noProof/>
          <w:sz w:val="22"/>
        </w:rPr>
        <w:t>inovativními řešeními aplikovatelnými v praxi a</w:t>
      </w:r>
      <w:r w:rsidR="009B2578">
        <w:rPr>
          <w:rFonts w:eastAsia="Times New Roman"/>
          <w:noProof/>
          <w:sz w:val="22"/>
        </w:rPr>
        <w:t> </w:t>
      </w:r>
      <w:r w:rsidR="009178C3" w:rsidRPr="00B175FB">
        <w:rPr>
          <w:rFonts w:eastAsia="Times New Roman"/>
          <w:noProof/>
          <w:sz w:val="22"/>
        </w:rPr>
        <w:t>majícími potenciál uspět v mezinárodní konkurenci</w:t>
      </w:r>
      <w:r w:rsidRPr="00B175FB">
        <w:rPr>
          <w:rFonts w:eastAsia="Times New Roman"/>
          <w:noProof/>
          <w:sz w:val="22"/>
        </w:rPr>
        <w:t>. Přes</w:t>
      </w:r>
      <w:r w:rsidR="005302BC" w:rsidRPr="00B175FB">
        <w:rPr>
          <w:rFonts w:eastAsia="Times New Roman"/>
          <w:noProof/>
          <w:sz w:val="22"/>
        </w:rPr>
        <w:t> </w:t>
      </w:r>
      <w:r w:rsidRPr="00B175FB">
        <w:rPr>
          <w:rFonts w:eastAsia="Times New Roman"/>
          <w:noProof/>
          <w:sz w:val="22"/>
        </w:rPr>
        <w:t>podporu příchodu nových vědců ze zahraničí v</w:t>
      </w:r>
      <w:r w:rsidR="009B2578">
        <w:rPr>
          <w:rFonts w:eastAsia="Times New Roman"/>
          <w:noProof/>
          <w:sz w:val="22"/>
        </w:rPr>
        <w:t> </w:t>
      </w:r>
      <w:r w:rsidRPr="00B175FB">
        <w:rPr>
          <w:rFonts w:eastAsia="Times New Roman"/>
          <w:noProof/>
          <w:sz w:val="22"/>
        </w:rPr>
        <w:t xml:space="preserve">uplynulých letech zůstává oblast </w:t>
      </w:r>
      <w:r w:rsidR="001E48CE" w:rsidRPr="00B175FB">
        <w:rPr>
          <w:rFonts w:eastAsia="Times New Roman"/>
          <w:noProof/>
          <w:sz w:val="22"/>
        </w:rPr>
        <w:t xml:space="preserve">omezené internacionalizace </w:t>
      </w:r>
      <w:r w:rsidRPr="00B175FB">
        <w:rPr>
          <w:rFonts w:eastAsia="Times New Roman"/>
          <w:noProof/>
          <w:sz w:val="22"/>
        </w:rPr>
        <w:t>jedním z nejpalčivějších problémů českého výzkumného systému</w:t>
      </w:r>
      <w:r w:rsidR="00E92FE3" w:rsidRPr="00B175FB">
        <w:rPr>
          <w:rFonts w:eastAsia="Times New Roman"/>
          <w:noProof/>
          <w:sz w:val="22"/>
        </w:rPr>
        <w:t>.</w:t>
      </w:r>
      <w:r w:rsidR="00580EBF" w:rsidRPr="00B175FB">
        <w:rPr>
          <w:rStyle w:val="Znakapoznpodarou"/>
          <w:rFonts w:eastAsia="Times New Roman"/>
          <w:b w:val="0"/>
          <w:noProof/>
          <w:sz w:val="22"/>
        </w:rPr>
        <w:footnoteReference w:id="54"/>
      </w:r>
      <w:r w:rsidRPr="00B175FB">
        <w:rPr>
          <w:rFonts w:eastAsia="Times New Roman"/>
          <w:noProof/>
          <w:sz w:val="22"/>
        </w:rPr>
        <w:t xml:space="preserve"> Jednou z </w:t>
      </w:r>
      <w:r w:rsidR="00A762A9" w:rsidRPr="00B175FB">
        <w:rPr>
          <w:rFonts w:eastAsia="Times New Roman"/>
          <w:noProof/>
          <w:sz w:val="22"/>
        </w:rPr>
        <w:t>příčin neschopnosti přilákat či </w:t>
      </w:r>
      <w:r w:rsidRPr="00B175FB">
        <w:rPr>
          <w:rFonts w:eastAsia="Times New Roman"/>
          <w:noProof/>
          <w:sz w:val="22"/>
        </w:rPr>
        <w:t xml:space="preserve">udržet </w:t>
      </w:r>
      <w:r w:rsidR="00AF6D89" w:rsidRPr="00B175FB">
        <w:rPr>
          <w:rFonts w:eastAsia="Times New Roman"/>
          <w:noProof/>
          <w:sz w:val="22"/>
        </w:rPr>
        <w:t>větší</w:t>
      </w:r>
      <w:r w:rsidRPr="00B175FB">
        <w:rPr>
          <w:rFonts w:eastAsia="Times New Roman"/>
          <w:noProof/>
          <w:sz w:val="22"/>
        </w:rPr>
        <w:t xml:space="preserve"> množství excelentních výzkumných pracovníků či nadějných mladých vědců </w:t>
      </w:r>
      <w:r w:rsidR="00AF6D89" w:rsidRPr="00B175FB">
        <w:rPr>
          <w:rFonts w:eastAsia="Times New Roman"/>
          <w:noProof/>
          <w:sz w:val="22"/>
        </w:rPr>
        <w:t xml:space="preserve">ze zahraničí </w:t>
      </w:r>
      <w:r w:rsidR="00A762A9" w:rsidRPr="00B175FB">
        <w:rPr>
          <w:rFonts w:eastAsia="Times New Roman"/>
          <w:noProof/>
          <w:sz w:val="22"/>
        </w:rPr>
        <w:t>je </w:t>
      </w:r>
      <w:r w:rsidRPr="00B175FB">
        <w:rPr>
          <w:rFonts w:eastAsia="Times New Roman"/>
          <w:noProof/>
          <w:sz w:val="22"/>
        </w:rPr>
        <w:t>nedostatečná připravenost podmínek ve</w:t>
      </w:r>
      <w:r w:rsidR="00EA18F7">
        <w:rPr>
          <w:rFonts w:eastAsia="Times New Roman"/>
          <w:noProof/>
          <w:sz w:val="22"/>
        </w:rPr>
        <w:t> </w:t>
      </w:r>
      <w:r w:rsidR="005F1E03" w:rsidRPr="00B175FB">
        <w:rPr>
          <w:rFonts w:eastAsia="Times New Roman"/>
          <w:sz w:val="22"/>
        </w:rPr>
        <w:t>VO</w:t>
      </w:r>
      <w:r w:rsidRPr="00B175FB">
        <w:rPr>
          <w:rFonts w:eastAsia="Times New Roman"/>
          <w:sz w:val="22"/>
        </w:rPr>
        <w:t xml:space="preserve"> v </w:t>
      </w:r>
      <w:r w:rsidR="006B0F12" w:rsidRPr="00B175FB">
        <w:rPr>
          <w:rFonts w:eastAsia="Times New Roman"/>
          <w:sz w:val="22"/>
        </w:rPr>
        <w:t>ČR</w:t>
      </w:r>
      <w:r w:rsidRPr="00B175FB">
        <w:rPr>
          <w:rFonts w:eastAsia="Times New Roman"/>
          <w:sz w:val="22"/>
        </w:rPr>
        <w:t xml:space="preserve"> na</w:t>
      </w:r>
      <w:r w:rsidR="00F81951">
        <w:rPr>
          <w:rFonts w:eastAsia="Times New Roman"/>
          <w:sz w:val="22"/>
        </w:rPr>
        <w:t> </w:t>
      </w:r>
      <w:r w:rsidRPr="00B175FB">
        <w:rPr>
          <w:rFonts w:eastAsia="Times New Roman"/>
          <w:sz w:val="22"/>
        </w:rPr>
        <w:t>příchod a setrvání těchto pracovníků. Chybí</w:t>
      </w:r>
      <w:r w:rsidR="00E706B9" w:rsidRPr="00B175FB">
        <w:rPr>
          <w:rFonts w:eastAsia="Times New Roman"/>
          <w:sz w:val="22"/>
        </w:rPr>
        <w:t> </w:t>
      </w:r>
      <w:r w:rsidRPr="00B175FB">
        <w:rPr>
          <w:rFonts w:eastAsia="Times New Roman"/>
          <w:sz w:val="22"/>
        </w:rPr>
        <w:t>potřebná infrastruktura pro zajištění integrace výzkumníků ze</w:t>
      </w:r>
      <w:r w:rsidR="00B719E6" w:rsidRPr="00B175FB">
        <w:rPr>
          <w:rFonts w:eastAsia="Times New Roman"/>
          <w:sz w:val="22"/>
        </w:rPr>
        <w:t> </w:t>
      </w:r>
      <w:r w:rsidRPr="00B175FB">
        <w:rPr>
          <w:rFonts w:eastAsia="Times New Roman"/>
          <w:sz w:val="22"/>
        </w:rPr>
        <w:t>zahraničí v českém prostředí, často je</w:t>
      </w:r>
      <w:r w:rsidR="00E706B9" w:rsidRPr="00B175FB">
        <w:rPr>
          <w:rFonts w:eastAsia="Times New Roman"/>
          <w:sz w:val="22"/>
        </w:rPr>
        <w:t> </w:t>
      </w:r>
      <w:r w:rsidRPr="00B175FB">
        <w:rPr>
          <w:rFonts w:eastAsia="Times New Roman"/>
          <w:sz w:val="22"/>
        </w:rPr>
        <w:t>překážkou i</w:t>
      </w:r>
      <w:r w:rsidR="004D12F2" w:rsidRPr="00B175FB">
        <w:rPr>
          <w:rFonts w:eastAsia="Times New Roman"/>
          <w:sz w:val="22"/>
        </w:rPr>
        <w:t> </w:t>
      </w:r>
      <w:r w:rsidRPr="00B175FB">
        <w:rPr>
          <w:rFonts w:eastAsia="Times New Roman"/>
          <w:sz w:val="22"/>
        </w:rPr>
        <w:t xml:space="preserve">nedostatečná jazyková vybavenost </w:t>
      </w:r>
      <w:r w:rsidR="00AF6D89" w:rsidRPr="00B175FB">
        <w:rPr>
          <w:rFonts w:eastAsia="Times New Roman"/>
          <w:sz w:val="22"/>
        </w:rPr>
        <w:t xml:space="preserve">zaměstnanců </w:t>
      </w:r>
      <w:r w:rsidR="005F1E03" w:rsidRPr="00B175FB">
        <w:rPr>
          <w:rFonts w:eastAsia="Times New Roman"/>
          <w:sz w:val="22"/>
        </w:rPr>
        <w:t>VO</w:t>
      </w:r>
      <w:r w:rsidR="003F3248" w:rsidRPr="00B175FB">
        <w:rPr>
          <w:rFonts w:eastAsia="Times New Roman"/>
          <w:noProof/>
          <w:sz w:val="22"/>
        </w:rPr>
        <w:t xml:space="preserve"> a</w:t>
      </w:r>
      <w:r w:rsidR="00F10877">
        <w:rPr>
          <w:rFonts w:eastAsia="Times New Roman"/>
          <w:noProof/>
          <w:sz w:val="22"/>
        </w:rPr>
        <w:t> </w:t>
      </w:r>
      <w:r w:rsidR="003F3248" w:rsidRPr="00B175FB">
        <w:rPr>
          <w:rFonts w:eastAsia="Times New Roman"/>
          <w:noProof/>
          <w:sz w:val="22"/>
        </w:rPr>
        <w:t xml:space="preserve">jejich </w:t>
      </w:r>
      <w:r w:rsidR="00327B2E" w:rsidRPr="00B175FB">
        <w:rPr>
          <w:rFonts w:eastAsia="Times New Roman"/>
          <w:noProof/>
          <w:sz w:val="22"/>
        </w:rPr>
        <w:t xml:space="preserve">slabá </w:t>
      </w:r>
      <w:r w:rsidR="003F3248" w:rsidRPr="00B175FB">
        <w:rPr>
          <w:rFonts w:eastAsia="Times New Roman"/>
          <w:noProof/>
          <w:sz w:val="22"/>
        </w:rPr>
        <w:t>otevřenost</w:t>
      </w:r>
      <w:r w:rsidR="00AF6D89" w:rsidRPr="00B175FB">
        <w:rPr>
          <w:rFonts w:eastAsia="Times New Roman"/>
          <w:sz w:val="22"/>
        </w:rPr>
        <w:t xml:space="preserve">. </w:t>
      </w:r>
    </w:p>
    <w:p w:rsidR="00F13FBC" w:rsidRPr="00B175FB" w:rsidRDefault="00AF6D89" w:rsidP="00F13FBC">
      <w:pPr>
        <w:spacing w:line="276" w:lineRule="auto"/>
        <w:jc w:val="both"/>
        <w:rPr>
          <w:rFonts w:eastAsia="Times New Roman"/>
          <w:sz w:val="22"/>
        </w:rPr>
      </w:pPr>
      <w:r w:rsidRPr="00B175FB">
        <w:rPr>
          <w:rFonts w:eastAsia="Times New Roman"/>
          <w:sz w:val="22"/>
        </w:rPr>
        <w:t xml:space="preserve">Motivaci </w:t>
      </w:r>
      <w:r w:rsidR="005F1E03" w:rsidRPr="00B175FB">
        <w:rPr>
          <w:rFonts w:eastAsia="Times New Roman"/>
          <w:sz w:val="22"/>
        </w:rPr>
        <w:t>VO</w:t>
      </w:r>
      <w:r w:rsidRPr="00B175FB">
        <w:rPr>
          <w:rFonts w:eastAsia="Times New Roman"/>
          <w:sz w:val="22"/>
        </w:rPr>
        <w:t xml:space="preserve"> ke zvýšení aktivity směrem k internacionalizaci by měl v následujících letech zvýšit nově nastavený systém hodnocení </w:t>
      </w:r>
      <w:r w:rsidR="005F1E03" w:rsidRPr="00B175FB">
        <w:rPr>
          <w:rFonts w:eastAsia="Times New Roman"/>
          <w:sz w:val="22"/>
        </w:rPr>
        <w:t>VO</w:t>
      </w:r>
      <w:r w:rsidRPr="00B175FB">
        <w:rPr>
          <w:rFonts w:eastAsia="Times New Roman"/>
          <w:sz w:val="22"/>
        </w:rPr>
        <w:t xml:space="preserve"> z národní úrovně, avšak mnohé </w:t>
      </w:r>
      <w:r w:rsidR="005F1E03" w:rsidRPr="00B175FB">
        <w:rPr>
          <w:rFonts w:eastAsia="Times New Roman"/>
          <w:sz w:val="22"/>
        </w:rPr>
        <w:t xml:space="preserve">z nich </w:t>
      </w:r>
      <w:r w:rsidRPr="00B175FB">
        <w:rPr>
          <w:rFonts w:eastAsia="Times New Roman"/>
          <w:sz w:val="22"/>
        </w:rPr>
        <w:t xml:space="preserve">se potýkají s nedostatečnou </w:t>
      </w:r>
      <w:r w:rsidR="00F11A4D" w:rsidRPr="00B175FB">
        <w:rPr>
          <w:rFonts w:eastAsia="Times New Roman"/>
          <w:sz w:val="22"/>
        </w:rPr>
        <w:t xml:space="preserve">kapacitou </w:t>
      </w:r>
      <w:r w:rsidRPr="00B175FB">
        <w:rPr>
          <w:rFonts w:eastAsia="Times New Roman"/>
          <w:sz w:val="22"/>
        </w:rPr>
        <w:t>se tomuto trendu p</w:t>
      </w:r>
      <w:r w:rsidRPr="00B175FB">
        <w:rPr>
          <w:rFonts w:eastAsia="Times New Roman"/>
          <w:noProof/>
          <w:sz w:val="22"/>
        </w:rPr>
        <w:t>řizpůsobit. Nutná je proto podpora změny</w:t>
      </w:r>
      <w:r w:rsidRPr="00B175FB">
        <w:rPr>
          <w:rFonts w:eastAsia="Times New Roman"/>
          <w:sz w:val="22"/>
        </w:rPr>
        <w:t xml:space="preserve"> v institucionálním prostředí </w:t>
      </w:r>
      <w:r w:rsidR="005F1E03" w:rsidRPr="00B175FB">
        <w:rPr>
          <w:rFonts w:eastAsia="Times New Roman"/>
          <w:sz w:val="22"/>
        </w:rPr>
        <w:t>VO</w:t>
      </w:r>
      <w:r w:rsidRPr="00B175FB">
        <w:rPr>
          <w:rFonts w:eastAsia="Times New Roman"/>
          <w:sz w:val="22"/>
        </w:rPr>
        <w:t>, změna v</w:t>
      </w:r>
      <w:r w:rsidR="005F1E03" w:rsidRPr="00B175FB">
        <w:rPr>
          <w:rFonts w:eastAsia="Times New Roman"/>
          <w:sz w:val="22"/>
        </w:rPr>
        <w:t> </w:t>
      </w:r>
      <w:r w:rsidRPr="00B175FB">
        <w:rPr>
          <w:rFonts w:eastAsia="Times New Roman"/>
          <w:sz w:val="22"/>
        </w:rPr>
        <w:t xml:space="preserve">nastavení procesů i rozvoj kompetencí zaměstnanců tak, aby bylo prostředí pro zahraniční výzkumníky </w:t>
      </w:r>
      <w:r w:rsidR="009C5DDA">
        <w:rPr>
          <w:rFonts w:eastAsia="Times New Roman"/>
          <w:sz w:val="22"/>
        </w:rPr>
        <w:t>a</w:t>
      </w:r>
      <w:r w:rsidR="00AC5EBB">
        <w:rPr>
          <w:rFonts w:eastAsia="Times New Roman"/>
          <w:sz w:val="22"/>
        </w:rPr>
        <w:t> </w:t>
      </w:r>
      <w:r w:rsidR="009C5DDA">
        <w:rPr>
          <w:rFonts w:eastAsia="Times New Roman"/>
          <w:sz w:val="22"/>
        </w:rPr>
        <w:t xml:space="preserve">další kvalifikované pracovníky </w:t>
      </w:r>
      <w:r w:rsidR="00AC5EBB">
        <w:rPr>
          <w:rFonts w:eastAsia="Times New Roman"/>
          <w:sz w:val="22"/>
        </w:rPr>
        <w:t>VO</w:t>
      </w:r>
      <w:r w:rsidRPr="00B175FB">
        <w:rPr>
          <w:rFonts w:eastAsia="Times New Roman"/>
          <w:sz w:val="22"/>
        </w:rPr>
        <w:t xml:space="preserve"> atraktivní a dlouhodobě příznivé. Současně je třeba klást důraz </w:t>
      </w:r>
      <w:r w:rsidRPr="00B175FB">
        <w:rPr>
          <w:rFonts w:eastAsia="Times New Roman"/>
          <w:noProof/>
          <w:sz w:val="22"/>
        </w:rPr>
        <w:t>i</w:t>
      </w:r>
      <w:r w:rsidR="00AC5EBB">
        <w:rPr>
          <w:rFonts w:eastAsia="Times New Roman"/>
          <w:noProof/>
          <w:sz w:val="22"/>
        </w:rPr>
        <w:t> </w:t>
      </w:r>
      <w:r w:rsidRPr="00B175FB">
        <w:rPr>
          <w:rFonts w:eastAsia="Times New Roman"/>
          <w:noProof/>
          <w:sz w:val="22"/>
        </w:rPr>
        <w:t>na</w:t>
      </w:r>
      <w:r w:rsidR="00AC5EBB">
        <w:rPr>
          <w:rFonts w:eastAsia="Times New Roman"/>
          <w:noProof/>
          <w:sz w:val="22"/>
        </w:rPr>
        <w:t> </w:t>
      </w:r>
      <w:r w:rsidRPr="00B175FB">
        <w:rPr>
          <w:rFonts w:eastAsia="Times New Roman"/>
          <w:noProof/>
          <w:sz w:val="22"/>
        </w:rPr>
        <w:t>aktivní mezinárodní mobility, které napomohou nejen osobnímu kariérnímu rozvoji</w:t>
      </w:r>
      <w:r w:rsidR="009C5DDA">
        <w:rPr>
          <w:rFonts w:eastAsia="Times New Roman"/>
          <w:noProof/>
          <w:sz w:val="22"/>
        </w:rPr>
        <w:t xml:space="preserve"> zaměstnanců ve</w:t>
      </w:r>
      <w:r w:rsidR="00AC5EBB">
        <w:rPr>
          <w:rFonts w:eastAsia="Times New Roman"/>
          <w:noProof/>
          <w:sz w:val="22"/>
        </w:rPr>
        <w:t> </w:t>
      </w:r>
      <w:r w:rsidR="009C5DDA">
        <w:rPr>
          <w:rFonts w:eastAsia="Times New Roman"/>
          <w:noProof/>
          <w:sz w:val="22"/>
        </w:rPr>
        <w:t>výzkum</w:t>
      </w:r>
      <w:r w:rsidR="00AC5EBB">
        <w:rPr>
          <w:rFonts w:eastAsia="Times New Roman"/>
          <w:noProof/>
          <w:sz w:val="22"/>
        </w:rPr>
        <w:t>u</w:t>
      </w:r>
      <w:r w:rsidRPr="00B175FB">
        <w:rPr>
          <w:rFonts w:eastAsia="Times New Roman"/>
          <w:noProof/>
          <w:sz w:val="22"/>
        </w:rPr>
        <w:t>, k</w:t>
      </w:r>
      <w:r w:rsidR="009C5DDA">
        <w:rPr>
          <w:rFonts w:eastAsia="Times New Roman"/>
          <w:noProof/>
          <w:sz w:val="22"/>
        </w:rPr>
        <w:t xml:space="preserve"> jejich</w:t>
      </w:r>
      <w:r w:rsidRPr="00B175FB">
        <w:rPr>
          <w:rFonts w:eastAsia="Times New Roman"/>
          <w:noProof/>
          <w:sz w:val="22"/>
        </w:rPr>
        <w:t xml:space="preserve"> schopnosti formulovat a</w:t>
      </w:r>
      <w:r w:rsidR="005F1E03" w:rsidRPr="00B175FB">
        <w:rPr>
          <w:rFonts w:eastAsia="Times New Roman"/>
          <w:noProof/>
          <w:sz w:val="22"/>
        </w:rPr>
        <w:t> </w:t>
      </w:r>
      <w:r w:rsidRPr="00B175FB">
        <w:rPr>
          <w:rFonts w:eastAsia="Times New Roman"/>
          <w:noProof/>
          <w:sz w:val="22"/>
        </w:rPr>
        <w:t>realizovat výzkumné záměry s novými přístupy, ale jsou i</w:t>
      </w:r>
      <w:r w:rsidR="00AC5EBB">
        <w:rPr>
          <w:rFonts w:eastAsia="Times New Roman"/>
          <w:noProof/>
          <w:sz w:val="22"/>
        </w:rPr>
        <w:t> </w:t>
      </w:r>
      <w:r w:rsidRPr="00B175FB">
        <w:rPr>
          <w:rFonts w:eastAsia="Times New Roman"/>
          <w:noProof/>
          <w:sz w:val="22"/>
        </w:rPr>
        <w:t>nástrojem pro budování a rozvoj mezinárodních vazeb</w:t>
      </w:r>
      <w:r w:rsidR="001E48CE" w:rsidRPr="00B175FB">
        <w:rPr>
          <w:rFonts w:eastAsia="Times New Roman"/>
          <w:noProof/>
          <w:sz w:val="22"/>
        </w:rPr>
        <w:t xml:space="preserve"> pro </w:t>
      </w:r>
      <w:r w:rsidR="005F1E03" w:rsidRPr="00B175FB">
        <w:rPr>
          <w:rFonts w:eastAsia="Times New Roman"/>
          <w:noProof/>
          <w:sz w:val="22"/>
        </w:rPr>
        <w:t>VO</w:t>
      </w:r>
      <w:r w:rsidRPr="00B175FB">
        <w:rPr>
          <w:rFonts w:eastAsia="Times New Roman"/>
          <w:noProof/>
          <w:sz w:val="22"/>
        </w:rPr>
        <w:t>.</w:t>
      </w:r>
    </w:p>
    <w:p w:rsidR="005F2575" w:rsidRPr="00B175FB" w:rsidRDefault="005F2575" w:rsidP="00D6696E">
      <w:pPr>
        <w:spacing w:line="276" w:lineRule="auto"/>
        <w:jc w:val="both"/>
        <w:rPr>
          <w:rFonts w:eastAsia="Times New Roman"/>
          <w:noProof/>
          <w:sz w:val="22"/>
        </w:rPr>
      </w:pPr>
      <w:r w:rsidRPr="00B175FB">
        <w:rPr>
          <w:rFonts w:eastAsia="Times New Roman"/>
          <w:sz w:val="22"/>
        </w:rPr>
        <w:t xml:space="preserve">Mezi </w:t>
      </w:r>
      <w:r w:rsidRPr="00B175FB">
        <w:rPr>
          <w:rFonts w:eastAsia="Times New Roman"/>
          <w:noProof/>
          <w:sz w:val="22"/>
        </w:rPr>
        <w:t xml:space="preserve">výrazné </w:t>
      </w:r>
      <w:r w:rsidRPr="00B175FB">
        <w:rPr>
          <w:rFonts w:eastAsia="Times New Roman"/>
          <w:sz w:val="22"/>
        </w:rPr>
        <w:t>slabiny výzkumného a inovačního systému v</w:t>
      </w:r>
      <w:r w:rsidR="006D54B4" w:rsidRPr="00B175FB">
        <w:rPr>
          <w:rFonts w:eastAsia="Times New Roman"/>
          <w:noProof/>
          <w:sz w:val="22"/>
        </w:rPr>
        <w:t> </w:t>
      </w:r>
      <w:r w:rsidR="006B0F12" w:rsidRPr="00B175FB">
        <w:rPr>
          <w:rFonts w:eastAsia="Times New Roman"/>
          <w:noProof/>
          <w:sz w:val="22"/>
        </w:rPr>
        <w:t>ČR</w:t>
      </w:r>
      <w:r w:rsidRPr="00B175FB">
        <w:rPr>
          <w:rFonts w:eastAsia="Times New Roman"/>
          <w:sz w:val="22"/>
        </w:rPr>
        <w:t xml:space="preserve"> patří dlouhodobě nedostatečná spolupráce podniků s veřejným výzkumem</w:t>
      </w:r>
      <w:r w:rsidR="00E814E4" w:rsidRPr="00B175FB">
        <w:rPr>
          <w:rFonts w:eastAsia="Times New Roman"/>
          <w:sz w:val="22"/>
        </w:rPr>
        <w:t>,</w:t>
      </w:r>
      <w:r w:rsidR="009A5E17" w:rsidRPr="007B5D58">
        <w:rPr>
          <w:rStyle w:val="Znakapoznpodarou"/>
          <w:rFonts w:eastAsia="Times New Roman"/>
          <w:b w:val="0"/>
          <w:sz w:val="22"/>
        </w:rPr>
        <w:footnoteReference w:id="55"/>
      </w:r>
      <w:r w:rsidRPr="00B175FB">
        <w:rPr>
          <w:rFonts w:eastAsia="Times New Roman"/>
          <w:noProof/>
          <w:sz w:val="22"/>
        </w:rPr>
        <w:t xml:space="preserve"> což je patrné jak z nízkého podílu publikací vytvořených ve</w:t>
      </w:r>
      <w:r w:rsidR="001332DC" w:rsidRPr="00B175FB">
        <w:rPr>
          <w:rFonts w:eastAsia="Times New Roman"/>
          <w:noProof/>
          <w:sz w:val="22"/>
        </w:rPr>
        <w:t> </w:t>
      </w:r>
      <w:r w:rsidRPr="00B175FB">
        <w:rPr>
          <w:rFonts w:eastAsia="Times New Roman"/>
          <w:noProof/>
          <w:sz w:val="22"/>
        </w:rPr>
        <w:t xml:space="preserve">spoluautorství veřejného a soukromého sektoru, tak z nízkých výdajů podnikatelského sektoru na výzkum a vývoj veřejných </w:t>
      </w:r>
      <w:r w:rsidR="005F1E03" w:rsidRPr="00B175FB">
        <w:rPr>
          <w:rFonts w:eastAsia="Times New Roman"/>
          <w:noProof/>
          <w:sz w:val="22"/>
        </w:rPr>
        <w:t>VO</w:t>
      </w:r>
      <w:r w:rsidR="00A3397E">
        <w:rPr>
          <w:rFonts w:eastAsia="Times New Roman"/>
          <w:noProof/>
          <w:sz w:val="22"/>
        </w:rPr>
        <w:t xml:space="preserve"> (podnikové zdroje vynaložené na VaV ve vládním a vysokoškolském sektoru tvořily přibližně 4</w:t>
      </w:r>
      <w:r w:rsidR="00A51D13">
        <w:rPr>
          <w:rFonts w:eastAsia="Times New Roman"/>
          <w:noProof/>
          <w:sz w:val="22"/>
        </w:rPr>
        <w:t> </w:t>
      </w:r>
      <w:r w:rsidR="00A3397E">
        <w:rPr>
          <w:rFonts w:eastAsia="Times New Roman"/>
          <w:noProof/>
          <w:sz w:val="22"/>
        </w:rPr>
        <w:t>%</w:t>
      </w:r>
      <w:r w:rsidR="00A51D13">
        <w:rPr>
          <w:rFonts w:eastAsia="Times New Roman"/>
          <w:noProof/>
          <w:sz w:val="22"/>
        </w:rPr>
        <w:t> </w:t>
      </w:r>
      <w:r w:rsidR="00A3397E">
        <w:rPr>
          <w:rFonts w:eastAsia="Times New Roman"/>
          <w:noProof/>
          <w:sz w:val="22"/>
        </w:rPr>
        <w:t>celkových podnikových výdajů na VaV</w:t>
      </w:r>
      <w:r w:rsidR="00412998" w:rsidRPr="007B5D58">
        <w:rPr>
          <w:rStyle w:val="Znakapoznpodarou"/>
          <w:rFonts w:eastAsia="Times New Roman"/>
          <w:b w:val="0"/>
          <w:sz w:val="22"/>
        </w:rPr>
        <w:footnoteReference w:id="56"/>
      </w:r>
      <w:r w:rsidR="00F07192">
        <w:rPr>
          <w:rFonts w:eastAsia="Times New Roman"/>
          <w:noProof/>
          <w:sz w:val="22"/>
        </w:rPr>
        <w:t>)</w:t>
      </w:r>
      <w:r w:rsidRPr="00B175FB">
        <w:rPr>
          <w:rFonts w:eastAsia="Times New Roman"/>
          <w:noProof/>
          <w:sz w:val="22"/>
        </w:rPr>
        <w:t xml:space="preserve">. </w:t>
      </w:r>
      <w:r w:rsidR="006D54B4" w:rsidRPr="00B175FB">
        <w:rPr>
          <w:rFonts w:eastAsia="Times New Roman"/>
          <w:noProof/>
          <w:sz w:val="22"/>
        </w:rPr>
        <w:t xml:space="preserve">V obou zmíněných parametrech se </w:t>
      </w:r>
      <w:r w:rsidR="006B0F12" w:rsidRPr="00B175FB">
        <w:rPr>
          <w:rFonts w:eastAsia="Times New Roman"/>
          <w:noProof/>
          <w:sz w:val="22"/>
        </w:rPr>
        <w:t>ČR</w:t>
      </w:r>
      <w:r w:rsidR="006D54B4" w:rsidRPr="00B175FB">
        <w:rPr>
          <w:rFonts w:eastAsia="Times New Roman"/>
          <w:noProof/>
          <w:sz w:val="22"/>
        </w:rPr>
        <w:t xml:space="preserve"> um</w:t>
      </w:r>
      <w:r w:rsidR="005A6002">
        <w:rPr>
          <w:rFonts w:eastAsia="Times New Roman"/>
          <w:noProof/>
          <w:sz w:val="22"/>
        </w:rPr>
        <w:t>i</w:t>
      </w:r>
      <w:r w:rsidR="006D54B4" w:rsidRPr="00B175FB">
        <w:rPr>
          <w:rFonts w:eastAsia="Times New Roman"/>
          <w:noProof/>
          <w:sz w:val="22"/>
        </w:rPr>
        <w:t>sťuje hluboko pod průměr</w:t>
      </w:r>
      <w:r w:rsidR="005F1E03" w:rsidRPr="00B175FB">
        <w:rPr>
          <w:rFonts w:eastAsia="Times New Roman"/>
          <w:noProof/>
          <w:sz w:val="22"/>
        </w:rPr>
        <w:t>em</w:t>
      </w:r>
      <w:r w:rsidR="006D54B4" w:rsidRPr="00B175FB">
        <w:rPr>
          <w:rFonts w:eastAsia="Times New Roman"/>
          <w:noProof/>
          <w:sz w:val="22"/>
        </w:rPr>
        <w:t xml:space="preserve"> zemí </w:t>
      </w:r>
      <w:r w:rsidR="005F1E03" w:rsidRPr="00B175FB">
        <w:rPr>
          <w:rFonts w:eastAsia="Times New Roman"/>
          <w:noProof/>
          <w:sz w:val="22"/>
        </w:rPr>
        <w:t>EU</w:t>
      </w:r>
      <w:r w:rsidR="00E814E4" w:rsidRPr="00B175FB">
        <w:rPr>
          <w:rFonts w:eastAsia="Times New Roman"/>
          <w:noProof/>
          <w:sz w:val="22"/>
        </w:rPr>
        <w:t>.</w:t>
      </w:r>
      <w:r w:rsidR="00E52FA6" w:rsidRPr="00B175FB">
        <w:rPr>
          <w:rStyle w:val="Znakapoznpodarou"/>
          <w:rFonts w:eastAsia="Times New Roman"/>
          <w:b w:val="0"/>
          <w:noProof/>
          <w:sz w:val="22"/>
        </w:rPr>
        <w:footnoteReference w:id="57"/>
      </w:r>
      <w:r w:rsidR="003740FD" w:rsidRPr="00B175FB">
        <w:rPr>
          <w:rFonts w:eastAsia="Times New Roman"/>
          <w:noProof/>
          <w:sz w:val="22"/>
        </w:rPr>
        <w:t xml:space="preserve"> </w:t>
      </w:r>
      <w:r w:rsidR="003740FD" w:rsidRPr="00B175FB">
        <w:rPr>
          <w:rFonts w:eastAsia="Times New Roman"/>
          <w:sz w:val="22"/>
        </w:rPr>
        <w:t>Příjmy</w:t>
      </w:r>
      <w:r w:rsidR="00B84E76" w:rsidRPr="00B175FB">
        <w:rPr>
          <w:rFonts w:eastAsia="Times New Roman"/>
          <w:sz w:val="22"/>
        </w:rPr>
        <w:t> </w:t>
      </w:r>
      <w:r w:rsidR="003740FD" w:rsidRPr="00B175FB">
        <w:rPr>
          <w:rFonts w:eastAsia="Times New Roman"/>
          <w:sz w:val="22"/>
        </w:rPr>
        <w:t>z komercializace výsledků či transferu znalostí tvoří u</w:t>
      </w:r>
      <w:r w:rsidR="00D6696E" w:rsidRPr="00B175FB">
        <w:rPr>
          <w:rFonts w:eastAsia="Times New Roman"/>
          <w:sz w:val="22"/>
        </w:rPr>
        <w:t> </w:t>
      </w:r>
      <w:r w:rsidR="003740FD" w:rsidRPr="00B175FB">
        <w:rPr>
          <w:rFonts w:eastAsia="Times New Roman"/>
          <w:sz w:val="22"/>
        </w:rPr>
        <w:t xml:space="preserve">českých </w:t>
      </w:r>
      <w:r w:rsidR="005F1E03" w:rsidRPr="00B175FB">
        <w:rPr>
          <w:rFonts w:eastAsia="Times New Roman"/>
          <w:sz w:val="22"/>
        </w:rPr>
        <w:t>VO</w:t>
      </w:r>
      <w:r w:rsidR="003740FD" w:rsidRPr="00B175FB">
        <w:rPr>
          <w:rFonts w:eastAsia="Times New Roman"/>
          <w:sz w:val="22"/>
        </w:rPr>
        <w:t xml:space="preserve"> </w:t>
      </w:r>
      <w:r w:rsidR="006C016E" w:rsidRPr="00B175FB">
        <w:rPr>
          <w:rFonts w:eastAsia="Times New Roman"/>
          <w:sz w:val="22"/>
        </w:rPr>
        <w:t xml:space="preserve">v průměru </w:t>
      </w:r>
      <w:r w:rsidR="003740FD" w:rsidRPr="00B175FB">
        <w:rPr>
          <w:rFonts w:eastAsia="Times New Roman"/>
          <w:sz w:val="22"/>
        </w:rPr>
        <w:t xml:space="preserve">cca </w:t>
      </w:r>
      <w:r w:rsidR="006C016E" w:rsidRPr="00B175FB">
        <w:rPr>
          <w:rFonts w:eastAsia="Times New Roman"/>
          <w:sz w:val="22"/>
        </w:rPr>
        <w:t>4,45</w:t>
      </w:r>
      <w:r w:rsidR="003740FD" w:rsidRPr="00B175FB">
        <w:rPr>
          <w:rFonts w:eastAsia="Times New Roman"/>
          <w:sz w:val="22"/>
        </w:rPr>
        <w:t xml:space="preserve"> % celkových příjmů, což ukazuje na velmi omezenou interakci mezi výzkumným a</w:t>
      </w:r>
      <w:r w:rsidR="004D12F2" w:rsidRPr="00B175FB">
        <w:rPr>
          <w:rFonts w:eastAsia="Times New Roman"/>
          <w:sz w:val="22"/>
        </w:rPr>
        <w:t> </w:t>
      </w:r>
      <w:r w:rsidR="003740FD" w:rsidRPr="00B175FB">
        <w:rPr>
          <w:rFonts w:eastAsia="Times New Roman"/>
          <w:sz w:val="22"/>
        </w:rPr>
        <w:t>aplikačním sektorem</w:t>
      </w:r>
      <w:r w:rsidR="00E814E4" w:rsidRPr="00B175FB">
        <w:rPr>
          <w:rFonts w:eastAsia="Times New Roman"/>
          <w:sz w:val="22"/>
        </w:rPr>
        <w:t>.</w:t>
      </w:r>
      <w:r w:rsidR="006C016E" w:rsidRPr="00B175FB">
        <w:rPr>
          <w:rStyle w:val="Znakapoznpodarou"/>
          <w:rFonts w:eastAsia="Times New Roman"/>
          <w:b w:val="0"/>
          <w:sz w:val="22"/>
        </w:rPr>
        <w:footnoteReference w:id="58"/>
      </w:r>
      <w:r w:rsidR="003740FD" w:rsidRPr="00B175FB">
        <w:rPr>
          <w:rFonts w:eastAsia="Times New Roman"/>
          <w:sz w:val="22"/>
        </w:rPr>
        <w:t xml:space="preserve"> </w:t>
      </w:r>
      <w:r w:rsidR="003740FD" w:rsidRPr="00B175FB">
        <w:rPr>
          <w:rFonts w:eastAsia="Times New Roman"/>
          <w:noProof/>
          <w:sz w:val="22"/>
        </w:rPr>
        <w:t>Přetrvává</w:t>
      </w:r>
      <w:r w:rsidR="00B84E76" w:rsidRPr="00B175FB">
        <w:rPr>
          <w:rFonts w:eastAsia="Times New Roman"/>
          <w:noProof/>
          <w:sz w:val="22"/>
        </w:rPr>
        <w:t> </w:t>
      </w:r>
      <w:r w:rsidR="003740FD" w:rsidRPr="00B175FB">
        <w:rPr>
          <w:rFonts w:eastAsia="Times New Roman"/>
          <w:noProof/>
          <w:sz w:val="22"/>
        </w:rPr>
        <w:t>vzájemná nedůvěra aktérů, nedostatečně je</w:t>
      </w:r>
      <w:r w:rsidR="001332DC" w:rsidRPr="00B175FB">
        <w:rPr>
          <w:rFonts w:eastAsia="Times New Roman"/>
          <w:noProof/>
          <w:sz w:val="22"/>
        </w:rPr>
        <w:t> </w:t>
      </w:r>
      <w:r w:rsidR="003740FD" w:rsidRPr="00B175FB">
        <w:rPr>
          <w:rFonts w:eastAsia="Times New Roman"/>
          <w:noProof/>
          <w:sz w:val="22"/>
        </w:rPr>
        <w:t>budována dlouhodobá spolupráce výzkumného a</w:t>
      </w:r>
      <w:r w:rsidR="00B84E76" w:rsidRPr="00B175FB">
        <w:rPr>
          <w:rFonts w:eastAsia="Times New Roman"/>
          <w:noProof/>
          <w:sz w:val="22"/>
        </w:rPr>
        <w:t> </w:t>
      </w:r>
      <w:r w:rsidR="003740FD" w:rsidRPr="00B175FB">
        <w:rPr>
          <w:rFonts w:eastAsia="Times New Roman"/>
          <w:noProof/>
          <w:sz w:val="22"/>
        </w:rPr>
        <w:t>aplikačního sektoru, vzájemná funkční mobilita pracovníků je spíše výjimkou. Ne</w:t>
      </w:r>
      <w:r w:rsidR="003740FD" w:rsidRPr="00B175FB">
        <w:rPr>
          <w:rFonts w:eastAsia="Times New Roman"/>
          <w:sz w:val="22"/>
        </w:rPr>
        <w:t>dostatečně</w:t>
      </w:r>
      <w:r w:rsidR="00287DF3">
        <w:rPr>
          <w:rFonts w:eastAsia="Times New Roman"/>
          <w:sz w:val="22"/>
        </w:rPr>
        <w:t> </w:t>
      </w:r>
      <w:r w:rsidR="003740FD" w:rsidRPr="00B175FB">
        <w:rPr>
          <w:rFonts w:eastAsia="Times New Roman"/>
          <w:sz w:val="22"/>
        </w:rPr>
        <w:t>je</w:t>
      </w:r>
      <w:r w:rsidR="00287DF3">
        <w:rPr>
          <w:rFonts w:eastAsia="Times New Roman"/>
          <w:sz w:val="22"/>
        </w:rPr>
        <w:t> </w:t>
      </w:r>
      <w:r w:rsidR="00A762A9" w:rsidRPr="00B175FB">
        <w:rPr>
          <w:rFonts w:eastAsia="Times New Roman"/>
          <w:sz w:val="22"/>
        </w:rPr>
        <w:t>řešena tzv.</w:t>
      </w:r>
      <w:r w:rsidR="00B84E76" w:rsidRPr="00B175FB">
        <w:rPr>
          <w:rFonts w:eastAsia="Times New Roman"/>
          <w:sz w:val="22"/>
        </w:rPr>
        <w:t> </w:t>
      </w:r>
      <w:r w:rsidR="00A762A9" w:rsidRPr="00B175FB">
        <w:rPr>
          <w:rFonts w:eastAsia="Times New Roman"/>
          <w:sz w:val="22"/>
        </w:rPr>
        <w:t>přechodová fáze od </w:t>
      </w:r>
      <w:r w:rsidR="003740FD" w:rsidRPr="00B175FB">
        <w:rPr>
          <w:rFonts w:eastAsia="Times New Roman"/>
          <w:sz w:val="22"/>
        </w:rPr>
        <w:t>výzkumných aktivit do</w:t>
      </w:r>
      <w:r w:rsidR="001332DC" w:rsidRPr="00B175FB">
        <w:rPr>
          <w:rFonts w:eastAsia="Times New Roman"/>
          <w:sz w:val="22"/>
        </w:rPr>
        <w:t> </w:t>
      </w:r>
      <w:r w:rsidR="003740FD" w:rsidRPr="00B175FB">
        <w:rPr>
          <w:rFonts w:eastAsia="Times New Roman"/>
          <w:sz w:val="22"/>
        </w:rPr>
        <w:t>komercializace (</w:t>
      </w:r>
      <w:r w:rsidR="009C5DDA">
        <w:rPr>
          <w:rFonts w:eastAsia="Times New Roman"/>
          <w:sz w:val="22"/>
        </w:rPr>
        <w:t>fáze proof of conc</w:t>
      </w:r>
      <w:r w:rsidR="00120E64">
        <w:rPr>
          <w:rFonts w:eastAsia="Times New Roman"/>
          <w:sz w:val="22"/>
        </w:rPr>
        <w:t>e</w:t>
      </w:r>
      <w:r w:rsidR="009C5DDA">
        <w:rPr>
          <w:rFonts w:eastAsia="Times New Roman"/>
          <w:sz w:val="22"/>
        </w:rPr>
        <w:t xml:space="preserve">pt, </w:t>
      </w:r>
      <w:r w:rsidR="003740FD" w:rsidRPr="00B175FB">
        <w:rPr>
          <w:rFonts w:eastAsia="Times New Roman"/>
          <w:sz w:val="22"/>
        </w:rPr>
        <w:t>ověření prototypu, certifikace apod.), provázan</w:t>
      </w:r>
      <w:r w:rsidR="00A762A9" w:rsidRPr="00B175FB">
        <w:rPr>
          <w:rFonts w:eastAsia="Times New Roman"/>
          <w:sz w:val="22"/>
        </w:rPr>
        <w:t>ost a </w:t>
      </w:r>
      <w:r w:rsidR="003740FD" w:rsidRPr="00B175FB">
        <w:rPr>
          <w:rFonts w:eastAsia="Times New Roman"/>
          <w:sz w:val="22"/>
        </w:rPr>
        <w:t>proporcionalita inovačního řetězce od</w:t>
      </w:r>
      <w:r w:rsidR="001332DC" w:rsidRPr="00B175FB">
        <w:rPr>
          <w:rFonts w:eastAsia="Times New Roman"/>
          <w:sz w:val="22"/>
        </w:rPr>
        <w:t> </w:t>
      </w:r>
      <w:r w:rsidR="003740FD" w:rsidRPr="00B175FB">
        <w:rPr>
          <w:rFonts w:eastAsia="Times New Roman"/>
          <w:sz w:val="22"/>
        </w:rPr>
        <w:t>orien</w:t>
      </w:r>
      <w:r w:rsidR="002C3B41" w:rsidRPr="00B175FB">
        <w:rPr>
          <w:rFonts w:eastAsia="Times New Roman"/>
          <w:noProof/>
          <w:sz w:val="22"/>
        </w:rPr>
        <w:t xml:space="preserve">tovaného výzkumu, přes inovace </w:t>
      </w:r>
      <w:r w:rsidR="003740FD" w:rsidRPr="00B175FB">
        <w:rPr>
          <w:rFonts w:eastAsia="Times New Roman"/>
          <w:sz w:val="22"/>
        </w:rPr>
        <w:t xml:space="preserve">a produkt po zisk a </w:t>
      </w:r>
      <w:r w:rsidR="00513B65" w:rsidRPr="00B175FB">
        <w:rPr>
          <w:rFonts w:eastAsia="Times New Roman"/>
          <w:sz w:val="22"/>
        </w:rPr>
        <w:t xml:space="preserve">další </w:t>
      </w:r>
      <w:r w:rsidR="003740FD" w:rsidRPr="00B175FB">
        <w:rPr>
          <w:rFonts w:eastAsia="Times New Roman"/>
          <w:sz w:val="22"/>
        </w:rPr>
        <w:t>reinvestice do výzkumu</w:t>
      </w:r>
      <w:r w:rsidR="00E814E4" w:rsidRPr="00B175FB">
        <w:rPr>
          <w:rFonts w:eastAsia="Times New Roman"/>
          <w:sz w:val="22"/>
        </w:rPr>
        <w:t>.</w:t>
      </w:r>
      <w:r w:rsidR="001332DC" w:rsidRPr="00B175FB">
        <w:rPr>
          <w:rStyle w:val="Znakapoznpodarou"/>
          <w:rFonts w:eastAsia="Times New Roman"/>
          <w:b w:val="0"/>
          <w:sz w:val="22"/>
        </w:rPr>
        <w:footnoteReference w:id="59"/>
      </w:r>
      <w:r w:rsidR="009C5DDA">
        <w:rPr>
          <w:rFonts w:eastAsia="Times New Roman"/>
          <w:sz w:val="22"/>
        </w:rPr>
        <w:t xml:space="preserve"> Rozvoj aktivit v této kritické oblasti je třeba zásadně stimulovat tak, aby byl plně využit potenciál </w:t>
      </w:r>
      <w:r w:rsidR="00AC5EBB">
        <w:rPr>
          <w:rFonts w:eastAsia="Times New Roman"/>
          <w:sz w:val="22"/>
        </w:rPr>
        <w:t>VO</w:t>
      </w:r>
      <w:r w:rsidR="009C5DDA">
        <w:rPr>
          <w:rFonts w:eastAsia="Times New Roman"/>
          <w:sz w:val="22"/>
        </w:rPr>
        <w:t xml:space="preserve"> směrem k aplikovatelnosti jejich výzkumných výsledků a</w:t>
      </w:r>
      <w:r w:rsidR="00AC5EBB">
        <w:rPr>
          <w:rFonts w:eastAsia="Times New Roman"/>
          <w:sz w:val="22"/>
        </w:rPr>
        <w:t> </w:t>
      </w:r>
      <w:r w:rsidR="009C5DDA">
        <w:rPr>
          <w:rFonts w:eastAsia="Times New Roman"/>
          <w:sz w:val="22"/>
        </w:rPr>
        <w:t xml:space="preserve">dlouhodobé orientaci jejich aktivit do oblastí využitelných pro praxi. </w:t>
      </w:r>
    </w:p>
    <w:p w:rsidR="003035D2" w:rsidRPr="00B175FB" w:rsidRDefault="00A82961" w:rsidP="00D6696E">
      <w:pPr>
        <w:spacing w:line="276" w:lineRule="auto"/>
        <w:jc w:val="both"/>
        <w:rPr>
          <w:rFonts w:eastAsia="Times New Roman"/>
          <w:noProof/>
          <w:sz w:val="22"/>
        </w:rPr>
      </w:pPr>
      <w:r w:rsidRPr="00B175FB">
        <w:rPr>
          <w:rFonts w:eastAsia="Times New Roman"/>
          <w:sz w:val="22"/>
        </w:rPr>
        <w:t xml:space="preserve">České </w:t>
      </w:r>
      <w:r w:rsidR="005F1E03" w:rsidRPr="00B175FB">
        <w:rPr>
          <w:rFonts w:eastAsia="Times New Roman"/>
          <w:sz w:val="22"/>
        </w:rPr>
        <w:t>VO</w:t>
      </w:r>
      <w:r w:rsidRPr="00B175FB">
        <w:rPr>
          <w:rFonts w:eastAsia="Times New Roman"/>
          <w:sz w:val="22"/>
        </w:rPr>
        <w:t xml:space="preserve"> zaostávají za </w:t>
      </w:r>
      <w:r w:rsidRPr="00B175FB">
        <w:rPr>
          <w:rFonts w:eastAsia="Times New Roman"/>
          <w:noProof/>
          <w:sz w:val="22"/>
        </w:rPr>
        <w:t>špičkovými</w:t>
      </w:r>
      <w:r w:rsidR="005F1E03" w:rsidRPr="00B175FB">
        <w:rPr>
          <w:rFonts w:eastAsia="Times New Roman"/>
          <w:noProof/>
          <w:sz w:val="22"/>
        </w:rPr>
        <w:t xml:space="preserve"> evropskými</w:t>
      </w:r>
      <w:r w:rsidRPr="00B175FB">
        <w:rPr>
          <w:rFonts w:eastAsia="Times New Roman"/>
          <w:noProof/>
          <w:sz w:val="22"/>
        </w:rPr>
        <w:t xml:space="preserve"> institucemi </w:t>
      </w:r>
      <w:r w:rsidRPr="00B175FB">
        <w:rPr>
          <w:rFonts w:eastAsia="Times New Roman"/>
          <w:sz w:val="22"/>
        </w:rPr>
        <w:t xml:space="preserve">také </w:t>
      </w:r>
      <w:r w:rsidRPr="00B175FB">
        <w:rPr>
          <w:rFonts w:eastAsia="Times New Roman"/>
          <w:noProof/>
          <w:sz w:val="22"/>
        </w:rPr>
        <w:t>v oblasti svého strategického řízení</w:t>
      </w:r>
      <w:r w:rsidR="001656B6">
        <w:rPr>
          <w:rFonts w:eastAsia="Times New Roman"/>
          <w:noProof/>
          <w:sz w:val="22"/>
        </w:rPr>
        <w:t>.</w:t>
      </w:r>
      <w:r w:rsidR="002A413E" w:rsidRPr="000729EC">
        <w:rPr>
          <w:rStyle w:val="Znakapoznpodarou"/>
          <w:rFonts w:eastAsia="Times New Roman"/>
          <w:b w:val="0"/>
          <w:noProof/>
          <w:sz w:val="22"/>
        </w:rPr>
        <w:footnoteReference w:id="60"/>
      </w:r>
      <w:r w:rsidRPr="00B175FB">
        <w:rPr>
          <w:rFonts w:eastAsia="Times New Roman"/>
          <w:noProof/>
          <w:sz w:val="22"/>
        </w:rPr>
        <w:t xml:space="preserve"> </w:t>
      </w:r>
      <w:r w:rsidR="005F1E03" w:rsidRPr="00B175FB">
        <w:rPr>
          <w:rFonts w:eastAsia="Times New Roman"/>
          <w:noProof/>
          <w:sz w:val="22"/>
        </w:rPr>
        <w:t>VO</w:t>
      </w:r>
      <w:r w:rsidR="00595F28" w:rsidRPr="00B175FB">
        <w:rPr>
          <w:rFonts w:eastAsia="Times New Roman"/>
          <w:noProof/>
          <w:sz w:val="22"/>
        </w:rPr>
        <w:t> </w:t>
      </w:r>
      <w:r w:rsidR="00DF774C" w:rsidRPr="00B175FB">
        <w:rPr>
          <w:rFonts w:eastAsia="Times New Roman"/>
          <w:noProof/>
          <w:sz w:val="22"/>
        </w:rPr>
        <w:t>ne</w:t>
      </w:r>
      <w:r w:rsidR="00516063" w:rsidRPr="00B175FB">
        <w:rPr>
          <w:rFonts w:eastAsia="Times New Roman"/>
          <w:noProof/>
          <w:sz w:val="22"/>
        </w:rPr>
        <w:t>jsou dostatečně připraveny na nové výzvy, jakou je například stále větší tlak na ochranu duševního vlastnictví</w:t>
      </w:r>
      <w:r w:rsidR="003035D2" w:rsidRPr="00B175FB">
        <w:rPr>
          <w:rFonts w:eastAsia="Times New Roman"/>
          <w:noProof/>
          <w:sz w:val="22"/>
        </w:rPr>
        <w:t>, užší spolupráce s aplikační sférou</w:t>
      </w:r>
      <w:r w:rsidR="00516063" w:rsidRPr="00B175FB">
        <w:rPr>
          <w:rFonts w:eastAsia="Times New Roman"/>
          <w:noProof/>
          <w:sz w:val="22"/>
        </w:rPr>
        <w:t xml:space="preserve"> či implementace </w:t>
      </w:r>
      <w:r w:rsidR="00C115EE" w:rsidRPr="00B175FB">
        <w:rPr>
          <w:rFonts w:eastAsia="Times New Roman"/>
          <w:noProof/>
          <w:sz w:val="22"/>
        </w:rPr>
        <w:t>O</w:t>
      </w:r>
      <w:r w:rsidR="00516063" w:rsidRPr="00B175FB">
        <w:rPr>
          <w:rFonts w:eastAsia="Times New Roman"/>
          <w:noProof/>
          <w:sz w:val="22"/>
        </w:rPr>
        <w:t xml:space="preserve">pen </w:t>
      </w:r>
      <w:r w:rsidR="00C115EE" w:rsidRPr="00B175FB">
        <w:rPr>
          <w:rFonts w:eastAsia="Times New Roman"/>
          <w:noProof/>
          <w:sz w:val="22"/>
        </w:rPr>
        <w:t>S</w:t>
      </w:r>
      <w:r w:rsidR="00516063" w:rsidRPr="00B175FB">
        <w:rPr>
          <w:rFonts w:eastAsia="Times New Roman"/>
          <w:noProof/>
          <w:sz w:val="22"/>
        </w:rPr>
        <w:t>cience/</w:t>
      </w:r>
      <w:r w:rsidR="00C115EE" w:rsidRPr="00B175FB">
        <w:rPr>
          <w:rFonts w:eastAsia="Times New Roman"/>
          <w:noProof/>
          <w:sz w:val="22"/>
        </w:rPr>
        <w:t>O</w:t>
      </w:r>
      <w:r w:rsidR="00516063" w:rsidRPr="00B175FB">
        <w:rPr>
          <w:rFonts w:eastAsia="Times New Roman"/>
          <w:noProof/>
          <w:sz w:val="22"/>
        </w:rPr>
        <w:t xml:space="preserve">pen </w:t>
      </w:r>
      <w:r w:rsidR="00C115EE" w:rsidRPr="00B175FB">
        <w:rPr>
          <w:rFonts w:eastAsia="Times New Roman"/>
          <w:noProof/>
          <w:sz w:val="22"/>
        </w:rPr>
        <w:t>A</w:t>
      </w:r>
      <w:r w:rsidR="00516063" w:rsidRPr="00B175FB">
        <w:rPr>
          <w:rFonts w:eastAsia="Times New Roman"/>
          <w:noProof/>
          <w:sz w:val="22"/>
        </w:rPr>
        <w:t xml:space="preserve">ccess a </w:t>
      </w:r>
      <w:r w:rsidR="00C115EE" w:rsidRPr="00B175FB">
        <w:rPr>
          <w:rFonts w:eastAsia="Times New Roman"/>
          <w:noProof/>
          <w:sz w:val="22"/>
        </w:rPr>
        <w:t>O</w:t>
      </w:r>
      <w:r w:rsidR="00516063" w:rsidRPr="00B175FB">
        <w:rPr>
          <w:rFonts w:eastAsia="Times New Roman"/>
          <w:noProof/>
          <w:sz w:val="22"/>
        </w:rPr>
        <w:t xml:space="preserve">pen </w:t>
      </w:r>
      <w:r w:rsidR="00C115EE" w:rsidRPr="00B175FB">
        <w:rPr>
          <w:rFonts w:eastAsia="Times New Roman"/>
          <w:noProof/>
          <w:sz w:val="22"/>
        </w:rPr>
        <w:t>D</w:t>
      </w:r>
      <w:r w:rsidR="00516063" w:rsidRPr="00B175FB">
        <w:rPr>
          <w:rFonts w:eastAsia="Times New Roman"/>
          <w:noProof/>
          <w:sz w:val="22"/>
        </w:rPr>
        <w:t>ata</w:t>
      </w:r>
      <w:r w:rsidR="00E814E4" w:rsidRPr="00B175FB">
        <w:rPr>
          <w:rFonts w:eastAsia="Times New Roman"/>
          <w:noProof/>
          <w:sz w:val="22"/>
        </w:rPr>
        <w:t>.</w:t>
      </w:r>
      <w:r w:rsidR="00BF316A" w:rsidRPr="00B175FB">
        <w:rPr>
          <w:rStyle w:val="Znakapoznpodarou"/>
          <w:rFonts w:eastAsia="Times New Roman"/>
          <w:b w:val="0"/>
          <w:noProof/>
          <w:sz w:val="22"/>
        </w:rPr>
        <w:footnoteReference w:id="61"/>
      </w:r>
      <w:r w:rsidR="003035D2" w:rsidRPr="00B175FB">
        <w:rPr>
          <w:rFonts w:eastAsia="Times New Roman"/>
          <w:noProof/>
          <w:sz w:val="22"/>
        </w:rPr>
        <w:t xml:space="preserve"> Řízení lidských zdrojů a efektivnímu nastavení procesů není věnována dostatečná pozornost</w:t>
      </w:r>
      <w:r w:rsidR="001656B6">
        <w:rPr>
          <w:rFonts w:eastAsia="Times New Roman"/>
          <w:noProof/>
          <w:sz w:val="22"/>
        </w:rPr>
        <w:t>.</w:t>
      </w:r>
      <w:r w:rsidR="001656B6" w:rsidRPr="000729EC">
        <w:rPr>
          <w:rStyle w:val="Znakapoznpodarou"/>
          <w:rFonts w:eastAsia="Times New Roman"/>
          <w:b w:val="0"/>
          <w:noProof/>
          <w:sz w:val="22"/>
        </w:rPr>
        <w:footnoteReference w:id="62"/>
      </w:r>
      <w:r w:rsidR="003035D2" w:rsidRPr="00B175FB">
        <w:rPr>
          <w:rFonts w:eastAsia="Times New Roman"/>
          <w:noProof/>
          <w:sz w:val="22"/>
        </w:rPr>
        <w:t xml:space="preserve"> Jen některé české výzkumné organizace </w:t>
      </w:r>
      <w:r w:rsidR="00E5021E">
        <w:rPr>
          <w:rFonts w:eastAsia="Times New Roman"/>
          <w:noProof/>
          <w:sz w:val="22"/>
        </w:rPr>
        <w:t>aktivně pracují s</w:t>
      </w:r>
      <w:r w:rsidR="002D2C25">
        <w:rPr>
          <w:rFonts w:eastAsia="Times New Roman"/>
          <w:noProof/>
          <w:sz w:val="22"/>
        </w:rPr>
        <w:t xml:space="preserve"> plány genderové rovnosti a pouze omezený počet z nich </w:t>
      </w:r>
      <w:r w:rsidR="003035D2" w:rsidRPr="00B175FB">
        <w:rPr>
          <w:rFonts w:eastAsia="Times New Roman"/>
          <w:noProof/>
          <w:sz w:val="22"/>
        </w:rPr>
        <w:t xml:space="preserve">se dosud </w:t>
      </w:r>
      <w:r w:rsidR="002D2C25">
        <w:rPr>
          <w:rFonts w:eastAsia="Times New Roman"/>
          <w:noProof/>
          <w:sz w:val="22"/>
        </w:rPr>
        <w:t>může</w:t>
      </w:r>
      <w:r w:rsidR="002D2C25" w:rsidRPr="00B175FB">
        <w:rPr>
          <w:rFonts w:eastAsia="Times New Roman"/>
          <w:noProof/>
          <w:sz w:val="22"/>
        </w:rPr>
        <w:t xml:space="preserve"> </w:t>
      </w:r>
      <w:r w:rsidR="003035D2" w:rsidRPr="00B175FB">
        <w:rPr>
          <w:rFonts w:eastAsia="Times New Roman"/>
          <w:noProof/>
          <w:sz w:val="22"/>
        </w:rPr>
        <w:t>pyšnit HR Award (HR</w:t>
      </w:r>
      <w:r w:rsidR="00854768" w:rsidRPr="00B175FB">
        <w:rPr>
          <w:rFonts w:eastAsia="Times New Roman"/>
          <w:noProof/>
          <w:sz w:val="22"/>
        </w:rPr>
        <w:t> </w:t>
      </w:r>
      <w:r w:rsidR="003035D2" w:rsidRPr="00B175FB">
        <w:rPr>
          <w:rFonts w:eastAsia="Times New Roman"/>
          <w:noProof/>
          <w:sz w:val="22"/>
        </w:rPr>
        <w:t>Excellence in</w:t>
      </w:r>
      <w:r w:rsidR="001332DC" w:rsidRPr="00B175FB">
        <w:rPr>
          <w:rFonts w:eastAsia="Times New Roman"/>
          <w:noProof/>
          <w:sz w:val="22"/>
        </w:rPr>
        <w:t> </w:t>
      </w:r>
      <w:r w:rsidR="003035D2" w:rsidRPr="00B175FB">
        <w:rPr>
          <w:rFonts w:eastAsia="Times New Roman"/>
          <w:noProof/>
          <w:sz w:val="22"/>
        </w:rPr>
        <w:t>Research Award) udělovanou Evropskou komisí za kvalitní péči o</w:t>
      </w:r>
      <w:r w:rsidR="00382A72">
        <w:rPr>
          <w:rFonts w:eastAsia="Times New Roman"/>
          <w:noProof/>
          <w:sz w:val="22"/>
        </w:rPr>
        <w:t> </w:t>
      </w:r>
      <w:r w:rsidR="003035D2" w:rsidRPr="00B175FB">
        <w:rPr>
          <w:rFonts w:eastAsia="Times New Roman"/>
          <w:noProof/>
          <w:sz w:val="22"/>
        </w:rPr>
        <w:t>lidské zdroje ve</w:t>
      </w:r>
      <w:r w:rsidR="00854768" w:rsidRPr="00B175FB">
        <w:rPr>
          <w:rFonts w:eastAsia="Times New Roman"/>
          <w:noProof/>
          <w:sz w:val="22"/>
        </w:rPr>
        <w:t> </w:t>
      </w:r>
      <w:r w:rsidR="003035D2" w:rsidRPr="00B175FB">
        <w:rPr>
          <w:rFonts w:eastAsia="Times New Roman"/>
          <w:noProof/>
          <w:sz w:val="22"/>
        </w:rPr>
        <w:t>výzkumném prostředí</w:t>
      </w:r>
      <w:r w:rsidR="00CD4931" w:rsidRPr="00B175FB">
        <w:rPr>
          <w:rFonts w:eastAsia="Times New Roman"/>
          <w:noProof/>
          <w:sz w:val="22"/>
        </w:rPr>
        <w:t>.</w:t>
      </w:r>
      <w:r w:rsidR="001332DC" w:rsidRPr="00B175FB">
        <w:rPr>
          <w:rStyle w:val="Znakapoznpodarou"/>
          <w:rFonts w:eastAsia="Times New Roman"/>
          <w:b w:val="0"/>
          <w:noProof/>
          <w:sz w:val="22"/>
        </w:rPr>
        <w:footnoteReference w:id="63"/>
      </w:r>
      <w:r w:rsidR="003035D2" w:rsidRPr="00B175FB">
        <w:rPr>
          <w:rFonts w:eastAsia="Times New Roman"/>
          <w:noProof/>
          <w:sz w:val="22"/>
        </w:rPr>
        <w:t xml:space="preserve"> Pro výzkumníky je</w:t>
      </w:r>
      <w:r w:rsidR="008479CA">
        <w:rPr>
          <w:rFonts w:eastAsia="Times New Roman"/>
          <w:noProof/>
          <w:sz w:val="22"/>
        </w:rPr>
        <w:t> </w:t>
      </w:r>
      <w:r w:rsidR="00443638" w:rsidRPr="00B175FB">
        <w:rPr>
          <w:rFonts w:eastAsia="Times New Roman"/>
          <w:noProof/>
          <w:sz w:val="22"/>
        </w:rPr>
        <w:t xml:space="preserve">přitom </w:t>
      </w:r>
      <w:r w:rsidR="003035D2" w:rsidRPr="00B175FB">
        <w:rPr>
          <w:rFonts w:eastAsia="Times New Roman"/>
          <w:noProof/>
          <w:sz w:val="22"/>
        </w:rPr>
        <w:t>toto ocenění zárukou evropského standardu a může výraznou měrou přispět k lákání pracovníků ze</w:t>
      </w:r>
      <w:r w:rsidR="008479CA">
        <w:rPr>
          <w:rFonts w:eastAsia="Times New Roman"/>
          <w:noProof/>
          <w:sz w:val="22"/>
        </w:rPr>
        <w:t> </w:t>
      </w:r>
      <w:r w:rsidR="003035D2" w:rsidRPr="00B175FB">
        <w:rPr>
          <w:rFonts w:eastAsia="Times New Roman"/>
          <w:noProof/>
          <w:sz w:val="22"/>
        </w:rPr>
        <w:t>zahraničí i</w:t>
      </w:r>
      <w:r w:rsidR="00595F28" w:rsidRPr="00B175FB">
        <w:rPr>
          <w:rFonts w:eastAsia="Times New Roman"/>
          <w:noProof/>
          <w:sz w:val="22"/>
        </w:rPr>
        <w:t> </w:t>
      </w:r>
      <w:r w:rsidR="003035D2" w:rsidRPr="00B175FB">
        <w:rPr>
          <w:rFonts w:eastAsia="Times New Roman"/>
          <w:noProof/>
          <w:sz w:val="22"/>
        </w:rPr>
        <w:t xml:space="preserve">k budování dlouhodobých vazeb s kvalitními </w:t>
      </w:r>
      <w:r w:rsidR="005F1E03" w:rsidRPr="00B175FB">
        <w:rPr>
          <w:rFonts w:eastAsia="Times New Roman"/>
          <w:noProof/>
          <w:sz w:val="22"/>
        </w:rPr>
        <w:t>VO</w:t>
      </w:r>
      <w:r w:rsidR="003035D2" w:rsidRPr="00B175FB">
        <w:rPr>
          <w:rFonts w:eastAsia="Times New Roman"/>
          <w:noProof/>
          <w:sz w:val="22"/>
        </w:rPr>
        <w:t xml:space="preserve"> v zahraničí. </w:t>
      </w:r>
      <w:r w:rsidR="00786DEE">
        <w:rPr>
          <w:rFonts w:eastAsia="Times New Roman"/>
          <w:noProof/>
          <w:sz w:val="22"/>
        </w:rPr>
        <w:t xml:space="preserve">Existence plánů genderové rovnosti je současně podmínkou financování projektů v programu Horizont Evropa. </w:t>
      </w:r>
      <w:r w:rsidRPr="00B175FB">
        <w:rPr>
          <w:rFonts w:eastAsia="Times New Roman"/>
          <w:noProof/>
          <w:sz w:val="22"/>
        </w:rPr>
        <w:t>Výzkumníci jsou často přetěžováni administrativou</w:t>
      </w:r>
      <w:r w:rsidR="00E814E4" w:rsidRPr="00B175FB">
        <w:rPr>
          <w:rFonts w:eastAsia="Times New Roman"/>
          <w:noProof/>
          <w:sz w:val="22"/>
        </w:rPr>
        <w:t>,</w:t>
      </w:r>
      <w:r w:rsidR="00342F40" w:rsidRPr="00B175FB">
        <w:rPr>
          <w:rStyle w:val="Znakapoznpodarou"/>
          <w:rFonts w:eastAsia="Times New Roman"/>
          <w:b w:val="0"/>
          <w:noProof/>
          <w:sz w:val="22"/>
        </w:rPr>
        <w:footnoteReference w:id="64"/>
      </w:r>
      <w:r w:rsidRPr="00B175FB">
        <w:rPr>
          <w:rFonts w:eastAsia="Times New Roman"/>
          <w:noProof/>
          <w:sz w:val="22"/>
        </w:rPr>
        <w:t xml:space="preserve"> která jim brání v samotné výzkumné práci, mají často jen velmi omezenou perspektivu kariérního postupu (</w:t>
      </w:r>
      <w:r w:rsidR="00F11A4D" w:rsidRPr="00B175FB">
        <w:rPr>
          <w:rFonts w:eastAsia="Times New Roman"/>
          <w:noProof/>
          <w:sz w:val="22"/>
        </w:rPr>
        <w:t>t</w:t>
      </w:r>
      <w:r w:rsidR="00AF1DCF" w:rsidRPr="00B175FB">
        <w:rPr>
          <w:rFonts w:eastAsia="Times New Roman"/>
          <w:noProof/>
          <w:sz w:val="22"/>
        </w:rPr>
        <w:t>ento fakt</w:t>
      </w:r>
      <w:r w:rsidR="00BE2A88" w:rsidRPr="00B175FB">
        <w:rPr>
          <w:rFonts w:eastAsia="Times New Roman"/>
          <w:noProof/>
          <w:sz w:val="22"/>
        </w:rPr>
        <w:t xml:space="preserve"> vnímají především mladí/</w:t>
      </w:r>
      <w:r w:rsidR="00F11A4D" w:rsidRPr="00B175FB">
        <w:rPr>
          <w:rFonts w:eastAsia="Times New Roman"/>
          <w:noProof/>
          <w:sz w:val="22"/>
        </w:rPr>
        <w:t>začínající výzkumníci</w:t>
      </w:r>
      <w:r w:rsidR="00F10452" w:rsidRPr="00B175FB">
        <w:rPr>
          <w:rFonts w:eastAsia="Times New Roman"/>
          <w:noProof/>
          <w:sz w:val="22"/>
        </w:rPr>
        <w:t>)</w:t>
      </w:r>
      <w:r w:rsidRPr="00B175FB">
        <w:rPr>
          <w:rFonts w:eastAsia="Times New Roman"/>
          <w:noProof/>
          <w:sz w:val="22"/>
        </w:rPr>
        <w:t xml:space="preserve">, prostředí není dostatečně motivující. </w:t>
      </w:r>
      <w:r w:rsidR="00093A5A" w:rsidRPr="00B175FB">
        <w:rPr>
          <w:rFonts w:eastAsia="Times New Roman"/>
          <w:noProof/>
          <w:sz w:val="22"/>
        </w:rPr>
        <w:t>Chybí dlouhodobá a</w:t>
      </w:r>
      <w:r w:rsidR="00854768" w:rsidRPr="00B175FB">
        <w:rPr>
          <w:rFonts w:eastAsia="Times New Roman"/>
          <w:noProof/>
          <w:sz w:val="22"/>
        </w:rPr>
        <w:t> </w:t>
      </w:r>
      <w:r w:rsidR="00093A5A" w:rsidRPr="00B175FB">
        <w:rPr>
          <w:rFonts w:eastAsia="Times New Roman"/>
          <w:noProof/>
          <w:sz w:val="22"/>
        </w:rPr>
        <w:t xml:space="preserve">systematická </w:t>
      </w:r>
      <w:r w:rsidR="00F10452" w:rsidRPr="00B175FB">
        <w:rPr>
          <w:rFonts w:eastAsia="Times New Roman"/>
          <w:noProof/>
          <w:sz w:val="22"/>
        </w:rPr>
        <w:t>podpora</w:t>
      </w:r>
      <w:r w:rsidR="00093A5A" w:rsidRPr="00B175FB">
        <w:rPr>
          <w:rFonts w:eastAsia="Times New Roman"/>
          <w:noProof/>
          <w:sz w:val="22"/>
        </w:rPr>
        <w:t xml:space="preserve"> profesním</w:t>
      </w:r>
      <w:r w:rsidR="00F10452" w:rsidRPr="00B175FB">
        <w:rPr>
          <w:rFonts w:eastAsia="Times New Roman"/>
          <w:noProof/>
          <w:sz w:val="22"/>
        </w:rPr>
        <w:t>u</w:t>
      </w:r>
      <w:r w:rsidR="00093A5A" w:rsidRPr="00B175FB">
        <w:rPr>
          <w:rFonts w:eastAsia="Times New Roman"/>
          <w:noProof/>
          <w:sz w:val="22"/>
        </w:rPr>
        <w:t xml:space="preserve"> rozvoji adekvátních týmů administrativní/projektové podpory.</w:t>
      </w:r>
      <w:r w:rsidR="00AE0A7E" w:rsidRPr="00B175FB">
        <w:rPr>
          <w:rFonts w:eastAsia="Times New Roman"/>
          <w:noProof/>
          <w:sz w:val="22"/>
        </w:rPr>
        <w:t xml:space="preserve"> </w:t>
      </w:r>
      <w:r w:rsidR="001321CD" w:rsidRPr="00B175FB">
        <w:rPr>
          <w:rFonts w:eastAsia="Times New Roman"/>
          <w:noProof/>
          <w:sz w:val="22"/>
        </w:rPr>
        <w:t>R</w:t>
      </w:r>
      <w:r w:rsidR="003035D2" w:rsidRPr="00B175FB">
        <w:rPr>
          <w:rFonts w:eastAsia="Times New Roman"/>
          <w:noProof/>
          <w:sz w:val="22"/>
        </w:rPr>
        <w:t>ezervy</w:t>
      </w:r>
      <w:r w:rsidR="00854768" w:rsidRPr="00B175FB">
        <w:rPr>
          <w:rFonts w:eastAsia="Times New Roman"/>
          <w:noProof/>
          <w:sz w:val="22"/>
        </w:rPr>
        <w:t> </w:t>
      </w:r>
      <w:r w:rsidR="003035D2" w:rsidRPr="00B175FB">
        <w:rPr>
          <w:rFonts w:eastAsia="Times New Roman"/>
          <w:noProof/>
          <w:sz w:val="22"/>
        </w:rPr>
        <w:t xml:space="preserve">existují v českých </w:t>
      </w:r>
      <w:r w:rsidR="005F1E03" w:rsidRPr="00B175FB">
        <w:rPr>
          <w:rFonts w:eastAsia="Times New Roman"/>
          <w:noProof/>
          <w:sz w:val="22"/>
        </w:rPr>
        <w:t>VO</w:t>
      </w:r>
      <w:r w:rsidR="003035D2" w:rsidRPr="00B175FB">
        <w:rPr>
          <w:rFonts w:eastAsia="Times New Roman"/>
          <w:noProof/>
          <w:sz w:val="22"/>
        </w:rPr>
        <w:t xml:space="preserve"> v otázce genderové rovnosti</w:t>
      </w:r>
      <w:r w:rsidR="00F10452" w:rsidRPr="00B175FB">
        <w:rPr>
          <w:rFonts w:eastAsia="Times New Roman"/>
          <w:noProof/>
          <w:sz w:val="22"/>
        </w:rPr>
        <w:t xml:space="preserve"> a</w:t>
      </w:r>
      <w:r w:rsidR="00AF1DCF" w:rsidRPr="00B175FB">
        <w:rPr>
          <w:rFonts w:eastAsia="Times New Roman"/>
          <w:noProof/>
          <w:sz w:val="22"/>
        </w:rPr>
        <w:t> </w:t>
      </w:r>
      <w:r w:rsidR="00F10452" w:rsidRPr="00B175FB">
        <w:rPr>
          <w:rFonts w:eastAsia="Times New Roman"/>
          <w:noProof/>
          <w:sz w:val="22"/>
        </w:rPr>
        <w:t>n</w:t>
      </w:r>
      <w:r w:rsidR="003035D2" w:rsidRPr="00B175FB">
        <w:rPr>
          <w:rFonts w:eastAsia="Times New Roman"/>
          <w:noProof/>
          <w:sz w:val="22"/>
        </w:rPr>
        <w:t xml:space="preserve">edostatečná je </w:t>
      </w:r>
      <w:r w:rsidR="00F10452" w:rsidRPr="00B175FB">
        <w:rPr>
          <w:rFonts w:eastAsia="Times New Roman"/>
          <w:noProof/>
          <w:sz w:val="22"/>
        </w:rPr>
        <w:t xml:space="preserve">také </w:t>
      </w:r>
      <w:r w:rsidR="003035D2" w:rsidRPr="00B175FB">
        <w:rPr>
          <w:rFonts w:eastAsia="Times New Roman"/>
          <w:noProof/>
          <w:sz w:val="22"/>
        </w:rPr>
        <w:t>podpora slaďování soukromého a pracovního života</w:t>
      </w:r>
      <w:r w:rsidR="00F10452" w:rsidRPr="00B175FB">
        <w:rPr>
          <w:rFonts w:eastAsia="Times New Roman"/>
          <w:noProof/>
          <w:sz w:val="22"/>
        </w:rPr>
        <w:t xml:space="preserve"> a</w:t>
      </w:r>
      <w:r w:rsidR="00D6696E" w:rsidRPr="00B175FB">
        <w:rPr>
          <w:rFonts w:eastAsia="Times New Roman"/>
          <w:noProof/>
          <w:sz w:val="22"/>
        </w:rPr>
        <w:t> </w:t>
      </w:r>
      <w:r w:rsidR="003035D2" w:rsidRPr="00B175FB">
        <w:rPr>
          <w:rFonts w:eastAsia="Times New Roman"/>
          <w:noProof/>
          <w:sz w:val="22"/>
        </w:rPr>
        <w:t>podpora návratu rodičů z mateřské a rodičovské dovolené</w:t>
      </w:r>
      <w:r w:rsidR="00E814E4" w:rsidRPr="00B175FB">
        <w:rPr>
          <w:rFonts w:eastAsia="Times New Roman"/>
          <w:noProof/>
          <w:sz w:val="22"/>
        </w:rPr>
        <w:t>.</w:t>
      </w:r>
      <w:r w:rsidR="002E0342" w:rsidRPr="00B175FB">
        <w:rPr>
          <w:rStyle w:val="Znakapoznpodarou"/>
          <w:rFonts w:eastAsia="Times New Roman"/>
          <w:b w:val="0"/>
          <w:noProof/>
          <w:sz w:val="22"/>
        </w:rPr>
        <w:footnoteReference w:id="65"/>
      </w:r>
    </w:p>
    <w:p w:rsidR="00F14C78" w:rsidRPr="00B175FB" w:rsidRDefault="005F1E03" w:rsidP="003035D2">
      <w:pPr>
        <w:spacing w:line="276" w:lineRule="auto"/>
        <w:jc w:val="both"/>
        <w:rPr>
          <w:rFonts w:eastAsia="Times New Roman"/>
          <w:noProof/>
          <w:sz w:val="22"/>
        </w:rPr>
      </w:pPr>
      <w:r w:rsidRPr="00B175FB">
        <w:rPr>
          <w:rFonts w:eastAsia="Times New Roman"/>
          <w:noProof/>
          <w:sz w:val="22"/>
        </w:rPr>
        <w:t>ČR</w:t>
      </w:r>
      <w:r w:rsidR="00F14C78" w:rsidRPr="00B175FB">
        <w:rPr>
          <w:rFonts w:eastAsia="Times New Roman"/>
          <w:noProof/>
          <w:sz w:val="22"/>
        </w:rPr>
        <w:t xml:space="preserve"> nedisponuje dostatečným počtem </w:t>
      </w:r>
      <w:r w:rsidR="00516063" w:rsidRPr="00B175FB">
        <w:rPr>
          <w:rFonts w:eastAsia="Times New Roman"/>
          <w:noProof/>
          <w:sz w:val="22"/>
        </w:rPr>
        <w:t>kvalitních</w:t>
      </w:r>
      <w:r w:rsidR="00F14C78" w:rsidRPr="00B175FB">
        <w:rPr>
          <w:rFonts w:eastAsia="Times New Roman"/>
          <w:noProof/>
          <w:sz w:val="22"/>
        </w:rPr>
        <w:t xml:space="preserve"> výzkumných a technických pracovníků</w:t>
      </w:r>
      <w:r w:rsidR="00E814E4" w:rsidRPr="00B175FB">
        <w:rPr>
          <w:rFonts w:eastAsia="Times New Roman"/>
          <w:noProof/>
          <w:sz w:val="22"/>
        </w:rPr>
        <w:t>.</w:t>
      </w:r>
      <w:r w:rsidR="009A5E17" w:rsidRPr="00B175FB">
        <w:rPr>
          <w:rStyle w:val="Znakapoznpodarou"/>
          <w:rFonts w:eastAsia="Times New Roman"/>
          <w:b w:val="0"/>
          <w:noProof/>
          <w:sz w:val="22"/>
        </w:rPr>
        <w:footnoteReference w:id="66"/>
      </w:r>
      <w:r w:rsidR="0030514B" w:rsidRPr="00B175FB">
        <w:rPr>
          <w:rFonts w:eastAsia="Times New Roman"/>
          <w:noProof/>
          <w:sz w:val="22"/>
        </w:rPr>
        <w:t xml:space="preserve"> </w:t>
      </w:r>
      <w:r w:rsidR="00516063" w:rsidRPr="00B175FB">
        <w:rPr>
          <w:rFonts w:eastAsia="Times New Roman"/>
          <w:noProof/>
          <w:sz w:val="22"/>
        </w:rPr>
        <w:t>Vysoce</w:t>
      </w:r>
      <w:r w:rsidR="00B26E13">
        <w:rPr>
          <w:rFonts w:eastAsia="Times New Roman"/>
          <w:noProof/>
          <w:sz w:val="22"/>
        </w:rPr>
        <w:t> </w:t>
      </w:r>
      <w:r w:rsidR="00516063" w:rsidRPr="00B175FB">
        <w:rPr>
          <w:rFonts w:eastAsia="Times New Roman"/>
          <w:noProof/>
          <w:sz w:val="22"/>
        </w:rPr>
        <w:t xml:space="preserve">kvalifikované lidské zdroje jsou přitom jedním ze základních pilířů kvalitního výzkumu, bez jejichž dostatečného množství a adekvátní struktury není možný rozvoj a udržení se na špici v mezinárodní konkurenci ve výzkumných oblastech, na něž se chce </w:t>
      </w:r>
      <w:r w:rsidRPr="00B175FB">
        <w:rPr>
          <w:rFonts w:eastAsia="Times New Roman"/>
          <w:noProof/>
          <w:sz w:val="22"/>
        </w:rPr>
        <w:t>ČR</w:t>
      </w:r>
      <w:r w:rsidR="00516063" w:rsidRPr="00B175FB">
        <w:rPr>
          <w:rFonts w:eastAsia="Times New Roman"/>
          <w:noProof/>
          <w:sz w:val="22"/>
        </w:rPr>
        <w:t xml:space="preserve"> zaměřit. </w:t>
      </w:r>
      <w:r w:rsidR="0039268A" w:rsidRPr="00B175FB">
        <w:rPr>
          <w:rFonts w:eastAsia="Times New Roman"/>
          <w:noProof/>
          <w:sz w:val="22"/>
        </w:rPr>
        <w:t xml:space="preserve">Součástí intervencí tak musí být </w:t>
      </w:r>
      <w:r w:rsidR="00E06999" w:rsidRPr="00B175FB">
        <w:rPr>
          <w:rFonts w:eastAsia="Times New Roman"/>
          <w:noProof/>
          <w:sz w:val="22"/>
        </w:rPr>
        <w:t xml:space="preserve">nejen podpora přílivu a udržení kvalitních pracovníků ve výzkumu, ale </w:t>
      </w:r>
      <w:r w:rsidR="0039268A" w:rsidRPr="00B175FB">
        <w:rPr>
          <w:rFonts w:eastAsia="Times New Roman"/>
          <w:noProof/>
          <w:sz w:val="22"/>
        </w:rPr>
        <w:t xml:space="preserve">i </w:t>
      </w:r>
      <w:r w:rsidR="00516063" w:rsidRPr="00B175FB">
        <w:rPr>
          <w:rFonts w:eastAsia="Times New Roman"/>
          <w:noProof/>
          <w:sz w:val="22"/>
        </w:rPr>
        <w:t>vytváření optimálních podmínek pro</w:t>
      </w:r>
      <w:r w:rsidR="00854768" w:rsidRPr="00B175FB">
        <w:rPr>
          <w:rFonts w:eastAsia="Times New Roman"/>
          <w:noProof/>
          <w:sz w:val="22"/>
        </w:rPr>
        <w:t> </w:t>
      </w:r>
      <w:r w:rsidR="0039268A" w:rsidRPr="00B175FB">
        <w:rPr>
          <w:rFonts w:eastAsia="Times New Roman"/>
          <w:noProof/>
          <w:sz w:val="22"/>
        </w:rPr>
        <w:t xml:space="preserve">posílení </w:t>
      </w:r>
      <w:r w:rsidR="00516063" w:rsidRPr="00B175FB">
        <w:rPr>
          <w:rFonts w:eastAsia="Times New Roman"/>
          <w:noProof/>
          <w:sz w:val="22"/>
        </w:rPr>
        <w:t>up-to-date magisterských a doktorských studijních programů.</w:t>
      </w:r>
    </w:p>
    <w:p w:rsidR="00D71D98" w:rsidRPr="00B175FB" w:rsidRDefault="00D71D98" w:rsidP="00D6696E">
      <w:pPr>
        <w:spacing w:line="276" w:lineRule="auto"/>
        <w:jc w:val="both"/>
        <w:rPr>
          <w:rFonts w:eastAsia="Times New Roman"/>
          <w:sz w:val="22"/>
        </w:rPr>
      </w:pPr>
      <w:r w:rsidRPr="00B175FB">
        <w:rPr>
          <w:rFonts w:eastAsia="Times New Roman"/>
          <w:sz w:val="22"/>
        </w:rPr>
        <w:t xml:space="preserve">Přes značný rozvoj infrastrukturního zázemí pro realizaci kvalitního výzkumu a vývoje neodpovídá infrastruktura pro výzkum a vývoj v </w:t>
      </w:r>
      <w:r w:rsidR="006B0F12" w:rsidRPr="00B175FB">
        <w:rPr>
          <w:rFonts w:eastAsia="Times New Roman"/>
          <w:sz w:val="22"/>
        </w:rPr>
        <w:t>ČR</w:t>
      </w:r>
      <w:r w:rsidRPr="00B175FB">
        <w:rPr>
          <w:rFonts w:eastAsia="Times New Roman"/>
          <w:sz w:val="22"/>
        </w:rPr>
        <w:t xml:space="preserve"> prozatím stále ještě plně </w:t>
      </w:r>
      <w:r w:rsidR="003F3248" w:rsidRPr="00B175FB">
        <w:rPr>
          <w:rFonts w:eastAsia="Times New Roman"/>
          <w:noProof/>
          <w:sz w:val="22"/>
        </w:rPr>
        <w:t>aktuálním</w:t>
      </w:r>
      <w:r w:rsidRPr="00B175FB">
        <w:rPr>
          <w:rFonts w:eastAsia="Times New Roman"/>
          <w:sz w:val="22"/>
        </w:rPr>
        <w:t xml:space="preserve"> potřebám,</w:t>
      </w:r>
      <w:r w:rsidR="00D6696E" w:rsidRPr="00B175FB">
        <w:rPr>
          <w:rFonts w:eastAsia="Times New Roman"/>
          <w:sz w:val="22"/>
        </w:rPr>
        <w:t xml:space="preserve"> a to </w:t>
      </w:r>
      <w:r w:rsidRPr="00B175FB">
        <w:rPr>
          <w:rFonts w:eastAsia="Times New Roman"/>
          <w:sz w:val="22"/>
        </w:rPr>
        <w:t>zejména s ohledem na rychlost vývoje infrastrukturního zázemí pro realizaci excelentního výzkumu a</w:t>
      </w:r>
      <w:r w:rsidR="00D6696E" w:rsidRPr="00B175FB">
        <w:rPr>
          <w:rFonts w:eastAsia="Times New Roman"/>
          <w:sz w:val="22"/>
        </w:rPr>
        <w:t> </w:t>
      </w:r>
      <w:r w:rsidR="00A762A9" w:rsidRPr="00B175FB">
        <w:rPr>
          <w:rFonts w:eastAsia="Times New Roman"/>
          <w:sz w:val="22"/>
        </w:rPr>
        <w:t>vývoje v Evropě a ve </w:t>
      </w:r>
      <w:r w:rsidRPr="00B175FB">
        <w:rPr>
          <w:rFonts w:eastAsia="Times New Roman"/>
          <w:sz w:val="22"/>
        </w:rPr>
        <w:t>světě</w:t>
      </w:r>
      <w:r w:rsidR="004B6BE2" w:rsidRPr="00B175FB">
        <w:rPr>
          <w:rFonts w:eastAsia="Times New Roman"/>
          <w:sz w:val="22"/>
        </w:rPr>
        <w:t>.</w:t>
      </w:r>
      <w:r w:rsidR="001321CD" w:rsidRPr="00B175FB">
        <w:rPr>
          <w:rStyle w:val="Znakapoznpodarou"/>
          <w:rFonts w:eastAsia="Times New Roman"/>
          <w:b w:val="0"/>
          <w:sz w:val="22"/>
        </w:rPr>
        <w:footnoteReference w:id="67"/>
      </w:r>
      <w:r w:rsidRPr="00B175FB">
        <w:rPr>
          <w:rFonts w:eastAsia="Times New Roman"/>
          <w:sz w:val="22"/>
        </w:rPr>
        <w:t xml:space="preserve"> </w:t>
      </w:r>
      <w:r w:rsidR="00EA5434" w:rsidRPr="00B175FB">
        <w:rPr>
          <w:rFonts w:eastAsia="Times New Roman"/>
          <w:noProof/>
          <w:sz w:val="22"/>
        </w:rPr>
        <w:t>V minulých programových obdobích došlo k zásadním investicím do</w:t>
      </w:r>
      <w:r w:rsidR="00E97EF6" w:rsidRPr="00B175FB">
        <w:rPr>
          <w:rFonts w:eastAsia="Times New Roman"/>
          <w:noProof/>
          <w:sz w:val="22"/>
        </w:rPr>
        <w:t> </w:t>
      </w:r>
      <w:r w:rsidR="00EA5434" w:rsidRPr="00B175FB">
        <w:rPr>
          <w:rFonts w:eastAsia="Times New Roman"/>
          <w:noProof/>
          <w:sz w:val="22"/>
        </w:rPr>
        <w:t xml:space="preserve">vybudování </w:t>
      </w:r>
      <w:r w:rsidR="00F10452" w:rsidRPr="00B175FB">
        <w:rPr>
          <w:rFonts w:eastAsia="Times New Roman"/>
          <w:noProof/>
          <w:sz w:val="22"/>
        </w:rPr>
        <w:t xml:space="preserve">a rozvoje </w:t>
      </w:r>
      <w:r w:rsidR="00AC5EBB">
        <w:rPr>
          <w:rFonts w:eastAsia="Times New Roman"/>
          <w:noProof/>
          <w:sz w:val="22"/>
        </w:rPr>
        <w:t>VO</w:t>
      </w:r>
      <w:r w:rsidR="00EA5434" w:rsidRPr="00B175FB">
        <w:rPr>
          <w:rFonts w:eastAsia="Times New Roman"/>
          <w:noProof/>
          <w:sz w:val="22"/>
        </w:rPr>
        <w:t>, avšak v souvislosti s rychlým vývojem v oblasti technologií je třeba vybavení neustále doplňovat, upgradovat a přizpůsobovat novým trendům</w:t>
      </w:r>
      <w:r w:rsidR="00527747">
        <w:rPr>
          <w:rFonts w:eastAsia="Times New Roman"/>
          <w:noProof/>
          <w:sz w:val="22"/>
        </w:rPr>
        <w:t xml:space="preserve">, a to s cílem </w:t>
      </w:r>
      <w:r w:rsidR="003B079A">
        <w:rPr>
          <w:rFonts w:eastAsia="Times New Roman"/>
          <w:noProof/>
          <w:sz w:val="22"/>
        </w:rPr>
        <w:t>maximálně využít již vybudovanou infrastrukturu a</w:t>
      </w:r>
      <w:r w:rsidR="00AC5EBB">
        <w:rPr>
          <w:rFonts w:eastAsia="Times New Roman"/>
          <w:noProof/>
          <w:sz w:val="22"/>
        </w:rPr>
        <w:t> </w:t>
      </w:r>
      <w:r w:rsidR="003B079A">
        <w:rPr>
          <w:rFonts w:eastAsia="Times New Roman"/>
          <w:noProof/>
          <w:sz w:val="22"/>
        </w:rPr>
        <w:t>maximalizovat tak přínos z minulých investic prostřednictvím jejich rozvoje</w:t>
      </w:r>
      <w:r w:rsidR="00EA5434" w:rsidRPr="00B175FB">
        <w:rPr>
          <w:rFonts w:eastAsia="Times New Roman"/>
          <w:noProof/>
          <w:sz w:val="22"/>
        </w:rPr>
        <w:t>.</w:t>
      </w:r>
      <w:r w:rsidR="00A11569" w:rsidRPr="007B5D58">
        <w:rPr>
          <w:rStyle w:val="Znakapoznpodarou"/>
          <w:rFonts w:eastAsia="Times New Roman"/>
          <w:b w:val="0"/>
          <w:sz w:val="22"/>
        </w:rPr>
        <w:footnoteReference w:id="68"/>
      </w:r>
      <w:r w:rsidR="00EA5434" w:rsidRPr="007B5D58">
        <w:rPr>
          <w:rFonts w:eastAsia="Times New Roman"/>
          <w:b/>
          <w:sz w:val="22"/>
        </w:rPr>
        <w:t xml:space="preserve"> </w:t>
      </w:r>
      <w:r w:rsidRPr="00B175FB">
        <w:rPr>
          <w:rFonts w:eastAsia="Times New Roman"/>
          <w:sz w:val="22"/>
        </w:rPr>
        <w:t xml:space="preserve">Ambici </w:t>
      </w:r>
      <w:r w:rsidR="006B0F12" w:rsidRPr="00B175FB">
        <w:rPr>
          <w:rFonts w:eastAsia="Times New Roman"/>
          <w:sz w:val="22"/>
        </w:rPr>
        <w:t>ČR</w:t>
      </w:r>
      <w:r w:rsidRPr="00B175FB">
        <w:rPr>
          <w:rFonts w:eastAsia="Times New Roman"/>
          <w:sz w:val="22"/>
        </w:rPr>
        <w:t xml:space="preserve"> dostat se mezi státy s největší vědecko</w:t>
      </w:r>
      <w:r w:rsidR="00331FE8" w:rsidRPr="00B175FB">
        <w:rPr>
          <w:rFonts w:eastAsia="Times New Roman"/>
          <w:noProof/>
          <w:sz w:val="22"/>
        </w:rPr>
        <w:t>-</w:t>
      </w:r>
      <w:r w:rsidRPr="00B175FB">
        <w:rPr>
          <w:rFonts w:eastAsia="Times New Roman"/>
          <w:sz w:val="22"/>
        </w:rPr>
        <w:t>výzkumnou výkonností v Evropě lze naplnit pouze v</w:t>
      </w:r>
      <w:r w:rsidR="00EC31C8">
        <w:rPr>
          <w:rFonts w:eastAsia="Times New Roman"/>
          <w:sz w:val="22"/>
        </w:rPr>
        <w:t> </w:t>
      </w:r>
      <w:r w:rsidRPr="00B175FB">
        <w:rPr>
          <w:rFonts w:eastAsia="Times New Roman"/>
          <w:sz w:val="22"/>
        </w:rPr>
        <w:t>případě, že</w:t>
      </w:r>
      <w:r w:rsidR="008C7AC8" w:rsidRPr="00B175FB">
        <w:rPr>
          <w:rFonts w:eastAsia="Times New Roman"/>
          <w:sz w:val="22"/>
        </w:rPr>
        <w:t> </w:t>
      </w:r>
      <w:r w:rsidRPr="00B175FB">
        <w:rPr>
          <w:rFonts w:eastAsia="Times New Roman"/>
          <w:sz w:val="22"/>
        </w:rPr>
        <w:t xml:space="preserve">infrastruktura pro špičkový výzkum aplikovatelný v praxi bude odpovídat náročným požadavkům na aktuálnost technologií. Klíčová infrastruktura by pak měla být maximálně využitelná napříč </w:t>
      </w:r>
      <w:r w:rsidR="005F1E03" w:rsidRPr="00B175FB">
        <w:rPr>
          <w:rFonts w:eastAsia="Times New Roman"/>
          <w:sz w:val="22"/>
        </w:rPr>
        <w:t>VO</w:t>
      </w:r>
      <w:r w:rsidRPr="00B175FB">
        <w:rPr>
          <w:rFonts w:eastAsia="Times New Roman"/>
          <w:sz w:val="22"/>
        </w:rPr>
        <w:t xml:space="preserve"> v režimu </w:t>
      </w:r>
      <w:r w:rsidR="00C115EE" w:rsidRPr="00B175FB">
        <w:rPr>
          <w:rFonts w:eastAsia="Times New Roman"/>
          <w:sz w:val="22"/>
        </w:rPr>
        <w:t>O</w:t>
      </w:r>
      <w:r w:rsidRPr="00B175FB">
        <w:rPr>
          <w:rFonts w:eastAsia="Times New Roman"/>
          <w:sz w:val="22"/>
        </w:rPr>
        <w:t xml:space="preserve">pen </w:t>
      </w:r>
      <w:r w:rsidR="00C115EE" w:rsidRPr="00B175FB">
        <w:rPr>
          <w:rFonts w:eastAsia="Times New Roman"/>
          <w:sz w:val="22"/>
        </w:rPr>
        <w:t>A</w:t>
      </w:r>
      <w:r w:rsidRPr="00B175FB">
        <w:rPr>
          <w:rFonts w:eastAsia="Times New Roman"/>
          <w:sz w:val="22"/>
        </w:rPr>
        <w:t>ccess. Z důvodu efektivity i soustředění se</w:t>
      </w:r>
      <w:r w:rsidR="00DF7EC1" w:rsidRPr="00B175FB">
        <w:rPr>
          <w:rFonts w:eastAsia="Times New Roman"/>
          <w:sz w:val="22"/>
        </w:rPr>
        <w:t> </w:t>
      </w:r>
      <w:r w:rsidRPr="00B175FB">
        <w:rPr>
          <w:rFonts w:eastAsia="Times New Roman"/>
          <w:sz w:val="22"/>
        </w:rPr>
        <w:t>na prioritní oblasti je</w:t>
      </w:r>
      <w:r w:rsidR="008C7AC8" w:rsidRPr="00B175FB">
        <w:rPr>
          <w:rFonts w:eastAsia="Times New Roman"/>
          <w:sz w:val="22"/>
        </w:rPr>
        <w:t> </w:t>
      </w:r>
      <w:r w:rsidRPr="00B175FB">
        <w:rPr>
          <w:rFonts w:eastAsia="Times New Roman"/>
          <w:sz w:val="22"/>
        </w:rPr>
        <w:t>nutné dlouhodobě udržet zcela jedinečnou znalostní a</w:t>
      </w:r>
      <w:r w:rsidR="00854768" w:rsidRPr="00B175FB">
        <w:rPr>
          <w:rFonts w:eastAsia="Times New Roman"/>
          <w:sz w:val="22"/>
        </w:rPr>
        <w:t> </w:t>
      </w:r>
      <w:r w:rsidRPr="00B175FB">
        <w:rPr>
          <w:rFonts w:eastAsia="Times New Roman"/>
          <w:sz w:val="22"/>
        </w:rPr>
        <w:t>technologickou úroveň tzv. velkých výzkumných infrastruktur</w:t>
      </w:r>
      <w:r w:rsidR="008625D6" w:rsidRPr="00CD569A">
        <w:rPr>
          <w:rStyle w:val="Znakapoznpodarou"/>
          <w:rFonts w:eastAsia="Times New Roman"/>
          <w:b w:val="0"/>
          <w:sz w:val="22"/>
        </w:rPr>
        <w:footnoteReference w:id="69"/>
      </w:r>
      <w:r w:rsidRPr="00B175FB">
        <w:rPr>
          <w:rFonts w:eastAsia="Times New Roman"/>
          <w:sz w:val="22"/>
        </w:rPr>
        <w:t xml:space="preserve"> vyžadujících průběžnou modernizaci tak, aby dlouhodobě dosahovaly mezinárodně konkurenceschopné úrovně.</w:t>
      </w:r>
      <w:r w:rsidR="00E41A1F" w:rsidRPr="000729EC">
        <w:rPr>
          <w:rStyle w:val="Znakapoznpodarou"/>
          <w:rFonts w:eastAsia="Times New Roman"/>
          <w:b w:val="0"/>
          <w:sz w:val="22"/>
        </w:rPr>
        <w:footnoteReference w:id="70"/>
      </w:r>
    </w:p>
    <w:p w:rsidR="00F13FBC" w:rsidRPr="00B175FB" w:rsidRDefault="00F13FBC" w:rsidP="00F13FBC">
      <w:pPr>
        <w:spacing w:line="276" w:lineRule="auto"/>
        <w:jc w:val="both"/>
        <w:rPr>
          <w:noProof/>
          <w:sz w:val="22"/>
        </w:rPr>
      </w:pPr>
    </w:p>
    <w:p w:rsidR="00F13FBC" w:rsidRPr="00B175FB" w:rsidRDefault="002B6FD5" w:rsidP="00F13FBC">
      <w:pPr>
        <w:spacing w:line="276" w:lineRule="auto"/>
        <w:jc w:val="both"/>
        <w:rPr>
          <w:rFonts w:eastAsia="Times New Roman"/>
          <w:b/>
          <w:i/>
          <w:sz w:val="22"/>
        </w:rPr>
      </w:pPr>
      <w:r w:rsidRPr="00B175FB">
        <w:rPr>
          <w:rFonts w:eastAsia="Times New Roman"/>
          <w:noProof/>
          <w:sz w:val="22"/>
          <w:lang w:eastAsia="cs-CZ"/>
        </w:rPr>
        <mc:AlternateContent>
          <mc:Choice Requires="wps">
            <w:drawing>
              <wp:inline distT="0" distB="0" distL="0" distR="0" wp14:anchorId="6744A1A4" wp14:editId="4E16A65A">
                <wp:extent cx="6120130" cy="2099310"/>
                <wp:effectExtent l="0" t="0" r="13970" b="20320"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099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05FC" w:rsidRPr="000A41E9" w:rsidRDefault="00E505FC" w:rsidP="000A41E9">
                            <w:pPr>
                              <w:spacing w:before="73" w:after="73" w:line="276" w:lineRule="auto"/>
                              <w:jc w:val="both"/>
                              <w:rPr>
                                <w:rFonts w:eastAsia="Times New Roman"/>
                                <w:b/>
                                <w:sz w:val="22"/>
                              </w:rPr>
                            </w:pPr>
                            <w:r w:rsidRPr="000A41E9">
                              <w:rPr>
                                <w:rFonts w:eastAsia="Times New Roman"/>
                                <w:b/>
                                <w:sz w:val="22"/>
                              </w:rPr>
                              <w:t>OP JAK přispěje ke zvýšení konkurenceschopnosti ČR v oblasti výzkumu a vývoje prostřednictvím posílení kapacit pro kvalitní výzkum a budoucí využitelnosti výsledků</w:t>
                            </w:r>
                            <w:r>
                              <w:rPr>
                                <w:rFonts w:eastAsia="Times New Roman"/>
                                <w:b/>
                                <w:sz w:val="22"/>
                              </w:rPr>
                              <w:t xml:space="preserve"> VaVaI</w:t>
                            </w:r>
                            <w:r w:rsidRPr="000A41E9">
                              <w:rPr>
                                <w:rFonts w:eastAsia="Times New Roman"/>
                                <w:b/>
                                <w:sz w:val="22"/>
                              </w:rPr>
                              <w:t>.</w:t>
                            </w:r>
                          </w:p>
                          <w:p w:rsidR="00E505FC" w:rsidRPr="000A41E9" w:rsidRDefault="00E505FC" w:rsidP="006A2F6A">
                            <w:pPr>
                              <w:pStyle w:val="Odstavecseseznamem"/>
                              <w:numPr>
                                <w:ilvl w:val="0"/>
                                <w:numId w:val="56"/>
                              </w:numPr>
                              <w:spacing w:before="73" w:after="73" w:line="276" w:lineRule="auto"/>
                              <w:jc w:val="both"/>
                              <w:rPr>
                                <w:rFonts w:eastAsia="Times New Roman" w:cs="Times New Roman"/>
                                <w:sz w:val="22"/>
                              </w:rPr>
                            </w:pPr>
                            <w:r w:rsidRPr="000A41E9">
                              <w:rPr>
                                <w:rFonts w:eastAsia="Times New Roman" w:cs="Times New Roman"/>
                                <w:sz w:val="22"/>
                              </w:rPr>
                              <w:t>Posílení internacionalizace a rozvoj institucionálního prostředí výzkumných organizací.</w:t>
                            </w:r>
                          </w:p>
                          <w:p w:rsidR="00E505FC" w:rsidRPr="000A41E9" w:rsidRDefault="00E505FC" w:rsidP="006A2F6A">
                            <w:pPr>
                              <w:pStyle w:val="Odstavecseseznamem"/>
                              <w:numPr>
                                <w:ilvl w:val="0"/>
                                <w:numId w:val="56"/>
                              </w:numPr>
                              <w:spacing w:before="73" w:after="73" w:line="276" w:lineRule="auto"/>
                              <w:jc w:val="both"/>
                              <w:rPr>
                                <w:rFonts w:eastAsia="Times New Roman" w:cs="Times New Roman"/>
                                <w:sz w:val="22"/>
                              </w:rPr>
                            </w:pPr>
                            <w:r w:rsidRPr="000A41E9">
                              <w:rPr>
                                <w:rFonts w:eastAsia="Times New Roman" w:cs="Times New Roman"/>
                                <w:sz w:val="22"/>
                              </w:rPr>
                              <w:t>Zvýšení otevřenosti výzkumného systému a posílení zapojení výzkumných týmů z českých výzkumných organizací do mezinárodních projektů.</w:t>
                            </w:r>
                          </w:p>
                          <w:p w:rsidR="00E505FC" w:rsidRPr="000A41E9" w:rsidRDefault="00E505FC" w:rsidP="006A2F6A">
                            <w:pPr>
                              <w:pStyle w:val="Odstavecseseznamem"/>
                              <w:numPr>
                                <w:ilvl w:val="0"/>
                                <w:numId w:val="56"/>
                              </w:numPr>
                              <w:spacing w:before="73" w:after="73" w:line="276" w:lineRule="auto"/>
                              <w:jc w:val="both"/>
                              <w:rPr>
                                <w:rFonts w:eastAsia="Times New Roman" w:cs="Times New Roman"/>
                                <w:sz w:val="22"/>
                              </w:rPr>
                            </w:pPr>
                            <w:r w:rsidRPr="000A41E9">
                              <w:rPr>
                                <w:rFonts w:eastAsia="Times New Roman" w:cs="Times New Roman"/>
                                <w:sz w:val="22"/>
                              </w:rPr>
                              <w:t>Posílení spolupráce výzkumných organizací s aplikační sférou</w:t>
                            </w:r>
                            <w:r>
                              <w:rPr>
                                <w:rFonts w:eastAsia="Times New Roman" w:cs="Times New Roman"/>
                                <w:sz w:val="22"/>
                              </w:rPr>
                              <w:t>,</w:t>
                            </w:r>
                            <w:r w:rsidRPr="000A41E9">
                              <w:rPr>
                                <w:rFonts w:eastAsia="Times New Roman" w:cs="Times New Roman"/>
                                <w:sz w:val="22"/>
                              </w:rPr>
                              <w:t xml:space="preserve"> posílení aplikovatelnosti výsledků </w:t>
                            </w:r>
                            <w:r>
                              <w:rPr>
                                <w:rFonts w:eastAsia="Times New Roman" w:cs="Times New Roman"/>
                                <w:sz w:val="22"/>
                              </w:rPr>
                              <w:t>VaVaI a posílení orientace výzkumu ve VO do oblastí s vysokým potenciálem aplikovatelnosti v praxi</w:t>
                            </w:r>
                            <w:r w:rsidRPr="000A41E9">
                              <w:rPr>
                                <w:rFonts w:eastAsia="Times New Roman" w:cs="Times New Roman"/>
                                <w:sz w:val="22"/>
                              </w:rPr>
                              <w:t>.</w:t>
                            </w:r>
                          </w:p>
                          <w:p w:rsidR="00E505FC" w:rsidRPr="000A41E9" w:rsidRDefault="00E505FC" w:rsidP="006A2F6A">
                            <w:pPr>
                              <w:pStyle w:val="Odstavecseseznamem"/>
                              <w:numPr>
                                <w:ilvl w:val="0"/>
                                <w:numId w:val="56"/>
                              </w:numPr>
                              <w:spacing w:before="73" w:after="73" w:line="276" w:lineRule="auto"/>
                              <w:jc w:val="both"/>
                              <w:rPr>
                                <w:rFonts w:eastAsia="Times New Roman" w:cs="Times New Roman"/>
                                <w:sz w:val="22"/>
                              </w:rPr>
                            </w:pPr>
                            <w:r w:rsidRPr="000A41E9">
                              <w:rPr>
                                <w:rFonts w:eastAsia="Times New Roman" w:cs="Times New Roman"/>
                                <w:sz w:val="22"/>
                              </w:rPr>
                              <w:t>Zajištění dostatečného počtu kvalifikovaných pracovníků ve výzkumu a vývoji.</w:t>
                            </w:r>
                          </w:p>
                          <w:p w:rsidR="00E505FC" w:rsidRPr="000A41E9" w:rsidRDefault="00E505FC" w:rsidP="006A2F6A">
                            <w:pPr>
                              <w:pStyle w:val="Odstavecseseznamem"/>
                              <w:numPr>
                                <w:ilvl w:val="0"/>
                                <w:numId w:val="56"/>
                              </w:numPr>
                              <w:spacing w:before="73" w:after="73" w:line="276" w:lineRule="auto"/>
                              <w:jc w:val="both"/>
                              <w:rPr>
                                <w:rFonts w:eastAsia="Times New Roman" w:cs="Times New Roman"/>
                                <w:sz w:val="22"/>
                              </w:rPr>
                            </w:pPr>
                            <w:r w:rsidRPr="000A41E9">
                              <w:rPr>
                                <w:rFonts w:eastAsia="Times New Roman" w:cs="Times New Roman"/>
                                <w:sz w:val="22"/>
                              </w:rPr>
                              <w:t>Zajištění up-t</w:t>
                            </w:r>
                            <w:r>
                              <w:rPr>
                                <w:rFonts w:eastAsia="Times New Roman" w:cs="Times New Roman"/>
                                <w:sz w:val="22"/>
                              </w:rPr>
                              <w:t>o-date výzkumné infrastruktury.</w:t>
                            </w:r>
                          </w:p>
                          <w:p w:rsidR="00E505FC" w:rsidRPr="000A41E9" w:rsidRDefault="00E505FC" w:rsidP="006A2F6A">
                            <w:pPr>
                              <w:pStyle w:val="Odstavecseseznamem"/>
                              <w:numPr>
                                <w:ilvl w:val="0"/>
                                <w:numId w:val="56"/>
                              </w:numPr>
                              <w:spacing w:before="73" w:after="73" w:line="276" w:lineRule="auto"/>
                              <w:jc w:val="both"/>
                              <w:rPr>
                                <w:rFonts w:eastAsia="Times New Roman" w:cs="Times New Roman"/>
                                <w:sz w:val="22"/>
                              </w:rPr>
                            </w:pPr>
                            <w:r w:rsidRPr="000A41E9">
                              <w:rPr>
                                <w:rFonts w:eastAsia="Times New Roman" w:cs="Times New Roman"/>
                                <w:sz w:val="22"/>
                              </w:rPr>
                              <w:t>Posílení excelence ve výzkumu v oblastech, jež byly identifikovány jako národní priority pro</w:t>
                            </w:r>
                            <w:r>
                              <w:rPr>
                                <w:rFonts w:eastAsia="Times New Roman" w:cs="Times New Roman"/>
                                <w:sz w:val="22"/>
                              </w:rPr>
                              <w:t> </w:t>
                            </w:r>
                            <w:r w:rsidRPr="000A41E9">
                              <w:rPr>
                                <w:rFonts w:eastAsia="Times New Roman" w:cs="Times New Roman"/>
                                <w:sz w:val="22"/>
                              </w:rPr>
                              <w:t>VaVaI.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744A1A4" id="_x0000_s1030" type="#_x0000_t202" style="width:481.9pt;height:165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">
                <v:textbox style="mso-fit-shape-to-text:t">
                  <w:txbxContent>
                    <w:p w:rsidR="00E505FC" w:rsidRPr="000A41E9" w:rsidRDefault="00E505FC" w:rsidP="000A41E9">
                      <w:pPr>
                        <w:spacing w:before="73" w:after="73" w:line="276" w:lineRule="auto"/>
                        <w:jc w:val="both"/>
                        <w:rPr>
                          <w:rFonts w:eastAsia="Times New Roman"/>
                          <w:b/>
                          <w:sz w:val="22"/>
                        </w:rPr>
                      </w:pPr>
                      <w:r w:rsidRPr="000A41E9">
                        <w:rPr>
                          <w:rFonts w:eastAsia="Times New Roman"/>
                          <w:b/>
                          <w:sz w:val="22"/>
                        </w:rPr>
                        <w:t>OP JAK přispěje ke zvýšení konkurenceschopnosti ČR v oblasti výzkumu a vývoje prostřednictvím posílení kapacit pro kvalitní výzkum a budoucí využitelnosti výsledků</w:t>
                      </w:r>
                      <w:r>
                        <w:rPr>
                          <w:rFonts w:eastAsia="Times New Roman"/>
                          <w:b/>
                          <w:sz w:val="22"/>
                        </w:rPr>
                        <w:t xml:space="preserve"> VaVaI</w:t>
                      </w:r>
                      <w:r w:rsidRPr="000A41E9">
                        <w:rPr>
                          <w:rFonts w:eastAsia="Times New Roman"/>
                          <w:b/>
                          <w:sz w:val="22"/>
                        </w:rPr>
                        <w:t>.</w:t>
                      </w:r>
                    </w:p>
                    <w:p w:rsidR="00E505FC" w:rsidRPr="000A41E9" w:rsidRDefault="00E505FC" w:rsidP="006A2F6A">
                      <w:pPr>
                        <w:pStyle w:val="Odstavecseseznamem"/>
                        <w:numPr>
                          <w:ilvl w:val="0"/>
                          <w:numId w:val="56"/>
                        </w:numPr>
                        <w:spacing w:before="73" w:after="73" w:line="276" w:lineRule="auto"/>
                        <w:jc w:val="both"/>
                        <w:rPr>
                          <w:rFonts w:eastAsia="Times New Roman" w:cs="Times New Roman"/>
                          <w:sz w:val="22"/>
                        </w:rPr>
                      </w:pPr>
                      <w:r w:rsidRPr="000A41E9">
                        <w:rPr>
                          <w:rFonts w:eastAsia="Times New Roman" w:cs="Times New Roman"/>
                          <w:sz w:val="22"/>
                        </w:rPr>
                        <w:t>Posílení internacionalizace a rozvoj institucionálního prostředí výzkumných organizací.</w:t>
                      </w:r>
                    </w:p>
                    <w:p w:rsidR="00E505FC" w:rsidRPr="000A41E9" w:rsidRDefault="00E505FC" w:rsidP="006A2F6A">
                      <w:pPr>
                        <w:pStyle w:val="Odstavecseseznamem"/>
                        <w:numPr>
                          <w:ilvl w:val="0"/>
                          <w:numId w:val="56"/>
                        </w:numPr>
                        <w:spacing w:before="73" w:after="73" w:line="276" w:lineRule="auto"/>
                        <w:jc w:val="both"/>
                        <w:rPr>
                          <w:rFonts w:eastAsia="Times New Roman" w:cs="Times New Roman"/>
                          <w:sz w:val="22"/>
                        </w:rPr>
                      </w:pPr>
                      <w:r w:rsidRPr="000A41E9">
                        <w:rPr>
                          <w:rFonts w:eastAsia="Times New Roman" w:cs="Times New Roman"/>
                          <w:sz w:val="22"/>
                        </w:rPr>
                        <w:t>Zvýšení otevřenosti výzkumného systému a posílení zapojení výzkumných týmů z českých výzkumných organizací do mezinárodních projektů.</w:t>
                      </w:r>
                    </w:p>
                    <w:p w:rsidR="00E505FC" w:rsidRPr="000A41E9" w:rsidRDefault="00E505FC" w:rsidP="006A2F6A">
                      <w:pPr>
                        <w:pStyle w:val="Odstavecseseznamem"/>
                        <w:numPr>
                          <w:ilvl w:val="0"/>
                          <w:numId w:val="56"/>
                        </w:numPr>
                        <w:spacing w:before="73" w:after="73" w:line="276" w:lineRule="auto"/>
                        <w:jc w:val="both"/>
                        <w:rPr>
                          <w:rFonts w:eastAsia="Times New Roman" w:cs="Times New Roman"/>
                          <w:sz w:val="22"/>
                        </w:rPr>
                      </w:pPr>
                      <w:r w:rsidRPr="000A41E9">
                        <w:rPr>
                          <w:rFonts w:eastAsia="Times New Roman" w:cs="Times New Roman"/>
                          <w:sz w:val="22"/>
                        </w:rPr>
                        <w:t>Posílení spolupráce výzkumných organizací s aplikační sférou</w:t>
                      </w:r>
                      <w:r>
                        <w:rPr>
                          <w:rFonts w:eastAsia="Times New Roman" w:cs="Times New Roman"/>
                          <w:sz w:val="22"/>
                        </w:rPr>
                        <w:t>,</w:t>
                      </w:r>
                      <w:r w:rsidRPr="000A41E9">
                        <w:rPr>
                          <w:rFonts w:eastAsia="Times New Roman" w:cs="Times New Roman"/>
                          <w:sz w:val="22"/>
                        </w:rPr>
                        <w:t xml:space="preserve"> posílení aplikovatelnosti výsledků </w:t>
                      </w:r>
                      <w:r>
                        <w:rPr>
                          <w:rFonts w:eastAsia="Times New Roman" w:cs="Times New Roman"/>
                          <w:sz w:val="22"/>
                        </w:rPr>
                        <w:t>VaVaI a posílení orientace výzkumu ve VO do oblastí s vysokým potenciálem aplikovatelnosti v praxi</w:t>
                      </w:r>
                      <w:r w:rsidRPr="000A41E9">
                        <w:rPr>
                          <w:rFonts w:eastAsia="Times New Roman" w:cs="Times New Roman"/>
                          <w:sz w:val="22"/>
                        </w:rPr>
                        <w:t>.</w:t>
                      </w:r>
                    </w:p>
                    <w:p w:rsidR="00E505FC" w:rsidRPr="000A41E9" w:rsidRDefault="00E505FC" w:rsidP="006A2F6A">
                      <w:pPr>
                        <w:pStyle w:val="Odstavecseseznamem"/>
                        <w:numPr>
                          <w:ilvl w:val="0"/>
                          <w:numId w:val="56"/>
                        </w:numPr>
                        <w:spacing w:before="73" w:after="73" w:line="276" w:lineRule="auto"/>
                        <w:jc w:val="both"/>
                        <w:rPr>
                          <w:rFonts w:eastAsia="Times New Roman" w:cs="Times New Roman"/>
                          <w:sz w:val="22"/>
                        </w:rPr>
                      </w:pPr>
                      <w:r w:rsidRPr="000A41E9">
                        <w:rPr>
                          <w:rFonts w:eastAsia="Times New Roman" w:cs="Times New Roman"/>
                          <w:sz w:val="22"/>
                        </w:rPr>
                        <w:t>Zajištění dostatečného počtu kvalifikovaných pracovníků ve výzkumu a vývoji.</w:t>
                      </w:r>
                    </w:p>
                    <w:p w:rsidR="00E505FC" w:rsidRPr="000A41E9" w:rsidRDefault="00E505FC" w:rsidP="006A2F6A">
                      <w:pPr>
                        <w:pStyle w:val="Odstavecseseznamem"/>
                        <w:numPr>
                          <w:ilvl w:val="0"/>
                          <w:numId w:val="56"/>
                        </w:numPr>
                        <w:spacing w:before="73" w:after="73" w:line="276" w:lineRule="auto"/>
                        <w:jc w:val="both"/>
                        <w:rPr>
                          <w:rFonts w:eastAsia="Times New Roman" w:cs="Times New Roman"/>
                          <w:sz w:val="22"/>
                        </w:rPr>
                      </w:pPr>
                      <w:r w:rsidRPr="000A41E9">
                        <w:rPr>
                          <w:rFonts w:eastAsia="Times New Roman" w:cs="Times New Roman"/>
                          <w:sz w:val="22"/>
                        </w:rPr>
                        <w:t>Zajištění up-t</w:t>
                      </w:r>
                      <w:r>
                        <w:rPr>
                          <w:rFonts w:eastAsia="Times New Roman" w:cs="Times New Roman"/>
                          <w:sz w:val="22"/>
                        </w:rPr>
                        <w:t>o-date výzkumné infrastruktury.</w:t>
                      </w:r>
                    </w:p>
                    <w:p w:rsidR="00E505FC" w:rsidRPr="000A41E9" w:rsidRDefault="00E505FC" w:rsidP="006A2F6A">
                      <w:pPr>
                        <w:pStyle w:val="Odstavecseseznamem"/>
                        <w:numPr>
                          <w:ilvl w:val="0"/>
                          <w:numId w:val="56"/>
                        </w:numPr>
                        <w:spacing w:before="73" w:after="73" w:line="276" w:lineRule="auto"/>
                        <w:jc w:val="both"/>
                        <w:rPr>
                          <w:rFonts w:eastAsia="Times New Roman" w:cs="Times New Roman"/>
                          <w:sz w:val="22"/>
                        </w:rPr>
                      </w:pPr>
                      <w:r w:rsidRPr="000A41E9">
                        <w:rPr>
                          <w:rFonts w:eastAsia="Times New Roman" w:cs="Times New Roman"/>
                          <w:sz w:val="22"/>
                        </w:rPr>
                        <w:t>Posílení excelence ve výzkumu v oblastech, jež byly identifikovány jako národní priority pro</w:t>
                      </w:r>
                      <w:r>
                        <w:rPr>
                          <w:rFonts w:eastAsia="Times New Roman" w:cs="Times New Roman"/>
                          <w:sz w:val="22"/>
                        </w:rPr>
                        <w:t> </w:t>
                      </w:r>
                      <w:r w:rsidRPr="000A41E9">
                        <w:rPr>
                          <w:rFonts w:eastAsia="Times New Roman" w:cs="Times New Roman"/>
                          <w:sz w:val="22"/>
                        </w:rPr>
                        <w:t>VaVaI.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42A89" w:rsidRPr="00B175FB" w:rsidRDefault="00F42A89" w:rsidP="00F42A89">
      <w:pPr>
        <w:spacing w:before="0" w:after="160" w:line="259" w:lineRule="auto"/>
        <w:rPr>
          <w:rFonts w:eastAsia="Times New Roman"/>
          <w:noProof/>
          <w:sz w:val="22"/>
        </w:rPr>
      </w:pPr>
    </w:p>
    <w:p w:rsidR="000F7E3F" w:rsidRPr="00B175FB" w:rsidRDefault="000F7E3F" w:rsidP="006A2F6A">
      <w:pPr>
        <w:pStyle w:val="Nadpis2"/>
        <w:rPr>
          <w:color w:val="1F4E79" w:themeColor="accent5" w:themeShade="80"/>
          <w:lang w:val="cs-CZ"/>
        </w:rPr>
      </w:pPr>
      <w:bookmarkStart w:id="45" w:name="_Toc66476036"/>
      <w:bookmarkStart w:id="46" w:name="_Toc68610994"/>
      <w:r w:rsidRPr="00B175FB">
        <w:rPr>
          <w:color w:val="1F4E79" w:themeColor="accent5" w:themeShade="80"/>
          <w:lang w:val="cs-CZ"/>
        </w:rPr>
        <w:t>Odůvodnění výběru cílů politiky a souvisejících specifických cílů</w:t>
      </w:r>
      <w:bookmarkEnd w:id="45"/>
      <w:bookmarkEnd w:id="46"/>
    </w:p>
    <w:p w:rsidR="00C140B3" w:rsidRDefault="00326AC3" w:rsidP="00BA2FC9">
      <w:pPr>
        <w:spacing w:before="0" w:after="160" w:line="276" w:lineRule="auto"/>
        <w:jc w:val="both"/>
        <w:rPr>
          <w:rFonts w:eastAsia="Times New Roman"/>
          <w:noProof/>
          <w:sz w:val="22"/>
        </w:rPr>
      </w:pPr>
      <w:r w:rsidRPr="00B175FB">
        <w:rPr>
          <w:rFonts w:eastAsia="Times New Roman"/>
          <w:noProof/>
          <w:sz w:val="22"/>
        </w:rPr>
        <w:t xml:space="preserve">OP JAK sestává ze dvou věcných priorit, přičemž první priorita je zaměřena na podporu oblasti VaV, a to jak rozvoje infrastrukturní základny a budování tvrdých kapacit pro VaV, tak na rozvoj strategického řízení VO, rozvoj lidských zdrojů ve VaV a budování a posilování spolupráce s aplikační sférou a zahraničními partnery a bude financována z Evropského fondu pro regionální rozvoj (dále jen „ERDF“). </w:t>
      </w:r>
    </w:p>
    <w:p w:rsidR="00326AC3" w:rsidRDefault="00326AC3" w:rsidP="00BA2FC9">
      <w:pPr>
        <w:spacing w:before="0" w:after="160" w:line="276" w:lineRule="auto"/>
        <w:jc w:val="both"/>
        <w:rPr>
          <w:rFonts w:eastAsia="Times New Roman"/>
          <w:sz w:val="22"/>
        </w:rPr>
      </w:pPr>
      <w:r w:rsidRPr="00B175FB">
        <w:rPr>
          <w:rFonts w:eastAsia="Times New Roman"/>
          <w:noProof/>
          <w:sz w:val="22"/>
        </w:rPr>
        <w:t>Druhá priorita cílí na podporu všech úrovní vzdělávání – od podpory předškolního vzdělávání až po podporu postgraduálního vzdělávání – a bude financována z ERDF i Evropského sociálního fondu plus</w:t>
      </w:r>
      <w:r w:rsidR="00652F30">
        <w:rPr>
          <w:rFonts w:eastAsia="Times New Roman"/>
          <w:noProof/>
          <w:sz w:val="22"/>
        </w:rPr>
        <w:t> </w:t>
      </w:r>
      <w:r w:rsidRPr="00B175FB">
        <w:rPr>
          <w:rFonts w:eastAsia="Times New Roman"/>
          <w:noProof/>
          <w:sz w:val="22"/>
        </w:rPr>
        <w:t>(dále</w:t>
      </w:r>
      <w:r w:rsidR="00652F30">
        <w:rPr>
          <w:rFonts w:eastAsia="Times New Roman"/>
          <w:noProof/>
          <w:sz w:val="22"/>
        </w:rPr>
        <w:t> </w:t>
      </w:r>
      <w:r w:rsidRPr="00B175FB">
        <w:rPr>
          <w:rFonts w:eastAsia="Times New Roman"/>
          <w:noProof/>
          <w:sz w:val="22"/>
        </w:rPr>
        <w:t>jen</w:t>
      </w:r>
      <w:r w:rsidR="00C140B3">
        <w:rPr>
          <w:rFonts w:eastAsia="Times New Roman"/>
          <w:noProof/>
          <w:sz w:val="22"/>
        </w:rPr>
        <w:t> </w:t>
      </w:r>
      <w:r w:rsidRPr="00B175FB">
        <w:rPr>
          <w:rFonts w:eastAsia="Times New Roman"/>
          <w:noProof/>
          <w:sz w:val="22"/>
        </w:rPr>
        <w:t xml:space="preserve">„ESF+“). </w:t>
      </w:r>
      <w:r w:rsidRPr="00B175FB">
        <w:rPr>
          <w:rFonts w:eastAsia="Times New Roman"/>
          <w:sz w:val="22"/>
        </w:rPr>
        <w:t>Specifické</w:t>
      </w:r>
      <w:r w:rsidR="00B418B6">
        <w:rPr>
          <w:rFonts w:eastAsia="Times New Roman"/>
          <w:sz w:val="22"/>
        </w:rPr>
        <w:t> </w:t>
      </w:r>
      <w:r w:rsidRPr="00B175FB">
        <w:rPr>
          <w:rFonts w:eastAsia="Times New Roman"/>
          <w:sz w:val="22"/>
        </w:rPr>
        <w:t>cíle byly zvoleny s ohledem na výše identifikované slabé stránky českého vzdělávacího systému a</w:t>
      </w:r>
      <w:r w:rsidR="00DE79E6">
        <w:rPr>
          <w:rFonts w:eastAsia="Times New Roman"/>
          <w:sz w:val="22"/>
        </w:rPr>
        <w:t> </w:t>
      </w:r>
      <w:r w:rsidRPr="00B175FB">
        <w:rPr>
          <w:rFonts w:eastAsia="Times New Roman"/>
          <w:sz w:val="22"/>
        </w:rPr>
        <w:t>systému</w:t>
      </w:r>
      <w:r w:rsidR="00DE79E6">
        <w:rPr>
          <w:rFonts w:eastAsia="Times New Roman"/>
          <w:sz w:val="22"/>
        </w:rPr>
        <w:t> </w:t>
      </w:r>
      <w:r w:rsidRPr="00B175FB">
        <w:rPr>
          <w:rFonts w:eastAsia="Times New Roman"/>
          <w:sz w:val="22"/>
        </w:rPr>
        <w:t>VaV</w:t>
      </w:r>
      <w:r w:rsidR="002F2815">
        <w:rPr>
          <w:rFonts w:eastAsia="Times New Roman"/>
          <w:sz w:val="22"/>
        </w:rPr>
        <w:t xml:space="preserve"> a budou mít pozitivní vliv na </w:t>
      </w:r>
      <w:r w:rsidR="00064371">
        <w:rPr>
          <w:rFonts w:eastAsia="Times New Roman"/>
          <w:sz w:val="22"/>
        </w:rPr>
        <w:t>posílení</w:t>
      </w:r>
      <w:r w:rsidR="002E3310">
        <w:rPr>
          <w:rFonts w:eastAsia="Times New Roman"/>
          <w:sz w:val="22"/>
        </w:rPr>
        <w:t xml:space="preserve"> genderové</w:t>
      </w:r>
      <w:r w:rsidR="002F2815">
        <w:rPr>
          <w:rFonts w:eastAsia="Times New Roman"/>
          <w:sz w:val="22"/>
        </w:rPr>
        <w:t xml:space="preserve"> rovnosti</w:t>
      </w:r>
      <w:r w:rsidRPr="00B175FB">
        <w:rPr>
          <w:rFonts w:eastAsia="Times New Roman"/>
          <w:sz w:val="22"/>
        </w:rPr>
        <w:t>.</w:t>
      </w:r>
    </w:p>
    <w:p w:rsidR="006D5A9A" w:rsidRDefault="006D5A9A">
      <w:pPr>
        <w:spacing w:before="0" w:after="160" w:line="259" w:lineRule="auto"/>
      </w:pPr>
    </w:p>
    <w:p w:rsidR="004931D2" w:rsidRDefault="004931D2">
      <w:pPr>
        <w:spacing w:before="0" w:after="160" w:line="259" w:lineRule="auto"/>
      </w:pPr>
    </w:p>
    <w:p w:rsidR="004931D2" w:rsidRDefault="004931D2">
      <w:pPr>
        <w:spacing w:before="0" w:after="160" w:line="259" w:lineRule="auto"/>
      </w:pPr>
    </w:p>
    <w:p w:rsidR="004931D2" w:rsidRDefault="004931D2">
      <w:pPr>
        <w:spacing w:before="0" w:after="160" w:line="259" w:lineRule="auto"/>
      </w:pPr>
    </w:p>
    <w:p w:rsidR="004931D2" w:rsidRDefault="004931D2">
      <w:pPr>
        <w:spacing w:before="0" w:after="160" w:line="259" w:lineRule="auto"/>
      </w:pPr>
    </w:p>
    <w:p w:rsidR="004931D2" w:rsidRDefault="004931D2">
      <w:pPr>
        <w:spacing w:before="0" w:after="160" w:line="259" w:lineRule="auto"/>
      </w:pPr>
    </w:p>
    <w:p w:rsidR="004931D2" w:rsidRDefault="004931D2">
      <w:pPr>
        <w:spacing w:before="0" w:after="160" w:line="259" w:lineRule="auto"/>
      </w:pPr>
    </w:p>
    <w:p w:rsidR="004931D2" w:rsidRDefault="004931D2">
      <w:pPr>
        <w:spacing w:before="0" w:after="160" w:line="259" w:lineRule="auto"/>
      </w:pPr>
    </w:p>
    <w:p w:rsidR="004931D2" w:rsidRDefault="004931D2">
      <w:pPr>
        <w:spacing w:before="0" w:after="160" w:line="259" w:lineRule="auto"/>
      </w:pPr>
    </w:p>
    <w:p w:rsidR="004931D2" w:rsidRDefault="004931D2">
      <w:pPr>
        <w:spacing w:before="0" w:after="160" w:line="259" w:lineRule="auto"/>
      </w:pPr>
    </w:p>
    <w:p w:rsidR="004931D2" w:rsidRDefault="004931D2">
      <w:pPr>
        <w:spacing w:before="0" w:after="160" w:line="259" w:lineRule="auto"/>
      </w:pPr>
    </w:p>
    <w:p w:rsidR="004931D2" w:rsidRDefault="004931D2">
      <w:pPr>
        <w:spacing w:before="0" w:after="160" w:line="259" w:lineRule="auto"/>
      </w:pPr>
    </w:p>
    <w:p w:rsidR="00C45D73" w:rsidRPr="00F6239D" w:rsidRDefault="00C45D73" w:rsidP="00DB0018">
      <w:pPr>
        <w:pStyle w:val="Titulek"/>
        <w:spacing w:before="0" w:after="0"/>
        <w:jc w:val="left"/>
        <w:rPr>
          <w:rFonts w:ascii="Times New Roman" w:hAnsi="Times New Roman" w:cs="Times New Roman"/>
        </w:rPr>
      </w:pPr>
      <w:bookmarkStart w:id="47" w:name="_Toc66346560"/>
      <w:r w:rsidRPr="00F6239D">
        <w:rPr>
          <w:rFonts w:ascii="Times New Roman" w:hAnsi="Times New Roman" w:cs="Times New Roman"/>
        </w:rPr>
        <w:t xml:space="preserve">Tabulka </w:t>
      </w:r>
      <w:r w:rsidRPr="00F6239D">
        <w:rPr>
          <w:rFonts w:ascii="Times New Roman" w:hAnsi="Times New Roman" w:cs="Times New Roman"/>
        </w:rPr>
        <w:fldChar w:fldCharType="begin"/>
      </w:r>
      <w:r w:rsidRPr="00F6239D">
        <w:rPr>
          <w:rFonts w:ascii="Times New Roman" w:hAnsi="Times New Roman" w:cs="Times New Roman"/>
        </w:rPr>
        <w:instrText xml:space="preserve"> SEQ Tabulka \* ARABIC </w:instrText>
      </w:r>
      <w:r w:rsidRPr="00F6239D"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noProof/>
        </w:rPr>
        <w:t>1</w:t>
      </w:r>
      <w:r w:rsidRPr="00F6239D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: Cíle politiky a odůvodnění</w:t>
      </w:r>
      <w:bookmarkEnd w:id="47"/>
    </w:p>
    <w:p w:rsidR="006D5A9A" w:rsidRDefault="006D5A9A" w:rsidP="00DB0018">
      <w:pPr>
        <w:spacing w:before="0" w:after="0"/>
      </w:pPr>
    </w:p>
    <w:tbl>
      <w:tblPr>
        <w:tblW w:w="5000" w:type="pct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ook w:val="04A0" w:firstRow="1" w:lastRow="0" w:firstColumn="1" w:lastColumn="0" w:noHBand="0" w:noVBand="1"/>
      </w:tblPr>
      <w:tblGrid>
        <w:gridCol w:w="2220"/>
        <w:gridCol w:w="1707"/>
        <w:gridCol w:w="5701"/>
      </w:tblGrid>
      <w:tr w:rsidR="00FA756B" w:rsidRPr="00B175FB" w:rsidTr="00FA756B">
        <w:tc>
          <w:tcPr>
            <w:tcW w:w="1153" w:type="pct"/>
            <w:tcBorders>
              <w:top w:val="single" w:sz="4" w:space="0" w:color="2F5496" w:themeColor="accent1" w:themeShade="BF"/>
            </w:tcBorders>
            <w:shd w:val="clear" w:color="auto" w:fill="1F3864" w:themeFill="accent1" w:themeFillShade="80"/>
          </w:tcPr>
          <w:p w:rsidR="00FA756B" w:rsidRPr="00B175FB" w:rsidRDefault="00FA756B" w:rsidP="00FA756B">
            <w:pPr>
              <w:keepNext/>
              <w:spacing w:line="276" w:lineRule="auto"/>
              <w:rPr>
                <w:b/>
                <w:color w:val="000000"/>
                <w:sz w:val="22"/>
                <w:lang w:eastAsia="cs-CZ" w:bidi="cs-CZ"/>
              </w:rPr>
            </w:pPr>
            <w:r w:rsidRPr="00F6239D">
              <w:rPr>
                <w:rFonts w:eastAsia="Times New Roman"/>
                <w:b/>
                <w:sz w:val="22"/>
              </w:rPr>
              <w:t>Cíl politiky</w:t>
            </w:r>
          </w:p>
        </w:tc>
        <w:tc>
          <w:tcPr>
            <w:tcW w:w="886" w:type="pct"/>
            <w:tcBorders>
              <w:top w:val="single" w:sz="4" w:space="0" w:color="2F5496" w:themeColor="accent1" w:themeShade="BF"/>
            </w:tcBorders>
            <w:shd w:val="clear" w:color="auto" w:fill="1F3864" w:themeFill="accent1" w:themeFillShade="80"/>
          </w:tcPr>
          <w:p w:rsidR="00FA756B" w:rsidRPr="00B175FB" w:rsidRDefault="00FA756B" w:rsidP="00FA756B">
            <w:pPr>
              <w:rPr>
                <w:color w:val="000000"/>
                <w:sz w:val="22"/>
                <w:lang w:eastAsia="cs-CZ" w:bidi="cs-CZ"/>
              </w:rPr>
            </w:pPr>
            <w:r w:rsidRPr="00F6239D">
              <w:rPr>
                <w:rFonts w:eastAsia="Times New Roman"/>
                <w:b/>
                <w:sz w:val="22"/>
              </w:rPr>
              <w:t>Specifický cíl</w:t>
            </w:r>
          </w:p>
        </w:tc>
        <w:tc>
          <w:tcPr>
            <w:tcW w:w="2961" w:type="pct"/>
            <w:tcBorders>
              <w:top w:val="single" w:sz="4" w:space="0" w:color="2F5496" w:themeColor="accent1" w:themeShade="BF"/>
            </w:tcBorders>
            <w:shd w:val="clear" w:color="auto" w:fill="1F3864" w:themeFill="accent1" w:themeFillShade="80"/>
          </w:tcPr>
          <w:p w:rsidR="00FA756B" w:rsidRPr="00B175FB" w:rsidRDefault="00FA756B" w:rsidP="00FA756B">
            <w:pPr>
              <w:spacing w:line="276" w:lineRule="auto"/>
              <w:jc w:val="both"/>
              <w:rPr>
                <w:rFonts w:eastAsia="Times New Roman"/>
                <w:sz w:val="22"/>
              </w:rPr>
            </w:pPr>
            <w:r w:rsidRPr="00F6239D">
              <w:rPr>
                <w:rFonts w:eastAsia="Times New Roman"/>
                <w:b/>
                <w:sz w:val="22"/>
              </w:rPr>
              <w:t xml:space="preserve">Odůvodnění (shrnutí) </w:t>
            </w:r>
          </w:p>
        </w:tc>
      </w:tr>
      <w:tr w:rsidR="00FA756B" w:rsidRPr="00B175FB" w:rsidTr="00703880">
        <w:tc>
          <w:tcPr>
            <w:tcW w:w="1153" w:type="pct"/>
            <w:vMerge w:val="restart"/>
          </w:tcPr>
          <w:p w:rsidR="00FA756B" w:rsidRPr="00B175FB" w:rsidRDefault="00FA756B" w:rsidP="00FA756B">
            <w:pPr>
              <w:keepNext/>
              <w:spacing w:line="276" w:lineRule="auto"/>
              <w:rPr>
                <w:b/>
                <w:color w:val="000000"/>
                <w:sz w:val="22"/>
                <w:lang w:eastAsia="cs-CZ" w:bidi="cs-CZ"/>
              </w:rPr>
            </w:pPr>
            <w:r w:rsidRPr="00B175FB">
              <w:rPr>
                <w:b/>
                <w:color w:val="000000"/>
                <w:sz w:val="22"/>
                <w:lang w:eastAsia="cs-CZ" w:bidi="cs-CZ"/>
              </w:rPr>
              <w:t>1. priorita zaměřená na cíl politiky 1</w:t>
            </w:r>
          </w:p>
          <w:p w:rsidR="00FA756B" w:rsidRPr="00B175FB" w:rsidRDefault="00FA756B" w:rsidP="00FA756B">
            <w:pPr>
              <w:spacing w:line="276" w:lineRule="auto"/>
              <w:rPr>
                <w:rFonts w:eastAsia="Times New Roman"/>
                <w:b/>
                <w:sz w:val="22"/>
              </w:rPr>
            </w:pPr>
            <w:r>
              <w:rPr>
                <w:color w:val="000000"/>
                <w:sz w:val="22"/>
                <w:lang w:eastAsia="cs-CZ" w:bidi="cs-CZ"/>
              </w:rPr>
              <w:t>K</w:t>
            </w:r>
            <w:r w:rsidRPr="00520182">
              <w:rPr>
                <w:color w:val="000000"/>
                <w:sz w:val="22"/>
                <w:lang w:eastAsia="cs-CZ" w:bidi="cs-CZ"/>
              </w:rPr>
              <w:t>onkurenceschopnější a inteligentnější Evropa díky podpoře inovativní a</w:t>
            </w:r>
            <w:r w:rsidR="00DB0018">
              <w:rPr>
                <w:color w:val="000000"/>
                <w:sz w:val="22"/>
                <w:lang w:eastAsia="cs-CZ" w:bidi="cs-CZ"/>
              </w:rPr>
              <w:t> </w:t>
            </w:r>
            <w:r w:rsidRPr="00520182">
              <w:rPr>
                <w:color w:val="000000"/>
                <w:sz w:val="22"/>
                <w:lang w:eastAsia="cs-CZ" w:bidi="cs-CZ"/>
              </w:rPr>
              <w:t>inteligentní ekonomické transformace a</w:t>
            </w:r>
            <w:r w:rsidR="00DB0018">
              <w:rPr>
                <w:color w:val="000000"/>
                <w:sz w:val="22"/>
                <w:lang w:eastAsia="cs-CZ" w:bidi="cs-CZ"/>
              </w:rPr>
              <w:t> </w:t>
            </w:r>
            <w:r w:rsidRPr="00520182">
              <w:rPr>
                <w:color w:val="000000"/>
                <w:sz w:val="22"/>
                <w:lang w:eastAsia="cs-CZ" w:bidi="cs-CZ"/>
              </w:rPr>
              <w:t>regionálního propojení IKT</w:t>
            </w:r>
          </w:p>
        </w:tc>
        <w:tc>
          <w:tcPr>
            <w:tcW w:w="886" w:type="pct"/>
          </w:tcPr>
          <w:p w:rsidR="00FA756B" w:rsidRPr="00B175FB" w:rsidRDefault="00FA756B" w:rsidP="00FA756B">
            <w:pPr>
              <w:rPr>
                <w:color w:val="000000"/>
                <w:sz w:val="22"/>
                <w:lang w:eastAsia="cs-CZ" w:bidi="cs-CZ"/>
              </w:rPr>
            </w:pPr>
            <w:r w:rsidRPr="00B175FB">
              <w:rPr>
                <w:color w:val="000000"/>
                <w:sz w:val="22"/>
                <w:lang w:eastAsia="cs-CZ" w:bidi="cs-CZ"/>
              </w:rPr>
              <w:t>SC 1.1</w:t>
            </w:r>
          </w:p>
          <w:p w:rsidR="00595F49" w:rsidRDefault="00FA756B" w:rsidP="00FA756B">
            <w:pPr>
              <w:spacing w:line="276" w:lineRule="auto"/>
              <w:rPr>
                <w:color w:val="000000"/>
                <w:sz w:val="22"/>
                <w:lang w:eastAsia="cs-CZ" w:bidi="cs-CZ"/>
              </w:rPr>
            </w:pPr>
            <w:r w:rsidRPr="008D0462">
              <w:rPr>
                <w:color w:val="000000"/>
                <w:sz w:val="22"/>
                <w:lang w:eastAsia="cs-CZ" w:bidi="cs-CZ"/>
              </w:rPr>
              <w:t>rozvoj a</w:t>
            </w:r>
            <w:r w:rsidR="00DB0018">
              <w:rPr>
                <w:color w:val="000000"/>
                <w:sz w:val="22"/>
                <w:lang w:eastAsia="cs-CZ" w:bidi="cs-CZ"/>
              </w:rPr>
              <w:t> </w:t>
            </w:r>
            <w:r w:rsidRPr="008D0462">
              <w:rPr>
                <w:color w:val="000000"/>
                <w:sz w:val="22"/>
                <w:lang w:eastAsia="cs-CZ" w:bidi="cs-CZ"/>
              </w:rPr>
              <w:t>posilování výzkumných a</w:t>
            </w:r>
            <w:r w:rsidR="00DB0018">
              <w:rPr>
                <w:color w:val="000000"/>
                <w:sz w:val="22"/>
                <w:lang w:eastAsia="cs-CZ" w:bidi="cs-CZ"/>
              </w:rPr>
              <w:t> </w:t>
            </w:r>
            <w:r w:rsidRPr="008D0462">
              <w:rPr>
                <w:color w:val="000000"/>
                <w:sz w:val="22"/>
                <w:lang w:eastAsia="cs-CZ" w:bidi="cs-CZ"/>
              </w:rPr>
              <w:t>inovačních kapacit a</w:t>
            </w:r>
            <w:r w:rsidR="00DB0018">
              <w:rPr>
                <w:color w:val="000000"/>
                <w:sz w:val="22"/>
                <w:lang w:eastAsia="cs-CZ" w:bidi="cs-CZ"/>
              </w:rPr>
              <w:t> </w:t>
            </w:r>
            <w:r w:rsidRPr="008D0462">
              <w:rPr>
                <w:color w:val="000000"/>
                <w:sz w:val="22"/>
                <w:lang w:eastAsia="cs-CZ" w:bidi="cs-CZ"/>
              </w:rPr>
              <w:t>zavádění pokročilých technologií</w:t>
            </w:r>
            <w:r w:rsidRPr="008D0462" w:rsidDel="008D0462">
              <w:rPr>
                <w:color w:val="000000"/>
                <w:sz w:val="22"/>
                <w:lang w:eastAsia="cs-CZ" w:bidi="cs-CZ"/>
              </w:rPr>
              <w:t xml:space="preserve"> </w:t>
            </w:r>
          </w:p>
          <w:p w:rsidR="00FA756B" w:rsidRPr="00B175FB" w:rsidRDefault="00FA756B" w:rsidP="00FA756B">
            <w:pPr>
              <w:spacing w:line="276" w:lineRule="auto"/>
              <w:rPr>
                <w:rFonts w:eastAsia="Times New Roman"/>
                <w:i/>
                <w:sz w:val="22"/>
              </w:rPr>
            </w:pPr>
            <w:r w:rsidRPr="00B175FB">
              <w:rPr>
                <w:color w:val="000000"/>
                <w:sz w:val="22"/>
                <w:lang w:eastAsia="cs-CZ" w:bidi="cs-CZ"/>
              </w:rPr>
              <w:t>(i)</w:t>
            </w:r>
            <w:r>
              <w:rPr>
                <w:color w:val="000000"/>
                <w:sz w:val="22"/>
                <w:lang w:eastAsia="cs-CZ" w:bidi="cs-CZ"/>
              </w:rPr>
              <w:t>)</w:t>
            </w:r>
          </w:p>
        </w:tc>
        <w:tc>
          <w:tcPr>
            <w:tcW w:w="2961" w:type="pct"/>
            <w:hideMark/>
          </w:tcPr>
          <w:p w:rsidR="00FA756B" w:rsidRPr="00B175FB" w:rsidRDefault="00FA756B" w:rsidP="00FA756B">
            <w:pPr>
              <w:spacing w:line="276" w:lineRule="auto"/>
              <w:jc w:val="both"/>
              <w:rPr>
                <w:rFonts w:eastAsia="Times New Roman"/>
                <w:sz w:val="22"/>
              </w:rPr>
            </w:pPr>
            <w:r w:rsidRPr="00B175FB">
              <w:rPr>
                <w:rFonts w:eastAsia="Times New Roman"/>
                <w:sz w:val="22"/>
              </w:rPr>
              <w:t xml:space="preserve">Výběr specifického cíle navazuje na hlavní strategické materiály v oblasti VaVaI, zejména na </w:t>
            </w:r>
            <w:r>
              <w:rPr>
                <w:rFonts w:eastAsia="Times New Roman"/>
                <w:sz w:val="22"/>
              </w:rPr>
              <w:t>N</w:t>
            </w:r>
            <w:r w:rsidRPr="00B175FB">
              <w:rPr>
                <w:rFonts w:eastAsia="Times New Roman"/>
                <w:sz w:val="22"/>
              </w:rPr>
              <w:t>árodní politik</w:t>
            </w:r>
            <w:r>
              <w:rPr>
                <w:rFonts w:eastAsia="Times New Roman"/>
                <w:sz w:val="22"/>
              </w:rPr>
              <w:t>u</w:t>
            </w:r>
            <w:r w:rsidRPr="00B175FB">
              <w:rPr>
                <w:rFonts w:eastAsia="Times New Roman"/>
                <w:sz w:val="22"/>
              </w:rPr>
              <w:t xml:space="preserve"> VaVaI</w:t>
            </w:r>
            <w:r>
              <w:rPr>
                <w:rFonts w:eastAsia="Times New Roman"/>
                <w:sz w:val="22"/>
              </w:rPr>
              <w:t xml:space="preserve"> ČR 2021+</w:t>
            </w:r>
            <w:r w:rsidRPr="00B175FB">
              <w:rPr>
                <w:rFonts w:eastAsia="Times New Roman"/>
                <w:sz w:val="22"/>
              </w:rPr>
              <w:t xml:space="preserve">, Národní RIS3 strategii </w:t>
            </w:r>
            <w:r>
              <w:rPr>
                <w:rFonts w:eastAsia="Times New Roman"/>
                <w:sz w:val="22"/>
              </w:rPr>
              <w:t xml:space="preserve">2021-2027 </w:t>
            </w:r>
            <w:r w:rsidRPr="00B175FB">
              <w:rPr>
                <w:rFonts w:eastAsia="Times New Roman"/>
                <w:sz w:val="22"/>
              </w:rPr>
              <w:t>a Inovační strategii České republiky 2019</w:t>
            </w:r>
            <w:r>
              <w:rPr>
                <w:rFonts w:eastAsia="Times New Roman"/>
                <w:sz w:val="22"/>
              </w:rPr>
              <w:t>-</w:t>
            </w:r>
            <w:r w:rsidRPr="00B175FB">
              <w:rPr>
                <w:rFonts w:eastAsia="Times New Roman"/>
                <w:sz w:val="22"/>
              </w:rPr>
              <w:t>2030, současně reflektuje zjištění a doporučení z tzv. Country specific recommendations. Hlavní identifikované problémy, které by měly být řešeny v</w:t>
            </w:r>
            <w:r w:rsidR="00852641">
              <w:rPr>
                <w:rFonts w:eastAsia="Times New Roman"/>
                <w:sz w:val="22"/>
              </w:rPr>
              <w:t> </w:t>
            </w:r>
            <w:r w:rsidRPr="00B175FB">
              <w:rPr>
                <w:rFonts w:eastAsia="Times New Roman"/>
                <w:sz w:val="22"/>
              </w:rPr>
              <w:t xml:space="preserve">rámci tohoto specifického cíle: </w:t>
            </w:r>
          </w:p>
          <w:p w:rsidR="00FA756B" w:rsidRPr="00B175FB" w:rsidRDefault="00FA756B" w:rsidP="00FA756B">
            <w:pPr>
              <w:pStyle w:val="Odstavecseseznamem"/>
              <w:numPr>
                <w:ilvl w:val="0"/>
                <w:numId w:val="67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přetrvávající uzavřenost výzkumného systému ČR a</w:t>
            </w:r>
            <w:r w:rsidR="00852641">
              <w:rPr>
                <w:rFonts w:eastAsia="Times New Roman" w:cs="Times New Roman"/>
                <w:sz w:val="22"/>
              </w:rPr>
              <w:t> </w:t>
            </w:r>
            <w:r w:rsidRPr="00B175FB">
              <w:rPr>
                <w:rFonts w:eastAsia="Times New Roman" w:cs="Times New Roman"/>
                <w:sz w:val="22"/>
              </w:rPr>
              <w:t>nízká internacionalizace, nižší míra zapojení do mezinárodní spolupráce, která má za důsledek inbreeding a nižší výkonnost celého systému;</w:t>
            </w:r>
          </w:p>
          <w:p w:rsidR="00FA756B" w:rsidRPr="00B175FB" w:rsidRDefault="00FA756B" w:rsidP="00FA756B">
            <w:pPr>
              <w:pStyle w:val="Odstavecseseznamem"/>
              <w:numPr>
                <w:ilvl w:val="0"/>
                <w:numId w:val="67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nedostatečné strategické řízení VO, nedostatečná připravenost podmínek pro integraci výzkumníků ze zahraničí, nedostatečná pozornost věnovaná problematice řízení a rozvoje lidských zdrojů, nedostatečná administrativní/projektová podpora;</w:t>
            </w:r>
          </w:p>
          <w:p w:rsidR="00FA756B" w:rsidRPr="00B175FB" w:rsidRDefault="00FA756B" w:rsidP="00FA756B">
            <w:pPr>
              <w:pStyle w:val="Odstavecseseznamem"/>
              <w:numPr>
                <w:ilvl w:val="0"/>
                <w:numId w:val="67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dlouhodobě nedostatečná spolupráce výzkumného a aplikačního sektoru, přetrvávající vzájemná nedůvěra mezi aktéry, nedostatečná provázanost inovačního řetězce ústící v nízkou orientaci výzkumu na aplikační potenciál a méně aplikovatelných výsledků výzkumu;</w:t>
            </w:r>
          </w:p>
          <w:p w:rsidR="00FA756B" w:rsidRPr="00B175FB" w:rsidRDefault="00FA756B" w:rsidP="00FA756B">
            <w:pPr>
              <w:pStyle w:val="Odstavecseseznamem"/>
              <w:numPr>
                <w:ilvl w:val="0"/>
                <w:numId w:val="67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nízký počet (v mezinárodním srovnání) excelentních pracovišť a týmů, které by realizovaly špičkový výzkum a vývoj s potenciálem pro uplatnění výsledků v inovativních produktech a službách s vysokou přidanou hodnotou;</w:t>
            </w:r>
          </w:p>
          <w:p w:rsidR="00FA756B" w:rsidRPr="00B175FB" w:rsidRDefault="00FA756B" w:rsidP="00FA756B">
            <w:pPr>
              <w:pStyle w:val="Odstavecseseznamem"/>
              <w:numPr>
                <w:ilvl w:val="0"/>
                <w:numId w:val="67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infrastruktura pro výzkum a vývoj plně neodpovídající aktuálním potřebám;</w:t>
            </w:r>
          </w:p>
          <w:p w:rsidR="00FA756B" w:rsidRPr="00B175FB" w:rsidRDefault="00FA756B" w:rsidP="00FA756B">
            <w:pPr>
              <w:pStyle w:val="Odstavecseseznamem"/>
              <w:numPr>
                <w:ilvl w:val="0"/>
                <w:numId w:val="67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přetrvávající zařazení ČR mezi tzv. moderate innovators;</w:t>
            </w:r>
          </w:p>
          <w:p w:rsidR="00FA756B" w:rsidRPr="00B175FB" w:rsidRDefault="00FA756B" w:rsidP="00FA756B">
            <w:pPr>
              <w:pStyle w:val="Odstavecseseznamem"/>
              <w:numPr>
                <w:ilvl w:val="0"/>
                <w:numId w:val="67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nedostatečná připravenost a kapacity (infrastrukturní a</w:t>
            </w:r>
            <w:r w:rsidR="00DB0018">
              <w:rPr>
                <w:rFonts w:eastAsia="Times New Roman" w:cs="Times New Roman"/>
                <w:sz w:val="22"/>
              </w:rPr>
              <w:t> </w:t>
            </w:r>
            <w:r w:rsidRPr="00B175FB">
              <w:rPr>
                <w:rFonts w:eastAsia="Times New Roman" w:cs="Times New Roman"/>
                <w:sz w:val="22"/>
              </w:rPr>
              <w:t>lidské) jednotlivých VO i národní koordinace na implementaci Open Science;</w:t>
            </w:r>
          </w:p>
          <w:p w:rsidR="00FA756B" w:rsidRPr="00B175FB" w:rsidRDefault="00FA756B" w:rsidP="00FA756B">
            <w:pPr>
              <w:pStyle w:val="Odstavecseseznamem"/>
              <w:numPr>
                <w:ilvl w:val="0"/>
                <w:numId w:val="67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 xml:space="preserve">nedostatečné kapacity (infrastrukturní a lidské) pro implementaci iniciativy EOSC, a to jak na úrovni páteřního zajištění, tak na úrovni jednotlivých výzkumných organizací; </w:t>
            </w:r>
          </w:p>
          <w:p w:rsidR="00FA756B" w:rsidRPr="00B175FB" w:rsidRDefault="00FA756B" w:rsidP="00FA756B">
            <w:pPr>
              <w:pStyle w:val="Odstavecseseznamem"/>
              <w:numPr>
                <w:ilvl w:val="0"/>
                <w:numId w:val="67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roztříštěnost a nepropojenost informačních, bibliometrických, knihovnických a analytických zdrojů a systémů využitelných ve VaVaI;</w:t>
            </w:r>
          </w:p>
          <w:p w:rsidR="00FA756B" w:rsidRDefault="00FA756B" w:rsidP="00FA756B">
            <w:pPr>
              <w:pStyle w:val="Odstavecseseznamem"/>
              <w:numPr>
                <w:ilvl w:val="0"/>
                <w:numId w:val="67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 xml:space="preserve">nízká úroveň komunikace úspěchů a výsledků VaVaI na národní </w:t>
            </w:r>
            <w:r>
              <w:rPr>
                <w:rFonts w:eastAsia="Times New Roman" w:cs="Times New Roman"/>
                <w:sz w:val="22"/>
              </w:rPr>
              <w:t>a mezinárodní</w:t>
            </w:r>
            <w:r w:rsidRPr="00B175FB">
              <w:rPr>
                <w:rFonts w:eastAsia="Times New Roman" w:cs="Times New Roman"/>
                <w:sz w:val="22"/>
              </w:rPr>
              <w:t xml:space="preserve"> úrovni.</w:t>
            </w:r>
          </w:p>
          <w:p w:rsidR="0077518C" w:rsidRDefault="0077518C" w:rsidP="0077518C">
            <w:pPr>
              <w:pStyle w:val="Odstavecseseznamem"/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</w:p>
          <w:p w:rsidR="00FA756B" w:rsidRPr="00B175FB" w:rsidRDefault="00FA756B" w:rsidP="00DB0018">
            <w:pPr>
              <w:pStyle w:val="Odstavecseseznamem"/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</w:p>
        </w:tc>
      </w:tr>
      <w:tr w:rsidR="00FA756B" w:rsidRPr="00B175FB" w:rsidTr="00703880">
        <w:tc>
          <w:tcPr>
            <w:tcW w:w="1153" w:type="pct"/>
            <w:vMerge/>
          </w:tcPr>
          <w:p w:rsidR="00FA756B" w:rsidRPr="00B175FB" w:rsidRDefault="00FA756B" w:rsidP="00FA756B">
            <w:pPr>
              <w:spacing w:line="276" w:lineRule="auto"/>
              <w:rPr>
                <w:rFonts w:eastAsia="Times New Roman"/>
                <w:b/>
                <w:sz w:val="20"/>
              </w:rPr>
            </w:pPr>
          </w:p>
        </w:tc>
        <w:tc>
          <w:tcPr>
            <w:tcW w:w="886" w:type="pct"/>
          </w:tcPr>
          <w:p w:rsidR="00FA756B" w:rsidRPr="00B175FB" w:rsidRDefault="00FA756B" w:rsidP="00FA756B">
            <w:pPr>
              <w:rPr>
                <w:color w:val="000000"/>
                <w:sz w:val="22"/>
                <w:lang w:eastAsia="cs-CZ" w:bidi="cs-CZ"/>
              </w:rPr>
            </w:pPr>
            <w:r w:rsidRPr="00B175FB">
              <w:rPr>
                <w:color w:val="000000"/>
                <w:sz w:val="22"/>
                <w:lang w:eastAsia="cs-CZ" w:bidi="cs-CZ"/>
              </w:rPr>
              <w:t>SC 1.2</w:t>
            </w:r>
            <w:r>
              <w:rPr>
                <w:color w:val="000000"/>
                <w:sz w:val="22"/>
                <w:lang w:eastAsia="cs-CZ" w:bidi="cs-CZ"/>
              </w:rPr>
              <w:t xml:space="preserve"> </w:t>
            </w:r>
          </w:p>
          <w:p w:rsidR="00595F49" w:rsidRDefault="00FA756B" w:rsidP="00FA756B">
            <w:pPr>
              <w:spacing w:line="276" w:lineRule="auto"/>
              <w:rPr>
                <w:color w:val="000000"/>
                <w:sz w:val="22"/>
                <w:lang w:eastAsia="cs-CZ" w:bidi="cs-CZ"/>
              </w:rPr>
            </w:pPr>
            <w:r w:rsidRPr="008D0462">
              <w:rPr>
                <w:color w:val="000000"/>
                <w:sz w:val="22"/>
                <w:lang w:eastAsia="cs-CZ" w:bidi="cs-CZ"/>
              </w:rPr>
              <w:t>rozvoj dovedností pro inteligentní specializaci, průmyslovou transformaci a</w:t>
            </w:r>
            <w:r w:rsidR="00DB0018">
              <w:rPr>
                <w:color w:val="000000"/>
                <w:sz w:val="22"/>
                <w:lang w:eastAsia="cs-CZ" w:bidi="cs-CZ"/>
              </w:rPr>
              <w:t> </w:t>
            </w:r>
            <w:r w:rsidRPr="008D0462">
              <w:rPr>
                <w:color w:val="000000"/>
                <w:sz w:val="22"/>
                <w:lang w:eastAsia="cs-CZ" w:bidi="cs-CZ"/>
              </w:rPr>
              <w:t>podnikání</w:t>
            </w:r>
            <w:r w:rsidRPr="008D0462" w:rsidDel="008D0462">
              <w:rPr>
                <w:color w:val="000000"/>
                <w:sz w:val="22"/>
                <w:lang w:eastAsia="cs-CZ" w:bidi="cs-CZ"/>
              </w:rPr>
              <w:t xml:space="preserve"> </w:t>
            </w:r>
          </w:p>
          <w:p w:rsidR="00FA756B" w:rsidRPr="00B175FB" w:rsidRDefault="00FA756B" w:rsidP="00FA756B">
            <w:pPr>
              <w:spacing w:line="276" w:lineRule="auto"/>
              <w:rPr>
                <w:rFonts w:eastAsia="Times New Roman"/>
                <w:i/>
                <w:sz w:val="22"/>
              </w:rPr>
            </w:pPr>
            <w:r w:rsidRPr="00B175FB">
              <w:rPr>
                <w:color w:val="000000"/>
                <w:sz w:val="22"/>
                <w:lang w:eastAsia="cs-CZ" w:bidi="cs-CZ"/>
              </w:rPr>
              <w:t>(iv)</w:t>
            </w:r>
            <w:r>
              <w:rPr>
                <w:color w:val="000000"/>
                <w:sz w:val="22"/>
                <w:lang w:eastAsia="cs-CZ" w:bidi="cs-CZ"/>
              </w:rPr>
              <w:t>)</w:t>
            </w:r>
          </w:p>
        </w:tc>
        <w:tc>
          <w:tcPr>
            <w:tcW w:w="2961" w:type="pct"/>
          </w:tcPr>
          <w:p w:rsidR="00FA756B" w:rsidRPr="00B175FB" w:rsidRDefault="00FA756B" w:rsidP="00FA756B">
            <w:pPr>
              <w:spacing w:line="276" w:lineRule="auto"/>
              <w:jc w:val="both"/>
              <w:rPr>
                <w:rFonts w:eastAsia="Times New Roman"/>
                <w:sz w:val="22"/>
              </w:rPr>
            </w:pPr>
            <w:r w:rsidRPr="00B175FB">
              <w:rPr>
                <w:rFonts w:eastAsia="Times New Roman"/>
                <w:sz w:val="22"/>
              </w:rPr>
              <w:t xml:space="preserve">Výběr specifického cíle navazuje na hlavní strategické materiály v oblasti VaVaI, zejména na </w:t>
            </w:r>
            <w:r>
              <w:rPr>
                <w:rFonts w:eastAsia="Times New Roman"/>
                <w:sz w:val="22"/>
              </w:rPr>
              <w:t>N</w:t>
            </w:r>
            <w:r w:rsidRPr="00B175FB">
              <w:rPr>
                <w:rFonts w:eastAsia="Times New Roman"/>
                <w:sz w:val="22"/>
              </w:rPr>
              <w:t>árodní politik</w:t>
            </w:r>
            <w:r>
              <w:rPr>
                <w:rFonts w:eastAsia="Times New Roman"/>
                <w:sz w:val="22"/>
              </w:rPr>
              <w:t>u</w:t>
            </w:r>
            <w:r w:rsidRPr="00B175FB">
              <w:rPr>
                <w:rFonts w:eastAsia="Times New Roman"/>
                <w:sz w:val="22"/>
              </w:rPr>
              <w:t xml:space="preserve"> VaVaI</w:t>
            </w:r>
            <w:r>
              <w:rPr>
                <w:rFonts w:eastAsia="Times New Roman"/>
                <w:sz w:val="22"/>
              </w:rPr>
              <w:t xml:space="preserve"> ČR 2021+</w:t>
            </w:r>
            <w:r w:rsidRPr="00B175FB">
              <w:rPr>
                <w:rFonts w:eastAsia="Times New Roman"/>
                <w:sz w:val="22"/>
              </w:rPr>
              <w:t xml:space="preserve">, Národní RIS3 strategii </w:t>
            </w:r>
            <w:r>
              <w:rPr>
                <w:rFonts w:eastAsia="Times New Roman"/>
                <w:sz w:val="22"/>
              </w:rPr>
              <w:t xml:space="preserve">2021-2027 </w:t>
            </w:r>
            <w:r w:rsidRPr="00B175FB">
              <w:rPr>
                <w:rFonts w:eastAsia="Times New Roman"/>
                <w:sz w:val="22"/>
              </w:rPr>
              <w:t>a Inovační strategii České republiky 2019</w:t>
            </w:r>
            <w:r>
              <w:rPr>
                <w:rFonts w:eastAsia="Times New Roman"/>
                <w:sz w:val="22"/>
              </w:rPr>
              <w:t>-</w:t>
            </w:r>
            <w:r w:rsidRPr="00B175FB">
              <w:rPr>
                <w:rFonts w:eastAsia="Times New Roman"/>
                <w:sz w:val="22"/>
              </w:rPr>
              <w:t>2030, současně reflektuje zjištění a doporučení z tzv. Country specific recommendations. Hlavní identifikované problémy, které by měly být řešeny v rámci tohoto specifického cíle:</w:t>
            </w:r>
          </w:p>
          <w:p w:rsidR="00FA756B" w:rsidRPr="00B175FB" w:rsidRDefault="00FA756B" w:rsidP="00FA756B">
            <w:pPr>
              <w:pStyle w:val="Odstavecseseznamem"/>
              <w:numPr>
                <w:ilvl w:val="0"/>
                <w:numId w:val="73"/>
              </w:numPr>
              <w:spacing w:line="276" w:lineRule="auto"/>
              <w:ind w:left="742" w:hanging="425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fragmentované strategické řízení oblasti VaVaI na národní úrovni;</w:t>
            </w:r>
          </w:p>
          <w:p w:rsidR="00FA756B" w:rsidRPr="00B175FB" w:rsidRDefault="00FA756B" w:rsidP="00FA756B">
            <w:pPr>
              <w:pStyle w:val="Odstavecseseznamem"/>
              <w:numPr>
                <w:ilvl w:val="0"/>
                <w:numId w:val="73"/>
              </w:numPr>
              <w:spacing w:line="276" w:lineRule="auto"/>
              <w:ind w:left="742" w:hanging="425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dosud plně neukotvené funkční řízení VaVaI a rozvoje inovačního prostředí na regionální úrovni, které má zásadní dopad na rozvoj oblasti VaVaI a směřování k inteligentní specializaci v jednotlivých regionech a</w:t>
            </w:r>
            <w:r w:rsidR="00DB0018">
              <w:rPr>
                <w:rFonts w:eastAsia="Times New Roman" w:cs="Times New Roman"/>
                <w:sz w:val="22"/>
              </w:rPr>
              <w:t> </w:t>
            </w:r>
            <w:r w:rsidRPr="00B175FB">
              <w:rPr>
                <w:rFonts w:eastAsia="Times New Roman" w:cs="Times New Roman"/>
                <w:sz w:val="22"/>
              </w:rPr>
              <w:t>potažmo v celé ČR. V této oblasti je nutné odstraňovat přetrvávající regionální disparity.</w:t>
            </w:r>
          </w:p>
        </w:tc>
      </w:tr>
      <w:tr w:rsidR="00FA756B" w:rsidRPr="00B175FB" w:rsidTr="00703880">
        <w:tc>
          <w:tcPr>
            <w:tcW w:w="1153" w:type="pct"/>
            <w:vMerge w:val="restart"/>
          </w:tcPr>
          <w:p w:rsidR="00FA756B" w:rsidRPr="00B175FB" w:rsidRDefault="00FA756B" w:rsidP="00FA756B">
            <w:pPr>
              <w:keepNext/>
              <w:spacing w:line="276" w:lineRule="auto"/>
              <w:rPr>
                <w:b/>
                <w:color w:val="000000"/>
                <w:sz w:val="22"/>
                <w:lang w:eastAsia="cs-CZ" w:bidi="cs-CZ"/>
              </w:rPr>
            </w:pPr>
            <w:r w:rsidRPr="00B175FB">
              <w:rPr>
                <w:b/>
                <w:color w:val="000000"/>
                <w:sz w:val="22"/>
                <w:lang w:eastAsia="cs-CZ" w:bidi="cs-CZ"/>
              </w:rPr>
              <w:t>2. priorita zaměřená na cíl politiky 4</w:t>
            </w:r>
          </w:p>
          <w:p w:rsidR="00FA756B" w:rsidRPr="00B175FB" w:rsidRDefault="00FA756B" w:rsidP="00FA756B">
            <w:pPr>
              <w:spacing w:line="276" w:lineRule="auto"/>
              <w:rPr>
                <w:rFonts w:eastAsia="Times New Roman"/>
                <w:b/>
                <w:sz w:val="22"/>
              </w:rPr>
            </w:pPr>
            <w:r>
              <w:rPr>
                <w:color w:val="000000"/>
                <w:sz w:val="22"/>
                <w:lang w:eastAsia="cs-CZ" w:bidi="cs-CZ"/>
              </w:rPr>
              <w:t>S</w:t>
            </w:r>
            <w:r w:rsidRPr="008D0462">
              <w:rPr>
                <w:color w:val="000000"/>
                <w:sz w:val="22"/>
                <w:lang w:eastAsia="cs-CZ" w:bidi="cs-CZ"/>
              </w:rPr>
              <w:t>ociálnější a</w:t>
            </w:r>
            <w:r w:rsidR="00DB0018">
              <w:rPr>
                <w:color w:val="000000"/>
                <w:sz w:val="22"/>
                <w:lang w:eastAsia="cs-CZ" w:bidi="cs-CZ"/>
              </w:rPr>
              <w:t> </w:t>
            </w:r>
            <w:r w:rsidRPr="008D0462">
              <w:rPr>
                <w:color w:val="000000"/>
                <w:sz w:val="22"/>
                <w:lang w:eastAsia="cs-CZ" w:bidi="cs-CZ"/>
              </w:rPr>
              <w:t>inkluzivnější Evropa díky provádění evropského pilíře sociálních práv</w:t>
            </w:r>
          </w:p>
        </w:tc>
        <w:tc>
          <w:tcPr>
            <w:tcW w:w="886" w:type="pct"/>
          </w:tcPr>
          <w:p w:rsidR="00FA756B" w:rsidRPr="00B175FB" w:rsidRDefault="00FA756B" w:rsidP="00FA756B">
            <w:pPr>
              <w:rPr>
                <w:color w:val="000000"/>
                <w:sz w:val="22"/>
                <w:lang w:eastAsia="cs-CZ" w:bidi="cs-CZ"/>
              </w:rPr>
            </w:pPr>
            <w:r w:rsidRPr="00B175FB">
              <w:rPr>
                <w:color w:val="000000"/>
                <w:sz w:val="22"/>
                <w:lang w:eastAsia="cs-CZ" w:bidi="cs-CZ"/>
              </w:rPr>
              <w:t>SC 2.1</w:t>
            </w:r>
          </w:p>
          <w:p w:rsidR="00595F49" w:rsidRDefault="00FA756B" w:rsidP="00FA756B">
            <w:pPr>
              <w:spacing w:line="276" w:lineRule="auto"/>
              <w:rPr>
                <w:color w:val="000000"/>
                <w:sz w:val="22"/>
                <w:lang w:eastAsia="cs-CZ" w:bidi="cs-CZ"/>
              </w:rPr>
            </w:pPr>
            <w:r w:rsidRPr="00690861">
              <w:rPr>
                <w:color w:val="000000"/>
                <w:sz w:val="22"/>
                <w:lang w:eastAsia="cs-CZ" w:bidi="cs-CZ"/>
              </w:rPr>
              <w:t>zlepšování rovného přístupu k</w:t>
            </w:r>
            <w:r w:rsidR="00DB0018">
              <w:rPr>
                <w:color w:val="000000"/>
                <w:sz w:val="22"/>
                <w:lang w:eastAsia="cs-CZ" w:bidi="cs-CZ"/>
              </w:rPr>
              <w:t> </w:t>
            </w:r>
            <w:r w:rsidRPr="00690861">
              <w:rPr>
                <w:color w:val="000000"/>
                <w:sz w:val="22"/>
                <w:lang w:eastAsia="cs-CZ" w:bidi="cs-CZ"/>
              </w:rPr>
              <w:t>inkluzivním a</w:t>
            </w:r>
            <w:r w:rsidR="00DB0018">
              <w:rPr>
                <w:color w:val="000000"/>
                <w:sz w:val="22"/>
                <w:lang w:eastAsia="cs-CZ" w:bidi="cs-CZ"/>
              </w:rPr>
              <w:t> </w:t>
            </w:r>
            <w:r w:rsidRPr="00690861">
              <w:rPr>
                <w:color w:val="000000"/>
                <w:sz w:val="22"/>
                <w:lang w:eastAsia="cs-CZ" w:bidi="cs-CZ"/>
              </w:rPr>
              <w:t>kvalitním službám v</w:t>
            </w:r>
            <w:r w:rsidR="00DB0018">
              <w:rPr>
                <w:color w:val="000000"/>
                <w:sz w:val="22"/>
                <w:lang w:eastAsia="cs-CZ" w:bidi="cs-CZ"/>
              </w:rPr>
              <w:t> </w:t>
            </w:r>
            <w:r w:rsidRPr="00690861">
              <w:rPr>
                <w:color w:val="000000"/>
                <w:sz w:val="22"/>
                <w:lang w:eastAsia="cs-CZ" w:bidi="cs-CZ"/>
              </w:rPr>
              <w:t>oblasti vzdělávání, odborné přípravy a</w:t>
            </w:r>
            <w:r w:rsidR="00DB0018">
              <w:rPr>
                <w:color w:val="000000"/>
                <w:sz w:val="22"/>
                <w:lang w:eastAsia="cs-CZ" w:bidi="cs-CZ"/>
              </w:rPr>
              <w:t> </w:t>
            </w:r>
            <w:r w:rsidRPr="00690861">
              <w:rPr>
                <w:color w:val="000000"/>
                <w:sz w:val="22"/>
                <w:lang w:eastAsia="cs-CZ" w:bidi="cs-CZ"/>
              </w:rPr>
              <w:t>celoživotního učení pomocí rozvoje přístupné infrastruktury, mimo jiné posilováním odolnosti pro distanční a</w:t>
            </w:r>
            <w:r w:rsidR="00DB0018">
              <w:rPr>
                <w:color w:val="000000"/>
                <w:sz w:val="22"/>
                <w:lang w:eastAsia="cs-CZ" w:bidi="cs-CZ"/>
              </w:rPr>
              <w:t> </w:t>
            </w:r>
            <w:r w:rsidRPr="00690861">
              <w:rPr>
                <w:color w:val="000000"/>
                <w:sz w:val="22"/>
                <w:lang w:eastAsia="cs-CZ" w:bidi="cs-CZ"/>
              </w:rPr>
              <w:t>online vzdělávání a</w:t>
            </w:r>
            <w:r w:rsidR="00DB0018">
              <w:rPr>
                <w:color w:val="000000"/>
                <w:sz w:val="22"/>
                <w:lang w:eastAsia="cs-CZ" w:bidi="cs-CZ"/>
              </w:rPr>
              <w:t> </w:t>
            </w:r>
            <w:r w:rsidRPr="00690861">
              <w:rPr>
                <w:color w:val="000000"/>
                <w:sz w:val="22"/>
                <w:lang w:eastAsia="cs-CZ" w:bidi="cs-CZ"/>
              </w:rPr>
              <w:t>odbornou přípravu</w:t>
            </w:r>
            <w:r w:rsidRPr="00690861" w:rsidDel="00690861">
              <w:rPr>
                <w:color w:val="000000"/>
                <w:sz w:val="22"/>
                <w:lang w:eastAsia="cs-CZ" w:bidi="cs-CZ"/>
              </w:rPr>
              <w:t xml:space="preserve"> </w:t>
            </w:r>
          </w:p>
          <w:p w:rsidR="00FA756B" w:rsidRPr="00B175FB" w:rsidRDefault="00FA756B" w:rsidP="00FA756B">
            <w:pPr>
              <w:spacing w:line="276" w:lineRule="auto"/>
              <w:rPr>
                <w:rFonts w:eastAsia="Times New Roman"/>
                <w:i/>
                <w:sz w:val="22"/>
              </w:rPr>
            </w:pPr>
            <w:r w:rsidRPr="00B175FB">
              <w:rPr>
                <w:color w:val="000000"/>
                <w:sz w:val="22"/>
                <w:lang w:eastAsia="cs-CZ" w:bidi="cs-CZ"/>
              </w:rPr>
              <w:t>(ii)</w:t>
            </w:r>
            <w:r>
              <w:rPr>
                <w:color w:val="000000"/>
                <w:sz w:val="22"/>
                <w:lang w:eastAsia="cs-CZ" w:bidi="cs-CZ"/>
              </w:rPr>
              <w:t>)</w:t>
            </w:r>
          </w:p>
        </w:tc>
        <w:tc>
          <w:tcPr>
            <w:tcW w:w="2961" w:type="pct"/>
          </w:tcPr>
          <w:p w:rsidR="00FA756B" w:rsidRPr="00B175FB" w:rsidRDefault="00FA756B" w:rsidP="00FA756B">
            <w:pPr>
              <w:spacing w:line="276" w:lineRule="auto"/>
              <w:jc w:val="both"/>
              <w:rPr>
                <w:rFonts w:eastAsia="Times New Roman"/>
                <w:sz w:val="22"/>
              </w:rPr>
            </w:pPr>
            <w:r w:rsidRPr="00B175FB">
              <w:rPr>
                <w:rFonts w:eastAsia="Times New Roman"/>
                <w:sz w:val="22"/>
              </w:rPr>
              <w:t>Výběr specifického cíle navazuje na z</w:t>
            </w:r>
            <w:r>
              <w:rPr>
                <w:rFonts w:eastAsia="Times New Roman"/>
                <w:sz w:val="22"/>
              </w:rPr>
              <w:t>ákladní strategické dokumenty v </w:t>
            </w:r>
            <w:r w:rsidRPr="00B175FB">
              <w:rPr>
                <w:rFonts w:eastAsia="Times New Roman"/>
                <w:sz w:val="22"/>
              </w:rPr>
              <w:t>oblasti vysokého školství, konkrétně na Dlouhodobý záměr vzdělávací</w:t>
            </w:r>
            <w:r>
              <w:rPr>
                <w:rFonts w:eastAsia="Times New Roman"/>
                <w:sz w:val="22"/>
              </w:rPr>
              <w:t xml:space="preserve"> a</w:t>
            </w:r>
            <w:r w:rsidRPr="00B175FB">
              <w:rPr>
                <w:rFonts w:eastAsia="Times New Roman"/>
                <w:sz w:val="22"/>
              </w:rPr>
              <w:t xml:space="preserve"> vědecké, výzkumné, vývojové a inovační, umělecké a další tvůrčí činnosti pro oblast vysokých škol </w:t>
            </w:r>
            <w:r>
              <w:rPr>
                <w:rFonts w:eastAsia="Times New Roman"/>
                <w:sz w:val="22"/>
              </w:rPr>
              <w:t>ČR 2016–2020</w:t>
            </w:r>
            <w:r w:rsidRPr="00B175FB">
              <w:rPr>
                <w:rFonts w:eastAsia="Times New Roman"/>
                <w:sz w:val="22"/>
              </w:rPr>
              <w:t xml:space="preserve"> a Strategický záměr </w:t>
            </w:r>
            <w:r>
              <w:rPr>
                <w:rFonts w:eastAsia="Times New Roman"/>
                <w:sz w:val="22"/>
              </w:rPr>
              <w:t xml:space="preserve">ministerstva </w:t>
            </w:r>
            <w:r w:rsidRPr="00B175FB">
              <w:rPr>
                <w:rFonts w:eastAsia="Times New Roman"/>
                <w:sz w:val="22"/>
              </w:rPr>
              <w:t>pro oblast vysokých škol na období od roku 2021. Hlavní identifikované problémy, které by měly být řešeny v</w:t>
            </w:r>
            <w:r w:rsidR="00DB0018">
              <w:rPr>
                <w:rFonts w:eastAsia="Times New Roman"/>
                <w:sz w:val="22"/>
              </w:rPr>
              <w:t> </w:t>
            </w:r>
            <w:r w:rsidRPr="00B175FB">
              <w:rPr>
                <w:rFonts w:eastAsia="Times New Roman"/>
                <w:sz w:val="22"/>
              </w:rPr>
              <w:t>rámci tohoto specifického cíle:</w:t>
            </w:r>
          </w:p>
          <w:p w:rsidR="00FA756B" w:rsidRPr="00B175FB" w:rsidRDefault="00FA756B" w:rsidP="00FA756B">
            <w:pPr>
              <w:pStyle w:val="Odstavecseseznamem"/>
              <w:numPr>
                <w:ilvl w:val="0"/>
                <w:numId w:val="76"/>
              </w:numPr>
              <w:spacing w:after="120" w:line="276" w:lineRule="auto"/>
              <w:ind w:left="742" w:hanging="425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nedostatečná přístupnost vysokoškolského prostředí pro studenty se SP včetně potřebných pomůcek pro tyto studenty;</w:t>
            </w:r>
          </w:p>
          <w:p w:rsidR="00FA756B" w:rsidRPr="00B175FB" w:rsidRDefault="00FA756B" w:rsidP="00FA756B">
            <w:pPr>
              <w:pStyle w:val="Odstavecseseznamem"/>
              <w:numPr>
                <w:ilvl w:val="0"/>
                <w:numId w:val="76"/>
              </w:numPr>
              <w:spacing w:after="120" w:line="276" w:lineRule="auto"/>
              <w:ind w:left="742" w:hanging="425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nemoderní stávající vzdělávací kapacity (včetně přístrojového vybavení a pomůcek), které nevyhovují novým trendům ve vzdělávání, nekonkurenceschopná vzdělávací infrastruktura při srovnání s VŠ z vyspělých zemí;</w:t>
            </w:r>
          </w:p>
          <w:p w:rsidR="00FA756B" w:rsidRPr="00B175FB" w:rsidRDefault="00FA756B" w:rsidP="00FA756B">
            <w:pPr>
              <w:pStyle w:val="Odstavecseseznamem"/>
              <w:numPr>
                <w:ilvl w:val="0"/>
                <w:numId w:val="76"/>
              </w:numPr>
              <w:spacing w:after="120" w:line="276" w:lineRule="auto"/>
              <w:ind w:left="742" w:hanging="425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současným technologickým trendům neodpovídající/</w:t>
            </w:r>
            <w:r w:rsidR="00DB0018">
              <w:rPr>
                <w:rFonts w:eastAsia="Times New Roman" w:cs="Times New Roman"/>
                <w:sz w:val="22"/>
              </w:rPr>
              <w:t xml:space="preserve"> </w:t>
            </w:r>
            <w:r w:rsidRPr="00B175FB">
              <w:rPr>
                <w:rFonts w:eastAsia="Times New Roman" w:cs="Times New Roman"/>
                <w:sz w:val="22"/>
              </w:rPr>
              <w:t>zastaralá specializovaná infrastruktura pro odbornou přípravu na VŠ (zejména v oblastech, kde dochází k rychlému technologickému rozvoji).</w:t>
            </w:r>
          </w:p>
        </w:tc>
      </w:tr>
      <w:tr w:rsidR="00FA756B" w:rsidRPr="00B175FB" w:rsidTr="00703880">
        <w:tc>
          <w:tcPr>
            <w:tcW w:w="1153" w:type="pct"/>
            <w:vMerge/>
          </w:tcPr>
          <w:p w:rsidR="00FA756B" w:rsidRPr="00B175FB" w:rsidRDefault="00FA756B" w:rsidP="00FA756B">
            <w:pPr>
              <w:spacing w:line="276" w:lineRule="auto"/>
              <w:rPr>
                <w:rFonts w:eastAsia="Times New Roman"/>
                <w:b/>
                <w:sz w:val="22"/>
              </w:rPr>
            </w:pPr>
          </w:p>
        </w:tc>
        <w:tc>
          <w:tcPr>
            <w:tcW w:w="886" w:type="pct"/>
          </w:tcPr>
          <w:p w:rsidR="00FA756B" w:rsidRPr="00B175FB" w:rsidRDefault="00FA756B" w:rsidP="00FA756B">
            <w:pPr>
              <w:spacing w:line="276" w:lineRule="auto"/>
              <w:rPr>
                <w:color w:val="000000"/>
                <w:sz w:val="22"/>
                <w:lang w:eastAsia="cs-CZ" w:bidi="cs-CZ"/>
              </w:rPr>
            </w:pPr>
            <w:r w:rsidRPr="00B175FB">
              <w:rPr>
                <w:color w:val="000000"/>
                <w:sz w:val="22"/>
                <w:lang w:eastAsia="cs-CZ" w:bidi="cs-CZ"/>
              </w:rPr>
              <w:t>SC 2.2</w:t>
            </w:r>
          </w:p>
          <w:p w:rsidR="00595F49" w:rsidRDefault="00FA756B" w:rsidP="00FA756B">
            <w:pPr>
              <w:spacing w:line="276" w:lineRule="auto"/>
              <w:rPr>
                <w:color w:val="000000"/>
                <w:sz w:val="22"/>
                <w:lang w:eastAsia="cs-CZ" w:bidi="cs-CZ"/>
              </w:rPr>
            </w:pPr>
            <w:r w:rsidRPr="00690861">
              <w:rPr>
                <w:color w:val="000000"/>
                <w:sz w:val="22"/>
                <w:lang w:eastAsia="cs-CZ" w:bidi="cs-CZ"/>
              </w:rPr>
              <w:t>zvýšit kvalitu, inkluzivitu a</w:t>
            </w:r>
            <w:r w:rsidR="00DB0018">
              <w:rPr>
                <w:color w:val="000000"/>
                <w:sz w:val="22"/>
                <w:lang w:eastAsia="cs-CZ" w:bidi="cs-CZ"/>
              </w:rPr>
              <w:t> </w:t>
            </w:r>
            <w:r w:rsidRPr="00690861">
              <w:rPr>
                <w:color w:val="000000"/>
                <w:sz w:val="22"/>
                <w:lang w:eastAsia="cs-CZ" w:bidi="cs-CZ"/>
              </w:rPr>
              <w:t>účinnost systémů vzdělávání a</w:t>
            </w:r>
            <w:r w:rsidR="00DB0018">
              <w:rPr>
                <w:color w:val="000000"/>
                <w:sz w:val="22"/>
                <w:lang w:eastAsia="cs-CZ" w:bidi="cs-CZ"/>
              </w:rPr>
              <w:t> </w:t>
            </w:r>
            <w:r w:rsidRPr="00690861">
              <w:rPr>
                <w:color w:val="000000"/>
                <w:sz w:val="22"/>
                <w:lang w:eastAsia="cs-CZ" w:bidi="cs-CZ"/>
              </w:rPr>
              <w:t>odborné přípravy a jejich relevantnosti pro trh práce, mimo jiné i uznáváním výsledků neformálního a</w:t>
            </w:r>
            <w:r w:rsidR="00DB0018">
              <w:rPr>
                <w:color w:val="000000"/>
                <w:sz w:val="22"/>
                <w:lang w:eastAsia="cs-CZ" w:bidi="cs-CZ"/>
              </w:rPr>
              <w:t> </w:t>
            </w:r>
            <w:r w:rsidRPr="00690861">
              <w:rPr>
                <w:color w:val="000000"/>
                <w:sz w:val="22"/>
                <w:lang w:eastAsia="cs-CZ" w:bidi="cs-CZ"/>
              </w:rPr>
              <w:t>informálního učení, s cílem podpořit získávání klíčových kompetencí včetně podnikatelských a digitálních dovedností, a</w:t>
            </w:r>
            <w:r w:rsidR="00DB0018">
              <w:rPr>
                <w:color w:val="000000"/>
                <w:sz w:val="22"/>
                <w:lang w:eastAsia="cs-CZ" w:bidi="cs-CZ"/>
              </w:rPr>
              <w:t> </w:t>
            </w:r>
            <w:r w:rsidRPr="00690861">
              <w:rPr>
                <w:color w:val="000000"/>
                <w:sz w:val="22"/>
                <w:lang w:eastAsia="cs-CZ" w:bidi="cs-CZ"/>
              </w:rPr>
              <w:t>prosazováním zavádění duálních systémů odborné přípravy a</w:t>
            </w:r>
            <w:r w:rsidR="00DB0018">
              <w:rPr>
                <w:color w:val="000000"/>
                <w:sz w:val="22"/>
                <w:lang w:eastAsia="cs-CZ" w:bidi="cs-CZ"/>
              </w:rPr>
              <w:t> </w:t>
            </w:r>
            <w:r w:rsidRPr="00690861">
              <w:rPr>
                <w:color w:val="000000"/>
                <w:sz w:val="22"/>
                <w:lang w:eastAsia="cs-CZ" w:bidi="cs-CZ"/>
              </w:rPr>
              <w:t>učňovské přípravy</w:t>
            </w:r>
            <w:r w:rsidRPr="00690861" w:rsidDel="00690861">
              <w:rPr>
                <w:color w:val="000000"/>
                <w:sz w:val="22"/>
                <w:lang w:eastAsia="cs-CZ" w:bidi="cs-CZ"/>
              </w:rPr>
              <w:t xml:space="preserve"> </w:t>
            </w:r>
          </w:p>
          <w:p w:rsidR="00FA756B" w:rsidRPr="00B175FB" w:rsidRDefault="00FA756B" w:rsidP="00FA756B">
            <w:pPr>
              <w:spacing w:line="276" w:lineRule="auto"/>
              <w:rPr>
                <w:color w:val="000000"/>
                <w:sz w:val="22"/>
                <w:lang w:eastAsia="cs-CZ" w:bidi="cs-CZ"/>
              </w:rPr>
            </w:pPr>
            <w:r w:rsidRPr="00B175FB">
              <w:rPr>
                <w:color w:val="000000"/>
                <w:sz w:val="22"/>
                <w:lang w:eastAsia="cs-CZ" w:bidi="cs-CZ"/>
              </w:rPr>
              <w:t>(</w:t>
            </w:r>
            <w:r>
              <w:rPr>
                <w:color w:val="000000"/>
                <w:sz w:val="22"/>
                <w:lang w:eastAsia="cs-CZ" w:bidi="cs-CZ"/>
              </w:rPr>
              <w:t>e</w:t>
            </w:r>
            <w:r w:rsidRPr="00B175FB">
              <w:rPr>
                <w:color w:val="000000"/>
                <w:sz w:val="22"/>
                <w:lang w:eastAsia="cs-CZ" w:bidi="cs-CZ"/>
              </w:rPr>
              <w:t>)</w:t>
            </w:r>
            <w:r>
              <w:rPr>
                <w:color w:val="000000"/>
                <w:sz w:val="22"/>
                <w:lang w:eastAsia="cs-CZ" w:bidi="cs-CZ"/>
              </w:rPr>
              <w:t>)</w:t>
            </w:r>
          </w:p>
        </w:tc>
        <w:tc>
          <w:tcPr>
            <w:tcW w:w="2961" w:type="pct"/>
          </w:tcPr>
          <w:p w:rsidR="00FA756B" w:rsidRPr="00B175FB" w:rsidRDefault="00FA756B" w:rsidP="00FA756B">
            <w:pPr>
              <w:spacing w:line="276" w:lineRule="auto"/>
              <w:jc w:val="both"/>
              <w:rPr>
                <w:rFonts w:eastAsia="Times New Roman"/>
                <w:sz w:val="22"/>
              </w:rPr>
            </w:pPr>
            <w:r w:rsidRPr="00B175FB">
              <w:rPr>
                <w:rFonts w:eastAsia="Times New Roman"/>
                <w:sz w:val="22"/>
              </w:rPr>
              <w:t xml:space="preserve">Výběr specifického cíle vyplývá ze Strategie vzdělávací politiky ČR do roku 2030+, Strategického záměru </w:t>
            </w:r>
            <w:r>
              <w:rPr>
                <w:rFonts w:eastAsia="Times New Roman"/>
                <w:sz w:val="22"/>
              </w:rPr>
              <w:t xml:space="preserve">ministerstva </w:t>
            </w:r>
            <w:r w:rsidRPr="00B175FB">
              <w:rPr>
                <w:rFonts w:eastAsia="Times New Roman"/>
                <w:sz w:val="22"/>
              </w:rPr>
              <w:t>pro oblast vysokých škol na období od roku 2021, Národního programu reforem, Zprávy o České republice</w:t>
            </w:r>
            <w:r>
              <w:rPr>
                <w:rFonts w:eastAsia="Times New Roman"/>
                <w:sz w:val="22"/>
              </w:rPr>
              <w:t xml:space="preserve">, </w:t>
            </w:r>
            <w:r w:rsidRPr="00DF24B6">
              <w:rPr>
                <w:rFonts w:eastAsia="Times New Roman"/>
                <w:sz w:val="22"/>
              </w:rPr>
              <w:t>Strategie rovnosti žen</w:t>
            </w:r>
            <w:r w:rsidRPr="00B175FB">
              <w:rPr>
                <w:rFonts w:eastAsia="Times New Roman"/>
                <w:sz w:val="22"/>
              </w:rPr>
              <w:t xml:space="preserve"> a </w:t>
            </w:r>
            <w:r w:rsidRPr="00DF24B6">
              <w:rPr>
                <w:rFonts w:eastAsia="Times New Roman"/>
                <w:sz w:val="22"/>
              </w:rPr>
              <w:t>mužů</w:t>
            </w:r>
            <w:r>
              <w:rPr>
                <w:rFonts w:eastAsia="Times New Roman"/>
                <w:sz w:val="22"/>
              </w:rPr>
              <w:t xml:space="preserve"> </w:t>
            </w:r>
            <w:r w:rsidRPr="00DF24B6">
              <w:rPr>
                <w:rFonts w:eastAsia="Times New Roman"/>
                <w:sz w:val="22"/>
              </w:rPr>
              <w:t>na léta 2021–2030</w:t>
            </w:r>
            <w:r>
              <w:rPr>
                <w:rFonts w:eastAsia="Times New Roman"/>
                <w:sz w:val="22"/>
              </w:rPr>
              <w:t xml:space="preserve"> a </w:t>
            </w:r>
            <w:r w:rsidRPr="00B175FB">
              <w:rPr>
                <w:rFonts w:eastAsia="Times New Roman"/>
                <w:sz w:val="22"/>
              </w:rPr>
              <w:t>tzv. Country specific recommendations. Hlavní identifikované problémy, které by měly být řešeny v rámci tohoto specifického cíle:</w:t>
            </w:r>
          </w:p>
          <w:p w:rsidR="00FA756B" w:rsidRPr="00B175FB" w:rsidRDefault="00FA756B" w:rsidP="00FA756B">
            <w:pPr>
              <w:pStyle w:val="Odstavecseseznamem"/>
              <w:numPr>
                <w:ilvl w:val="0"/>
                <w:numId w:val="65"/>
              </w:numPr>
              <w:spacing w:line="276" w:lineRule="auto"/>
              <w:ind w:left="742" w:hanging="425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stagnující anebo klesající výsledky gramotností v mezinárodních testováních;</w:t>
            </w:r>
          </w:p>
          <w:p w:rsidR="00FA756B" w:rsidRPr="00B175FB" w:rsidRDefault="00FA756B" w:rsidP="00FA756B">
            <w:pPr>
              <w:pStyle w:val="Odstavecseseznamem"/>
              <w:numPr>
                <w:ilvl w:val="0"/>
                <w:numId w:val="65"/>
              </w:numPr>
              <w:spacing w:line="276" w:lineRule="auto"/>
              <w:ind w:left="742" w:hanging="425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 xml:space="preserve">zvyšující se procento žáků </w:t>
            </w:r>
            <w:r>
              <w:rPr>
                <w:rFonts w:eastAsia="Times New Roman" w:cs="Times New Roman"/>
                <w:sz w:val="22"/>
              </w:rPr>
              <w:t>ne</w:t>
            </w:r>
            <w:r w:rsidRPr="00B175FB">
              <w:rPr>
                <w:rFonts w:eastAsia="Times New Roman" w:cs="Times New Roman"/>
                <w:sz w:val="22"/>
              </w:rPr>
              <w:t xml:space="preserve">dosahujících </w:t>
            </w:r>
            <w:r>
              <w:rPr>
                <w:rFonts w:eastAsia="Times New Roman" w:cs="Times New Roman"/>
                <w:sz w:val="22"/>
              </w:rPr>
              <w:t>základní</w:t>
            </w:r>
            <w:r w:rsidRPr="00B175FB">
              <w:rPr>
                <w:rFonts w:eastAsia="Times New Roman" w:cs="Times New Roman"/>
                <w:sz w:val="22"/>
              </w:rPr>
              <w:t xml:space="preserve"> úrovně gramotností;</w:t>
            </w:r>
          </w:p>
          <w:p w:rsidR="00FA756B" w:rsidRPr="00B175FB" w:rsidRDefault="00FA756B" w:rsidP="00FA756B">
            <w:pPr>
              <w:pStyle w:val="Odstavecseseznamem"/>
              <w:numPr>
                <w:ilvl w:val="0"/>
                <w:numId w:val="65"/>
              </w:numPr>
              <w:spacing w:line="276" w:lineRule="auto"/>
              <w:ind w:left="742" w:hanging="425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nedostatečná podpora rozvoje digitální gramotnosti a informatického myšlení;</w:t>
            </w:r>
          </w:p>
          <w:p w:rsidR="00FA756B" w:rsidRPr="00B175FB" w:rsidRDefault="00FA756B" w:rsidP="00FA756B">
            <w:pPr>
              <w:pStyle w:val="Odstavecseseznamem"/>
              <w:numPr>
                <w:ilvl w:val="0"/>
                <w:numId w:val="65"/>
              </w:numPr>
              <w:spacing w:line="276" w:lineRule="auto"/>
              <w:ind w:left="742" w:hanging="425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nedostatečně rozvíjená oblast výuky klíčových kompetencí;</w:t>
            </w:r>
          </w:p>
          <w:p w:rsidR="00FA756B" w:rsidRPr="00B175FB" w:rsidRDefault="00FA756B" w:rsidP="00FA756B">
            <w:pPr>
              <w:pStyle w:val="Odstavecseseznamem"/>
              <w:numPr>
                <w:ilvl w:val="0"/>
                <w:numId w:val="65"/>
              </w:numPr>
              <w:spacing w:line="276" w:lineRule="auto"/>
              <w:ind w:left="742" w:hanging="425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vysoce diferencované a specializované střední odborné školství;</w:t>
            </w:r>
          </w:p>
          <w:p w:rsidR="00FA756B" w:rsidRPr="00B175FB" w:rsidRDefault="00FA756B" w:rsidP="00FA756B">
            <w:pPr>
              <w:pStyle w:val="Odstavecseseznamem"/>
              <w:numPr>
                <w:ilvl w:val="0"/>
                <w:numId w:val="65"/>
              </w:numPr>
              <w:spacing w:line="276" w:lineRule="auto"/>
              <w:ind w:left="742" w:hanging="425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převažující frontální výuka s nižší mírou zapojování učebních pomůcek a moderních didaktických metod a</w:t>
            </w:r>
            <w:r w:rsidR="00075F90">
              <w:rPr>
                <w:rFonts w:eastAsia="Times New Roman" w:cs="Times New Roman"/>
                <w:sz w:val="22"/>
              </w:rPr>
              <w:t> </w:t>
            </w:r>
            <w:r w:rsidRPr="00B175FB">
              <w:rPr>
                <w:rFonts w:eastAsia="Times New Roman" w:cs="Times New Roman"/>
                <w:sz w:val="22"/>
              </w:rPr>
              <w:t>s nižší mírou zapojení činností vyžadujících samostatný aktivní přístup žáků;</w:t>
            </w:r>
          </w:p>
          <w:p w:rsidR="00FA756B" w:rsidRPr="00B175FB" w:rsidRDefault="00FA756B" w:rsidP="00FA756B">
            <w:pPr>
              <w:pStyle w:val="Odstavecseseznamem"/>
              <w:numPr>
                <w:ilvl w:val="0"/>
                <w:numId w:val="65"/>
              </w:numPr>
              <w:spacing w:line="276" w:lineRule="auto"/>
              <w:ind w:left="742" w:hanging="425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nedostatečné využívání nových metod a forem výuky;</w:t>
            </w:r>
          </w:p>
          <w:p w:rsidR="00FA756B" w:rsidRPr="00B175FB" w:rsidRDefault="00FA756B" w:rsidP="00FA756B">
            <w:pPr>
              <w:pStyle w:val="Odstavecseseznamem"/>
              <w:numPr>
                <w:ilvl w:val="0"/>
                <w:numId w:val="65"/>
              </w:numPr>
              <w:spacing w:line="276" w:lineRule="auto"/>
              <w:ind w:left="742" w:hanging="425"/>
              <w:jc w:val="both"/>
              <w:rPr>
                <w:rFonts w:eastAsia="Times New Roman" w:cs="Times New Roman"/>
                <w:sz w:val="22"/>
              </w:rPr>
            </w:pPr>
            <w:r w:rsidRPr="002F6B12">
              <w:rPr>
                <w:rFonts w:eastAsia="Times New Roman" w:cs="Times New Roman"/>
                <w:sz w:val="22"/>
              </w:rPr>
              <w:t>nedostatečné zohlednění genderové rovnosti v obsahu, formě a</w:t>
            </w:r>
            <w:r>
              <w:rPr>
                <w:rFonts w:eastAsia="Times New Roman" w:cs="Times New Roman"/>
                <w:sz w:val="22"/>
              </w:rPr>
              <w:t> </w:t>
            </w:r>
            <w:r w:rsidRPr="002F6B12">
              <w:rPr>
                <w:rFonts w:eastAsia="Times New Roman" w:cs="Times New Roman"/>
                <w:sz w:val="22"/>
              </w:rPr>
              <w:t>metodách výuky</w:t>
            </w:r>
            <w:r>
              <w:rPr>
                <w:rFonts w:eastAsia="Times New Roman" w:cs="Times New Roman"/>
                <w:sz w:val="22"/>
              </w:rPr>
              <w:t>;</w:t>
            </w:r>
          </w:p>
          <w:p w:rsidR="00FA756B" w:rsidRPr="00B175FB" w:rsidRDefault="00FA756B" w:rsidP="00FA756B">
            <w:pPr>
              <w:pStyle w:val="Odstavecseseznamem"/>
              <w:numPr>
                <w:ilvl w:val="0"/>
                <w:numId w:val="65"/>
              </w:numPr>
              <w:spacing w:line="276" w:lineRule="auto"/>
              <w:ind w:left="742" w:hanging="425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nízká podpora profesního rozvoje vedení škol;</w:t>
            </w:r>
          </w:p>
          <w:p w:rsidR="00FA756B" w:rsidRPr="00B175FB" w:rsidRDefault="00FA756B" w:rsidP="00FA756B">
            <w:pPr>
              <w:pStyle w:val="Odstavecseseznamem"/>
              <w:numPr>
                <w:ilvl w:val="0"/>
                <w:numId w:val="65"/>
              </w:numPr>
              <w:spacing w:line="276" w:lineRule="auto"/>
              <w:ind w:left="742" w:hanging="425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n</w:t>
            </w:r>
            <w:r w:rsidRPr="00B175FB" w:rsidDel="0080076F">
              <w:rPr>
                <w:rFonts w:eastAsia="Times New Roman" w:cs="Times New Roman"/>
                <w:sz w:val="22"/>
              </w:rPr>
              <w:t>ízké zastoupení studijních programů, které jsou vyučovány v cizích jazycích či ve spolupráci se</w:t>
            </w:r>
            <w:r w:rsidR="00075F90">
              <w:rPr>
                <w:rFonts w:eastAsia="Times New Roman" w:cs="Times New Roman"/>
                <w:sz w:val="22"/>
              </w:rPr>
              <w:t> </w:t>
            </w:r>
            <w:r w:rsidRPr="00B175FB" w:rsidDel="0080076F">
              <w:rPr>
                <w:rFonts w:eastAsia="Times New Roman" w:cs="Times New Roman"/>
                <w:sz w:val="22"/>
              </w:rPr>
              <w:t xml:space="preserve">zahraničními </w:t>
            </w:r>
            <w:r w:rsidRPr="00B175FB">
              <w:rPr>
                <w:rFonts w:eastAsia="Times New Roman" w:cs="Times New Roman"/>
                <w:sz w:val="22"/>
              </w:rPr>
              <w:t>VŠ;</w:t>
            </w:r>
          </w:p>
          <w:p w:rsidR="00FA756B" w:rsidRPr="00B175FB" w:rsidRDefault="00FA756B" w:rsidP="00FA756B">
            <w:pPr>
              <w:pStyle w:val="Odstavecseseznamem"/>
              <w:numPr>
                <w:ilvl w:val="0"/>
                <w:numId w:val="65"/>
              </w:numPr>
              <w:spacing w:line="276" w:lineRule="auto"/>
              <w:ind w:left="742" w:hanging="425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nízký počet uskutečněných mobilit pracovníků a</w:t>
            </w:r>
            <w:r w:rsidR="002773B0">
              <w:rPr>
                <w:rFonts w:eastAsia="Times New Roman" w:cs="Times New Roman"/>
                <w:sz w:val="22"/>
              </w:rPr>
              <w:t> </w:t>
            </w:r>
            <w:r w:rsidRPr="00B175FB">
              <w:rPr>
                <w:rFonts w:eastAsia="Times New Roman" w:cs="Times New Roman"/>
                <w:sz w:val="22"/>
              </w:rPr>
              <w:t>studentů VŠ, a to ve smyslu jejich příjezdů i výjezdů (i cesty z a do zemí mimo EU);</w:t>
            </w:r>
          </w:p>
          <w:p w:rsidR="00FA756B" w:rsidRPr="00B175FB" w:rsidRDefault="00FA756B" w:rsidP="00FA756B">
            <w:pPr>
              <w:pStyle w:val="Odstavecseseznamem"/>
              <w:numPr>
                <w:ilvl w:val="0"/>
                <w:numId w:val="65"/>
              </w:numPr>
              <w:spacing w:line="276" w:lineRule="auto"/>
              <w:ind w:left="742" w:hanging="425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nízká jazyková vybavenost studentů a pracovníků VŠ;</w:t>
            </w:r>
          </w:p>
          <w:p w:rsidR="00FA756B" w:rsidRPr="00B175FB" w:rsidRDefault="00FA756B" w:rsidP="00FA756B">
            <w:pPr>
              <w:pStyle w:val="Odstavecseseznamem"/>
              <w:numPr>
                <w:ilvl w:val="0"/>
                <w:numId w:val="65"/>
              </w:numPr>
              <w:spacing w:line="276" w:lineRule="auto"/>
              <w:ind w:left="742" w:hanging="425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nedostatečně rozvinutá účinná spolupráce s praxí ve studijních programech, které jsou na VŠ nabízeny;</w:t>
            </w:r>
          </w:p>
          <w:p w:rsidR="00FA756B" w:rsidRPr="00B175FB" w:rsidRDefault="00FA756B" w:rsidP="00FA756B">
            <w:pPr>
              <w:pStyle w:val="Odstavecseseznamem"/>
              <w:numPr>
                <w:ilvl w:val="0"/>
                <w:numId w:val="65"/>
              </w:numPr>
              <w:spacing w:line="276" w:lineRule="auto"/>
              <w:ind w:left="742" w:hanging="425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nízký počet studijních programů se zavedenou praxí;</w:t>
            </w:r>
          </w:p>
          <w:p w:rsidR="00FA756B" w:rsidRPr="00B175FB" w:rsidRDefault="00FA756B" w:rsidP="00FA756B">
            <w:pPr>
              <w:pStyle w:val="Odstavecseseznamem"/>
              <w:numPr>
                <w:ilvl w:val="0"/>
                <w:numId w:val="65"/>
              </w:numPr>
              <w:spacing w:line="276" w:lineRule="auto"/>
              <w:ind w:left="742" w:hanging="425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nedostatečně akcentovaný důraz na rozvoj digitálních, měkkých a podnikatelských kompetencí studentů VŠ a zařazování nových metod do výuky;</w:t>
            </w:r>
          </w:p>
          <w:p w:rsidR="00FA756B" w:rsidRPr="00B175FB" w:rsidRDefault="00FA756B" w:rsidP="00FA756B">
            <w:pPr>
              <w:pStyle w:val="Odstavecseseznamem"/>
              <w:numPr>
                <w:ilvl w:val="0"/>
                <w:numId w:val="65"/>
              </w:numPr>
              <w:spacing w:line="276" w:lineRule="auto"/>
              <w:ind w:left="742" w:hanging="425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nevhodné nastavení struktury studijních programů, které jsou nabízeny v kombinované/distanční formě studia, jejich nízký počet;</w:t>
            </w:r>
          </w:p>
          <w:p w:rsidR="00FA756B" w:rsidRPr="00B175FB" w:rsidRDefault="00FA756B" w:rsidP="00FA756B">
            <w:pPr>
              <w:pStyle w:val="Odstavecseseznamem"/>
              <w:numPr>
                <w:ilvl w:val="0"/>
                <w:numId w:val="65"/>
              </w:numPr>
              <w:spacing w:line="276" w:lineRule="auto"/>
              <w:ind w:left="742" w:hanging="425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nedostatečná připravenost pracovníků VŠ pro práci se specifickou cílovou skupinou, která studuje v programech kombinovaného/distančního studia;</w:t>
            </w:r>
          </w:p>
          <w:p w:rsidR="00FA756B" w:rsidRPr="00B175FB" w:rsidRDefault="00FA756B" w:rsidP="00FA756B">
            <w:pPr>
              <w:pStyle w:val="Odstavecseseznamem"/>
              <w:numPr>
                <w:ilvl w:val="0"/>
                <w:numId w:val="65"/>
              </w:numPr>
              <w:spacing w:line="276" w:lineRule="auto"/>
              <w:ind w:left="742" w:hanging="425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nedostatečně rozvinutá práce se zájemci o studium na VŠ;</w:t>
            </w:r>
          </w:p>
          <w:p w:rsidR="00FA756B" w:rsidRPr="00B175FB" w:rsidRDefault="00FA756B" w:rsidP="00FA756B">
            <w:pPr>
              <w:pStyle w:val="Odstavecseseznamem"/>
              <w:numPr>
                <w:ilvl w:val="0"/>
                <w:numId w:val="65"/>
              </w:numPr>
              <w:spacing w:line="276" w:lineRule="auto"/>
              <w:ind w:left="742" w:hanging="425"/>
              <w:jc w:val="both"/>
              <w:rPr>
                <w:rFonts w:eastAsia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vysoký podíl studijní neúspěšnosti na všech stupních studia.</w:t>
            </w:r>
          </w:p>
        </w:tc>
      </w:tr>
      <w:tr w:rsidR="00FA756B" w:rsidRPr="00B175FB" w:rsidTr="00703880">
        <w:tc>
          <w:tcPr>
            <w:tcW w:w="1153" w:type="pct"/>
            <w:vMerge/>
          </w:tcPr>
          <w:p w:rsidR="00FA756B" w:rsidRPr="00B175FB" w:rsidRDefault="00FA756B" w:rsidP="00FA756B">
            <w:pPr>
              <w:spacing w:line="276" w:lineRule="auto"/>
              <w:rPr>
                <w:rFonts w:eastAsia="Times New Roman"/>
                <w:b/>
                <w:sz w:val="22"/>
              </w:rPr>
            </w:pPr>
          </w:p>
        </w:tc>
        <w:tc>
          <w:tcPr>
            <w:tcW w:w="886" w:type="pct"/>
          </w:tcPr>
          <w:p w:rsidR="00FA756B" w:rsidRPr="00B175FB" w:rsidRDefault="00FA756B" w:rsidP="00FA756B">
            <w:pPr>
              <w:spacing w:line="276" w:lineRule="auto"/>
              <w:rPr>
                <w:color w:val="000000"/>
                <w:sz w:val="22"/>
                <w:lang w:eastAsia="cs-CZ" w:bidi="cs-CZ"/>
              </w:rPr>
            </w:pPr>
            <w:r w:rsidRPr="00B175FB">
              <w:rPr>
                <w:color w:val="000000"/>
                <w:sz w:val="22"/>
                <w:lang w:eastAsia="cs-CZ" w:bidi="cs-CZ"/>
              </w:rPr>
              <w:t>SC 2.3</w:t>
            </w:r>
            <w:r>
              <w:rPr>
                <w:color w:val="000000"/>
                <w:sz w:val="22"/>
                <w:lang w:eastAsia="cs-CZ" w:bidi="cs-CZ"/>
              </w:rPr>
              <w:t xml:space="preserve"> </w:t>
            </w:r>
          </w:p>
          <w:p w:rsidR="00FA756B" w:rsidRDefault="00FA756B" w:rsidP="00FA756B">
            <w:pPr>
              <w:spacing w:line="276" w:lineRule="auto"/>
              <w:rPr>
                <w:color w:val="000000"/>
                <w:sz w:val="22"/>
                <w:lang w:eastAsia="cs-CZ" w:bidi="cs-CZ"/>
              </w:rPr>
            </w:pPr>
            <w:r w:rsidRPr="00A777BF">
              <w:rPr>
                <w:color w:val="000000"/>
                <w:sz w:val="22"/>
                <w:lang w:eastAsia="cs-CZ" w:bidi="cs-CZ"/>
              </w:rPr>
              <w:t>prosazovat rovný přístup ke kvalitnímu a</w:t>
            </w:r>
            <w:r w:rsidR="00DB0018">
              <w:rPr>
                <w:color w:val="000000"/>
                <w:sz w:val="22"/>
                <w:lang w:eastAsia="cs-CZ" w:bidi="cs-CZ"/>
              </w:rPr>
              <w:t> </w:t>
            </w:r>
            <w:r w:rsidRPr="00A777BF">
              <w:rPr>
                <w:color w:val="000000"/>
                <w:sz w:val="22"/>
                <w:lang w:eastAsia="cs-CZ" w:bidi="cs-CZ"/>
              </w:rPr>
              <w:t>inkluzivnímu vzdělávání a</w:t>
            </w:r>
            <w:r w:rsidR="00DB0018">
              <w:rPr>
                <w:color w:val="000000"/>
                <w:sz w:val="22"/>
                <w:lang w:eastAsia="cs-CZ" w:bidi="cs-CZ"/>
              </w:rPr>
              <w:t> </w:t>
            </w:r>
            <w:r w:rsidRPr="00A777BF">
              <w:rPr>
                <w:color w:val="000000"/>
                <w:sz w:val="22"/>
                <w:lang w:eastAsia="cs-CZ" w:bidi="cs-CZ"/>
              </w:rPr>
              <w:t>odborné přípravě a jejich úspěšnému ukončení, a</w:t>
            </w:r>
            <w:r w:rsidR="00DB0018">
              <w:rPr>
                <w:color w:val="000000"/>
                <w:sz w:val="22"/>
                <w:lang w:eastAsia="cs-CZ" w:bidi="cs-CZ"/>
              </w:rPr>
              <w:t> </w:t>
            </w:r>
            <w:r w:rsidRPr="00A777BF">
              <w:rPr>
                <w:color w:val="000000"/>
                <w:sz w:val="22"/>
                <w:lang w:eastAsia="cs-CZ" w:bidi="cs-CZ"/>
              </w:rPr>
              <w:t>to</w:t>
            </w:r>
            <w:r w:rsidR="00DB0018">
              <w:rPr>
                <w:color w:val="000000"/>
                <w:sz w:val="22"/>
                <w:lang w:eastAsia="cs-CZ" w:bidi="cs-CZ"/>
              </w:rPr>
              <w:t> </w:t>
            </w:r>
            <w:r w:rsidRPr="00A777BF">
              <w:rPr>
                <w:color w:val="000000"/>
                <w:sz w:val="22"/>
                <w:lang w:eastAsia="cs-CZ" w:bidi="cs-CZ"/>
              </w:rPr>
              <w:t>zejména v</w:t>
            </w:r>
            <w:r w:rsidR="00DB0018">
              <w:rPr>
                <w:color w:val="000000"/>
                <w:sz w:val="22"/>
                <w:lang w:eastAsia="cs-CZ" w:bidi="cs-CZ"/>
              </w:rPr>
              <w:t> </w:t>
            </w:r>
            <w:r w:rsidRPr="00A777BF">
              <w:rPr>
                <w:color w:val="000000"/>
                <w:sz w:val="22"/>
                <w:lang w:eastAsia="cs-CZ" w:bidi="cs-CZ"/>
              </w:rPr>
              <w:t>případě znevýhodněných skupin, od předškolního vzdělávání a</w:t>
            </w:r>
            <w:r w:rsidR="002218A3">
              <w:rPr>
                <w:color w:val="000000"/>
                <w:sz w:val="22"/>
                <w:lang w:eastAsia="cs-CZ" w:bidi="cs-CZ"/>
              </w:rPr>
              <w:t> </w:t>
            </w:r>
            <w:r w:rsidRPr="00A777BF">
              <w:rPr>
                <w:color w:val="000000"/>
                <w:sz w:val="22"/>
                <w:lang w:eastAsia="cs-CZ" w:bidi="cs-CZ"/>
              </w:rPr>
              <w:t>péče, přes všeobecné vzdělávání a</w:t>
            </w:r>
            <w:r w:rsidR="002218A3">
              <w:rPr>
                <w:color w:val="000000"/>
                <w:sz w:val="22"/>
                <w:lang w:eastAsia="cs-CZ" w:bidi="cs-CZ"/>
              </w:rPr>
              <w:t> </w:t>
            </w:r>
            <w:r w:rsidRPr="00A777BF">
              <w:rPr>
                <w:color w:val="000000"/>
                <w:sz w:val="22"/>
                <w:lang w:eastAsia="cs-CZ" w:bidi="cs-CZ"/>
              </w:rPr>
              <w:t>odborné vzdělávání a</w:t>
            </w:r>
            <w:r w:rsidR="002218A3">
              <w:rPr>
                <w:color w:val="000000"/>
                <w:sz w:val="22"/>
                <w:lang w:eastAsia="cs-CZ" w:bidi="cs-CZ"/>
              </w:rPr>
              <w:t> </w:t>
            </w:r>
            <w:r w:rsidRPr="00A777BF">
              <w:rPr>
                <w:color w:val="000000"/>
                <w:sz w:val="22"/>
                <w:lang w:eastAsia="cs-CZ" w:bidi="cs-CZ"/>
              </w:rPr>
              <w:t>přípravu až po terciární úroveň, jakož i</w:t>
            </w:r>
            <w:r w:rsidR="002218A3">
              <w:rPr>
                <w:color w:val="000000"/>
                <w:sz w:val="22"/>
                <w:lang w:eastAsia="cs-CZ" w:bidi="cs-CZ"/>
              </w:rPr>
              <w:t> </w:t>
            </w:r>
            <w:r w:rsidRPr="00A777BF">
              <w:rPr>
                <w:color w:val="000000"/>
                <w:sz w:val="22"/>
                <w:lang w:eastAsia="cs-CZ" w:bidi="cs-CZ"/>
              </w:rPr>
              <w:t>vzdělávání a</w:t>
            </w:r>
            <w:r w:rsidR="002218A3">
              <w:rPr>
                <w:color w:val="000000"/>
                <w:sz w:val="22"/>
                <w:lang w:eastAsia="cs-CZ" w:bidi="cs-CZ"/>
              </w:rPr>
              <w:t> </w:t>
            </w:r>
            <w:r w:rsidRPr="00A777BF">
              <w:rPr>
                <w:color w:val="000000"/>
                <w:sz w:val="22"/>
                <w:lang w:eastAsia="cs-CZ" w:bidi="cs-CZ"/>
              </w:rPr>
              <w:t xml:space="preserve">studium dospělých, včetně usnadnění vzdělávací </w:t>
            </w:r>
          </w:p>
          <w:p w:rsidR="00FA756B" w:rsidRPr="00B175FB" w:rsidRDefault="00FA756B" w:rsidP="00FA756B">
            <w:pPr>
              <w:spacing w:line="276" w:lineRule="auto"/>
              <w:rPr>
                <w:color w:val="000000"/>
                <w:sz w:val="22"/>
                <w:lang w:eastAsia="cs-CZ" w:bidi="cs-CZ"/>
              </w:rPr>
            </w:pPr>
            <w:r w:rsidRPr="00B175FB">
              <w:rPr>
                <w:color w:val="000000"/>
                <w:sz w:val="22"/>
                <w:lang w:eastAsia="cs-CZ" w:bidi="cs-CZ"/>
              </w:rPr>
              <w:t>(</w:t>
            </w:r>
            <w:r>
              <w:rPr>
                <w:color w:val="000000"/>
                <w:sz w:val="22"/>
                <w:lang w:eastAsia="cs-CZ" w:bidi="cs-CZ"/>
              </w:rPr>
              <w:t>f</w:t>
            </w:r>
            <w:r w:rsidRPr="00B175FB">
              <w:rPr>
                <w:color w:val="000000"/>
                <w:sz w:val="22"/>
                <w:lang w:eastAsia="cs-CZ" w:bidi="cs-CZ"/>
              </w:rPr>
              <w:t>)</w:t>
            </w:r>
            <w:r>
              <w:rPr>
                <w:color w:val="000000"/>
                <w:sz w:val="22"/>
                <w:lang w:eastAsia="cs-CZ" w:bidi="cs-CZ"/>
              </w:rPr>
              <w:t>)</w:t>
            </w:r>
          </w:p>
        </w:tc>
        <w:tc>
          <w:tcPr>
            <w:tcW w:w="2961" w:type="pct"/>
          </w:tcPr>
          <w:p w:rsidR="00FA756B" w:rsidRPr="00B175FB" w:rsidRDefault="00FA756B" w:rsidP="00FA756B">
            <w:pPr>
              <w:spacing w:line="276" w:lineRule="auto"/>
              <w:jc w:val="both"/>
              <w:rPr>
                <w:rFonts w:eastAsia="Times New Roman"/>
                <w:sz w:val="22"/>
              </w:rPr>
            </w:pPr>
            <w:r w:rsidRPr="00B175FB">
              <w:rPr>
                <w:rFonts w:eastAsia="Times New Roman"/>
                <w:sz w:val="22"/>
              </w:rPr>
              <w:t>Výběr specifického cíle vyplývá ze Strategie vzdělávací politiky ČR do</w:t>
            </w:r>
            <w:r>
              <w:rPr>
                <w:rFonts w:eastAsia="Times New Roman"/>
                <w:sz w:val="22"/>
              </w:rPr>
              <w:t> </w:t>
            </w:r>
            <w:r w:rsidRPr="00B175FB">
              <w:rPr>
                <w:rFonts w:eastAsia="Times New Roman"/>
                <w:sz w:val="22"/>
              </w:rPr>
              <w:t xml:space="preserve">roku 2030+, Strategického záměru </w:t>
            </w:r>
            <w:r>
              <w:rPr>
                <w:rFonts w:eastAsia="Times New Roman"/>
                <w:sz w:val="22"/>
              </w:rPr>
              <w:t xml:space="preserve">ministerstva </w:t>
            </w:r>
            <w:r w:rsidRPr="00B175FB">
              <w:rPr>
                <w:rFonts w:eastAsia="Times New Roman"/>
                <w:sz w:val="22"/>
              </w:rPr>
              <w:t>pro oblast vysokých škol na období od roku 2021, Národního programu reforem a Zprávy o České republice a tzv. Country specific recommendations. Hlavní identifikované problémy, které by měly být řešeny v rámci tohoto specifického cíle:</w:t>
            </w:r>
          </w:p>
          <w:p w:rsidR="00FA756B" w:rsidRPr="00B175FB" w:rsidRDefault="00FA756B" w:rsidP="00FA756B">
            <w:pPr>
              <w:pStyle w:val="Odstavecseseznamem"/>
              <w:numPr>
                <w:ilvl w:val="0"/>
                <w:numId w:val="65"/>
              </w:numPr>
              <w:spacing w:line="276" w:lineRule="auto"/>
              <w:ind w:left="742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>nedostatečná otevřenost a spravedlivost vzdělávacího systému, která brání v dostatečné míře rozvíjet potenciál každého po celý život;</w:t>
            </w:r>
          </w:p>
          <w:p w:rsidR="00FA756B" w:rsidRPr="00B175FB" w:rsidRDefault="00FA756B" w:rsidP="00FA756B">
            <w:pPr>
              <w:pStyle w:val="Odstavecseseznamem"/>
              <w:numPr>
                <w:ilvl w:val="0"/>
                <w:numId w:val="65"/>
              </w:numPr>
              <w:spacing w:line="276" w:lineRule="auto"/>
              <w:ind w:left="742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>neschopnost škol a školských zařízení dostatečně kompenzovat vliv socioekonomického zázemí žáka;</w:t>
            </w:r>
          </w:p>
          <w:p w:rsidR="00FA756B" w:rsidRPr="00B175FB" w:rsidRDefault="00FA756B" w:rsidP="00FA756B">
            <w:pPr>
              <w:pStyle w:val="Odstavecseseznamem"/>
              <w:numPr>
                <w:ilvl w:val="0"/>
                <w:numId w:val="65"/>
              </w:numPr>
              <w:spacing w:line="276" w:lineRule="auto"/>
              <w:ind w:left="742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>podstatné nerovnosti v kvalitě škol i nerovnosti v</w:t>
            </w:r>
            <w:r w:rsidR="00595F49">
              <w:rPr>
                <w:rFonts w:cs="Times New Roman"/>
                <w:sz w:val="22"/>
              </w:rPr>
              <w:t> </w:t>
            </w:r>
            <w:r w:rsidRPr="00B175FB">
              <w:rPr>
                <w:rFonts w:cs="Times New Roman"/>
                <w:sz w:val="22"/>
              </w:rPr>
              <w:t>rámci regionů;</w:t>
            </w:r>
          </w:p>
          <w:p w:rsidR="00FA756B" w:rsidRPr="00B175FB" w:rsidRDefault="00FA756B" w:rsidP="00FA756B">
            <w:pPr>
              <w:pStyle w:val="Odstavecseseznamem"/>
              <w:numPr>
                <w:ilvl w:val="0"/>
                <w:numId w:val="65"/>
              </w:numPr>
              <w:spacing w:line="276" w:lineRule="auto"/>
              <w:ind w:left="742"/>
              <w:jc w:val="both"/>
              <w:rPr>
                <w:rFonts w:cs="Times New Roman"/>
                <w:sz w:val="22"/>
              </w:rPr>
            </w:pPr>
            <w:r w:rsidRPr="000A200F">
              <w:rPr>
                <w:rFonts w:cs="Times New Roman"/>
                <w:sz w:val="22"/>
              </w:rPr>
              <w:t>nedostatečná účast dětí ze sociálně znevýhodňujícího prostředí v předškolním vzdělávání a jejich nedostatečná připravenost pro další vzdělávání v</w:t>
            </w:r>
            <w:r w:rsidR="00595F49">
              <w:rPr>
                <w:rFonts w:cs="Times New Roman"/>
                <w:sz w:val="22"/>
              </w:rPr>
              <w:t> </w:t>
            </w:r>
            <w:r w:rsidRPr="000A200F">
              <w:rPr>
                <w:rFonts w:cs="Times New Roman"/>
                <w:sz w:val="22"/>
              </w:rPr>
              <w:t>základní škole</w:t>
            </w:r>
            <w:r w:rsidRPr="00B175FB">
              <w:rPr>
                <w:rFonts w:cs="Times New Roman"/>
                <w:sz w:val="22"/>
              </w:rPr>
              <w:t>;</w:t>
            </w:r>
          </w:p>
          <w:p w:rsidR="00FA756B" w:rsidRPr="00B175FB" w:rsidRDefault="00FA756B" w:rsidP="00FA756B">
            <w:pPr>
              <w:pStyle w:val="Odstavecseseznamem"/>
              <w:numPr>
                <w:ilvl w:val="0"/>
                <w:numId w:val="65"/>
              </w:numPr>
              <w:spacing w:line="276" w:lineRule="auto"/>
              <w:ind w:left="742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>neuspokojivý</w:t>
            </w:r>
            <w:r w:rsidRPr="00B175FB" w:rsidDel="0080076F">
              <w:rPr>
                <w:rFonts w:cs="Times New Roman"/>
                <w:sz w:val="22"/>
              </w:rPr>
              <w:t xml:space="preserve"> </w:t>
            </w:r>
            <w:r w:rsidRPr="00B175FB">
              <w:rPr>
                <w:rFonts w:cs="Times New Roman"/>
                <w:sz w:val="22"/>
              </w:rPr>
              <w:t>podíl žáků předčasně odcházejících ze vzdělávání a studentů s vysokou studijní neúspěšností;</w:t>
            </w:r>
          </w:p>
          <w:p w:rsidR="00FA756B" w:rsidRPr="00B175FB" w:rsidRDefault="00FA756B" w:rsidP="00FA756B">
            <w:pPr>
              <w:pStyle w:val="Odstavecseseznamem"/>
              <w:numPr>
                <w:ilvl w:val="0"/>
                <w:numId w:val="65"/>
              </w:numPr>
              <w:spacing w:line="276" w:lineRule="auto"/>
              <w:ind w:left="742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>brzká selekce dětí a žáků do různých typů škol a tříd, která do značné míry předurčuje jejich další vzdělávací i profesní dráhy;</w:t>
            </w:r>
          </w:p>
          <w:p w:rsidR="00FA756B" w:rsidRPr="00B175FB" w:rsidRDefault="00FA756B" w:rsidP="00FA756B">
            <w:pPr>
              <w:pStyle w:val="Odstavecseseznamem"/>
              <w:numPr>
                <w:ilvl w:val="0"/>
                <w:numId w:val="65"/>
              </w:numPr>
              <w:spacing w:line="276" w:lineRule="auto"/>
              <w:ind w:left="742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>nedostatečná materiální vybavenost škol a školských zařízení neodpovídající současným potřebám výuky a</w:t>
            </w:r>
            <w:r w:rsidR="00595F49">
              <w:rPr>
                <w:rFonts w:cs="Times New Roman"/>
                <w:sz w:val="22"/>
              </w:rPr>
              <w:t> </w:t>
            </w:r>
            <w:r w:rsidRPr="00B175FB">
              <w:rPr>
                <w:rFonts w:cs="Times New Roman"/>
                <w:sz w:val="22"/>
              </w:rPr>
              <w:t>vzdělávání;</w:t>
            </w:r>
          </w:p>
          <w:p w:rsidR="00FA756B" w:rsidRPr="00B175FB" w:rsidRDefault="00FA756B" w:rsidP="00FA756B">
            <w:pPr>
              <w:pStyle w:val="Odstavecseseznamem"/>
              <w:numPr>
                <w:ilvl w:val="0"/>
                <w:numId w:val="64"/>
              </w:numPr>
              <w:spacing w:after="160" w:line="276" w:lineRule="auto"/>
              <w:ind w:left="742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>nedostatečná připravenost učitelů a pedagogů pro práci s heterogenními skupinami;</w:t>
            </w:r>
          </w:p>
          <w:p w:rsidR="00FA756B" w:rsidRPr="00B175FB" w:rsidRDefault="00FA756B" w:rsidP="00FA756B">
            <w:pPr>
              <w:pStyle w:val="Odstavecseseznamem"/>
              <w:numPr>
                <w:ilvl w:val="0"/>
                <w:numId w:val="64"/>
              </w:numPr>
              <w:spacing w:after="160" w:line="276" w:lineRule="auto"/>
              <w:ind w:left="742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>absence adekvátního rozsahu podpory práce učitele ze strany školních psychologů a dalších specialistů;</w:t>
            </w:r>
          </w:p>
          <w:p w:rsidR="00FA756B" w:rsidRPr="00B175FB" w:rsidRDefault="00FA756B" w:rsidP="00FA756B">
            <w:pPr>
              <w:pStyle w:val="Odstavecseseznamem"/>
              <w:numPr>
                <w:ilvl w:val="0"/>
                <w:numId w:val="64"/>
              </w:numPr>
              <w:spacing w:after="160" w:line="276" w:lineRule="auto"/>
              <w:ind w:left="742"/>
              <w:jc w:val="both"/>
              <w:rPr>
                <w:rFonts w:cs="Times New Roman"/>
                <w:sz w:val="22"/>
              </w:rPr>
            </w:pPr>
            <w:bookmarkStart w:id="48" w:name="_Hlk25848670"/>
            <w:r w:rsidRPr="00B175FB">
              <w:rPr>
                <w:rFonts w:cs="Times New Roman"/>
                <w:sz w:val="22"/>
              </w:rPr>
              <w:t>absence systematických dlouhodobých analýz sledujících efektivitu nástrojů určených pro dosažení rovného přístupu ke kvalitnímu a inkluzivnímu vzdělávání a odborné přípravy;</w:t>
            </w:r>
          </w:p>
          <w:p w:rsidR="00FA756B" w:rsidRPr="00B175FB" w:rsidRDefault="00FA756B" w:rsidP="00FA756B">
            <w:pPr>
              <w:pStyle w:val="Odstavecseseznamem"/>
              <w:numPr>
                <w:ilvl w:val="0"/>
                <w:numId w:val="64"/>
              </w:numPr>
              <w:spacing w:after="160" w:line="276" w:lineRule="auto"/>
              <w:ind w:left="742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>nedostatečnost budované datové základny v delších časových řadách pro evaluaci nástrojů a opatření směřujících k dosažení rovného přístupu, a to od národní úrovně až na úroveň jednotlivých škol, včetně kontextu mezinárodního srovnání;</w:t>
            </w:r>
          </w:p>
          <w:p w:rsidR="00FA756B" w:rsidRPr="00B175FB" w:rsidRDefault="00FA756B" w:rsidP="00FA756B">
            <w:pPr>
              <w:pStyle w:val="Odstavecseseznamem"/>
              <w:numPr>
                <w:ilvl w:val="0"/>
                <w:numId w:val="64"/>
              </w:numPr>
              <w:spacing w:after="160" w:line="276" w:lineRule="auto"/>
              <w:ind w:left="742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>nízká prostupnost informačních systémů institucí a</w:t>
            </w:r>
            <w:r w:rsidR="00595F49">
              <w:rPr>
                <w:rFonts w:cs="Times New Roman"/>
                <w:sz w:val="22"/>
              </w:rPr>
              <w:t> </w:t>
            </w:r>
            <w:r w:rsidRPr="00B175FB">
              <w:rPr>
                <w:rFonts w:cs="Times New Roman"/>
                <w:sz w:val="22"/>
              </w:rPr>
              <w:t>ostatních aktérů vzdělávací soustavy jako bariéra efektivního sdílení zdrojových dat a výsledků jejich zpracování;</w:t>
            </w:r>
          </w:p>
          <w:bookmarkEnd w:id="48"/>
          <w:p w:rsidR="00FA756B" w:rsidRPr="00B175FB" w:rsidRDefault="00FA756B" w:rsidP="00FA756B">
            <w:pPr>
              <w:pStyle w:val="Odstavecseseznamem"/>
              <w:numPr>
                <w:ilvl w:val="0"/>
                <w:numId w:val="64"/>
              </w:numPr>
              <w:spacing w:line="276" w:lineRule="auto"/>
              <w:ind w:left="742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>nedostatečná účast osob se SP ve vysokoškolském prostředí;</w:t>
            </w:r>
          </w:p>
          <w:p w:rsidR="00FA756B" w:rsidRPr="00B175FB" w:rsidRDefault="00FA756B" w:rsidP="00FA756B">
            <w:pPr>
              <w:pStyle w:val="Odstavecseseznamem"/>
              <w:numPr>
                <w:ilvl w:val="0"/>
                <w:numId w:val="64"/>
              </w:numPr>
              <w:spacing w:line="276" w:lineRule="auto"/>
              <w:ind w:left="742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>nedostatečný zájem studentů se SP o účast na mobilitních schématech.</w:t>
            </w:r>
          </w:p>
        </w:tc>
      </w:tr>
      <w:tr w:rsidR="00FA756B" w:rsidRPr="00B175FB" w:rsidTr="00703880">
        <w:tc>
          <w:tcPr>
            <w:tcW w:w="1153" w:type="pct"/>
            <w:vMerge/>
          </w:tcPr>
          <w:p w:rsidR="00FA756B" w:rsidRPr="00B175FB" w:rsidRDefault="00FA756B" w:rsidP="00FA756B">
            <w:pPr>
              <w:spacing w:line="276" w:lineRule="auto"/>
              <w:rPr>
                <w:rFonts w:eastAsia="Times New Roman"/>
                <w:b/>
                <w:sz w:val="22"/>
              </w:rPr>
            </w:pPr>
          </w:p>
        </w:tc>
        <w:tc>
          <w:tcPr>
            <w:tcW w:w="886" w:type="pct"/>
          </w:tcPr>
          <w:p w:rsidR="00FA756B" w:rsidRPr="00B175FB" w:rsidRDefault="00FA756B" w:rsidP="00FA756B">
            <w:pPr>
              <w:spacing w:line="276" w:lineRule="auto"/>
              <w:rPr>
                <w:color w:val="000000"/>
                <w:sz w:val="22"/>
                <w:lang w:eastAsia="cs-CZ" w:bidi="cs-CZ"/>
              </w:rPr>
            </w:pPr>
            <w:r w:rsidRPr="00B175FB">
              <w:rPr>
                <w:color w:val="000000"/>
                <w:sz w:val="22"/>
                <w:lang w:eastAsia="cs-CZ" w:bidi="cs-CZ"/>
              </w:rPr>
              <w:t xml:space="preserve">SC 2.4 </w:t>
            </w:r>
          </w:p>
          <w:p w:rsidR="00595F49" w:rsidRDefault="00FA756B" w:rsidP="00FA756B">
            <w:pPr>
              <w:spacing w:after="0" w:line="276" w:lineRule="auto"/>
              <w:rPr>
                <w:color w:val="000000"/>
                <w:sz w:val="22"/>
                <w:lang w:eastAsia="cs-CZ" w:bidi="cs-CZ"/>
              </w:rPr>
            </w:pPr>
            <w:r w:rsidRPr="001B6F27">
              <w:rPr>
                <w:color w:val="000000"/>
                <w:sz w:val="22"/>
                <w:lang w:eastAsia="cs-CZ" w:bidi="cs-CZ"/>
              </w:rPr>
              <w:t>prosazovat celoživotní učení, zejména flexibilní možnosti rozšiřování dovedností a</w:t>
            </w:r>
            <w:r w:rsidR="002218A3">
              <w:rPr>
                <w:color w:val="000000"/>
                <w:sz w:val="22"/>
                <w:lang w:eastAsia="cs-CZ" w:bidi="cs-CZ"/>
              </w:rPr>
              <w:t> </w:t>
            </w:r>
            <w:r w:rsidRPr="001B6F27">
              <w:rPr>
                <w:color w:val="000000"/>
                <w:sz w:val="22"/>
                <w:lang w:eastAsia="cs-CZ" w:bidi="cs-CZ"/>
              </w:rPr>
              <w:t>rekvalifikace pro všechny s</w:t>
            </w:r>
            <w:r w:rsidR="002218A3">
              <w:rPr>
                <w:color w:val="000000"/>
                <w:sz w:val="22"/>
                <w:lang w:eastAsia="cs-CZ" w:bidi="cs-CZ"/>
              </w:rPr>
              <w:t> </w:t>
            </w:r>
            <w:r w:rsidRPr="001B6F27">
              <w:rPr>
                <w:color w:val="000000"/>
                <w:sz w:val="22"/>
                <w:lang w:eastAsia="cs-CZ" w:bidi="cs-CZ"/>
              </w:rPr>
              <w:t>ohledem na podnikatelské a</w:t>
            </w:r>
            <w:r w:rsidR="002218A3">
              <w:rPr>
                <w:color w:val="000000"/>
                <w:sz w:val="22"/>
                <w:lang w:eastAsia="cs-CZ" w:bidi="cs-CZ"/>
              </w:rPr>
              <w:t> </w:t>
            </w:r>
            <w:r w:rsidRPr="001B6F27">
              <w:rPr>
                <w:color w:val="000000"/>
                <w:sz w:val="22"/>
                <w:lang w:eastAsia="cs-CZ" w:bidi="cs-CZ"/>
              </w:rPr>
              <w:t>digitální dovednosti, lépe předvídat změny a nové požadavky na dovednosti vycházející z</w:t>
            </w:r>
            <w:r w:rsidR="002218A3">
              <w:rPr>
                <w:color w:val="000000"/>
                <w:sz w:val="22"/>
                <w:lang w:eastAsia="cs-CZ" w:bidi="cs-CZ"/>
              </w:rPr>
              <w:t> </w:t>
            </w:r>
            <w:r w:rsidRPr="001B6F27">
              <w:rPr>
                <w:color w:val="000000"/>
                <w:sz w:val="22"/>
                <w:lang w:eastAsia="cs-CZ" w:bidi="cs-CZ"/>
              </w:rPr>
              <w:t>potřeb trhu práce, usnadnit přechody mezi zaměstnáními a</w:t>
            </w:r>
            <w:r w:rsidR="002218A3">
              <w:rPr>
                <w:color w:val="000000"/>
                <w:sz w:val="22"/>
                <w:lang w:eastAsia="cs-CZ" w:bidi="cs-CZ"/>
              </w:rPr>
              <w:t> </w:t>
            </w:r>
            <w:r w:rsidRPr="001B6F27">
              <w:rPr>
                <w:color w:val="000000"/>
                <w:sz w:val="22"/>
                <w:lang w:eastAsia="cs-CZ" w:bidi="cs-CZ"/>
              </w:rPr>
              <w:t>podporovat profesní mobilitu</w:t>
            </w:r>
          </w:p>
          <w:p w:rsidR="00FA756B" w:rsidRPr="00B175FB" w:rsidRDefault="00FA756B" w:rsidP="00FA756B">
            <w:pPr>
              <w:spacing w:after="0" w:line="276" w:lineRule="auto"/>
              <w:rPr>
                <w:color w:val="000000"/>
                <w:sz w:val="22"/>
                <w:lang w:eastAsia="cs-CZ" w:bidi="cs-CZ"/>
              </w:rPr>
            </w:pPr>
            <w:r w:rsidRPr="00B175FB">
              <w:rPr>
                <w:color w:val="000000"/>
                <w:sz w:val="22"/>
                <w:lang w:eastAsia="cs-CZ" w:bidi="cs-CZ"/>
              </w:rPr>
              <w:t>(</w:t>
            </w:r>
            <w:r>
              <w:rPr>
                <w:color w:val="000000"/>
                <w:sz w:val="22"/>
                <w:lang w:eastAsia="cs-CZ" w:bidi="cs-CZ"/>
              </w:rPr>
              <w:t>g</w:t>
            </w:r>
            <w:r w:rsidRPr="00B175FB">
              <w:rPr>
                <w:color w:val="000000"/>
                <w:sz w:val="22"/>
                <w:lang w:eastAsia="cs-CZ" w:bidi="cs-CZ"/>
              </w:rPr>
              <w:t>)</w:t>
            </w:r>
            <w:r>
              <w:rPr>
                <w:color w:val="000000"/>
                <w:sz w:val="22"/>
                <w:lang w:eastAsia="cs-CZ" w:bidi="cs-CZ"/>
              </w:rPr>
              <w:t>)</w:t>
            </w:r>
          </w:p>
        </w:tc>
        <w:tc>
          <w:tcPr>
            <w:tcW w:w="2961" w:type="pct"/>
          </w:tcPr>
          <w:p w:rsidR="00FA756B" w:rsidRPr="00B175FB" w:rsidRDefault="00FA756B" w:rsidP="00FA756B">
            <w:pPr>
              <w:spacing w:line="276" w:lineRule="auto"/>
              <w:jc w:val="both"/>
              <w:rPr>
                <w:rFonts w:eastAsia="Times New Roman"/>
                <w:sz w:val="22"/>
              </w:rPr>
            </w:pPr>
            <w:r w:rsidRPr="00B175FB">
              <w:rPr>
                <w:rFonts w:eastAsia="Times New Roman"/>
                <w:sz w:val="22"/>
              </w:rPr>
              <w:t>Výběr specifického cíle navazuje na základní strategické dokumenty v oblasti vysokého školství, konkrétně na</w:t>
            </w:r>
            <w:r w:rsidR="00595F49">
              <w:rPr>
                <w:rFonts w:eastAsia="Times New Roman"/>
                <w:sz w:val="22"/>
              </w:rPr>
              <w:t> </w:t>
            </w:r>
            <w:r w:rsidRPr="00B175FB">
              <w:rPr>
                <w:rFonts w:eastAsia="Times New Roman"/>
                <w:sz w:val="22"/>
              </w:rPr>
              <w:t xml:space="preserve">Dlouhodobý záměr vzdělávací </w:t>
            </w:r>
            <w:r>
              <w:rPr>
                <w:rFonts w:eastAsia="Times New Roman"/>
                <w:sz w:val="22"/>
              </w:rPr>
              <w:t>a</w:t>
            </w:r>
            <w:r w:rsidRPr="00B175FB">
              <w:rPr>
                <w:rFonts w:eastAsia="Times New Roman"/>
                <w:sz w:val="22"/>
              </w:rPr>
              <w:t xml:space="preserve"> vědecké, výzkumné, vývojové a inovační, umělecké a další tvůrčí činnosti pro oblast vysokých škol </w:t>
            </w:r>
            <w:r>
              <w:rPr>
                <w:rFonts w:eastAsia="Times New Roman"/>
                <w:sz w:val="22"/>
              </w:rPr>
              <w:t>ČR 2016–2020</w:t>
            </w:r>
            <w:r w:rsidRPr="00B175FB">
              <w:rPr>
                <w:rFonts w:eastAsia="Times New Roman"/>
                <w:sz w:val="22"/>
              </w:rPr>
              <w:t xml:space="preserve"> a Strategický záměr</w:t>
            </w:r>
            <w:r>
              <w:rPr>
                <w:rFonts w:eastAsia="Times New Roman"/>
                <w:sz w:val="22"/>
              </w:rPr>
              <w:t xml:space="preserve"> ministerstva</w:t>
            </w:r>
            <w:r w:rsidRPr="00B175FB">
              <w:rPr>
                <w:rFonts w:eastAsia="Times New Roman"/>
                <w:sz w:val="22"/>
              </w:rPr>
              <w:t xml:space="preserve"> pro oblast vysokých škol na období od roku 2021 spolu se zastřešující Strategií vzdělávací politiky ČR do</w:t>
            </w:r>
            <w:r w:rsidR="00595F49">
              <w:rPr>
                <w:rFonts w:eastAsia="Times New Roman"/>
                <w:sz w:val="22"/>
              </w:rPr>
              <w:t> </w:t>
            </w:r>
            <w:r w:rsidRPr="00B175FB">
              <w:rPr>
                <w:rFonts w:eastAsia="Times New Roman"/>
                <w:sz w:val="22"/>
              </w:rPr>
              <w:t>roku</w:t>
            </w:r>
            <w:r w:rsidR="00595F49">
              <w:rPr>
                <w:rFonts w:eastAsia="Times New Roman"/>
                <w:sz w:val="22"/>
              </w:rPr>
              <w:t> </w:t>
            </w:r>
            <w:r w:rsidRPr="00B175FB">
              <w:rPr>
                <w:rFonts w:eastAsia="Times New Roman"/>
                <w:sz w:val="22"/>
              </w:rPr>
              <w:t>2030+. Hlavní identifikované problémy, které by měly být řešeny v rámci tohoto specifického cíle:</w:t>
            </w:r>
          </w:p>
          <w:p w:rsidR="00FA756B" w:rsidRDefault="00FA756B" w:rsidP="00FA756B">
            <w:pPr>
              <w:pStyle w:val="Odstavecseseznamem"/>
              <w:numPr>
                <w:ilvl w:val="0"/>
                <w:numId w:val="77"/>
              </w:numPr>
              <w:spacing w:after="120" w:line="276" w:lineRule="auto"/>
              <w:ind w:left="742" w:hanging="425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>nedostatečná nabídka a dostupnost občanského vzdělávání;</w:t>
            </w:r>
          </w:p>
          <w:p w:rsidR="00FA756B" w:rsidRPr="00B175FB" w:rsidRDefault="00FA756B" w:rsidP="00FA756B">
            <w:pPr>
              <w:pStyle w:val="Odstavecseseznamem"/>
              <w:numPr>
                <w:ilvl w:val="0"/>
                <w:numId w:val="77"/>
              </w:numPr>
              <w:spacing w:after="120" w:line="276" w:lineRule="auto"/>
              <w:ind w:left="742" w:hanging="425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nedostatečná nabídka vzdělávání o možnostech využití a používání moderních technologií;</w:t>
            </w:r>
          </w:p>
          <w:p w:rsidR="00FA756B" w:rsidRPr="00B175FB" w:rsidRDefault="00FA756B" w:rsidP="00FA756B">
            <w:pPr>
              <w:pStyle w:val="Odstavecseseznamem"/>
              <w:numPr>
                <w:ilvl w:val="0"/>
                <w:numId w:val="77"/>
              </w:numPr>
              <w:spacing w:after="120" w:line="276" w:lineRule="auto"/>
              <w:ind w:left="742" w:hanging="425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>nízká podpora oblasti občanského vzdělávání;</w:t>
            </w:r>
          </w:p>
          <w:p w:rsidR="00FA756B" w:rsidRPr="00B175FB" w:rsidRDefault="00FA756B" w:rsidP="00FA756B">
            <w:pPr>
              <w:pStyle w:val="Odstavecseseznamem"/>
              <w:numPr>
                <w:ilvl w:val="0"/>
                <w:numId w:val="77"/>
              </w:numPr>
              <w:spacing w:after="120" w:line="276" w:lineRule="auto"/>
              <w:ind w:left="742" w:hanging="425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>nepřipravenost akademických pracovníků pro výuku v programech CŽV/univerzit třetího věku;</w:t>
            </w:r>
          </w:p>
          <w:p w:rsidR="00FA756B" w:rsidRPr="00B175FB" w:rsidRDefault="00FA756B" w:rsidP="00FA756B">
            <w:pPr>
              <w:pStyle w:val="Odstavecseseznamem"/>
              <w:numPr>
                <w:ilvl w:val="0"/>
                <w:numId w:val="77"/>
              </w:numPr>
              <w:spacing w:after="120" w:line="276" w:lineRule="auto"/>
              <w:ind w:left="742" w:hanging="425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 xml:space="preserve">nedostatečná nabídka programů </w:t>
            </w:r>
            <w:r w:rsidRPr="00B175FB">
              <w:rPr>
                <w:rFonts w:eastAsia="Times New Roman"/>
                <w:noProof/>
                <w:sz w:val="22"/>
              </w:rPr>
              <w:t>CŽV</w:t>
            </w:r>
            <w:r w:rsidRPr="00B175FB">
              <w:rPr>
                <w:rFonts w:cs="Times New Roman"/>
                <w:sz w:val="22"/>
              </w:rPr>
              <w:t>/univerzit třetího věku na VŠ;</w:t>
            </w:r>
          </w:p>
          <w:p w:rsidR="00FA756B" w:rsidRPr="00B175FB" w:rsidRDefault="00FA756B" w:rsidP="00FA756B">
            <w:pPr>
              <w:pStyle w:val="Odstavecseseznamem"/>
              <w:numPr>
                <w:ilvl w:val="0"/>
                <w:numId w:val="77"/>
              </w:numPr>
              <w:spacing w:after="120" w:line="276" w:lineRule="auto"/>
              <w:ind w:left="742" w:hanging="425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 xml:space="preserve">nízká podpora programů </w:t>
            </w:r>
            <w:r w:rsidRPr="00B175FB">
              <w:rPr>
                <w:rFonts w:eastAsia="Times New Roman"/>
                <w:noProof/>
                <w:sz w:val="22"/>
              </w:rPr>
              <w:t>CŽV</w:t>
            </w:r>
            <w:r w:rsidRPr="00B175FB">
              <w:rPr>
                <w:rFonts w:cs="Times New Roman"/>
                <w:sz w:val="22"/>
              </w:rPr>
              <w:t>/univerzit třetího věku ve vztahu k jejich řízení na VŠ;</w:t>
            </w:r>
          </w:p>
          <w:p w:rsidR="00FA756B" w:rsidRPr="00B175FB" w:rsidRDefault="00FA756B" w:rsidP="00FA756B">
            <w:pPr>
              <w:pStyle w:val="Odstavecseseznamem"/>
              <w:numPr>
                <w:ilvl w:val="0"/>
                <w:numId w:val="77"/>
              </w:numPr>
              <w:spacing w:after="120" w:line="276" w:lineRule="auto"/>
              <w:ind w:left="742" w:hanging="425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 xml:space="preserve">nedostatečné materiální, technické a personální zabezpečení programů </w:t>
            </w:r>
            <w:r w:rsidRPr="00B175FB">
              <w:rPr>
                <w:rFonts w:eastAsia="Times New Roman"/>
                <w:noProof/>
                <w:sz w:val="22"/>
              </w:rPr>
              <w:t>CŽV</w:t>
            </w:r>
            <w:r w:rsidRPr="00B175FB">
              <w:rPr>
                <w:rFonts w:cs="Times New Roman"/>
                <w:sz w:val="22"/>
              </w:rPr>
              <w:t>/univerzity třetího věku</w:t>
            </w:r>
            <w:r w:rsidRPr="00B175FB">
              <w:rPr>
                <w:rFonts w:cs="Times New Roman"/>
                <w:bCs/>
                <w:sz w:val="22"/>
              </w:rPr>
              <w:t>.</w:t>
            </w:r>
          </w:p>
          <w:p w:rsidR="00FA756B" w:rsidRPr="00B175FB" w:rsidRDefault="00FA756B" w:rsidP="00FA756B">
            <w:pPr>
              <w:pStyle w:val="Odstavecseseznamem"/>
              <w:spacing w:after="120" w:line="240" w:lineRule="auto"/>
              <w:ind w:left="603"/>
              <w:jc w:val="both"/>
              <w:rPr>
                <w:rFonts w:eastAsia="Times New Roman" w:cs="Times New Roman"/>
                <w:sz w:val="22"/>
              </w:rPr>
            </w:pPr>
          </w:p>
        </w:tc>
      </w:tr>
    </w:tbl>
    <w:p w:rsidR="00ED40B7" w:rsidRDefault="00ED40B7" w:rsidP="00BA2FC9">
      <w:pPr>
        <w:spacing w:before="0" w:after="160" w:line="276" w:lineRule="auto"/>
        <w:jc w:val="both"/>
        <w:rPr>
          <w:rFonts w:eastAsia="Times New Roman"/>
          <w:sz w:val="22"/>
        </w:rPr>
      </w:pPr>
    </w:p>
    <w:p w:rsidR="00ED40B7" w:rsidRDefault="00ED40B7" w:rsidP="00BA2FC9">
      <w:pPr>
        <w:spacing w:before="0" w:after="160" w:line="276" w:lineRule="auto"/>
        <w:jc w:val="both"/>
        <w:rPr>
          <w:rFonts w:eastAsia="Times New Roman"/>
          <w:sz w:val="22"/>
        </w:rPr>
      </w:pPr>
    </w:p>
    <w:p w:rsidR="00ED40B7" w:rsidRDefault="00ED40B7" w:rsidP="00BA2FC9">
      <w:pPr>
        <w:spacing w:before="0" w:after="160" w:line="276" w:lineRule="auto"/>
        <w:jc w:val="both"/>
        <w:rPr>
          <w:rFonts w:eastAsia="Times New Roman"/>
          <w:sz w:val="22"/>
        </w:rPr>
      </w:pPr>
    </w:p>
    <w:p w:rsidR="00ED40B7" w:rsidRDefault="00ED40B7" w:rsidP="00BA2FC9">
      <w:pPr>
        <w:spacing w:before="0" w:after="160" w:line="276" w:lineRule="auto"/>
        <w:jc w:val="both"/>
        <w:rPr>
          <w:rFonts w:eastAsia="Times New Roman"/>
          <w:sz w:val="22"/>
        </w:rPr>
      </w:pPr>
    </w:p>
    <w:p w:rsidR="00ED40B7" w:rsidRDefault="00ED40B7" w:rsidP="00BA2FC9">
      <w:pPr>
        <w:spacing w:before="0" w:after="160" w:line="276" w:lineRule="auto"/>
        <w:jc w:val="both"/>
        <w:rPr>
          <w:rFonts w:eastAsia="Times New Roman"/>
          <w:sz w:val="22"/>
        </w:rPr>
      </w:pPr>
    </w:p>
    <w:p w:rsidR="00ED40B7" w:rsidRDefault="00ED40B7" w:rsidP="00BA2FC9">
      <w:pPr>
        <w:spacing w:before="0" w:after="160" w:line="276" w:lineRule="auto"/>
        <w:jc w:val="both"/>
        <w:rPr>
          <w:rFonts w:eastAsia="Times New Roman"/>
          <w:sz w:val="22"/>
        </w:rPr>
      </w:pPr>
    </w:p>
    <w:p w:rsidR="00ED40B7" w:rsidRDefault="00ED40B7" w:rsidP="00BA2FC9">
      <w:pPr>
        <w:spacing w:before="0" w:after="160" w:line="276" w:lineRule="auto"/>
        <w:jc w:val="both"/>
        <w:rPr>
          <w:rFonts w:eastAsia="Times New Roman"/>
          <w:sz w:val="22"/>
        </w:rPr>
      </w:pPr>
    </w:p>
    <w:p w:rsidR="00ED40B7" w:rsidRDefault="00ED40B7" w:rsidP="00BA2FC9">
      <w:pPr>
        <w:spacing w:before="0" w:after="160" w:line="276" w:lineRule="auto"/>
        <w:jc w:val="both"/>
        <w:rPr>
          <w:rFonts w:eastAsia="Times New Roman"/>
          <w:sz w:val="22"/>
        </w:rPr>
      </w:pPr>
    </w:p>
    <w:p w:rsidR="00ED40B7" w:rsidRDefault="00ED40B7" w:rsidP="00BA2FC9">
      <w:pPr>
        <w:spacing w:before="0" w:after="160" w:line="276" w:lineRule="auto"/>
        <w:jc w:val="both"/>
        <w:rPr>
          <w:rFonts w:eastAsia="Times New Roman"/>
          <w:sz w:val="22"/>
        </w:rPr>
      </w:pPr>
    </w:p>
    <w:p w:rsidR="00ED40B7" w:rsidRDefault="00ED40B7" w:rsidP="00BA2FC9">
      <w:pPr>
        <w:spacing w:before="0" w:after="160" w:line="276" w:lineRule="auto"/>
        <w:jc w:val="both"/>
        <w:rPr>
          <w:rFonts w:eastAsia="Times New Roman"/>
          <w:sz w:val="22"/>
        </w:rPr>
      </w:pPr>
    </w:p>
    <w:p w:rsidR="00ED40B7" w:rsidRDefault="00ED40B7" w:rsidP="00BA2FC9">
      <w:pPr>
        <w:spacing w:before="0" w:after="160" w:line="276" w:lineRule="auto"/>
        <w:jc w:val="both"/>
        <w:rPr>
          <w:rFonts w:eastAsia="Times New Roman"/>
          <w:sz w:val="22"/>
        </w:rPr>
      </w:pPr>
    </w:p>
    <w:p w:rsidR="00ED40B7" w:rsidRPr="00B175FB" w:rsidRDefault="00ED40B7" w:rsidP="00BA2FC9">
      <w:pPr>
        <w:spacing w:before="0" w:after="160" w:line="276" w:lineRule="auto"/>
        <w:jc w:val="both"/>
        <w:rPr>
          <w:rFonts w:eastAsia="Times New Roman"/>
          <w:sz w:val="22"/>
        </w:rPr>
      </w:pPr>
    </w:p>
    <w:p w:rsidR="00D9207E" w:rsidRPr="00B175FB" w:rsidRDefault="00114426" w:rsidP="00326AC3">
      <w:pPr>
        <w:spacing w:before="0" w:after="0" w:line="276" w:lineRule="auto"/>
        <w:jc w:val="both"/>
        <w:rPr>
          <w:rFonts w:eastAsia="Times New Roman"/>
          <w:noProof/>
          <w:sz w:val="22"/>
        </w:rPr>
      </w:pPr>
      <w:bookmarkStart w:id="49" w:name="_Hlk20818454"/>
      <w:bookmarkEnd w:id="15"/>
      <w:bookmarkEnd w:id="16"/>
      <w:r w:rsidRPr="00B175FB">
        <w:rPr>
          <w:b/>
          <w:bCs/>
          <w:noProof/>
        </w:rPr>
        <w:br w:type="page"/>
      </w:r>
    </w:p>
    <w:p w:rsidR="00DE3DEC" w:rsidRPr="00B175FB" w:rsidRDefault="00DE3DEC" w:rsidP="00114426">
      <w:pPr>
        <w:spacing w:before="0" w:after="200" w:line="276" w:lineRule="auto"/>
        <w:rPr>
          <w:b/>
          <w:bCs/>
          <w:noProof/>
        </w:rPr>
        <w:sectPr w:rsidR="00DE3DEC" w:rsidRPr="00B175FB" w:rsidSect="001D09F9">
          <w:headerReference w:type="default" r:id="rId13"/>
          <w:footerReference w:type="default" r:id="rId14"/>
          <w:pgSz w:w="11906" w:h="16838"/>
          <w:pgMar w:top="1134" w:right="1134" w:bottom="1134" w:left="1134" w:header="567" w:footer="567" w:gutter="0"/>
          <w:pgNumType w:start="0"/>
          <w:cols w:space="708"/>
          <w:titlePg/>
          <w:docGrid w:linePitch="326"/>
        </w:sectPr>
      </w:pPr>
    </w:p>
    <w:p w:rsidR="00114426" w:rsidRPr="00B175FB" w:rsidRDefault="0036788E" w:rsidP="006A2F6A">
      <w:pPr>
        <w:pStyle w:val="Odstavecseseznamem"/>
        <w:numPr>
          <w:ilvl w:val="0"/>
          <w:numId w:val="78"/>
        </w:numPr>
        <w:rPr>
          <w:rStyle w:val="Nadpis1Char"/>
          <w:color w:val="1F4E79" w:themeColor="accent5" w:themeShade="80"/>
          <w:lang w:val="cs-CZ"/>
        </w:rPr>
      </w:pPr>
      <w:bookmarkStart w:id="50" w:name="_Toc32998642"/>
      <w:bookmarkStart w:id="51" w:name="_Toc32998689"/>
      <w:bookmarkStart w:id="52" w:name="_Toc33000811"/>
      <w:bookmarkStart w:id="53" w:name="_Toc33000255"/>
      <w:bookmarkStart w:id="54" w:name="_Toc66476037"/>
      <w:bookmarkStart w:id="55" w:name="_Toc68610995"/>
      <w:bookmarkEnd w:id="49"/>
      <w:r w:rsidRPr="00B175FB">
        <w:rPr>
          <w:rStyle w:val="Nadpis1Char"/>
          <w:color w:val="1F4E79" w:themeColor="accent5" w:themeShade="80"/>
          <w:lang w:val="cs-CZ"/>
        </w:rPr>
        <w:t>Priority</w:t>
      </w:r>
      <w:bookmarkEnd w:id="50"/>
      <w:bookmarkEnd w:id="51"/>
      <w:bookmarkEnd w:id="52"/>
      <w:bookmarkEnd w:id="53"/>
      <w:bookmarkEnd w:id="54"/>
      <w:bookmarkEnd w:id="55"/>
      <w:r w:rsidRPr="00B175FB">
        <w:rPr>
          <w:rStyle w:val="Nadpis1Char"/>
          <w:color w:val="1F4E79" w:themeColor="accent5" w:themeShade="80"/>
          <w:lang w:val="cs-CZ"/>
        </w:rPr>
        <w:t xml:space="preserve"> </w:t>
      </w:r>
    </w:p>
    <w:p w:rsidR="00114426" w:rsidRPr="00F6239D" w:rsidRDefault="00104B70" w:rsidP="00622B76">
      <w:pPr>
        <w:pStyle w:val="Titulek"/>
        <w:spacing w:before="0"/>
        <w:jc w:val="left"/>
        <w:rPr>
          <w:rFonts w:ascii="Times New Roman" w:hAnsi="Times New Roman" w:cs="Times New Roman"/>
          <w:szCs w:val="22"/>
        </w:rPr>
      </w:pPr>
      <w:bookmarkStart w:id="56" w:name="_Toc66346561"/>
      <w:r w:rsidRPr="00F6239D">
        <w:rPr>
          <w:rFonts w:ascii="Times New Roman" w:hAnsi="Times New Roman" w:cs="Times New Roman"/>
          <w:szCs w:val="22"/>
        </w:rPr>
        <w:t xml:space="preserve">Tabulka </w:t>
      </w:r>
      <w:r w:rsidRPr="00F6239D">
        <w:rPr>
          <w:rFonts w:ascii="Times New Roman" w:hAnsi="Times New Roman" w:cs="Times New Roman"/>
          <w:szCs w:val="22"/>
        </w:rPr>
        <w:fldChar w:fldCharType="begin"/>
      </w:r>
      <w:r w:rsidRPr="00F6239D">
        <w:rPr>
          <w:rFonts w:ascii="Times New Roman" w:hAnsi="Times New Roman" w:cs="Times New Roman"/>
          <w:szCs w:val="22"/>
        </w:rPr>
        <w:instrText xml:space="preserve"> SEQ Tabulka \* ARABIC </w:instrText>
      </w:r>
      <w:r w:rsidRPr="00F6239D">
        <w:rPr>
          <w:rFonts w:ascii="Times New Roman" w:hAnsi="Times New Roman" w:cs="Times New Roman"/>
          <w:szCs w:val="22"/>
        </w:rPr>
        <w:fldChar w:fldCharType="separate"/>
      </w:r>
      <w:r w:rsidR="007B7C6D">
        <w:rPr>
          <w:rFonts w:ascii="Times New Roman" w:hAnsi="Times New Roman" w:cs="Times New Roman"/>
          <w:noProof/>
          <w:szCs w:val="22"/>
        </w:rPr>
        <w:t>2</w:t>
      </w:r>
      <w:r w:rsidRPr="00F6239D">
        <w:rPr>
          <w:rFonts w:ascii="Times New Roman" w:hAnsi="Times New Roman" w:cs="Times New Roman"/>
          <w:szCs w:val="22"/>
        </w:rPr>
        <w:fldChar w:fldCharType="end"/>
      </w:r>
      <w:r w:rsidR="00114426" w:rsidRPr="00F6239D">
        <w:rPr>
          <w:rFonts w:ascii="Times New Roman" w:eastAsia="Times New Roman" w:hAnsi="Times New Roman" w:cs="Times New Roman"/>
          <w:iCs w:val="0"/>
          <w:noProof/>
          <w:szCs w:val="22"/>
        </w:rPr>
        <w:t>:</w:t>
      </w:r>
      <w:r w:rsidR="00114426" w:rsidRPr="00F6239D">
        <w:rPr>
          <w:rFonts w:ascii="Times New Roman" w:eastAsia="Times New Roman" w:hAnsi="Times New Roman" w:cs="Times New Roman"/>
          <w:szCs w:val="22"/>
        </w:rPr>
        <w:t xml:space="preserve"> </w:t>
      </w:r>
      <w:r w:rsidR="0036788E" w:rsidRPr="00F6239D">
        <w:rPr>
          <w:rFonts w:ascii="Times New Roman" w:eastAsia="Times New Roman" w:hAnsi="Times New Roman" w:cs="Times New Roman"/>
          <w:szCs w:val="22"/>
        </w:rPr>
        <w:t>Struktura programu</w:t>
      </w:r>
      <w:bookmarkEnd w:id="56"/>
    </w:p>
    <w:tbl>
      <w:tblPr>
        <w:tblStyle w:val="Tabulkasmkou4zvraznn1"/>
        <w:tblW w:w="0" w:type="auto"/>
        <w:tblInd w:w="-5" w:type="dxa"/>
        <w:tblLook w:val="04A0" w:firstRow="1" w:lastRow="0" w:firstColumn="1" w:lastColumn="0" w:noHBand="0" w:noVBand="1"/>
      </w:tblPr>
      <w:tblGrid>
        <w:gridCol w:w="426"/>
        <w:gridCol w:w="1172"/>
        <w:gridCol w:w="561"/>
        <w:gridCol w:w="983"/>
        <w:gridCol w:w="728"/>
        <w:gridCol w:w="1517"/>
        <w:gridCol w:w="9178"/>
      </w:tblGrid>
      <w:tr w:rsidR="0051434C" w:rsidRPr="00B175FB" w:rsidTr="00B45E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002060"/>
            <w:hideMark/>
          </w:tcPr>
          <w:p w:rsidR="00114426" w:rsidRPr="00B82797" w:rsidRDefault="00154DE5">
            <w:pPr>
              <w:spacing w:line="240" w:lineRule="auto"/>
              <w:jc w:val="center"/>
              <w:rPr>
                <w:rFonts w:eastAsia="Times New Roman"/>
                <w:noProof/>
                <w:sz w:val="20"/>
              </w:rPr>
            </w:pPr>
            <w:r w:rsidRPr="00C32E6B">
              <w:rPr>
                <w:rFonts w:eastAsia="Times New Roman"/>
                <w:noProof/>
                <w:sz w:val="20"/>
              </w:rPr>
              <w:t>Č.</w:t>
            </w:r>
          </w:p>
        </w:tc>
        <w:tc>
          <w:tcPr>
            <w:tcW w:w="117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002060"/>
            <w:hideMark/>
          </w:tcPr>
          <w:p w:rsidR="00114426" w:rsidRPr="00B82797" w:rsidRDefault="00187354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noProof/>
                <w:sz w:val="20"/>
              </w:rPr>
            </w:pPr>
            <w:r w:rsidRPr="00C32E6B">
              <w:rPr>
                <w:rFonts w:eastAsia="Times New Roman"/>
                <w:noProof/>
                <w:sz w:val="20"/>
              </w:rPr>
              <w:t>Název</w:t>
            </w:r>
          </w:p>
        </w:tc>
        <w:tc>
          <w:tcPr>
            <w:tcW w:w="56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002060"/>
            <w:hideMark/>
          </w:tcPr>
          <w:p w:rsidR="00114426" w:rsidRPr="00B82797" w:rsidRDefault="00114426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noProof/>
                <w:sz w:val="20"/>
              </w:rPr>
            </w:pPr>
            <w:r w:rsidRPr="00C32E6B">
              <w:rPr>
                <w:rFonts w:eastAsia="Times New Roman"/>
                <w:noProof/>
                <w:sz w:val="20"/>
              </w:rPr>
              <w:t>T</w:t>
            </w:r>
            <w:r w:rsidR="00187354" w:rsidRPr="00C32E6B">
              <w:rPr>
                <w:rFonts w:eastAsia="Times New Roman"/>
                <w:noProof/>
                <w:sz w:val="20"/>
              </w:rPr>
              <w:t>P</w:t>
            </w:r>
          </w:p>
        </w:tc>
        <w:tc>
          <w:tcPr>
            <w:tcW w:w="983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002060"/>
            <w:hideMark/>
          </w:tcPr>
          <w:p w:rsidR="00187354" w:rsidRPr="00B82797" w:rsidRDefault="00187354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noProof/>
                <w:sz w:val="20"/>
              </w:rPr>
            </w:pPr>
            <w:r w:rsidRPr="00C32E6B">
              <w:rPr>
                <w:rFonts w:eastAsia="Times New Roman"/>
                <w:noProof/>
                <w:sz w:val="20"/>
              </w:rPr>
              <w:t>Základ pro výpočet</w:t>
            </w:r>
          </w:p>
          <w:p w:rsidR="00114426" w:rsidRPr="00C32E6B" w:rsidRDefault="00114426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noProof/>
                <w:sz w:val="20"/>
              </w:rPr>
            </w:pPr>
          </w:p>
        </w:tc>
        <w:tc>
          <w:tcPr>
            <w:tcW w:w="72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002060"/>
            <w:hideMark/>
          </w:tcPr>
          <w:p w:rsidR="00114426" w:rsidRPr="00B82797" w:rsidRDefault="00154DE5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noProof/>
                <w:sz w:val="20"/>
              </w:rPr>
            </w:pPr>
            <w:r w:rsidRPr="00C32E6B">
              <w:rPr>
                <w:rFonts w:eastAsia="Times New Roman"/>
                <w:noProof/>
                <w:sz w:val="20"/>
              </w:rPr>
              <w:t>Fond</w:t>
            </w:r>
          </w:p>
        </w:tc>
        <w:tc>
          <w:tcPr>
            <w:tcW w:w="151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002060"/>
            <w:hideMark/>
          </w:tcPr>
          <w:p w:rsidR="00187354" w:rsidRPr="00B82797" w:rsidRDefault="00187354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noProof/>
                <w:sz w:val="20"/>
              </w:rPr>
            </w:pPr>
            <w:r w:rsidRPr="00C32E6B">
              <w:rPr>
                <w:rFonts w:eastAsia="Times New Roman"/>
                <w:noProof/>
                <w:sz w:val="20"/>
              </w:rPr>
              <w:t>Kategorie regionu</w:t>
            </w:r>
          </w:p>
        </w:tc>
        <w:tc>
          <w:tcPr>
            <w:tcW w:w="91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002060"/>
            <w:hideMark/>
          </w:tcPr>
          <w:p w:rsidR="00781195" w:rsidRPr="00B82797" w:rsidRDefault="00781195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noProof/>
                <w:sz w:val="20"/>
              </w:rPr>
            </w:pPr>
            <w:r w:rsidRPr="00C32E6B">
              <w:rPr>
                <w:rFonts w:eastAsia="Times New Roman"/>
                <w:noProof/>
                <w:sz w:val="20"/>
              </w:rPr>
              <w:t>Vybraný specifický cíl</w:t>
            </w:r>
            <w:r w:rsidR="007E6A8D" w:rsidRPr="007E6A8D">
              <w:rPr>
                <w:rFonts w:eastAsia="Times New Roman"/>
                <w:noProof/>
                <w:sz w:val="20"/>
              </w:rPr>
              <w:t>*</w:t>
            </w:r>
          </w:p>
        </w:tc>
      </w:tr>
      <w:tr w:rsidR="00D30E54" w:rsidRPr="00B175FB" w:rsidTr="00B45E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vMerge w:val="restart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noWrap/>
            <w:hideMark/>
          </w:tcPr>
          <w:p w:rsidR="00766537" w:rsidRPr="00851ABE" w:rsidRDefault="00766537" w:rsidP="00851ABE">
            <w:pPr>
              <w:spacing w:before="0"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51ABE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172" w:type="dxa"/>
            <w:vMerge w:val="restart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noWrap/>
            <w:hideMark/>
          </w:tcPr>
          <w:p w:rsidR="00766537" w:rsidRPr="00851ABE" w:rsidRDefault="00EB2158" w:rsidP="00FF3CB5">
            <w:pPr>
              <w:keepNext/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  <w:lang w:eastAsia="cs-CZ" w:bidi="cs-CZ"/>
              </w:rPr>
              <w:t xml:space="preserve">Priorita 1 </w:t>
            </w:r>
            <w:r w:rsidR="00A77C89" w:rsidRPr="00851ABE">
              <w:rPr>
                <w:b/>
                <w:color w:val="000000"/>
                <w:sz w:val="20"/>
                <w:szCs w:val="20"/>
                <w:lang w:eastAsia="cs-CZ" w:bidi="cs-CZ"/>
              </w:rPr>
              <w:br/>
            </w:r>
            <w:r>
              <w:rPr>
                <w:b/>
                <w:color w:val="000000"/>
                <w:sz w:val="20"/>
                <w:szCs w:val="20"/>
                <w:lang w:eastAsia="cs-CZ" w:bidi="cs-CZ"/>
              </w:rPr>
              <w:t>Výzkum a</w:t>
            </w:r>
            <w:r w:rsidR="00832F77">
              <w:rPr>
                <w:b/>
                <w:color w:val="000000"/>
                <w:sz w:val="20"/>
                <w:szCs w:val="20"/>
                <w:lang w:eastAsia="cs-CZ" w:bidi="cs-CZ"/>
              </w:rPr>
              <w:t> </w:t>
            </w:r>
            <w:r w:rsidRPr="00851ABE">
              <w:rPr>
                <w:b/>
                <w:color w:val="000000"/>
                <w:sz w:val="20"/>
                <w:szCs w:val="20"/>
                <w:lang w:eastAsia="cs-CZ" w:bidi="cs-CZ"/>
              </w:rPr>
              <w:t>vývoj</w:t>
            </w:r>
          </w:p>
        </w:tc>
        <w:tc>
          <w:tcPr>
            <w:tcW w:w="561" w:type="dxa"/>
            <w:vMerge w:val="restart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noWrap/>
            <w:hideMark/>
          </w:tcPr>
          <w:p w:rsidR="00766537" w:rsidRPr="00851ABE" w:rsidRDefault="00490954" w:rsidP="00851ABE">
            <w:pPr>
              <w:spacing w:before="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  <w:r w:rsidRPr="00851ABE">
              <w:rPr>
                <w:rFonts w:eastAsia="Times New Roman"/>
                <w:noProof/>
                <w:sz w:val="20"/>
                <w:szCs w:val="20"/>
              </w:rPr>
              <w:t>N</w:t>
            </w:r>
            <w:r w:rsidR="008F5A83" w:rsidRPr="00851ABE">
              <w:rPr>
                <w:rFonts w:eastAsia="Times New Roman"/>
                <w:noProof/>
                <w:sz w:val="20"/>
                <w:szCs w:val="20"/>
              </w:rPr>
              <w:t>e</w:t>
            </w:r>
          </w:p>
        </w:tc>
        <w:tc>
          <w:tcPr>
            <w:tcW w:w="983" w:type="dxa"/>
            <w:vMerge w:val="restart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noWrap/>
          </w:tcPr>
          <w:p w:rsidR="00766537" w:rsidRPr="00851ABE" w:rsidRDefault="00490954" w:rsidP="00851ABE">
            <w:pPr>
              <w:spacing w:before="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  <w:r w:rsidRPr="00851ABE">
              <w:rPr>
                <w:sz w:val="20"/>
                <w:szCs w:val="20"/>
              </w:rPr>
              <w:t xml:space="preserve"> </w:t>
            </w:r>
            <w:r w:rsidRPr="00851ABE">
              <w:rPr>
                <w:rFonts w:eastAsia="Times New Roman"/>
                <w:sz w:val="20"/>
                <w:szCs w:val="20"/>
              </w:rPr>
              <w:t>Celkové způsobilé výdaje</w:t>
            </w:r>
            <w:r w:rsidR="00FF0EB0" w:rsidRPr="00851ABE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728" w:type="dxa"/>
            <w:vMerge w:val="restart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noWrap/>
            <w:hideMark/>
          </w:tcPr>
          <w:p w:rsidR="00766537" w:rsidRPr="00851ABE" w:rsidRDefault="0014351C" w:rsidP="00851ABE">
            <w:pPr>
              <w:spacing w:before="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  <w:r w:rsidRPr="00851ABE">
              <w:rPr>
                <w:rFonts w:eastAsia="Times New Roman"/>
                <w:sz w:val="20"/>
                <w:szCs w:val="20"/>
              </w:rPr>
              <w:t>ERDF</w:t>
            </w:r>
          </w:p>
        </w:tc>
        <w:tc>
          <w:tcPr>
            <w:tcW w:w="151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noWrap/>
            <w:hideMark/>
          </w:tcPr>
          <w:p w:rsidR="00766537" w:rsidRPr="00851ABE" w:rsidRDefault="00D77379" w:rsidP="00851ABE">
            <w:pPr>
              <w:spacing w:before="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  <w:r w:rsidRPr="00851ABE">
              <w:rPr>
                <w:rFonts w:eastAsia="Times New Roman"/>
                <w:sz w:val="20"/>
                <w:szCs w:val="20"/>
              </w:rPr>
              <w:t>Více rozvinuté</w:t>
            </w:r>
          </w:p>
        </w:tc>
        <w:tc>
          <w:tcPr>
            <w:tcW w:w="9178" w:type="dxa"/>
            <w:vMerge w:val="restart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</w:tcPr>
          <w:p w:rsidR="00766537" w:rsidRPr="00B175FB" w:rsidRDefault="00766537" w:rsidP="00851ABE">
            <w:pPr>
              <w:spacing w:before="0"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  <w:lang w:eastAsia="cs-CZ" w:bidi="cs-CZ"/>
              </w:rPr>
            </w:pPr>
            <w:r w:rsidRPr="00B175FB">
              <w:rPr>
                <w:color w:val="000000"/>
                <w:sz w:val="20"/>
                <w:szCs w:val="20"/>
                <w:lang w:eastAsia="cs-CZ" w:bidi="cs-CZ"/>
              </w:rPr>
              <w:t xml:space="preserve">SC </w:t>
            </w:r>
            <w:r w:rsidR="00BF6DB8" w:rsidRPr="00B175FB">
              <w:rPr>
                <w:color w:val="000000"/>
                <w:sz w:val="20"/>
                <w:szCs w:val="20"/>
                <w:lang w:eastAsia="cs-CZ" w:bidi="cs-CZ"/>
              </w:rPr>
              <w:t>1.1</w:t>
            </w:r>
            <w:r w:rsidR="00C84229">
              <w:rPr>
                <w:color w:val="000000"/>
                <w:sz w:val="20"/>
                <w:szCs w:val="20"/>
                <w:lang w:eastAsia="cs-CZ" w:bidi="cs-CZ"/>
              </w:rPr>
              <w:t xml:space="preserve"> </w:t>
            </w:r>
            <w:r w:rsidR="00C84229" w:rsidRPr="00851ABE">
              <w:rPr>
                <w:rFonts w:eastAsia="Times New Roman"/>
                <w:sz w:val="20"/>
                <w:szCs w:val="20"/>
              </w:rPr>
              <w:t>(</w:t>
            </w:r>
            <w:r w:rsidR="00C84229" w:rsidRPr="00B175FB">
              <w:rPr>
                <w:color w:val="000000"/>
                <w:sz w:val="20"/>
                <w:szCs w:val="20"/>
                <w:lang w:eastAsia="cs-CZ" w:bidi="cs-CZ"/>
              </w:rPr>
              <w:t>i)</w:t>
            </w:r>
            <w:r w:rsidR="00C84229">
              <w:rPr>
                <w:color w:val="000000"/>
                <w:sz w:val="20"/>
                <w:szCs w:val="20"/>
                <w:lang w:eastAsia="cs-CZ" w:bidi="cs-CZ"/>
              </w:rPr>
              <w:t>)</w:t>
            </w:r>
          </w:p>
          <w:p w:rsidR="00766537" w:rsidRPr="00F6239D" w:rsidRDefault="001B6F27" w:rsidP="00851ABE">
            <w:pPr>
              <w:spacing w:before="0"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B6F27">
              <w:rPr>
                <w:color w:val="000000"/>
                <w:sz w:val="20"/>
                <w:szCs w:val="20"/>
                <w:lang w:eastAsia="cs-CZ" w:bidi="cs-CZ"/>
              </w:rPr>
              <w:t>rozvoj a posilování výzkumných a inovačních kapacit a zavádění pokročilých technologií</w:t>
            </w:r>
          </w:p>
        </w:tc>
      </w:tr>
      <w:tr w:rsidR="00D30E54" w:rsidRPr="00B175FB" w:rsidTr="00B45EC9">
        <w:trPr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noWrap/>
          </w:tcPr>
          <w:p w:rsidR="00766537" w:rsidRPr="00851ABE" w:rsidRDefault="00766537" w:rsidP="00851ABE">
            <w:pPr>
              <w:spacing w:before="0"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2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noWrap/>
          </w:tcPr>
          <w:p w:rsidR="00766537" w:rsidRPr="00B175FB" w:rsidRDefault="00766537" w:rsidP="00851ABE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0"/>
                <w:szCs w:val="20"/>
                <w:lang w:eastAsia="cs-CZ" w:bidi="cs-CZ"/>
              </w:rPr>
            </w:pPr>
          </w:p>
        </w:tc>
        <w:tc>
          <w:tcPr>
            <w:tcW w:w="561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D9E2F3" w:themeFill="accent1" w:themeFillTint="33"/>
            <w:noWrap/>
          </w:tcPr>
          <w:p w:rsidR="00766537" w:rsidRPr="00851ABE" w:rsidRDefault="00766537" w:rsidP="00851ABE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D9E2F3" w:themeFill="accent1" w:themeFillTint="33"/>
            <w:noWrap/>
          </w:tcPr>
          <w:p w:rsidR="00766537" w:rsidRPr="00851ABE" w:rsidRDefault="00766537" w:rsidP="00851ABE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D9E2F3" w:themeFill="accent1" w:themeFillTint="33"/>
            <w:noWrap/>
          </w:tcPr>
          <w:p w:rsidR="00766537" w:rsidRPr="00851ABE" w:rsidRDefault="00766537" w:rsidP="00851ABE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D9E2F3" w:themeFill="accent1" w:themeFillTint="33"/>
            <w:noWrap/>
          </w:tcPr>
          <w:p w:rsidR="00766537" w:rsidRPr="00851ABE" w:rsidRDefault="00D77379" w:rsidP="00851ABE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  <w:r w:rsidRPr="00851ABE">
              <w:rPr>
                <w:rFonts w:eastAsia="Times New Roman"/>
                <w:sz w:val="20"/>
                <w:szCs w:val="20"/>
              </w:rPr>
              <w:t>Přechodové</w:t>
            </w:r>
          </w:p>
        </w:tc>
        <w:tc>
          <w:tcPr>
            <w:tcW w:w="9178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D9E2F3" w:themeFill="accent1" w:themeFillTint="33"/>
          </w:tcPr>
          <w:p w:rsidR="00766537" w:rsidRPr="00851ABE" w:rsidRDefault="00766537" w:rsidP="00851ABE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</w:tr>
      <w:tr w:rsidR="00D30E54" w:rsidRPr="00B175FB" w:rsidTr="00B45E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hideMark/>
          </w:tcPr>
          <w:p w:rsidR="00766537" w:rsidRPr="00851ABE" w:rsidRDefault="00766537" w:rsidP="00851ABE">
            <w:pPr>
              <w:spacing w:before="0"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2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hideMark/>
          </w:tcPr>
          <w:p w:rsidR="00766537" w:rsidRPr="00851ABE" w:rsidRDefault="00766537" w:rsidP="00851ABE">
            <w:pPr>
              <w:spacing w:before="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1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hideMark/>
          </w:tcPr>
          <w:p w:rsidR="00766537" w:rsidRPr="00851ABE" w:rsidRDefault="00766537" w:rsidP="00851ABE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hideMark/>
          </w:tcPr>
          <w:p w:rsidR="00766537" w:rsidRPr="00851ABE" w:rsidRDefault="00766537" w:rsidP="00851ABE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hideMark/>
          </w:tcPr>
          <w:p w:rsidR="00766537" w:rsidRPr="00851ABE" w:rsidRDefault="00766537" w:rsidP="00851ABE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noWrap/>
            <w:hideMark/>
          </w:tcPr>
          <w:p w:rsidR="00766537" w:rsidRPr="00851ABE" w:rsidRDefault="00D77379" w:rsidP="00851ABE">
            <w:pPr>
              <w:spacing w:before="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  <w:r w:rsidRPr="00851ABE">
              <w:rPr>
                <w:rFonts w:eastAsia="Times New Roman"/>
                <w:sz w:val="20"/>
                <w:szCs w:val="20"/>
              </w:rPr>
              <w:t>Méně rozvinuté</w:t>
            </w:r>
          </w:p>
        </w:tc>
        <w:tc>
          <w:tcPr>
            <w:tcW w:w="9178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hideMark/>
          </w:tcPr>
          <w:p w:rsidR="00766537" w:rsidRPr="00851ABE" w:rsidRDefault="00766537" w:rsidP="00851ABE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</w:tr>
      <w:tr w:rsidR="00D30E54" w:rsidRPr="00B175FB" w:rsidTr="00B45EC9">
        <w:trPr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noWrap/>
            <w:hideMark/>
          </w:tcPr>
          <w:p w:rsidR="00D77379" w:rsidRPr="00851ABE" w:rsidRDefault="00D77379" w:rsidP="00851ABE">
            <w:pPr>
              <w:spacing w:before="0"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2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noWrap/>
            <w:hideMark/>
          </w:tcPr>
          <w:p w:rsidR="00D77379" w:rsidRPr="00851ABE" w:rsidRDefault="00D77379" w:rsidP="00851ABE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1" w:type="dxa"/>
            <w:vMerge w:val="restart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D9E2F3" w:themeFill="accent1" w:themeFillTint="33"/>
            <w:noWrap/>
            <w:hideMark/>
          </w:tcPr>
          <w:p w:rsidR="00D77379" w:rsidRPr="00851ABE" w:rsidRDefault="00490954" w:rsidP="00851ABE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  <w:r w:rsidRPr="00851ABE">
              <w:rPr>
                <w:rFonts w:eastAsia="Times New Roman"/>
                <w:noProof/>
                <w:sz w:val="20"/>
                <w:szCs w:val="20"/>
              </w:rPr>
              <w:t>N</w:t>
            </w:r>
            <w:r w:rsidR="008F5A83" w:rsidRPr="00851ABE">
              <w:rPr>
                <w:rFonts w:eastAsia="Times New Roman"/>
                <w:noProof/>
                <w:sz w:val="20"/>
                <w:szCs w:val="20"/>
              </w:rPr>
              <w:t>e</w:t>
            </w:r>
          </w:p>
        </w:tc>
        <w:tc>
          <w:tcPr>
            <w:tcW w:w="983" w:type="dxa"/>
            <w:vMerge w:val="restart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D9E2F3" w:themeFill="accent1" w:themeFillTint="33"/>
            <w:noWrap/>
          </w:tcPr>
          <w:p w:rsidR="00D77379" w:rsidRPr="00851ABE" w:rsidRDefault="00490954" w:rsidP="00851ABE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  <w:r w:rsidRPr="00851ABE">
              <w:rPr>
                <w:rFonts w:eastAsia="Times New Roman"/>
                <w:sz w:val="20"/>
                <w:szCs w:val="20"/>
              </w:rPr>
              <w:t xml:space="preserve">Celkové způsobilé </w:t>
            </w:r>
            <w:r w:rsidRPr="00851ABE">
              <w:rPr>
                <w:rFonts w:eastAsia="Times New Roman"/>
                <w:noProof/>
                <w:sz w:val="20"/>
                <w:szCs w:val="20"/>
              </w:rPr>
              <w:t>výdaje</w:t>
            </w:r>
          </w:p>
        </w:tc>
        <w:tc>
          <w:tcPr>
            <w:tcW w:w="728" w:type="dxa"/>
            <w:vMerge w:val="restart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D9E2F3" w:themeFill="accent1" w:themeFillTint="33"/>
            <w:noWrap/>
          </w:tcPr>
          <w:p w:rsidR="00D77379" w:rsidRPr="00851ABE" w:rsidRDefault="0014351C" w:rsidP="00851ABE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trike/>
                <w:sz w:val="20"/>
                <w:szCs w:val="20"/>
              </w:rPr>
            </w:pPr>
            <w:r w:rsidRPr="00851ABE">
              <w:rPr>
                <w:rFonts w:eastAsia="Times New Roman"/>
                <w:sz w:val="20"/>
                <w:szCs w:val="20"/>
              </w:rPr>
              <w:t>ERDF</w:t>
            </w:r>
          </w:p>
        </w:tc>
        <w:tc>
          <w:tcPr>
            <w:tcW w:w="151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D9E2F3" w:themeFill="accent1" w:themeFillTint="33"/>
            <w:noWrap/>
            <w:hideMark/>
          </w:tcPr>
          <w:p w:rsidR="00D77379" w:rsidRPr="00851ABE" w:rsidRDefault="00D77379" w:rsidP="00851ABE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  <w:r w:rsidRPr="00851ABE">
              <w:rPr>
                <w:rFonts w:eastAsia="Times New Roman"/>
                <w:sz w:val="20"/>
                <w:szCs w:val="20"/>
              </w:rPr>
              <w:t>Více rozvinuté</w:t>
            </w:r>
          </w:p>
        </w:tc>
        <w:tc>
          <w:tcPr>
            <w:tcW w:w="9178" w:type="dxa"/>
            <w:vMerge w:val="restart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D9E2F3" w:themeFill="accent1" w:themeFillTint="33"/>
            <w:hideMark/>
          </w:tcPr>
          <w:p w:rsidR="00D77379" w:rsidRPr="00B175FB" w:rsidRDefault="00D77379" w:rsidP="00851ABE">
            <w:pPr>
              <w:spacing w:before="0"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  <w:lang w:eastAsia="cs-CZ" w:bidi="cs-CZ"/>
              </w:rPr>
            </w:pPr>
            <w:r w:rsidRPr="00B175FB">
              <w:rPr>
                <w:color w:val="000000"/>
                <w:sz w:val="20"/>
                <w:szCs w:val="20"/>
                <w:lang w:eastAsia="cs-CZ" w:bidi="cs-CZ"/>
              </w:rPr>
              <w:t>SC 1.2</w:t>
            </w:r>
            <w:r w:rsidR="00C84229">
              <w:rPr>
                <w:color w:val="000000"/>
                <w:sz w:val="20"/>
                <w:szCs w:val="20"/>
                <w:lang w:eastAsia="cs-CZ" w:bidi="cs-CZ"/>
              </w:rPr>
              <w:t xml:space="preserve"> </w:t>
            </w:r>
            <w:r w:rsidR="00C84229" w:rsidRPr="00851ABE">
              <w:rPr>
                <w:rFonts w:eastAsia="Times New Roman"/>
                <w:sz w:val="20"/>
                <w:szCs w:val="20"/>
              </w:rPr>
              <w:t>(</w:t>
            </w:r>
            <w:r w:rsidR="00C84229" w:rsidRPr="00B175FB">
              <w:rPr>
                <w:color w:val="000000"/>
                <w:sz w:val="20"/>
                <w:szCs w:val="20"/>
                <w:lang w:eastAsia="cs-CZ" w:bidi="cs-CZ"/>
              </w:rPr>
              <w:t>iv)</w:t>
            </w:r>
            <w:r w:rsidR="00C84229">
              <w:rPr>
                <w:color w:val="000000"/>
                <w:sz w:val="20"/>
                <w:szCs w:val="20"/>
                <w:lang w:eastAsia="cs-CZ" w:bidi="cs-CZ"/>
              </w:rPr>
              <w:t>)</w:t>
            </w:r>
          </w:p>
          <w:p w:rsidR="00D77379" w:rsidRPr="00C84229" w:rsidRDefault="001B6F27" w:rsidP="00851ABE">
            <w:pPr>
              <w:spacing w:before="0"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  <w:lang w:eastAsia="cs-CZ" w:bidi="cs-CZ"/>
              </w:rPr>
            </w:pPr>
            <w:r w:rsidRPr="001B6F27">
              <w:rPr>
                <w:color w:val="000000"/>
                <w:sz w:val="20"/>
                <w:szCs w:val="20"/>
                <w:lang w:eastAsia="cs-CZ" w:bidi="cs-CZ"/>
              </w:rPr>
              <w:t>rozvoj dovedností pro inteligentní specializaci, průmyslovou transformaci a podnikání</w:t>
            </w:r>
          </w:p>
        </w:tc>
      </w:tr>
      <w:tr w:rsidR="00D30E54" w:rsidRPr="00B175FB" w:rsidTr="00B45E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hideMark/>
          </w:tcPr>
          <w:p w:rsidR="00D77379" w:rsidRPr="00851ABE" w:rsidRDefault="00D77379" w:rsidP="00851ABE">
            <w:pPr>
              <w:spacing w:before="0"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2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hideMark/>
          </w:tcPr>
          <w:p w:rsidR="00D77379" w:rsidRPr="00851ABE" w:rsidRDefault="00D77379" w:rsidP="00851ABE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1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hideMark/>
          </w:tcPr>
          <w:p w:rsidR="00D77379" w:rsidRPr="00851ABE" w:rsidRDefault="00D77379" w:rsidP="00851ABE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hideMark/>
          </w:tcPr>
          <w:p w:rsidR="00D77379" w:rsidRPr="00851ABE" w:rsidRDefault="00D77379" w:rsidP="00851ABE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hideMark/>
          </w:tcPr>
          <w:p w:rsidR="00D77379" w:rsidRPr="00851ABE" w:rsidRDefault="00D77379" w:rsidP="00851ABE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trike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noWrap/>
            <w:hideMark/>
          </w:tcPr>
          <w:p w:rsidR="00D77379" w:rsidRPr="00851ABE" w:rsidRDefault="00D77379" w:rsidP="00851ABE">
            <w:pPr>
              <w:spacing w:before="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  <w:r w:rsidRPr="00851ABE">
              <w:rPr>
                <w:rFonts w:eastAsia="Times New Roman"/>
                <w:sz w:val="20"/>
                <w:szCs w:val="20"/>
              </w:rPr>
              <w:t>Přechodové</w:t>
            </w:r>
          </w:p>
        </w:tc>
        <w:tc>
          <w:tcPr>
            <w:tcW w:w="9178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hideMark/>
          </w:tcPr>
          <w:p w:rsidR="00D77379" w:rsidRPr="00851ABE" w:rsidRDefault="00D77379" w:rsidP="00851ABE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sz w:val="20"/>
                <w:szCs w:val="20"/>
                <w:u w:val="single"/>
              </w:rPr>
            </w:pPr>
          </w:p>
        </w:tc>
      </w:tr>
      <w:tr w:rsidR="00D30E54" w:rsidRPr="00B175FB" w:rsidTr="00B45EC9">
        <w:trPr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hideMark/>
          </w:tcPr>
          <w:p w:rsidR="00D77379" w:rsidRPr="00851ABE" w:rsidRDefault="00D77379" w:rsidP="00851ABE">
            <w:pPr>
              <w:spacing w:before="0"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2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hideMark/>
          </w:tcPr>
          <w:p w:rsidR="00D77379" w:rsidRPr="00851ABE" w:rsidRDefault="00D77379" w:rsidP="00851ABE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1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hideMark/>
          </w:tcPr>
          <w:p w:rsidR="00D77379" w:rsidRPr="00851ABE" w:rsidRDefault="00D77379" w:rsidP="00851ABE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hideMark/>
          </w:tcPr>
          <w:p w:rsidR="00D77379" w:rsidRPr="00851ABE" w:rsidRDefault="00D77379" w:rsidP="00851ABE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hideMark/>
          </w:tcPr>
          <w:p w:rsidR="00D77379" w:rsidRPr="00851ABE" w:rsidRDefault="00D77379" w:rsidP="00851ABE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trike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D9E2F3" w:themeFill="accent1" w:themeFillTint="33"/>
            <w:noWrap/>
            <w:hideMark/>
          </w:tcPr>
          <w:p w:rsidR="00D77379" w:rsidRPr="00851ABE" w:rsidRDefault="00D77379" w:rsidP="00851ABE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  <w:r w:rsidRPr="00851ABE">
              <w:rPr>
                <w:rFonts w:eastAsia="Times New Roman"/>
                <w:sz w:val="20"/>
                <w:szCs w:val="20"/>
              </w:rPr>
              <w:t>Méně rozvinuté</w:t>
            </w:r>
          </w:p>
        </w:tc>
        <w:tc>
          <w:tcPr>
            <w:tcW w:w="9178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hideMark/>
          </w:tcPr>
          <w:p w:rsidR="00D77379" w:rsidRPr="00851ABE" w:rsidRDefault="00D77379" w:rsidP="00851ABE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sz w:val="20"/>
                <w:szCs w:val="20"/>
                <w:u w:val="single"/>
              </w:rPr>
            </w:pPr>
          </w:p>
        </w:tc>
      </w:tr>
      <w:tr w:rsidR="00D30E54" w:rsidRPr="00B175FB" w:rsidTr="00B45E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vMerge w:val="restart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noWrap/>
            <w:hideMark/>
          </w:tcPr>
          <w:p w:rsidR="00D77379" w:rsidRPr="00851ABE" w:rsidRDefault="00D77379" w:rsidP="00851ABE">
            <w:pPr>
              <w:spacing w:before="0"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51ABE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172" w:type="dxa"/>
            <w:vMerge w:val="restart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noWrap/>
          </w:tcPr>
          <w:p w:rsidR="00A77C89" w:rsidRPr="00851ABE" w:rsidRDefault="006A1F7C" w:rsidP="00851ABE">
            <w:pPr>
              <w:spacing w:before="0"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  <w:sz w:val="20"/>
                <w:szCs w:val="20"/>
                <w:lang w:eastAsia="cs-CZ" w:bidi="cs-CZ"/>
              </w:rPr>
            </w:pPr>
            <w:r w:rsidRPr="00851ABE">
              <w:rPr>
                <w:b/>
                <w:color w:val="000000"/>
                <w:sz w:val="20"/>
                <w:szCs w:val="20"/>
                <w:lang w:eastAsia="cs-CZ" w:bidi="cs-CZ"/>
              </w:rPr>
              <w:t xml:space="preserve">Priorita 2 </w:t>
            </w:r>
          </w:p>
          <w:p w:rsidR="00D77379" w:rsidRPr="00851ABE" w:rsidRDefault="006A1F7C" w:rsidP="00851ABE">
            <w:pPr>
              <w:spacing w:before="0"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  <w:lang w:eastAsia="cs-CZ" w:bidi="cs-CZ"/>
              </w:rPr>
              <w:t>Vzdělávání</w:t>
            </w:r>
          </w:p>
        </w:tc>
        <w:tc>
          <w:tcPr>
            <w:tcW w:w="561" w:type="dxa"/>
            <w:vMerge w:val="restart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noWrap/>
            <w:hideMark/>
          </w:tcPr>
          <w:p w:rsidR="00D77379" w:rsidRPr="00851ABE" w:rsidRDefault="00490954" w:rsidP="00851ABE">
            <w:pPr>
              <w:spacing w:before="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  <w:r w:rsidRPr="00851ABE">
              <w:rPr>
                <w:rFonts w:eastAsia="Times New Roman"/>
                <w:noProof/>
                <w:sz w:val="20"/>
                <w:szCs w:val="20"/>
              </w:rPr>
              <w:t>N</w:t>
            </w:r>
            <w:r w:rsidR="008F5A83" w:rsidRPr="00851ABE">
              <w:rPr>
                <w:rFonts w:eastAsia="Times New Roman"/>
                <w:noProof/>
                <w:sz w:val="20"/>
                <w:szCs w:val="20"/>
              </w:rPr>
              <w:t>e</w:t>
            </w:r>
          </w:p>
        </w:tc>
        <w:tc>
          <w:tcPr>
            <w:tcW w:w="983" w:type="dxa"/>
            <w:vMerge w:val="restart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noWrap/>
          </w:tcPr>
          <w:p w:rsidR="00D77379" w:rsidRPr="00851ABE" w:rsidRDefault="00490954" w:rsidP="00851ABE">
            <w:pPr>
              <w:spacing w:before="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  <w:r w:rsidRPr="00851ABE">
              <w:rPr>
                <w:rFonts w:eastAsia="Times New Roman"/>
                <w:sz w:val="20"/>
                <w:szCs w:val="20"/>
              </w:rPr>
              <w:t xml:space="preserve">Celkové způsobilé </w:t>
            </w:r>
            <w:r w:rsidRPr="00851ABE">
              <w:rPr>
                <w:rFonts w:eastAsia="Times New Roman"/>
                <w:noProof/>
                <w:sz w:val="20"/>
                <w:szCs w:val="20"/>
              </w:rPr>
              <w:t>výdaje</w:t>
            </w:r>
          </w:p>
        </w:tc>
        <w:tc>
          <w:tcPr>
            <w:tcW w:w="728" w:type="dxa"/>
            <w:vMerge w:val="restart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noWrap/>
          </w:tcPr>
          <w:p w:rsidR="00D77379" w:rsidRPr="00851ABE" w:rsidRDefault="0014351C" w:rsidP="00851ABE">
            <w:pPr>
              <w:spacing w:before="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  <w:r w:rsidRPr="00851ABE">
              <w:rPr>
                <w:rFonts w:eastAsia="Times New Roman"/>
                <w:sz w:val="20"/>
                <w:szCs w:val="20"/>
              </w:rPr>
              <w:t>ERDF</w:t>
            </w:r>
          </w:p>
        </w:tc>
        <w:tc>
          <w:tcPr>
            <w:tcW w:w="151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noWrap/>
          </w:tcPr>
          <w:p w:rsidR="00D77379" w:rsidRPr="00851ABE" w:rsidRDefault="00D77379" w:rsidP="00851ABE">
            <w:pPr>
              <w:spacing w:before="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  <w:r w:rsidRPr="00851ABE">
              <w:rPr>
                <w:rFonts w:eastAsia="Times New Roman"/>
                <w:sz w:val="20"/>
                <w:szCs w:val="20"/>
              </w:rPr>
              <w:t>Více rozvinuté</w:t>
            </w:r>
          </w:p>
        </w:tc>
        <w:tc>
          <w:tcPr>
            <w:tcW w:w="9178" w:type="dxa"/>
            <w:vMerge w:val="restart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</w:tcPr>
          <w:p w:rsidR="00D77379" w:rsidRPr="00B175FB" w:rsidRDefault="00D77379" w:rsidP="00851ABE">
            <w:pPr>
              <w:spacing w:before="0"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  <w:lang w:eastAsia="cs-CZ" w:bidi="cs-CZ"/>
              </w:rPr>
            </w:pPr>
            <w:r w:rsidRPr="00B175FB">
              <w:rPr>
                <w:color w:val="000000"/>
                <w:sz w:val="20"/>
                <w:szCs w:val="20"/>
                <w:lang w:eastAsia="cs-CZ" w:bidi="cs-CZ"/>
              </w:rPr>
              <w:t>SC 2.1</w:t>
            </w:r>
            <w:r w:rsidR="00C84229">
              <w:rPr>
                <w:color w:val="000000"/>
                <w:sz w:val="20"/>
                <w:szCs w:val="20"/>
                <w:lang w:eastAsia="cs-CZ" w:bidi="cs-CZ"/>
              </w:rPr>
              <w:t xml:space="preserve"> </w:t>
            </w:r>
            <w:r w:rsidR="00C84229" w:rsidRPr="00851ABE">
              <w:rPr>
                <w:rFonts w:eastAsia="Times New Roman"/>
                <w:sz w:val="20"/>
                <w:szCs w:val="20"/>
              </w:rPr>
              <w:t>(</w:t>
            </w:r>
            <w:r w:rsidR="00C84229" w:rsidRPr="00B175FB">
              <w:rPr>
                <w:color w:val="000000"/>
                <w:sz w:val="20"/>
                <w:szCs w:val="20"/>
                <w:lang w:eastAsia="cs-CZ" w:bidi="cs-CZ"/>
              </w:rPr>
              <w:t>ii)</w:t>
            </w:r>
            <w:r w:rsidR="00C84229">
              <w:rPr>
                <w:color w:val="000000"/>
                <w:sz w:val="20"/>
                <w:szCs w:val="20"/>
                <w:lang w:eastAsia="cs-CZ" w:bidi="cs-CZ"/>
              </w:rPr>
              <w:t>)</w:t>
            </w:r>
          </w:p>
          <w:p w:rsidR="00D77379" w:rsidRPr="00F6239D" w:rsidRDefault="00472DA6" w:rsidP="00851ABE">
            <w:pPr>
              <w:spacing w:before="0"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  <w:lang w:eastAsia="cs-CZ" w:bidi="cs-CZ"/>
              </w:rPr>
            </w:pPr>
            <w:r w:rsidRPr="00472DA6">
              <w:rPr>
                <w:color w:val="000000"/>
                <w:sz w:val="20"/>
                <w:szCs w:val="20"/>
                <w:lang w:eastAsia="cs-CZ" w:bidi="cs-CZ"/>
              </w:rPr>
              <w:t xml:space="preserve">zlepšování rovného přístupu k inkluzivním a kvalitním službám v oblasti vzdělávání, odborné přípravy </w:t>
            </w:r>
            <w:r w:rsidR="004A267E">
              <w:rPr>
                <w:color w:val="000000"/>
                <w:sz w:val="20"/>
                <w:szCs w:val="20"/>
                <w:lang w:eastAsia="cs-CZ" w:bidi="cs-CZ"/>
              </w:rPr>
              <w:br/>
            </w:r>
            <w:r w:rsidRPr="00472DA6">
              <w:rPr>
                <w:color w:val="000000"/>
                <w:sz w:val="20"/>
                <w:szCs w:val="20"/>
                <w:lang w:eastAsia="cs-CZ" w:bidi="cs-CZ"/>
              </w:rPr>
              <w:t xml:space="preserve">a celoživotního učení pomocí rozvoje přístupné infrastruktury, mimo jiné posilováním odolnosti pro distanční </w:t>
            </w:r>
            <w:r w:rsidR="004A267E">
              <w:rPr>
                <w:color w:val="000000"/>
                <w:sz w:val="20"/>
                <w:szCs w:val="20"/>
                <w:lang w:eastAsia="cs-CZ" w:bidi="cs-CZ"/>
              </w:rPr>
              <w:br/>
            </w:r>
            <w:r w:rsidRPr="00472DA6">
              <w:rPr>
                <w:color w:val="000000"/>
                <w:sz w:val="20"/>
                <w:szCs w:val="20"/>
                <w:lang w:eastAsia="cs-CZ" w:bidi="cs-CZ"/>
              </w:rPr>
              <w:t>a online vzdělávání a odbornou přípravu</w:t>
            </w:r>
          </w:p>
        </w:tc>
      </w:tr>
      <w:tr w:rsidR="00D30E54" w:rsidRPr="00B175FB" w:rsidTr="00B45EC9">
        <w:trPr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noWrap/>
          </w:tcPr>
          <w:p w:rsidR="00D77379" w:rsidRPr="00851ABE" w:rsidRDefault="00D77379" w:rsidP="00851ABE">
            <w:pPr>
              <w:spacing w:before="0" w:after="0" w:line="240" w:lineRule="auto"/>
              <w:jc w:val="center"/>
              <w:rPr>
                <w:rFonts w:eastAsia="Times New Roman"/>
                <w:strike/>
                <w:sz w:val="20"/>
                <w:szCs w:val="20"/>
              </w:rPr>
            </w:pPr>
          </w:p>
        </w:tc>
        <w:tc>
          <w:tcPr>
            <w:tcW w:w="1172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noWrap/>
          </w:tcPr>
          <w:p w:rsidR="00D77379" w:rsidRPr="00851ABE" w:rsidRDefault="00D77379" w:rsidP="00851ABE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1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noWrap/>
          </w:tcPr>
          <w:p w:rsidR="00D77379" w:rsidRPr="00851ABE" w:rsidRDefault="00D77379" w:rsidP="00851ABE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noWrap/>
          </w:tcPr>
          <w:p w:rsidR="00D77379" w:rsidRPr="00851ABE" w:rsidRDefault="00D77379" w:rsidP="00851ABE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noWrap/>
          </w:tcPr>
          <w:p w:rsidR="00D77379" w:rsidRPr="00851ABE" w:rsidRDefault="00D77379" w:rsidP="00851ABE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noWrap/>
          </w:tcPr>
          <w:p w:rsidR="00D77379" w:rsidRPr="00851ABE" w:rsidRDefault="00D77379" w:rsidP="00851ABE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  <w:r w:rsidRPr="00851ABE">
              <w:rPr>
                <w:rFonts w:eastAsia="Times New Roman"/>
                <w:sz w:val="20"/>
                <w:szCs w:val="20"/>
              </w:rPr>
              <w:t>Přechodové</w:t>
            </w:r>
          </w:p>
        </w:tc>
        <w:tc>
          <w:tcPr>
            <w:tcW w:w="9178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</w:tcPr>
          <w:p w:rsidR="00D77379" w:rsidRPr="00851ABE" w:rsidRDefault="00D77379" w:rsidP="00851ABE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sz w:val="20"/>
                <w:szCs w:val="20"/>
                <w:u w:val="single"/>
              </w:rPr>
            </w:pPr>
          </w:p>
        </w:tc>
      </w:tr>
      <w:tr w:rsidR="00D30E54" w:rsidRPr="00B175FB" w:rsidTr="00B45E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noWrap/>
          </w:tcPr>
          <w:p w:rsidR="00D77379" w:rsidRPr="00851ABE" w:rsidRDefault="00D77379" w:rsidP="00851ABE">
            <w:pPr>
              <w:spacing w:before="0" w:after="0" w:line="240" w:lineRule="auto"/>
              <w:jc w:val="center"/>
              <w:rPr>
                <w:rFonts w:eastAsia="Times New Roman"/>
                <w:strike/>
                <w:sz w:val="20"/>
                <w:szCs w:val="20"/>
              </w:rPr>
            </w:pPr>
          </w:p>
        </w:tc>
        <w:tc>
          <w:tcPr>
            <w:tcW w:w="1172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noWrap/>
          </w:tcPr>
          <w:p w:rsidR="00D77379" w:rsidRPr="00851ABE" w:rsidRDefault="00D77379" w:rsidP="00851ABE">
            <w:pPr>
              <w:spacing w:before="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1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noWrap/>
          </w:tcPr>
          <w:p w:rsidR="00D77379" w:rsidRPr="00851ABE" w:rsidRDefault="00D77379" w:rsidP="00851ABE">
            <w:pPr>
              <w:spacing w:before="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noWrap/>
          </w:tcPr>
          <w:p w:rsidR="00D77379" w:rsidRPr="00851ABE" w:rsidRDefault="00D77379" w:rsidP="00851ABE">
            <w:pPr>
              <w:spacing w:before="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noWrap/>
          </w:tcPr>
          <w:p w:rsidR="00D77379" w:rsidRPr="00851ABE" w:rsidRDefault="00D77379" w:rsidP="00851ABE">
            <w:pPr>
              <w:spacing w:before="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noWrap/>
          </w:tcPr>
          <w:p w:rsidR="00D77379" w:rsidRPr="00851ABE" w:rsidRDefault="00D77379" w:rsidP="00851ABE">
            <w:pPr>
              <w:spacing w:before="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  <w:r w:rsidRPr="00851ABE">
              <w:rPr>
                <w:rFonts w:eastAsia="Times New Roman"/>
                <w:sz w:val="20"/>
                <w:szCs w:val="20"/>
              </w:rPr>
              <w:t>Méně rozvinuté</w:t>
            </w:r>
          </w:p>
        </w:tc>
        <w:tc>
          <w:tcPr>
            <w:tcW w:w="9178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</w:tcPr>
          <w:p w:rsidR="00D77379" w:rsidRPr="00851ABE" w:rsidRDefault="00D77379" w:rsidP="00851ABE">
            <w:pPr>
              <w:spacing w:before="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sz w:val="20"/>
                <w:szCs w:val="20"/>
                <w:u w:val="single"/>
              </w:rPr>
            </w:pPr>
          </w:p>
        </w:tc>
      </w:tr>
      <w:tr w:rsidR="00D30E54" w:rsidRPr="00B175FB" w:rsidTr="00B45EC9">
        <w:trPr>
          <w:trHeight w:val="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noWrap/>
            <w:hideMark/>
          </w:tcPr>
          <w:p w:rsidR="00D77379" w:rsidRPr="00851ABE" w:rsidRDefault="00D77379" w:rsidP="00D77379">
            <w:pPr>
              <w:spacing w:before="0" w:after="0" w:line="240" w:lineRule="auto"/>
              <w:jc w:val="center"/>
              <w:rPr>
                <w:rFonts w:eastAsia="Times New Roman"/>
                <w:strike/>
                <w:sz w:val="20"/>
                <w:szCs w:val="20"/>
              </w:rPr>
            </w:pPr>
          </w:p>
        </w:tc>
        <w:tc>
          <w:tcPr>
            <w:tcW w:w="1172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noWrap/>
          </w:tcPr>
          <w:p w:rsidR="00D77379" w:rsidRPr="00851ABE" w:rsidRDefault="00D77379" w:rsidP="00851ABE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1" w:type="dxa"/>
            <w:vMerge w:val="restart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noWrap/>
            <w:hideMark/>
          </w:tcPr>
          <w:p w:rsidR="00D77379" w:rsidRPr="00851ABE" w:rsidRDefault="00490954" w:rsidP="00D77379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  <w:r w:rsidRPr="00851ABE">
              <w:rPr>
                <w:rFonts w:eastAsia="Times New Roman"/>
                <w:noProof/>
                <w:sz w:val="20"/>
                <w:szCs w:val="20"/>
              </w:rPr>
              <w:t>N</w:t>
            </w:r>
            <w:r w:rsidR="008F5A83" w:rsidRPr="00851ABE">
              <w:rPr>
                <w:rFonts w:eastAsia="Times New Roman"/>
                <w:noProof/>
                <w:sz w:val="20"/>
                <w:szCs w:val="20"/>
              </w:rPr>
              <w:t>e</w:t>
            </w:r>
          </w:p>
        </w:tc>
        <w:tc>
          <w:tcPr>
            <w:tcW w:w="983" w:type="dxa"/>
            <w:vMerge w:val="restart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noWrap/>
          </w:tcPr>
          <w:p w:rsidR="00D77379" w:rsidRPr="00851ABE" w:rsidRDefault="00490954" w:rsidP="00D77379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  <w:r w:rsidRPr="00851ABE">
              <w:rPr>
                <w:rFonts w:eastAsia="Times New Roman"/>
                <w:sz w:val="20"/>
                <w:szCs w:val="20"/>
              </w:rPr>
              <w:t xml:space="preserve">Celkové způsobilé </w:t>
            </w:r>
            <w:r w:rsidRPr="00851ABE">
              <w:rPr>
                <w:rFonts w:eastAsia="Times New Roman"/>
                <w:noProof/>
                <w:sz w:val="20"/>
                <w:szCs w:val="20"/>
              </w:rPr>
              <w:t>výdaje</w:t>
            </w:r>
          </w:p>
        </w:tc>
        <w:tc>
          <w:tcPr>
            <w:tcW w:w="728" w:type="dxa"/>
            <w:vMerge w:val="restart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noWrap/>
          </w:tcPr>
          <w:p w:rsidR="00D77379" w:rsidRPr="00851ABE" w:rsidRDefault="00D77379" w:rsidP="00D77379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sz w:val="20"/>
                <w:szCs w:val="20"/>
                <w:u w:val="single"/>
              </w:rPr>
            </w:pPr>
            <w:r w:rsidRPr="00851ABE">
              <w:rPr>
                <w:rFonts w:eastAsia="Times New Roman"/>
                <w:sz w:val="20"/>
                <w:szCs w:val="20"/>
              </w:rPr>
              <w:t>ESF+</w:t>
            </w:r>
          </w:p>
        </w:tc>
        <w:tc>
          <w:tcPr>
            <w:tcW w:w="151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noWrap/>
            <w:hideMark/>
          </w:tcPr>
          <w:p w:rsidR="00D77379" w:rsidRPr="00851ABE" w:rsidRDefault="00D77379" w:rsidP="00D77379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  <w:r w:rsidRPr="00851ABE">
              <w:rPr>
                <w:rFonts w:eastAsia="Times New Roman"/>
                <w:sz w:val="20"/>
                <w:szCs w:val="20"/>
              </w:rPr>
              <w:t>Více rozvinuté</w:t>
            </w:r>
          </w:p>
        </w:tc>
        <w:tc>
          <w:tcPr>
            <w:tcW w:w="9178" w:type="dxa"/>
            <w:vMerge w:val="restart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</w:tcPr>
          <w:p w:rsidR="00D77379" w:rsidRPr="00B175FB" w:rsidRDefault="00D77379" w:rsidP="00D77379">
            <w:pPr>
              <w:spacing w:before="0"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  <w:lang w:eastAsia="cs-CZ" w:bidi="cs-CZ"/>
              </w:rPr>
            </w:pPr>
            <w:r w:rsidRPr="00B175FB">
              <w:rPr>
                <w:color w:val="000000"/>
                <w:sz w:val="20"/>
                <w:szCs w:val="20"/>
                <w:lang w:eastAsia="cs-CZ" w:bidi="cs-CZ"/>
              </w:rPr>
              <w:t>SC 2.2</w:t>
            </w:r>
            <w:r w:rsidR="00C84229">
              <w:rPr>
                <w:color w:val="000000"/>
                <w:sz w:val="20"/>
                <w:szCs w:val="20"/>
                <w:lang w:eastAsia="cs-CZ" w:bidi="cs-CZ"/>
              </w:rPr>
              <w:t xml:space="preserve"> </w:t>
            </w:r>
            <w:r w:rsidR="00C84229" w:rsidRPr="00851ABE">
              <w:rPr>
                <w:rFonts w:eastAsia="Times New Roman"/>
                <w:sz w:val="20"/>
                <w:szCs w:val="20"/>
              </w:rPr>
              <w:t>(</w:t>
            </w:r>
            <w:r w:rsidR="00472DA6">
              <w:rPr>
                <w:color w:val="000000"/>
                <w:sz w:val="20"/>
                <w:szCs w:val="20"/>
                <w:lang w:eastAsia="cs-CZ" w:bidi="cs-CZ"/>
              </w:rPr>
              <w:t>e</w:t>
            </w:r>
            <w:r w:rsidR="00C84229" w:rsidRPr="00B175FB">
              <w:rPr>
                <w:color w:val="000000"/>
                <w:sz w:val="20"/>
                <w:szCs w:val="20"/>
                <w:lang w:eastAsia="cs-CZ" w:bidi="cs-CZ"/>
              </w:rPr>
              <w:t>)</w:t>
            </w:r>
            <w:r w:rsidR="00C84229">
              <w:rPr>
                <w:color w:val="000000"/>
                <w:sz w:val="20"/>
                <w:szCs w:val="20"/>
                <w:lang w:eastAsia="cs-CZ" w:bidi="cs-CZ"/>
              </w:rPr>
              <w:t>)</w:t>
            </w:r>
          </w:p>
          <w:p w:rsidR="00D77379" w:rsidRPr="00B175FB" w:rsidRDefault="00472DA6" w:rsidP="00D77379">
            <w:pPr>
              <w:spacing w:before="0"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  <w:lang w:eastAsia="cs-CZ" w:bidi="cs-CZ"/>
              </w:rPr>
            </w:pPr>
            <w:r w:rsidRPr="00472DA6">
              <w:rPr>
                <w:color w:val="000000"/>
                <w:sz w:val="20"/>
                <w:szCs w:val="20"/>
                <w:lang w:eastAsia="cs-CZ" w:bidi="cs-CZ"/>
              </w:rPr>
              <w:t>zvýšit kvalitu, inkluzivitu a účinnost systémů vzdělávání a odborné přípravy a jejich relevantnosti pro trh práce, mimo jiné i uznáváním výsledků neformálního a informálního učení, s cílem podpořit získávání klíčových kompetencí včetně podnikatelských a digitálních dovedností, a prosazováním zavádění duálních systémů odborné přípravy a učňovské přípravy</w:t>
            </w:r>
          </w:p>
        </w:tc>
      </w:tr>
      <w:tr w:rsidR="00D30E54" w:rsidRPr="00B175FB" w:rsidTr="00B45E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hideMark/>
          </w:tcPr>
          <w:p w:rsidR="00D77379" w:rsidRPr="00851ABE" w:rsidRDefault="00D77379" w:rsidP="00851ABE">
            <w:pPr>
              <w:spacing w:before="0" w:after="0" w:line="240" w:lineRule="auto"/>
              <w:jc w:val="center"/>
              <w:rPr>
                <w:rFonts w:eastAsia="Times New Roman"/>
                <w:strike/>
                <w:sz w:val="20"/>
                <w:szCs w:val="20"/>
              </w:rPr>
            </w:pPr>
          </w:p>
        </w:tc>
        <w:tc>
          <w:tcPr>
            <w:tcW w:w="1172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hideMark/>
          </w:tcPr>
          <w:p w:rsidR="00D77379" w:rsidRPr="00851ABE" w:rsidRDefault="00D77379" w:rsidP="00851ABE">
            <w:pPr>
              <w:spacing w:before="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1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hideMark/>
          </w:tcPr>
          <w:p w:rsidR="00D77379" w:rsidRPr="00851ABE" w:rsidRDefault="00D77379" w:rsidP="00851ABE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hideMark/>
          </w:tcPr>
          <w:p w:rsidR="00D77379" w:rsidRPr="00851ABE" w:rsidRDefault="00D77379" w:rsidP="00851ABE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hideMark/>
          </w:tcPr>
          <w:p w:rsidR="00D77379" w:rsidRPr="00851ABE" w:rsidRDefault="00D77379" w:rsidP="00851ABE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noWrap/>
            <w:hideMark/>
          </w:tcPr>
          <w:p w:rsidR="00D77379" w:rsidRPr="00851ABE" w:rsidRDefault="00D77379" w:rsidP="00851ABE">
            <w:pPr>
              <w:spacing w:before="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  <w:r w:rsidRPr="00851ABE">
              <w:rPr>
                <w:rFonts w:eastAsia="Times New Roman"/>
                <w:sz w:val="20"/>
                <w:szCs w:val="20"/>
              </w:rPr>
              <w:t>Přechodové</w:t>
            </w:r>
          </w:p>
        </w:tc>
        <w:tc>
          <w:tcPr>
            <w:tcW w:w="9178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hideMark/>
          </w:tcPr>
          <w:p w:rsidR="00D77379" w:rsidRPr="00851ABE" w:rsidRDefault="00D77379" w:rsidP="00851ABE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</w:tr>
      <w:tr w:rsidR="00D30E54" w:rsidRPr="00B175FB" w:rsidTr="00B45EC9">
        <w:trPr>
          <w:trHeight w:val="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hideMark/>
          </w:tcPr>
          <w:p w:rsidR="00D77379" w:rsidRPr="00851ABE" w:rsidRDefault="00D77379" w:rsidP="00851ABE">
            <w:pPr>
              <w:spacing w:before="0" w:after="0" w:line="240" w:lineRule="auto"/>
              <w:jc w:val="center"/>
              <w:rPr>
                <w:rFonts w:eastAsia="Times New Roman"/>
                <w:strike/>
                <w:sz w:val="20"/>
                <w:szCs w:val="20"/>
              </w:rPr>
            </w:pPr>
          </w:p>
        </w:tc>
        <w:tc>
          <w:tcPr>
            <w:tcW w:w="1172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hideMark/>
          </w:tcPr>
          <w:p w:rsidR="00D77379" w:rsidRPr="00851ABE" w:rsidRDefault="00D77379" w:rsidP="00851ABE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1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hideMark/>
          </w:tcPr>
          <w:p w:rsidR="00D77379" w:rsidRPr="00851ABE" w:rsidRDefault="00D77379" w:rsidP="00851ABE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hideMark/>
          </w:tcPr>
          <w:p w:rsidR="00D77379" w:rsidRPr="00851ABE" w:rsidRDefault="00D77379" w:rsidP="00851ABE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hideMark/>
          </w:tcPr>
          <w:p w:rsidR="00D77379" w:rsidRPr="00851ABE" w:rsidRDefault="00D77379" w:rsidP="00851ABE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noWrap/>
            <w:hideMark/>
          </w:tcPr>
          <w:p w:rsidR="00D77379" w:rsidRPr="00851ABE" w:rsidRDefault="00D77379" w:rsidP="00851ABE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  <w:r w:rsidRPr="00851ABE">
              <w:rPr>
                <w:rFonts w:eastAsia="Times New Roman"/>
                <w:sz w:val="20"/>
                <w:szCs w:val="20"/>
              </w:rPr>
              <w:t>Méně rozvinuté</w:t>
            </w:r>
          </w:p>
        </w:tc>
        <w:tc>
          <w:tcPr>
            <w:tcW w:w="9178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hideMark/>
          </w:tcPr>
          <w:p w:rsidR="00D77379" w:rsidRPr="00851ABE" w:rsidRDefault="00D77379" w:rsidP="00851ABE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</w:tr>
      <w:tr w:rsidR="00D30E54" w:rsidRPr="00B175FB" w:rsidTr="00B45E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noWrap/>
            <w:hideMark/>
          </w:tcPr>
          <w:p w:rsidR="00D30E54" w:rsidRPr="00851ABE" w:rsidRDefault="00D30E54" w:rsidP="00851ABE">
            <w:pPr>
              <w:spacing w:before="0"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2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noWrap/>
            <w:hideMark/>
          </w:tcPr>
          <w:p w:rsidR="00D30E54" w:rsidRPr="00851ABE" w:rsidRDefault="00D30E54" w:rsidP="00851ABE">
            <w:pPr>
              <w:spacing w:before="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1" w:type="dxa"/>
            <w:vMerge w:val="restart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noWrap/>
            <w:hideMark/>
          </w:tcPr>
          <w:p w:rsidR="00D30E54" w:rsidRPr="00851ABE" w:rsidRDefault="00490954" w:rsidP="00851ABE">
            <w:pPr>
              <w:spacing w:before="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  <w:r w:rsidRPr="00851ABE">
              <w:rPr>
                <w:rFonts w:eastAsia="Times New Roman"/>
                <w:noProof/>
                <w:sz w:val="20"/>
                <w:szCs w:val="20"/>
              </w:rPr>
              <w:t>N</w:t>
            </w:r>
            <w:r w:rsidR="008F5A83" w:rsidRPr="00851ABE">
              <w:rPr>
                <w:rFonts w:eastAsia="Times New Roman"/>
                <w:noProof/>
                <w:sz w:val="20"/>
                <w:szCs w:val="20"/>
              </w:rPr>
              <w:t>e</w:t>
            </w:r>
          </w:p>
        </w:tc>
        <w:tc>
          <w:tcPr>
            <w:tcW w:w="983" w:type="dxa"/>
            <w:vMerge w:val="restart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noWrap/>
          </w:tcPr>
          <w:p w:rsidR="00D30E54" w:rsidRPr="00F6239D" w:rsidRDefault="00490954" w:rsidP="00851ABE">
            <w:pPr>
              <w:spacing w:before="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  <w:r w:rsidRPr="00851ABE">
              <w:rPr>
                <w:rFonts w:eastAsia="Times New Roman"/>
                <w:sz w:val="20"/>
                <w:szCs w:val="20"/>
              </w:rPr>
              <w:t>Celkové způsobilé výdaje</w:t>
            </w:r>
          </w:p>
        </w:tc>
        <w:tc>
          <w:tcPr>
            <w:tcW w:w="728" w:type="dxa"/>
            <w:vMerge w:val="restart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noWrap/>
          </w:tcPr>
          <w:p w:rsidR="00D30E54" w:rsidRPr="00851ABE" w:rsidRDefault="00D30E54" w:rsidP="00851ABE">
            <w:pPr>
              <w:spacing w:before="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sz w:val="20"/>
                <w:szCs w:val="20"/>
                <w:u w:val="single"/>
              </w:rPr>
            </w:pPr>
            <w:r w:rsidRPr="00851ABE">
              <w:rPr>
                <w:rFonts w:eastAsia="Times New Roman"/>
                <w:sz w:val="20"/>
                <w:szCs w:val="20"/>
              </w:rPr>
              <w:t>ESF+</w:t>
            </w:r>
          </w:p>
        </w:tc>
        <w:tc>
          <w:tcPr>
            <w:tcW w:w="151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noWrap/>
            <w:hideMark/>
          </w:tcPr>
          <w:p w:rsidR="00D30E54" w:rsidRDefault="00D30E54" w:rsidP="00851ABE">
            <w:pPr>
              <w:spacing w:before="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noProof/>
                <w:sz w:val="20"/>
                <w:szCs w:val="20"/>
              </w:rPr>
            </w:pPr>
            <w:r w:rsidRPr="00851ABE">
              <w:rPr>
                <w:rFonts w:eastAsia="Times New Roman"/>
                <w:sz w:val="20"/>
                <w:szCs w:val="20"/>
              </w:rPr>
              <w:t>Více rozvinuté</w:t>
            </w:r>
          </w:p>
          <w:p w:rsidR="00D30E54" w:rsidRPr="00851ABE" w:rsidRDefault="00D30E54" w:rsidP="00851ABE">
            <w:pPr>
              <w:spacing w:before="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78" w:type="dxa"/>
            <w:vMerge w:val="restart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</w:tcPr>
          <w:p w:rsidR="00D30E54" w:rsidRPr="00B175FB" w:rsidRDefault="00D30E54" w:rsidP="00D30E54">
            <w:pPr>
              <w:spacing w:before="0"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  <w:lang w:eastAsia="cs-CZ" w:bidi="cs-CZ"/>
              </w:rPr>
            </w:pPr>
            <w:r w:rsidRPr="00B175FB">
              <w:rPr>
                <w:color w:val="000000"/>
                <w:sz w:val="20"/>
                <w:szCs w:val="20"/>
                <w:lang w:eastAsia="cs-CZ" w:bidi="cs-CZ"/>
              </w:rPr>
              <w:t xml:space="preserve">SC 2.3 </w:t>
            </w:r>
            <w:r w:rsidR="00241DCD">
              <w:rPr>
                <w:color w:val="000000"/>
                <w:sz w:val="20"/>
                <w:szCs w:val="20"/>
                <w:lang w:eastAsia="cs-CZ" w:bidi="cs-CZ"/>
              </w:rPr>
              <w:t>(</w:t>
            </w:r>
            <w:r w:rsidR="00472DA6">
              <w:rPr>
                <w:color w:val="000000"/>
                <w:sz w:val="20"/>
                <w:szCs w:val="20"/>
                <w:lang w:eastAsia="cs-CZ" w:bidi="cs-CZ"/>
              </w:rPr>
              <w:t>f</w:t>
            </w:r>
            <w:r w:rsidR="00C84229" w:rsidRPr="00B175FB">
              <w:rPr>
                <w:color w:val="000000"/>
                <w:sz w:val="20"/>
                <w:szCs w:val="20"/>
                <w:lang w:eastAsia="cs-CZ" w:bidi="cs-CZ"/>
              </w:rPr>
              <w:t>)</w:t>
            </w:r>
            <w:r w:rsidR="00C84229">
              <w:rPr>
                <w:color w:val="000000"/>
                <w:sz w:val="20"/>
                <w:szCs w:val="20"/>
                <w:lang w:eastAsia="cs-CZ" w:bidi="cs-CZ"/>
              </w:rPr>
              <w:t>)</w:t>
            </w:r>
          </w:p>
          <w:p w:rsidR="00CB0BDB" w:rsidRPr="00C84229" w:rsidRDefault="00472DA6" w:rsidP="00851ABE">
            <w:pPr>
              <w:spacing w:before="0"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  <w:lang w:eastAsia="cs-CZ" w:bidi="cs-CZ"/>
              </w:rPr>
            </w:pPr>
            <w:r w:rsidRPr="00472DA6">
              <w:rPr>
                <w:color w:val="000000"/>
                <w:sz w:val="20"/>
                <w:szCs w:val="20"/>
                <w:lang w:eastAsia="cs-CZ" w:bidi="cs-CZ"/>
              </w:rPr>
              <w:t>prosazovat rovný přístup ke kvalitnímu a inkluzivnímu vzdělávání a odborné přípravě a jejich úspěšnému ukončení, a to zejména v případě znevýhodněných skupin, od předškolního vzdělávání a péče, přes všeobecné vzdělávání a odborné vzdělávání a přípravu až po terciární úroveň, jakož i vzdělávání a studium dospělých, včetně usnadnění vzdělávací mobility pro všechny a přístupnosti pro osoby se zdravotním postižením</w:t>
            </w:r>
          </w:p>
        </w:tc>
      </w:tr>
      <w:tr w:rsidR="00D30E54" w:rsidRPr="00B175FB" w:rsidTr="00B45EC9">
        <w:trPr>
          <w:trHeight w:val="1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hideMark/>
          </w:tcPr>
          <w:p w:rsidR="00D30E54" w:rsidRPr="00851ABE" w:rsidRDefault="00D30E54" w:rsidP="00851ABE">
            <w:pPr>
              <w:spacing w:before="0"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2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hideMark/>
          </w:tcPr>
          <w:p w:rsidR="00D30E54" w:rsidRPr="00851ABE" w:rsidRDefault="00D30E54" w:rsidP="00851ABE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1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hideMark/>
          </w:tcPr>
          <w:p w:rsidR="00D30E54" w:rsidRPr="00851ABE" w:rsidRDefault="00D30E54" w:rsidP="00851ABE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hideMark/>
          </w:tcPr>
          <w:p w:rsidR="00D30E54" w:rsidRPr="00851ABE" w:rsidRDefault="00D30E54" w:rsidP="00851ABE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728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hideMark/>
          </w:tcPr>
          <w:p w:rsidR="00D30E54" w:rsidRPr="00851ABE" w:rsidRDefault="00D30E54" w:rsidP="00851ABE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51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noWrap/>
            <w:hideMark/>
          </w:tcPr>
          <w:p w:rsidR="00D30E54" w:rsidRDefault="00D30E54" w:rsidP="00851ABE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noProof/>
                <w:sz w:val="20"/>
                <w:szCs w:val="20"/>
              </w:rPr>
            </w:pPr>
            <w:r w:rsidRPr="00851ABE">
              <w:rPr>
                <w:rFonts w:eastAsia="Times New Roman"/>
                <w:sz w:val="20"/>
                <w:szCs w:val="20"/>
              </w:rPr>
              <w:t>Přechodové</w:t>
            </w:r>
          </w:p>
          <w:p w:rsidR="00D30E54" w:rsidRPr="00851ABE" w:rsidRDefault="00D30E54" w:rsidP="00851ABE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78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hideMark/>
          </w:tcPr>
          <w:p w:rsidR="00D30E54" w:rsidRPr="00851ABE" w:rsidRDefault="00D30E54" w:rsidP="00851ABE">
            <w:pPr>
              <w:spacing w:before="0"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sz w:val="20"/>
                <w:szCs w:val="20"/>
                <w:u w:val="single"/>
              </w:rPr>
            </w:pPr>
          </w:p>
        </w:tc>
      </w:tr>
      <w:tr w:rsidR="00D30E54" w:rsidRPr="00B175FB" w:rsidTr="00B45E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hideMark/>
          </w:tcPr>
          <w:p w:rsidR="00D30E54" w:rsidRPr="00851ABE" w:rsidRDefault="00D30E54" w:rsidP="00851ABE">
            <w:pPr>
              <w:spacing w:before="0"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2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hideMark/>
          </w:tcPr>
          <w:p w:rsidR="00D30E54" w:rsidRPr="00851ABE" w:rsidRDefault="00D30E54" w:rsidP="00851ABE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1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hideMark/>
          </w:tcPr>
          <w:p w:rsidR="00D30E54" w:rsidRPr="00851ABE" w:rsidRDefault="00D30E54" w:rsidP="00851ABE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hideMark/>
          </w:tcPr>
          <w:p w:rsidR="00D30E54" w:rsidRPr="00851ABE" w:rsidRDefault="00D30E54" w:rsidP="00851ABE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728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hideMark/>
          </w:tcPr>
          <w:p w:rsidR="00D30E54" w:rsidRPr="00851ABE" w:rsidRDefault="00D30E54" w:rsidP="00851ABE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51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noWrap/>
            <w:hideMark/>
          </w:tcPr>
          <w:p w:rsidR="00D30E54" w:rsidRPr="00851ABE" w:rsidRDefault="00D30E54" w:rsidP="00851ABE">
            <w:pPr>
              <w:spacing w:before="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  <w:r w:rsidRPr="00851ABE">
              <w:rPr>
                <w:rFonts w:eastAsia="Times New Roman"/>
                <w:sz w:val="20"/>
                <w:szCs w:val="20"/>
              </w:rPr>
              <w:t>Méně rozvinuté</w:t>
            </w:r>
          </w:p>
        </w:tc>
        <w:tc>
          <w:tcPr>
            <w:tcW w:w="9178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hideMark/>
          </w:tcPr>
          <w:p w:rsidR="00D30E54" w:rsidRPr="00851ABE" w:rsidRDefault="00D30E54" w:rsidP="00851ABE">
            <w:pPr>
              <w:spacing w:before="0"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sz w:val="20"/>
                <w:szCs w:val="20"/>
                <w:u w:val="single"/>
              </w:rPr>
            </w:pPr>
          </w:p>
        </w:tc>
      </w:tr>
      <w:tr w:rsidR="00D30E54" w:rsidRPr="00B175FB" w:rsidTr="00B45EC9">
        <w:trPr>
          <w:trHeight w:val="2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noWrap/>
            <w:hideMark/>
          </w:tcPr>
          <w:p w:rsidR="00D30E54" w:rsidRPr="00851ABE" w:rsidRDefault="00D30E54" w:rsidP="00851ABE">
            <w:pPr>
              <w:spacing w:before="0"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2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noWrap/>
            <w:hideMark/>
          </w:tcPr>
          <w:p w:rsidR="00D30E54" w:rsidRPr="00851ABE" w:rsidRDefault="00D30E54" w:rsidP="00851ABE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1" w:type="dxa"/>
            <w:vMerge w:val="restart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noWrap/>
            <w:hideMark/>
          </w:tcPr>
          <w:p w:rsidR="00D30E54" w:rsidRPr="00851ABE" w:rsidRDefault="00832F77" w:rsidP="00851ABE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  <w:r w:rsidRPr="00851ABE">
              <w:rPr>
                <w:rFonts w:eastAsia="Times New Roman"/>
                <w:noProof/>
                <w:sz w:val="20"/>
                <w:szCs w:val="20"/>
              </w:rPr>
              <w:t>N</w:t>
            </w:r>
            <w:r w:rsidR="008F5A83" w:rsidRPr="00851ABE">
              <w:rPr>
                <w:rFonts w:eastAsia="Times New Roman"/>
                <w:noProof/>
                <w:sz w:val="20"/>
                <w:szCs w:val="20"/>
              </w:rPr>
              <w:t>e</w:t>
            </w:r>
          </w:p>
        </w:tc>
        <w:tc>
          <w:tcPr>
            <w:tcW w:w="983" w:type="dxa"/>
            <w:vMerge w:val="restart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noWrap/>
          </w:tcPr>
          <w:p w:rsidR="00D30E54" w:rsidRPr="00851ABE" w:rsidRDefault="00490954" w:rsidP="00851ABE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  <w:r w:rsidRPr="00851ABE">
              <w:rPr>
                <w:rFonts w:eastAsia="Times New Roman"/>
                <w:sz w:val="20"/>
                <w:szCs w:val="20"/>
              </w:rPr>
              <w:t xml:space="preserve">Celkové způsobilé </w:t>
            </w:r>
            <w:r w:rsidRPr="00851ABE">
              <w:rPr>
                <w:rFonts w:eastAsia="Times New Roman"/>
                <w:noProof/>
                <w:sz w:val="20"/>
                <w:szCs w:val="20"/>
              </w:rPr>
              <w:t>výdaje</w:t>
            </w:r>
          </w:p>
        </w:tc>
        <w:tc>
          <w:tcPr>
            <w:tcW w:w="728" w:type="dxa"/>
            <w:vMerge w:val="restart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noWrap/>
            <w:hideMark/>
          </w:tcPr>
          <w:p w:rsidR="00D30E54" w:rsidRPr="00851ABE" w:rsidRDefault="00D30E54" w:rsidP="00851ABE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  <w:r w:rsidRPr="00851ABE">
              <w:rPr>
                <w:rFonts w:eastAsia="Times New Roman"/>
                <w:sz w:val="20"/>
                <w:szCs w:val="20"/>
              </w:rPr>
              <w:t>ESF+</w:t>
            </w:r>
          </w:p>
        </w:tc>
        <w:tc>
          <w:tcPr>
            <w:tcW w:w="151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noWrap/>
            <w:hideMark/>
          </w:tcPr>
          <w:p w:rsidR="00D30E54" w:rsidRPr="00851ABE" w:rsidRDefault="00D30E54" w:rsidP="00851ABE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  <w:r w:rsidRPr="00851ABE">
              <w:rPr>
                <w:rFonts w:eastAsia="Times New Roman"/>
                <w:sz w:val="20"/>
                <w:szCs w:val="20"/>
              </w:rPr>
              <w:t>Více rozvinuté</w:t>
            </w:r>
          </w:p>
        </w:tc>
        <w:tc>
          <w:tcPr>
            <w:tcW w:w="9178" w:type="dxa"/>
            <w:vMerge w:val="restart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hideMark/>
          </w:tcPr>
          <w:p w:rsidR="00D30E54" w:rsidRPr="00B175FB" w:rsidRDefault="00D30E54" w:rsidP="00D30E54">
            <w:pPr>
              <w:spacing w:before="0"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  <w:lang w:eastAsia="cs-CZ" w:bidi="cs-CZ"/>
              </w:rPr>
            </w:pPr>
            <w:r w:rsidRPr="00B175FB">
              <w:rPr>
                <w:color w:val="000000"/>
                <w:sz w:val="20"/>
                <w:szCs w:val="20"/>
                <w:lang w:eastAsia="cs-CZ" w:bidi="cs-CZ"/>
              </w:rPr>
              <w:t>SC 2.4</w:t>
            </w:r>
            <w:r w:rsidR="00C84229">
              <w:rPr>
                <w:color w:val="000000"/>
                <w:sz w:val="20"/>
                <w:szCs w:val="20"/>
                <w:lang w:eastAsia="cs-CZ" w:bidi="cs-CZ"/>
              </w:rPr>
              <w:t xml:space="preserve"> (</w:t>
            </w:r>
            <w:r w:rsidR="00472DA6">
              <w:rPr>
                <w:color w:val="000000"/>
                <w:sz w:val="20"/>
                <w:szCs w:val="20"/>
                <w:lang w:eastAsia="cs-CZ" w:bidi="cs-CZ"/>
              </w:rPr>
              <w:t>g</w:t>
            </w:r>
            <w:r w:rsidR="00C84229" w:rsidRPr="00B175FB">
              <w:rPr>
                <w:color w:val="000000"/>
                <w:sz w:val="20"/>
                <w:szCs w:val="20"/>
                <w:lang w:eastAsia="cs-CZ" w:bidi="cs-CZ"/>
              </w:rPr>
              <w:t>)</w:t>
            </w:r>
            <w:r w:rsidR="00C84229">
              <w:rPr>
                <w:color w:val="000000"/>
                <w:sz w:val="20"/>
                <w:szCs w:val="20"/>
                <w:lang w:eastAsia="cs-CZ" w:bidi="cs-CZ"/>
              </w:rPr>
              <w:t>)</w:t>
            </w:r>
          </w:p>
          <w:p w:rsidR="00D30E54" w:rsidRPr="009F52DF" w:rsidRDefault="00472DA6" w:rsidP="00851ABE">
            <w:pPr>
              <w:spacing w:before="0"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  <w:lang w:eastAsia="cs-CZ" w:bidi="cs-CZ"/>
              </w:rPr>
            </w:pPr>
            <w:r w:rsidRPr="00472DA6">
              <w:rPr>
                <w:color w:val="000000"/>
                <w:sz w:val="20"/>
                <w:szCs w:val="20"/>
                <w:lang w:eastAsia="cs-CZ" w:bidi="cs-CZ"/>
              </w:rPr>
              <w:t xml:space="preserve">prosazovat celoživotní učení, zejména flexibilní možnosti rozšiřování dovedností a rekvalifikace pro všechny </w:t>
            </w:r>
            <w:r w:rsidR="00715659">
              <w:rPr>
                <w:color w:val="000000"/>
                <w:sz w:val="20"/>
                <w:szCs w:val="20"/>
                <w:lang w:eastAsia="cs-CZ" w:bidi="cs-CZ"/>
              </w:rPr>
              <w:br/>
            </w:r>
            <w:r w:rsidRPr="00472DA6">
              <w:rPr>
                <w:color w:val="000000"/>
                <w:sz w:val="20"/>
                <w:szCs w:val="20"/>
                <w:lang w:eastAsia="cs-CZ" w:bidi="cs-CZ"/>
              </w:rPr>
              <w:t>s ohledem na podnikatelské a digitální dovednosti, lépe předvídat změny a nové požadavky na dovednosti vycházející z potřeb trhu práce, usnadnit přechody mezi zaměstnáními a podporovat profesní mobilitu</w:t>
            </w:r>
          </w:p>
        </w:tc>
      </w:tr>
      <w:tr w:rsidR="00D30E54" w:rsidRPr="00B175FB" w:rsidTr="00B45E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hideMark/>
          </w:tcPr>
          <w:p w:rsidR="00D30E54" w:rsidRPr="00851ABE" w:rsidRDefault="00D30E54" w:rsidP="00851ABE">
            <w:pPr>
              <w:spacing w:before="0"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2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hideMark/>
          </w:tcPr>
          <w:p w:rsidR="00D30E54" w:rsidRPr="00851ABE" w:rsidRDefault="00D30E54" w:rsidP="00851ABE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1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hideMark/>
          </w:tcPr>
          <w:p w:rsidR="00D30E54" w:rsidRPr="00851ABE" w:rsidRDefault="00D30E54" w:rsidP="00851ABE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hideMark/>
          </w:tcPr>
          <w:p w:rsidR="00D30E54" w:rsidRPr="00851ABE" w:rsidRDefault="00D30E54" w:rsidP="00851ABE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hideMark/>
          </w:tcPr>
          <w:p w:rsidR="00D30E54" w:rsidRPr="00851ABE" w:rsidRDefault="00D30E54" w:rsidP="00851ABE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noWrap/>
            <w:hideMark/>
          </w:tcPr>
          <w:p w:rsidR="00D30E54" w:rsidRPr="00851ABE" w:rsidRDefault="00D30E54" w:rsidP="00851ABE">
            <w:pPr>
              <w:spacing w:before="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  <w:r w:rsidRPr="00851ABE">
              <w:rPr>
                <w:rFonts w:eastAsia="Times New Roman"/>
                <w:sz w:val="20"/>
                <w:szCs w:val="20"/>
              </w:rPr>
              <w:t>Přechodové</w:t>
            </w:r>
          </w:p>
        </w:tc>
        <w:tc>
          <w:tcPr>
            <w:tcW w:w="9178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hideMark/>
          </w:tcPr>
          <w:p w:rsidR="00D30E54" w:rsidRPr="00851ABE" w:rsidRDefault="00D30E54" w:rsidP="00851ABE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</w:tr>
      <w:tr w:rsidR="00D30E54" w:rsidRPr="00B175FB" w:rsidTr="00B45EC9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hideMark/>
          </w:tcPr>
          <w:p w:rsidR="00D30E54" w:rsidRPr="00851ABE" w:rsidRDefault="00D30E54" w:rsidP="00851ABE">
            <w:pPr>
              <w:spacing w:before="0"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2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hideMark/>
          </w:tcPr>
          <w:p w:rsidR="00D30E54" w:rsidRPr="00851ABE" w:rsidRDefault="00D30E54" w:rsidP="00851ABE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1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hideMark/>
          </w:tcPr>
          <w:p w:rsidR="00D30E54" w:rsidRPr="00851ABE" w:rsidRDefault="00D30E54" w:rsidP="00851ABE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hideMark/>
          </w:tcPr>
          <w:p w:rsidR="00D30E54" w:rsidRPr="00851ABE" w:rsidRDefault="00D30E54" w:rsidP="00851ABE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hideMark/>
          </w:tcPr>
          <w:p w:rsidR="00D30E54" w:rsidRPr="00851ABE" w:rsidRDefault="00D30E54" w:rsidP="00851ABE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noWrap/>
            <w:hideMark/>
          </w:tcPr>
          <w:p w:rsidR="00D30E54" w:rsidRPr="00851ABE" w:rsidRDefault="00D30E54" w:rsidP="00851ABE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  <w:r w:rsidRPr="00851ABE">
              <w:rPr>
                <w:rFonts w:eastAsia="Times New Roman"/>
                <w:sz w:val="20"/>
                <w:szCs w:val="20"/>
              </w:rPr>
              <w:t>Méně rozvinuté</w:t>
            </w:r>
          </w:p>
        </w:tc>
        <w:tc>
          <w:tcPr>
            <w:tcW w:w="9178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hideMark/>
          </w:tcPr>
          <w:p w:rsidR="00D30E54" w:rsidRPr="00851ABE" w:rsidRDefault="00D30E54" w:rsidP="00851ABE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</w:tr>
      <w:tr w:rsidR="00D30E54" w:rsidRPr="00B175FB" w:rsidTr="00B45E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vMerge w:val="restart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noWrap/>
            <w:hideMark/>
          </w:tcPr>
          <w:p w:rsidR="00D30E54" w:rsidRPr="00851ABE" w:rsidRDefault="00D30E54" w:rsidP="00851ABE">
            <w:pPr>
              <w:spacing w:before="0"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51ABE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172" w:type="dxa"/>
            <w:vMerge w:val="restart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noWrap/>
            <w:hideMark/>
          </w:tcPr>
          <w:p w:rsidR="00D30E54" w:rsidRPr="00923389" w:rsidRDefault="00F84C1C" w:rsidP="00851ABE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 xml:space="preserve">Priorita 3 </w:t>
            </w:r>
            <w:r>
              <w:rPr>
                <w:rFonts w:eastAsia="Times New Roman"/>
                <w:b/>
                <w:sz w:val="20"/>
                <w:szCs w:val="20"/>
              </w:rPr>
              <w:br/>
            </w:r>
            <w:r w:rsidR="006954E7" w:rsidRPr="00923389">
              <w:rPr>
                <w:rFonts w:eastAsia="Times New Roman"/>
                <w:b/>
                <w:sz w:val="20"/>
                <w:szCs w:val="20"/>
              </w:rPr>
              <w:t xml:space="preserve">Technická pomoc </w:t>
            </w:r>
          </w:p>
        </w:tc>
        <w:tc>
          <w:tcPr>
            <w:tcW w:w="561" w:type="dxa"/>
            <w:vMerge w:val="restart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noWrap/>
            <w:hideMark/>
          </w:tcPr>
          <w:p w:rsidR="00D30E54" w:rsidRPr="00851ABE" w:rsidRDefault="00490954" w:rsidP="00851ABE">
            <w:pPr>
              <w:spacing w:before="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  <w:r w:rsidRPr="00851ABE">
              <w:rPr>
                <w:rFonts w:eastAsia="Times New Roman"/>
                <w:noProof/>
                <w:sz w:val="20"/>
                <w:szCs w:val="20"/>
              </w:rPr>
              <w:t>A</w:t>
            </w:r>
            <w:r w:rsidR="008F5A83" w:rsidRPr="00851ABE">
              <w:rPr>
                <w:rFonts w:eastAsia="Times New Roman"/>
                <w:noProof/>
                <w:sz w:val="20"/>
                <w:szCs w:val="20"/>
              </w:rPr>
              <w:t>no</w:t>
            </w:r>
          </w:p>
        </w:tc>
        <w:tc>
          <w:tcPr>
            <w:tcW w:w="983" w:type="dxa"/>
            <w:vMerge w:val="restart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noWrap/>
          </w:tcPr>
          <w:p w:rsidR="00D30E54" w:rsidRPr="00851ABE" w:rsidRDefault="00490954" w:rsidP="00851ABE">
            <w:pPr>
              <w:spacing w:before="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  <w:r w:rsidRPr="00851ABE">
              <w:rPr>
                <w:rFonts w:eastAsia="Times New Roman"/>
                <w:sz w:val="20"/>
                <w:szCs w:val="20"/>
              </w:rPr>
              <w:t xml:space="preserve">Celkové způsobilé </w:t>
            </w:r>
            <w:r w:rsidRPr="00851ABE">
              <w:rPr>
                <w:rFonts w:eastAsia="Times New Roman"/>
                <w:noProof/>
                <w:sz w:val="20"/>
                <w:szCs w:val="20"/>
              </w:rPr>
              <w:t>výdaje</w:t>
            </w:r>
          </w:p>
        </w:tc>
        <w:tc>
          <w:tcPr>
            <w:tcW w:w="728" w:type="dxa"/>
            <w:vMerge w:val="restart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noWrap/>
            <w:hideMark/>
          </w:tcPr>
          <w:p w:rsidR="00D30E54" w:rsidRPr="00851ABE" w:rsidRDefault="005D34A4" w:rsidP="00851ABE">
            <w:pPr>
              <w:spacing w:before="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  <w:r w:rsidRPr="00851ABE">
              <w:rPr>
                <w:rFonts w:eastAsia="Times New Roman"/>
                <w:noProof/>
                <w:sz w:val="20"/>
                <w:szCs w:val="20"/>
              </w:rPr>
              <w:t>ERD</w:t>
            </w:r>
            <w:r w:rsidR="00B11313" w:rsidRPr="00851ABE">
              <w:rPr>
                <w:rFonts w:eastAsia="Times New Roman"/>
                <w:noProof/>
                <w:sz w:val="20"/>
                <w:szCs w:val="20"/>
              </w:rPr>
              <w:t>F</w:t>
            </w:r>
          </w:p>
        </w:tc>
        <w:tc>
          <w:tcPr>
            <w:tcW w:w="151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noWrap/>
            <w:hideMark/>
          </w:tcPr>
          <w:p w:rsidR="00D30E54" w:rsidRPr="00851ABE" w:rsidRDefault="00D30E54" w:rsidP="00851ABE">
            <w:pPr>
              <w:spacing w:before="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  <w:r w:rsidRPr="00851ABE">
              <w:rPr>
                <w:rFonts w:eastAsia="Times New Roman"/>
                <w:sz w:val="20"/>
                <w:szCs w:val="20"/>
              </w:rPr>
              <w:t>Více rozvinuté</w:t>
            </w:r>
          </w:p>
        </w:tc>
        <w:tc>
          <w:tcPr>
            <w:tcW w:w="9178" w:type="dxa"/>
            <w:vMerge w:val="restart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hideMark/>
          </w:tcPr>
          <w:p w:rsidR="00740D35" w:rsidRPr="00851ABE" w:rsidRDefault="00740D35" w:rsidP="00851ABE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  <w:r w:rsidRPr="00851ABE">
              <w:rPr>
                <w:rFonts w:eastAsia="Times New Roman"/>
                <w:sz w:val="20"/>
                <w:szCs w:val="20"/>
              </w:rPr>
              <w:t>SC 3.1</w:t>
            </w:r>
          </w:p>
          <w:p w:rsidR="00D30E54" w:rsidRPr="00851ABE" w:rsidRDefault="00850AAC" w:rsidP="00851ABE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noProof/>
                <w:sz w:val="20"/>
                <w:szCs w:val="20"/>
              </w:rPr>
              <w:t>n</w:t>
            </w:r>
            <w:r w:rsidR="00903168" w:rsidRPr="00851ABE">
              <w:rPr>
                <w:rFonts w:eastAsia="Times New Roman"/>
                <w:noProof/>
                <w:sz w:val="20"/>
                <w:szCs w:val="20"/>
              </w:rPr>
              <w:t>epoužije se</w:t>
            </w:r>
          </w:p>
          <w:p w:rsidR="00A445EC" w:rsidRPr="00851ABE" w:rsidRDefault="00A445EC" w:rsidP="00851ABE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</w:tr>
      <w:tr w:rsidR="00D30E54" w:rsidRPr="00B175FB" w:rsidTr="00B45EC9">
        <w:trPr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hideMark/>
          </w:tcPr>
          <w:p w:rsidR="00D30E54" w:rsidRPr="00851ABE" w:rsidRDefault="00D30E54" w:rsidP="00851ABE">
            <w:pPr>
              <w:spacing w:before="0"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2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hideMark/>
          </w:tcPr>
          <w:p w:rsidR="00D30E54" w:rsidRPr="00923389" w:rsidRDefault="00D30E54" w:rsidP="00851ABE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561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hideMark/>
          </w:tcPr>
          <w:p w:rsidR="00D30E54" w:rsidRPr="00851ABE" w:rsidRDefault="00D30E54" w:rsidP="00851ABE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hideMark/>
          </w:tcPr>
          <w:p w:rsidR="00D30E54" w:rsidRPr="00851ABE" w:rsidRDefault="00D30E54" w:rsidP="00851ABE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hideMark/>
          </w:tcPr>
          <w:p w:rsidR="00D30E54" w:rsidRPr="00851ABE" w:rsidRDefault="00D30E54" w:rsidP="00851ABE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D9E2F3" w:themeFill="accent1" w:themeFillTint="33"/>
            <w:noWrap/>
            <w:hideMark/>
          </w:tcPr>
          <w:p w:rsidR="00D30E54" w:rsidRPr="00851ABE" w:rsidRDefault="00D30E54" w:rsidP="00851ABE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  <w:r w:rsidRPr="00851ABE">
              <w:rPr>
                <w:rFonts w:eastAsia="Times New Roman"/>
                <w:sz w:val="20"/>
                <w:szCs w:val="20"/>
              </w:rPr>
              <w:t>Přechodové</w:t>
            </w:r>
          </w:p>
        </w:tc>
        <w:tc>
          <w:tcPr>
            <w:tcW w:w="9178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hideMark/>
          </w:tcPr>
          <w:p w:rsidR="00D30E54" w:rsidRPr="00851ABE" w:rsidRDefault="00D30E54" w:rsidP="00851ABE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</w:tr>
      <w:tr w:rsidR="00D30E54" w:rsidRPr="00B175FB" w:rsidTr="00B45E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hideMark/>
          </w:tcPr>
          <w:p w:rsidR="00D30E54" w:rsidRPr="00851ABE" w:rsidRDefault="00D30E54" w:rsidP="00851ABE">
            <w:pPr>
              <w:spacing w:before="0"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2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hideMark/>
          </w:tcPr>
          <w:p w:rsidR="00D30E54" w:rsidRPr="00923389" w:rsidRDefault="00D30E54" w:rsidP="00851ABE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561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hideMark/>
          </w:tcPr>
          <w:p w:rsidR="00D30E54" w:rsidRPr="00851ABE" w:rsidRDefault="00D30E54" w:rsidP="00851ABE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hideMark/>
          </w:tcPr>
          <w:p w:rsidR="00D30E54" w:rsidRPr="00851ABE" w:rsidRDefault="00D30E54" w:rsidP="00851ABE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hideMark/>
          </w:tcPr>
          <w:p w:rsidR="00D30E54" w:rsidRPr="00851ABE" w:rsidRDefault="00D30E54" w:rsidP="00851ABE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noWrap/>
            <w:hideMark/>
          </w:tcPr>
          <w:p w:rsidR="00D30E54" w:rsidRPr="00851ABE" w:rsidRDefault="00D30E54" w:rsidP="00851ABE">
            <w:pPr>
              <w:spacing w:before="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  <w:r w:rsidRPr="00851ABE">
              <w:rPr>
                <w:rFonts w:eastAsia="Times New Roman"/>
                <w:sz w:val="20"/>
                <w:szCs w:val="20"/>
              </w:rPr>
              <w:t>Méně rozvinuté</w:t>
            </w:r>
          </w:p>
        </w:tc>
        <w:tc>
          <w:tcPr>
            <w:tcW w:w="9178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hideMark/>
          </w:tcPr>
          <w:p w:rsidR="00D30E54" w:rsidRPr="00851ABE" w:rsidRDefault="00D30E54" w:rsidP="00851ABE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</w:tr>
      <w:tr w:rsidR="00B11313" w:rsidRPr="00B175FB" w:rsidTr="00B45EC9">
        <w:trPr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vMerge w:val="restart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</w:tcPr>
          <w:p w:rsidR="00B11313" w:rsidRPr="00851ABE" w:rsidRDefault="00B11313" w:rsidP="00F6239D">
            <w:pPr>
              <w:spacing w:before="0"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851ABE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172" w:type="dxa"/>
            <w:vMerge w:val="restart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</w:tcPr>
          <w:p w:rsidR="00B11313" w:rsidRPr="00923389" w:rsidRDefault="00F84C1C" w:rsidP="00851ABE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 xml:space="preserve">Priorita 4 </w:t>
            </w:r>
            <w:r>
              <w:rPr>
                <w:rFonts w:eastAsia="Times New Roman"/>
                <w:b/>
                <w:sz w:val="20"/>
                <w:szCs w:val="20"/>
              </w:rPr>
              <w:br/>
            </w:r>
            <w:r w:rsidR="00B11313" w:rsidRPr="00923389">
              <w:rPr>
                <w:rFonts w:eastAsia="Times New Roman"/>
                <w:b/>
                <w:sz w:val="20"/>
                <w:szCs w:val="20"/>
              </w:rPr>
              <w:t>Technická pomoc</w:t>
            </w:r>
          </w:p>
        </w:tc>
        <w:tc>
          <w:tcPr>
            <w:tcW w:w="561" w:type="dxa"/>
            <w:vMerge w:val="restart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</w:tcPr>
          <w:p w:rsidR="00B11313" w:rsidRPr="00851ABE" w:rsidRDefault="00490954" w:rsidP="00F6239D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  <w:r w:rsidRPr="00851ABE">
              <w:rPr>
                <w:rFonts w:eastAsia="Times New Roman"/>
                <w:noProof/>
                <w:sz w:val="20"/>
                <w:szCs w:val="20"/>
              </w:rPr>
              <w:t>A</w:t>
            </w:r>
            <w:r w:rsidR="008F5A83" w:rsidRPr="00851ABE">
              <w:rPr>
                <w:rFonts w:eastAsia="Times New Roman"/>
                <w:noProof/>
                <w:sz w:val="20"/>
                <w:szCs w:val="20"/>
              </w:rPr>
              <w:t>no</w:t>
            </w:r>
          </w:p>
        </w:tc>
        <w:tc>
          <w:tcPr>
            <w:tcW w:w="983" w:type="dxa"/>
            <w:vMerge w:val="restart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</w:tcPr>
          <w:p w:rsidR="00B11313" w:rsidRPr="00851ABE" w:rsidRDefault="00490954" w:rsidP="00F6239D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  <w:r w:rsidRPr="00851ABE">
              <w:rPr>
                <w:rFonts w:eastAsia="Times New Roman"/>
                <w:sz w:val="20"/>
                <w:szCs w:val="20"/>
              </w:rPr>
              <w:t>Celkové způsobilé výdaje</w:t>
            </w:r>
            <w:r w:rsidRPr="00851ABE" w:rsidDel="00490954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728" w:type="dxa"/>
            <w:vMerge w:val="restart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</w:tcPr>
          <w:p w:rsidR="00B11313" w:rsidRPr="00851ABE" w:rsidRDefault="00B11313" w:rsidP="00F6239D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  <w:r w:rsidRPr="00851ABE">
              <w:rPr>
                <w:rFonts w:eastAsia="Times New Roman"/>
                <w:sz w:val="20"/>
                <w:szCs w:val="20"/>
              </w:rPr>
              <w:t>ESF+</w:t>
            </w:r>
          </w:p>
        </w:tc>
        <w:tc>
          <w:tcPr>
            <w:tcW w:w="151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noWrap/>
          </w:tcPr>
          <w:p w:rsidR="00B11313" w:rsidRPr="00851ABE" w:rsidRDefault="00B11313" w:rsidP="00851ABE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  <w:r w:rsidRPr="00851ABE">
              <w:rPr>
                <w:rFonts w:eastAsia="Times New Roman"/>
                <w:sz w:val="20"/>
                <w:szCs w:val="20"/>
              </w:rPr>
              <w:t>Více rozvinuté</w:t>
            </w:r>
          </w:p>
        </w:tc>
        <w:tc>
          <w:tcPr>
            <w:tcW w:w="9178" w:type="dxa"/>
            <w:vMerge w:val="restart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</w:tcPr>
          <w:p w:rsidR="00740D35" w:rsidRPr="00851ABE" w:rsidRDefault="00740D35" w:rsidP="00851ABE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  <w:r w:rsidRPr="00851ABE">
              <w:rPr>
                <w:rFonts w:eastAsia="Times New Roman"/>
                <w:sz w:val="20"/>
                <w:szCs w:val="20"/>
              </w:rPr>
              <w:t>SC 4.1</w:t>
            </w:r>
          </w:p>
          <w:p w:rsidR="00B11313" w:rsidRPr="00851ABE" w:rsidRDefault="00850AAC" w:rsidP="00851ABE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noProof/>
                <w:sz w:val="20"/>
                <w:szCs w:val="20"/>
              </w:rPr>
              <w:t>n</w:t>
            </w:r>
            <w:r w:rsidR="00B11313" w:rsidRPr="00851ABE">
              <w:rPr>
                <w:rFonts w:eastAsia="Times New Roman"/>
                <w:noProof/>
                <w:sz w:val="20"/>
                <w:szCs w:val="20"/>
              </w:rPr>
              <w:t>epoužije se</w:t>
            </w:r>
          </w:p>
          <w:p w:rsidR="00AE23D8" w:rsidRPr="00851ABE" w:rsidRDefault="00AE23D8" w:rsidP="00851ABE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</w:tr>
      <w:tr w:rsidR="00B11313" w:rsidRPr="00B175FB" w:rsidTr="00B45E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</w:tcPr>
          <w:p w:rsidR="00B11313" w:rsidRPr="00851ABE" w:rsidRDefault="00B11313" w:rsidP="00851ABE">
            <w:pPr>
              <w:spacing w:before="0"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2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</w:tcPr>
          <w:p w:rsidR="00B11313" w:rsidRPr="00851ABE" w:rsidRDefault="00B11313" w:rsidP="00851ABE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1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</w:tcPr>
          <w:p w:rsidR="00B11313" w:rsidRPr="00851ABE" w:rsidRDefault="00B11313" w:rsidP="00851ABE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</w:tcPr>
          <w:p w:rsidR="00B11313" w:rsidRPr="00851ABE" w:rsidRDefault="00B11313" w:rsidP="00851ABE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</w:tcPr>
          <w:p w:rsidR="00B11313" w:rsidRPr="00851ABE" w:rsidRDefault="00B11313" w:rsidP="00851ABE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noWrap/>
          </w:tcPr>
          <w:p w:rsidR="00B11313" w:rsidRPr="00851ABE" w:rsidRDefault="00B11313" w:rsidP="00851ABE">
            <w:pPr>
              <w:spacing w:before="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  <w:r w:rsidRPr="00851ABE">
              <w:rPr>
                <w:rFonts w:eastAsia="Times New Roman"/>
                <w:sz w:val="20"/>
                <w:szCs w:val="20"/>
              </w:rPr>
              <w:t>Přechodové</w:t>
            </w:r>
          </w:p>
        </w:tc>
        <w:tc>
          <w:tcPr>
            <w:tcW w:w="9178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</w:tcPr>
          <w:p w:rsidR="00B11313" w:rsidRPr="00851ABE" w:rsidRDefault="00B11313" w:rsidP="00851ABE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</w:tr>
      <w:tr w:rsidR="00B11313" w:rsidRPr="00B175FB" w:rsidTr="00B45EC9">
        <w:trPr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</w:tcPr>
          <w:p w:rsidR="00B11313" w:rsidRPr="00851ABE" w:rsidRDefault="00B11313" w:rsidP="00851ABE">
            <w:pPr>
              <w:spacing w:before="0"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2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</w:tcPr>
          <w:p w:rsidR="00B11313" w:rsidRPr="00851ABE" w:rsidRDefault="00B11313" w:rsidP="00851ABE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1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</w:tcPr>
          <w:p w:rsidR="00B11313" w:rsidRPr="00851ABE" w:rsidRDefault="00B11313" w:rsidP="00851ABE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</w:tcPr>
          <w:p w:rsidR="00B11313" w:rsidRPr="00851ABE" w:rsidRDefault="00B11313" w:rsidP="00851ABE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</w:tcPr>
          <w:p w:rsidR="00B11313" w:rsidRPr="00851ABE" w:rsidRDefault="00B11313" w:rsidP="00851ABE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noWrap/>
          </w:tcPr>
          <w:p w:rsidR="00B11313" w:rsidRPr="00851ABE" w:rsidRDefault="00B11313" w:rsidP="00851ABE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  <w:r w:rsidRPr="00851ABE">
              <w:rPr>
                <w:rFonts w:eastAsia="Times New Roman"/>
                <w:sz w:val="20"/>
                <w:szCs w:val="20"/>
              </w:rPr>
              <w:t>Méně rozvinuté</w:t>
            </w:r>
          </w:p>
        </w:tc>
        <w:tc>
          <w:tcPr>
            <w:tcW w:w="9178" w:type="dxa"/>
            <w:vMerge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</w:tcPr>
          <w:p w:rsidR="00B11313" w:rsidRPr="00851ABE" w:rsidRDefault="00B11313" w:rsidP="00851ABE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</w:rPr>
            </w:pPr>
          </w:p>
        </w:tc>
      </w:tr>
    </w:tbl>
    <w:p w:rsidR="00DE3DEC" w:rsidRPr="00B175FB" w:rsidRDefault="00791F86" w:rsidP="00D17425">
      <w:pPr>
        <w:spacing w:before="0" w:after="0" w:line="240" w:lineRule="auto"/>
        <w:rPr>
          <w:rFonts w:eastAsia="Times New Roman"/>
          <w:i/>
          <w:noProof/>
          <w:sz w:val="18"/>
          <w:szCs w:val="18"/>
        </w:rPr>
        <w:sectPr w:rsidR="00DE3DEC" w:rsidRPr="00B175FB" w:rsidSect="00DE3DEC">
          <w:pgSz w:w="16838" w:h="11906" w:orient="landscape"/>
          <w:pgMar w:top="1134" w:right="1134" w:bottom="1134" w:left="1134" w:header="567" w:footer="567" w:gutter="0"/>
          <w:cols w:space="708"/>
          <w:docGrid w:linePitch="326"/>
        </w:sectPr>
      </w:pPr>
      <w:r w:rsidRPr="00791F86">
        <w:rPr>
          <w:rFonts w:eastAsia="Times New Roman"/>
          <w:i/>
          <w:noProof/>
          <w:sz w:val="18"/>
          <w:szCs w:val="18"/>
        </w:rPr>
        <w:t>*</w:t>
      </w:r>
      <w:r>
        <w:rPr>
          <w:rFonts w:eastAsia="Times New Roman"/>
          <w:i/>
          <w:noProof/>
          <w:sz w:val="18"/>
          <w:szCs w:val="18"/>
        </w:rPr>
        <w:t xml:space="preserve"> </w:t>
      </w:r>
      <w:r w:rsidR="00F37F8A" w:rsidRPr="00F37F8A">
        <w:rPr>
          <w:rFonts w:eastAsia="Times New Roman"/>
          <w:i/>
          <w:noProof/>
          <w:sz w:val="18"/>
          <w:szCs w:val="18"/>
        </w:rPr>
        <w:t>The specific objective (S</w:t>
      </w:r>
      <w:r w:rsidR="002A30C6">
        <w:rPr>
          <w:rFonts w:eastAsia="Times New Roman"/>
          <w:i/>
          <w:noProof/>
          <w:sz w:val="18"/>
          <w:szCs w:val="18"/>
        </w:rPr>
        <w:t>O</w:t>
      </w:r>
      <w:r w:rsidR="00F37F8A" w:rsidRPr="00F37F8A">
        <w:rPr>
          <w:rFonts w:eastAsia="Times New Roman"/>
          <w:i/>
          <w:noProof/>
          <w:sz w:val="18"/>
          <w:szCs w:val="18"/>
        </w:rPr>
        <w:t>) number is the internal designation of the managing authority, the S</w:t>
      </w:r>
      <w:r w:rsidR="005946C6">
        <w:rPr>
          <w:rFonts w:eastAsia="Times New Roman"/>
          <w:i/>
          <w:noProof/>
          <w:sz w:val="18"/>
          <w:szCs w:val="18"/>
        </w:rPr>
        <w:t>O</w:t>
      </w:r>
      <w:r w:rsidR="00F37F8A" w:rsidRPr="00F37F8A">
        <w:rPr>
          <w:rFonts w:eastAsia="Times New Roman"/>
          <w:i/>
          <w:noProof/>
          <w:sz w:val="18"/>
          <w:szCs w:val="18"/>
        </w:rPr>
        <w:t xml:space="preserve"> number in brackets is the designation referring to the ERDF and CF Regulation, Article 2 (1) (compromise text on the draft ERDF and CF Regulation, document ST-6147- 2019-ADD-2-EN of 13 February 2019), in the proposal to amend this Regulation COM (2020) 452 final of 28 May 2020.</w:t>
      </w:r>
    </w:p>
    <w:p w:rsidR="00D10EA1" w:rsidRPr="00B175FB" w:rsidRDefault="00D10EA1" w:rsidP="00D10EA1">
      <w:pPr>
        <w:pStyle w:val="Odstavecseseznamem"/>
        <w:keepNext/>
        <w:numPr>
          <w:ilvl w:val="0"/>
          <w:numId w:val="1"/>
        </w:numPr>
        <w:spacing w:before="360" w:after="120" w:line="240" w:lineRule="auto"/>
        <w:contextualSpacing w:val="0"/>
        <w:jc w:val="both"/>
        <w:outlineLvl w:val="0"/>
        <w:rPr>
          <w:rStyle w:val="Nadpis2Char"/>
          <w:b w:val="0"/>
          <w:smallCaps/>
          <w:vanish/>
          <w:color w:val="1F4E79" w:themeColor="accent5" w:themeShade="80"/>
          <w:lang w:val="cs-CZ"/>
        </w:rPr>
      </w:pPr>
      <w:bookmarkStart w:id="57" w:name="_Toc33165171"/>
      <w:bookmarkStart w:id="58" w:name="_Toc33165203"/>
      <w:bookmarkStart w:id="59" w:name="_Toc33165234"/>
      <w:bookmarkStart w:id="60" w:name="_Toc33165500"/>
      <w:bookmarkStart w:id="61" w:name="_Toc33000812"/>
      <w:bookmarkStart w:id="62" w:name="_Toc33001986"/>
      <w:bookmarkStart w:id="63" w:name="_Toc33002207"/>
      <w:bookmarkStart w:id="64" w:name="_Toc33003127"/>
      <w:bookmarkStart w:id="65" w:name="_Toc33003191"/>
      <w:bookmarkStart w:id="66" w:name="_Toc33003223"/>
      <w:bookmarkStart w:id="67" w:name="_Toc33003552"/>
      <w:bookmarkStart w:id="68" w:name="_Toc33165172"/>
      <w:bookmarkStart w:id="69" w:name="_Toc33165204"/>
      <w:bookmarkStart w:id="70" w:name="_Toc33165235"/>
      <w:bookmarkStart w:id="71" w:name="_Toc33165501"/>
      <w:bookmarkStart w:id="72" w:name="_Toc33532429"/>
      <w:bookmarkStart w:id="73" w:name="_Toc33596796"/>
      <w:bookmarkStart w:id="74" w:name="_Toc33599079"/>
      <w:bookmarkStart w:id="75" w:name="_Toc66190768"/>
      <w:bookmarkStart w:id="76" w:name="_Toc66271480"/>
      <w:bookmarkStart w:id="77" w:name="_Toc66274247"/>
      <w:bookmarkStart w:id="78" w:name="_Toc66274350"/>
      <w:bookmarkStart w:id="79" w:name="_Toc66274561"/>
      <w:bookmarkStart w:id="80" w:name="_Toc66274838"/>
      <w:bookmarkStart w:id="81" w:name="_Toc66274878"/>
      <w:bookmarkStart w:id="82" w:name="_Toc66274924"/>
      <w:bookmarkStart w:id="83" w:name="_Toc66274964"/>
      <w:bookmarkStart w:id="84" w:name="_Toc66275020"/>
      <w:bookmarkStart w:id="85" w:name="_Toc66275355"/>
      <w:bookmarkStart w:id="86" w:name="_Toc66275414"/>
      <w:bookmarkStart w:id="87" w:name="_Toc66275690"/>
      <w:bookmarkStart w:id="88" w:name="_Toc66398477"/>
      <w:bookmarkStart w:id="89" w:name="_Toc66398585"/>
      <w:bookmarkStart w:id="90" w:name="_Toc66429238"/>
      <w:bookmarkStart w:id="91" w:name="_Toc66429354"/>
      <w:bookmarkStart w:id="92" w:name="_Toc66429450"/>
      <w:bookmarkStart w:id="93" w:name="_Toc66476038"/>
      <w:bookmarkStart w:id="94" w:name="_Toc6861099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114426" w:rsidRPr="00B175FB" w:rsidRDefault="006B32C9" w:rsidP="00636242">
      <w:pPr>
        <w:pStyle w:val="Nadpis2"/>
        <w:rPr>
          <w:rFonts w:eastAsia="Times New Roman"/>
          <w:noProof/>
          <w:color w:val="1F4E79" w:themeColor="accent5" w:themeShade="80"/>
          <w:szCs w:val="24"/>
          <w:lang w:val="cs-CZ"/>
        </w:rPr>
      </w:pPr>
      <w:bookmarkStart w:id="95" w:name="_Toc33000813"/>
      <w:bookmarkStart w:id="96" w:name="_Toc66476039"/>
      <w:bookmarkStart w:id="97" w:name="_Toc68610997"/>
      <w:r w:rsidRPr="00B175FB">
        <w:rPr>
          <w:rStyle w:val="Nadpis2Char"/>
          <w:b/>
          <w:color w:val="1F4E79" w:themeColor="accent5" w:themeShade="80"/>
          <w:lang w:val="cs-CZ"/>
        </w:rPr>
        <w:t>P</w:t>
      </w:r>
      <w:r w:rsidR="00730A04" w:rsidRPr="00B175FB">
        <w:rPr>
          <w:rStyle w:val="Nadpis2Char"/>
          <w:b/>
          <w:color w:val="1F4E79" w:themeColor="accent5" w:themeShade="80"/>
          <w:lang w:val="cs-CZ"/>
        </w:rPr>
        <w:t>riorit</w:t>
      </w:r>
      <w:r w:rsidRPr="00B175FB">
        <w:rPr>
          <w:rStyle w:val="Nadpis2Char"/>
          <w:b/>
          <w:color w:val="1F4E79" w:themeColor="accent5" w:themeShade="80"/>
          <w:lang w:val="cs-CZ"/>
        </w:rPr>
        <w:t>a 1</w:t>
      </w:r>
      <w:r w:rsidR="00754417" w:rsidRPr="00B175FB">
        <w:rPr>
          <w:rStyle w:val="Nadpis2Char"/>
          <w:b/>
          <w:color w:val="1F4E79" w:themeColor="accent5" w:themeShade="80"/>
          <w:lang w:val="cs-CZ"/>
        </w:rPr>
        <w:t xml:space="preserve"> – </w:t>
      </w:r>
      <w:r w:rsidR="00264DAD">
        <w:rPr>
          <w:rStyle w:val="Nadpis2Char"/>
          <w:b/>
          <w:color w:val="1F4E79" w:themeColor="accent5" w:themeShade="80"/>
          <w:lang w:val="cs-CZ"/>
        </w:rPr>
        <w:t>Výzkum a vývoj</w:t>
      </w:r>
      <w:r w:rsidR="00114426" w:rsidRPr="00B175FB">
        <w:rPr>
          <w:rFonts w:eastAsia="Times New Roman"/>
          <w:noProof/>
          <w:color w:val="1F4E79" w:themeColor="accent5" w:themeShade="80"/>
          <w:szCs w:val="24"/>
          <w:lang w:val="cs-CZ"/>
        </w:rPr>
        <w:t xml:space="preserve"> </w:t>
      </w:r>
      <w:r w:rsidR="00264DAD">
        <w:rPr>
          <w:rStyle w:val="Nadpis2Char"/>
          <w:b/>
          <w:color w:val="1F4E79" w:themeColor="accent5" w:themeShade="80"/>
          <w:lang w:val="cs-CZ"/>
        </w:rPr>
        <w:t>(</w:t>
      </w:r>
      <w:r w:rsidR="00264DAD" w:rsidRPr="00B175FB">
        <w:rPr>
          <w:rStyle w:val="Nadpis2Char"/>
          <w:b/>
          <w:color w:val="1F4E79" w:themeColor="accent5" w:themeShade="80"/>
          <w:lang w:val="cs-CZ"/>
        </w:rPr>
        <w:t>P1</w:t>
      </w:r>
      <w:r w:rsidR="00264DAD">
        <w:rPr>
          <w:rStyle w:val="Nadpis2Char"/>
          <w:b/>
          <w:color w:val="1F4E79" w:themeColor="accent5" w:themeShade="80"/>
          <w:lang w:val="cs-CZ"/>
        </w:rPr>
        <w:t>)</w:t>
      </w:r>
      <w:bookmarkEnd w:id="95"/>
      <w:bookmarkEnd w:id="96"/>
      <w:bookmarkEnd w:id="97"/>
    </w:p>
    <w:p w:rsidR="00114426" w:rsidRPr="00485853" w:rsidRDefault="0029035F" w:rsidP="00636242">
      <w:pPr>
        <w:pStyle w:val="Nadpis3"/>
        <w:rPr>
          <w:b/>
          <w:color w:val="1F4E79" w:themeColor="accent5" w:themeShade="80"/>
          <w:lang w:val="cs-CZ" w:eastAsia="cs-CZ" w:bidi="cs-CZ"/>
        </w:rPr>
      </w:pPr>
      <w:bookmarkStart w:id="98" w:name="_Toc33000814"/>
      <w:bookmarkStart w:id="99" w:name="_Toc66476040"/>
      <w:bookmarkStart w:id="100" w:name="_Toc68610998"/>
      <w:bookmarkStart w:id="101" w:name="_Hlk20818558"/>
      <w:r w:rsidRPr="00485853">
        <w:rPr>
          <w:b/>
          <w:color w:val="1F4E79" w:themeColor="accent5" w:themeShade="80"/>
          <w:lang w:val="cs-CZ" w:eastAsia="cs-CZ" w:bidi="cs-CZ"/>
        </w:rPr>
        <w:t>SC</w:t>
      </w:r>
      <w:r w:rsidR="00BF6DB8" w:rsidRPr="00485853">
        <w:rPr>
          <w:b/>
          <w:color w:val="1F4E79" w:themeColor="accent5" w:themeShade="80"/>
          <w:lang w:val="cs-CZ" w:eastAsia="cs-CZ" w:bidi="cs-CZ"/>
        </w:rPr>
        <w:t xml:space="preserve"> </w:t>
      </w:r>
      <w:r w:rsidRPr="00485853">
        <w:rPr>
          <w:b/>
          <w:color w:val="1F4E79" w:themeColor="accent5" w:themeShade="80"/>
          <w:lang w:val="cs-CZ" w:eastAsia="cs-CZ" w:bidi="cs-CZ"/>
        </w:rPr>
        <w:t>1</w:t>
      </w:r>
      <w:r w:rsidR="000774D7" w:rsidRPr="00485853">
        <w:rPr>
          <w:b/>
          <w:color w:val="1F4E79" w:themeColor="accent5" w:themeShade="80"/>
          <w:lang w:val="cs-CZ" w:eastAsia="cs-CZ" w:bidi="cs-CZ"/>
        </w:rPr>
        <w:t>.1</w:t>
      </w:r>
      <w:r w:rsidRPr="00485853">
        <w:rPr>
          <w:b/>
          <w:color w:val="1F4E79" w:themeColor="accent5" w:themeShade="80"/>
          <w:lang w:val="cs-CZ" w:eastAsia="cs-CZ" w:bidi="cs-CZ"/>
        </w:rPr>
        <w:t xml:space="preserve"> </w:t>
      </w:r>
      <w:r w:rsidR="006A53AC">
        <w:rPr>
          <w:b/>
          <w:color w:val="1F4E79" w:themeColor="accent5" w:themeShade="80"/>
          <w:lang w:val="cs-CZ" w:eastAsia="cs-CZ" w:bidi="cs-CZ"/>
        </w:rPr>
        <w:t>R</w:t>
      </w:r>
      <w:r w:rsidR="006A53AC" w:rsidRPr="006A53AC">
        <w:rPr>
          <w:b/>
          <w:color w:val="1F4E79" w:themeColor="accent5" w:themeShade="80"/>
          <w:lang w:val="cs-CZ" w:eastAsia="cs-CZ" w:bidi="cs-CZ"/>
        </w:rPr>
        <w:t>ozvoj a posilování výzkumných a inovačních kapacit a zavádění pokročilých technologií</w:t>
      </w:r>
      <w:bookmarkEnd w:id="98"/>
      <w:bookmarkEnd w:id="99"/>
      <w:bookmarkEnd w:id="100"/>
    </w:p>
    <w:p w:rsidR="00B24D74" w:rsidRPr="00AA1368" w:rsidRDefault="00B24D74" w:rsidP="00AA1368">
      <w:pPr>
        <w:pStyle w:val="Nadpis4"/>
        <w:rPr>
          <w:b/>
          <w:color w:val="1F4E79" w:themeColor="accent5" w:themeShade="80"/>
          <w:lang w:val="cs-CZ" w:eastAsia="cs-CZ" w:bidi="cs-CZ"/>
        </w:rPr>
      </w:pPr>
      <w:bookmarkStart w:id="102" w:name="_Toc66476041"/>
      <w:bookmarkStart w:id="103" w:name="_Toc68610999"/>
      <w:r w:rsidRPr="00AA1368">
        <w:rPr>
          <w:b/>
          <w:color w:val="1F4E79" w:themeColor="accent5" w:themeShade="80"/>
          <w:lang w:val="cs-CZ" w:eastAsia="cs-CZ" w:bidi="cs-CZ"/>
        </w:rPr>
        <w:t>Intervence fondů</w:t>
      </w:r>
      <w:bookmarkEnd w:id="102"/>
      <w:bookmarkEnd w:id="103"/>
      <w:r w:rsidR="00EB5476" w:rsidRPr="00AA1368">
        <w:rPr>
          <w:b/>
          <w:color w:val="1F4E79" w:themeColor="accent5" w:themeShade="80"/>
          <w:lang w:val="cs-CZ" w:eastAsia="cs-CZ" w:bidi="cs-CZ"/>
        </w:rPr>
        <w:t xml:space="preserve"> </w:t>
      </w:r>
    </w:p>
    <w:p w:rsidR="00114426" w:rsidRPr="00B175FB" w:rsidRDefault="00B24D74" w:rsidP="008D72F1">
      <w:pPr>
        <w:spacing w:line="276" w:lineRule="auto"/>
        <w:rPr>
          <w:rFonts w:eastAsia="Times New Roman"/>
          <w:b/>
          <w:bCs/>
          <w:i/>
          <w:iCs/>
          <w:noProof/>
          <w:szCs w:val="24"/>
          <w:u w:val="single"/>
        </w:rPr>
      </w:pPr>
      <w:r w:rsidRPr="00B175FB">
        <w:rPr>
          <w:rFonts w:eastAsia="Times New Roman"/>
          <w:b/>
          <w:i/>
          <w:noProof/>
          <w:szCs w:val="24"/>
        </w:rPr>
        <w:t>Související druhy č</w:t>
      </w:r>
      <w:r w:rsidR="00595F28" w:rsidRPr="00B175FB">
        <w:rPr>
          <w:rFonts w:eastAsia="Times New Roman"/>
          <w:b/>
          <w:i/>
          <w:noProof/>
          <w:szCs w:val="24"/>
        </w:rPr>
        <w:t>i</w:t>
      </w:r>
      <w:r w:rsidRPr="00B175FB">
        <w:rPr>
          <w:rFonts w:eastAsia="Times New Roman"/>
          <w:b/>
          <w:i/>
          <w:noProof/>
          <w:szCs w:val="24"/>
        </w:rPr>
        <w:t xml:space="preserve">nností </w:t>
      </w:r>
      <w:r w:rsidR="008D72F1" w:rsidRPr="00B175FB">
        <w:rPr>
          <w:rFonts w:eastAsia="Times New Roman"/>
          <w:i/>
          <w:noProof/>
          <w:szCs w:val="24"/>
        </w:rPr>
        <w:t xml:space="preserve"> </w:t>
      </w: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114426" w:rsidRPr="00B175FB" w:rsidTr="00754417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222" w:rsidRPr="00B175FB" w:rsidRDefault="00C02268">
            <w:pPr>
              <w:spacing w:line="276" w:lineRule="auto"/>
              <w:jc w:val="both"/>
              <w:rPr>
                <w:rFonts w:eastAsia="Times New Roman"/>
                <w:sz w:val="22"/>
              </w:rPr>
            </w:pPr>
            <w:bookmarkStart w:id="104" w:name="_Hlk21360377"/>
            <w:r w:rsidRPr="00B175FB">
              <w:rPr>
                <w:rFonts w:eastAsia="Times New Roman"/>
                <w:sz w:val="22"/>
              </w:rPr>
              <w:t xml:space="preserve">SC </w:t>
            </w:r>
            <w:r w:rsidR="007427D5" w:rsidRPr="00B175FB">
              <w:rPr>
                <w:rFonts w:eastAsia="Times New Roman"/>
                <w:sz w:val="22"/>
              </w:rPr>
              <w:t xml:space="preserve">1.1 </w:t>
            </w:r>
            <w:r w:rsidRPr="00B175FB">
              <w:rPr>
                <w:rFonts w:eastAsia="Times New Roman"/>
                <w:sz w:val="22"/>
              </w:rPr>
              <w:t>je zaměřen na podporu rozvoje zázemí a kapacit výzkumného p</w:t>
            </w:r>
            <w:r w:rsidR="00B37BB3" w:rsidRPr="00B175FB">
              <w:rPr>
                <w:rFonts w:eastAsia="Times New Roman"/>
                <w:sz w:val="22"/>
              </w:rPr>
              <w:t>rostředí v ČR</w:t>
            </w:r>
            <w:r w:rsidRPr="00B175FB">
              <w:rPr>
                <w:rFonts w:eastAsia="Times New Roman"/>
                <w:sz w:val="22"/>
              </w:rPr>
              <w:t xml:space="preserve"> tak</w:t>
            </w:r>
            <w:r w:rsidR="00B37BB3" w:rsidRPr="00B175FB">
              <w:rPr>
                <w:rFonts w:eastAsia="Times New Roman"/>
                <w:sz w:val="22"/>
              </w:rPr>
              <w:t>,</w:t>
            </w:r>
            <w:r w:rsidRPr="00B175FB">
              <w:rPr>
                <w:rFonts w:eastAsia="Times New Roman"/>
                <w:sz w:val="22"/>
              </w:rPr>
              <w:t xml:space="preserve"> aby byly vytvo</w:t>
            </w:r>
            <w:r w:rsidR="00AE1222" w:rsidRPr="00B175FB">
              <w:rPr>
                <w:rFonts w:eastAsia="Times New Roman"/>
                <w:sz w:val="22"/>
              </w:rPr>
              <w:t>řeny dostatečně kvalitní podmín</w:t>
            </w:r>
            <w:r w:rsidRPr="00B175FB">
              <w:rPr>
                <w:rFonts w:eastAsia="Times New Roman"/>
                <w:sz w:val="22"/>
              </w:rPr>
              <w:t>ky pro rozvoj špičkového výzkumu</w:t>
            </w:r>
            <w:r w:rsidR="00AE1222" w:rsidRPr="00B175FB">
              <w:rPr>
                <w:rFonts w:eastAsia="Times New Roman"/>
                <w:sz w:val="22"/>
              </w:rPr>
              <w:t xml:space="preserve">, </w:t>
            </w:r>
            <w:r w:rsidRPr="00B175FB">
              <w:rPr>
                <w:rFonts w:eastAsia="Times New Roman"/>
                <w:sz w:val="22"/>
              </w:rPr>
              <w:t xml:space="preserve">jehož výsledky budou reagovat na aktuální potřeby </w:t>
            </w:r>
            <w:r w:rsidR="00AE1222" w:rsidRPr="00B175FB">
              <w:rPr>
                <w:rFonts w:eastAsia="Times New Roman"/>
                <w:sz w:val="22"/>
              </w:rPr>
              <w:t xml:space="preserve">a trendy. </w:t>
            </w:r>
            <w:r w:rsidR="00D52BBB">
              <w:rPr>
                <w:rFonts w:eastAsia="Times New Roman"/>
                <w:sz w:val="22"/>
              </w:rPr>
              <w:t>Intervence by měly vést k tomu, aby v</w:t>
            </w:r>
            <w:r w:rsidR="00AE1222" w:rsidRPr="00B175FB">
              <w:rPr>
                <w:rFonts w:eastAsia="Times New Roman"/>
                <w:sz w:val="22"/>
              </w:rPr>
              <w:t>ýsledky realizovanéh</w:t>
            </w:r>
            <w:r w:rsidR="008B20BC" w:rsidRPr="00B175FB">
              <w:rPr>
                <w:rFonts w:eastAsia="Times New Roman"/>
                <w:sz w:val="22"/>
              </w:rPr>
              <w:t>o</w:t>
            </w:r>
            <w:r w:rsidR="00AE1222" w:rsidRPr="00B175FB">
              <w:rPr>
                <w:rFonts w:eastAsia="Times New Roman"/>
                <w:sz w:val="22"/>
              </w:rPr>
              <w:t xml:space="preserve"> výzkumu </w:t>
            </w:r>
            <w:r w:rsidR="00483E70" w:rsidRPr="00B175FB">
              <w:rPr>
                <w:rFonts w:eastAsia="Times New Roman"/>
                <w:sz w:val="22"/>
              </w:rPr>
              <w:t xml:space="preserve">v dlouhodobější perspektivě </w:t>
            </w:r>
            <w:r w:rsidR="007569D2">
              <w:rPr>
                <w:rFonts w:eastAsia="Times New Roman"/>
                <w:sz w:val="22"/>
              </w:rPr>
              <w:t>byly</w:t>
            </w:r>
            <w:r w:rsidR="00AE1222" w:rsidRPr="00B175FB">
              <w:rPr>
                <w:rFonts w:eastAsia="Times New Roman"/>
                <w:sz w:val="22"/>
              </w:rPr>
              <w:t xml:space="preserve"> uplat</w:t>
            </w:r>
            <w:r w:rsidR="00B37BB3" w:rsidRPr="00B175FB">
              <w:rPr>
                <w:rFonts w:eastAsia="Times New Roman"/>
                <w:sz w:val="22"/>
              </w:rPr>
              <w:t>n</w:t>
            </w:r>
            <w:r w:rsidR="00AE1222" w:rsidRPr="00B175FB">
              <w:rPr>
                <w:rFonts w:eastAsia="Times New Roman"/>
                <w:sz w:val="22"/>
              </w:rPr>
              <w:t xml:space="preserve">itelné v praxi tak, aby byla posílena konkurenceschopnost ČR. </w:t>
            </w:r>
          </w:p>
          <w:p w:rsidR="00ED43F7" w:rsidRPr="00B175FB" w:rsidRDefault="00AE1222">
            <w:pPr>
              <w:spacing w:line="276" w:lineRule="auto"/>
              <w:jc w:val="both"/>
              <w:rPr>
                <w:rFonts w:eastAsia="Times New Roman"/>
                <w:sz w:val="22"/>
              </w:rPr>
            </w:pPr>
            <w:r w:rsidRPr="00B175FB">
              <w:rPr>
                <w:rFonts w:eastAsia="Times New Roman"/>
                <w:sz w:val="22"/>
              </w:rPr>
              <w:t>Klíčovými oblastmi j</w:t>
            </w:r>
            <w:r w:rsidR="00C144F7" w:rsidRPr="00B175FB">
              <w:rPr>
                <w:rFonts w:eastAsia="Times New Roman"/>
                <w:sz w:val="22"/>
              </w:rPr>
              <w:t>sou</w:t>
            </w:r>
            <w:r w:rsidRPr="00B175FB">
              <w:rPr>
                <w:rFonts w:eastAsia="Times New Roman"/>
                <w:sz w:val="22"/>
              </w:rPr>
              <w:t xml:space="preserve"> podpor</w:t>
            </w:r>
            <w:r w:rsidR="005404C0" w:rsidRPr="00B175FB">
              <w:rPr>
                <w:rFonts w:eastAsia="Times New Roman"/>
                <w:sz w:val="22"/>
              </w:rPr>
              <w:t>a rozvoje a nastavení institucio</w:t>
            </w:r>
            <w:r w:rsidRPr="00B175FB">
              <w:rPr>
                <w:rFonts w:eastAsia="Times New Roman"/>
                <w:sz w:val="22"/>
              </w:rPr>
              <w:t>ná</w:t>
            </w:r>
            <w:r w:rsidR="005404C0" w:rsidRPr="00B175FB">
              <w:rPr>
                <w:rFonts w:eastAsia="Times New Roman"/>
                <w:sz w:val="22"/>
              </w:rPr>
              <w:t>l</w:t>
            </w:r>
            <w:r w:rsidRPr="00B175FB">
              <w:rPr>
                <w:rFonts w:eastAsia="Times New Roman"/>
                <w:sz w:val="22"/>
              </w:rPr>
              <w:t xml:space="preserve">ního prostředí </w:t>
            </w:r>
            <w:r w:rsidR="00DA6D24" w:rsidRPr="00B175FB">
              <w:rPr>
                <w:rFonts w:eastAsia="Times New Roman"/>
                <w:sz w:val="22"/>
              </w:rPr>
              <w:t>VO</w:t>
            </w:r>
            <w:r w:rsidRPr="00B175FB">
              <w:rPr>
                <w:rFonts w:eastAsia="Times New Roman"/>
                <w:sz w:val="22"/>
              </w:rPr>
              <w:t xml:space="preserve"> tak</w:t>
            </w:r>
            <w:r w:rsidR="00B37BB3" w:rsidRPr="00B175FB">
              <w:rPr>
                <w:rFonts w:eastAsia="Times New Roman"/>
                <w:sz w:val="22"/>
              </w:rPr>
              <w:t>, aby</w:t>
            </w:r>
            <w:r w:rsidR="00672C3E" w:rsidRPr="00B175FB">
              <w:rPr>
                <w:rFonts w:eastAsia="Times New Roman"/>
                <w:sz w:val="22"/>
              </w:rPr>
              <w:t> </w:t>
            </w:r>
            <w:r w:rsidRPr="00B175FB">
              <w:rPr>
                <w:rFonts w:eastAsia="Times New Roman"/>
                <w:sz w:val="22"/>
              </w:rPr>
              <w:t>byly impleme</w:t>
            </w:r>
            <w:r w:rsidR="008B20BC" w:rsidRPr="00B175FB">
              <w:rPr>
                <w:rFonts w:eastAsia="Times New Roman"/>
                <w:sz w:val="22"/>
              </w:rPr>
              <w:t>n</w:t>
            </w:r>
            <w:r w:rsidRPr="00B175FB">
              <w:rPr>
                <w:rFonts w:eastAsia="Times New Roman"/>
                <w:sz w:val="22"/>
              </w:rPr>
              <w:t xml:space="preserve">továny moderní principy </w:t>
            </w:r>
            <w:r w:rsidR="005404C0" w:rsidRPr="00B175FB">
              <w:rPr>
                <w:rFonts w:eastAsia="Times New Roman"/>
                <w:sz w:val="22"/>
              </w:rPr>
              <w:t>řízení lidských zd</w:t>
            </w:r>
            <w:r w:rsidRPr="00B175FB">
              <w:rPr>
                <w:rFonts w:eastAsia="Times New Roman"/>
                <w:sz w:val="22"/>
              </w:rPr>
              <w:t>r</w:t>
            </w:r>
            <w:r w:rsidR="005404C0" w:rsidRPr="00B175FB">
              <w:rPr>
                <w:rFonts w:eastAsia="Times New Roman"/>
                <w:sz w:val="22"/>
              </w:rPr>
              <w:t>o</w:t>
            </w:r>
            <w:r w:rsidRPr="00B175FB">
              <w:rPr>
                <w:rFonts w:eastAsia="Times New Roman"/>
                <w:sz w:val="22"/>
              </w:rPr>
              <w:t>jů vč</w:t>
            </w:r>
            <w:r w:rsidR="00B37BB3" w:rsidRPr="00B175FB">
              <w:rPr>
                <w:rFonts w:eastAsia="Times New Roman"/>
                <w:sz w:val="22"/>
              </w:rPr>
              <w:t>etně</w:t>
            </w:r>
            <w:r w:rsidRPr="00B175FB">
              <w:rPr>
                <w:rFonts w:eastAsia="Times New Roman"/>
                <w:sz w:val="22"/>
              </w:rPr>
              <w:t xml:space="preserve"> </w:t>
            </w:r>
            <w:r w:rsidR="005404C0" w:rsidRPr="00B175FB">
              <w:rPr>
                <w:rFonts w:eastAsia="Times New Roman"/>
                <w:sz w:val="22"/>
              </w:rPr>
              <w:t>vytvoření atraktivního prostředí pro oslovení a udržení zahraničních pracovníků</w:t>
            </w:r>
            <w:r w:rsidR="007569D2">
              <w:rPr>
                <w:rFonts w:eastAsia="Times New Roman"/>
                <w:sz w:val="22"/>
              </w:rPr>
              <w:t xml:space="preserve"> i efektivní spolupráci s aplikační sférou</w:t>
            </w:r>
            <w:r w:rsidR="005404C0" w:rsidRPr="00B175FB">
              <w:rPr>
                <w:rFonts w:eastAsia="Times New Roman"/>
                <w:sz w:val="22"/>
              </w:rPr>
              <w:t xml:space="preserve">. Intervence budou </w:t>
            </w:r>
            <w:r w:rsidR="00640221" w:rsidRPr="00B175FB">
              <w:rPr>
                <w:rFonts w:eastAsia="Times New Roman"/>
                <w:sz w:val="22"/>
              </w:rPr>
              <w:t>reflektovat také</w:t>
            </w:r>
            <w:r w:rsidR="005404C0" w:rsidRPr="00B175FB">
              <w:rPr>
                <w:rFonts w:eastAsia="Times New Roman"/>
                <w:sz w:val="22"/>
              </w:rPr>
              <w:t xml:space="preserve"> </w:t>
            </w:r>
            <w:r w:rsidR="00640221" w:rsidRPr="00B175FB">
              <w:rPr>
                <w:rFonts w:eastAsia="Times New Roman"/>
                <w:sz w:val="22"/>
              </w:rPr>
              <w:t>podpůrné prostředí ve VaV</w:t>
            </w:r>
            <w:r w:rsidR="00700724" w:rsidRPr="00B175FB">
              <w:rPr>
                <w:rFonts w:eastAsia="Times New Roman"/>
                <w:sz w:val="22"/>
              </w:rPr>
              <w:t>aI</w:t>
            </w:r>
            <w:r w:rsidR="00640221" w:rsidRPr="00B175FB">
              <w:rPr>
                <w:rFonts w:eastAsia="Times New Roman"/>
                <w:sz w:val="22"/>
              </w:rPr>
              <w:t xml:space="preserve"> zahrnující technické či administ</w:t>
            </w:r>
            <w:r w:rsidR="008B20BC" w:rsidRPr="00B175FB">
              <w:rPr>
                <w:rFonts w:eastAsia="Times New Roman"/>
                <w:sz w:val="22"/>
              </w:rPr>
              <w:t>r</w:t>
            </w:r>
            <w:r w:rsidR="00640221" w:rsidRPr="00B175FB">
              <w:rPr>
                <w:rFonts w:eastAsia="Times New Roman"/>
                <w:sz w:val="22"/>
              </w:rPr>
              <w:t xml:space="preserve">ativní pracovníky. </w:t>
            </w:r>
            <w:r w:rsidR="00483E70" w:rsidRPr="00B175FB">
              <w:rPr>
                <w:rFonts w:eastAsia="Times New Roman"/>
                <w:sz w:val="22"/>
              </w:rPr>
              <w:t>Intervence budou zaměřeny té</w:t>
            </w:r>
            <w:r w:rsidR="00C144F7" w:rsidRPr="00B175FB">
              <w:rPr>
                <w:rFonts w:eastAsia="Times New Roman"/>
                <w:sz w:val="22"/>
              </w:rPr>
              <w:t>ž</w:t>
            </w:r>
            <w:r w:rsidR="00483E70" w:rsidRPr="00B175FB">
              <w:rPr>
                <w:rFonts w:eastAsia="Times New Roman"/>
                <w:sz w:val="22"/>
              </w:rPr>
              <w:t xml:space="preserve"> na</w:t>
            </w:r>
            <w:r w:rsidR="005404C0" w:rsidRPr="00B175FB">
              <w:rPr>
                <w:rFonts w:eastAsia="Times New Roman"/>
                <w:sz w:val="22"/>
              </w:rPr>
              <w:t xml:space="preserve"> posílení internacionalizace výzkumného prostředí</w:t>
            </w:r>
            <w:r w:rsidR="00483E70" w:rsidRPr="00B175FB">
              <w:rPr>
                <w:rFonts w:eastAsia="Times New Roman"/>
                <w:sz w:val="22"/>
              </w:rPr>
              <w:t>,</w:t>
            </w:r>
            <w:r w:rsidR="005404C0" w:rsidRPr="00B175FB">
              <w:rPr>
                <w:rFonts w:eastAsia="Times New Roman"/>
                <w:sz w:val="22"/>
              </w:rPr>
              <w:t xml:space="preserve"> a to jak na</w:t>
            </w:r>
            <w:r w:rsidR="00672C3E" w:rsidRPr="00B175FB">
              <w:rPr>
                <w:rFonts w:eastAsia="Times New Roman"/>
                <w:sz w:val="22"/>
              </w:rPr>
              <w:t> </w:t>
            </w:r>
            <w:r w:rsidR="005404C0" w:rsidRPr="00B175FB">
              <w:rPr>
                <w:rFonts w:eastAsia="Times New Roman"/>
                <w:sz w:val="22"/>
              </w:rPr>
              <w:t xml:space="preserve">úrovni budování </w:t>
            </w:r>
            <w:r w:rsidR="00483E70" w:rsidRPr="00B175FB">
              <w:rPr>
                <w:rFonts w:eastAsia="Times New Roman"/>
                <w:sz w:val="22"/>
              </w:rPr>
              <w:t xml:space="preserve">dlouhodobých </w:t>
            </w:r>
            <w:r w:rsidR="005404C0" w:rsidRPr="00B175FB">
              <w:rPr>
                <w:rFonts w:eastAsia="Times New Roman"/>
                <w:sz w:val="22"/>
              </w:rPr>
              <w:t>vztahů se</w:t>
            </w:r>
            <w:r w:rsidR="00CF4CB1">
              <w:rPr>
                <w:rFonts w:eastAsia="Times New Roman"/>
                <w:sz w:val="22"/>
              </w:rPr>
              <w:t> </w:t>
            </w:r>
            <w:r w:rsidR="005404C0" w:rsidRPr="00B175FB">
              <w:rPr>
                <w:rFonts w:eastAsia="Times New Roman"/>
                <w:sz w:val="22"/>
              </w:rPr>
              <w:t xml:space="preserve">zahraničními </w:t>
            </w:r>
            <w:r w:rsidR="00DA6D24" w:rsidRPr="00B175FB">
              <w:rPr>
                <w:rFonts w:eastAsia="Times New Roman"/>
                <w:sz w:val="22"/>
              </w:rPr>
              <w:t>VO</w:t>
            </w:r>
            <w:r w:rsidR="00483E70" w:rsidRPr="00B175FB">
              <w:rPr>
                <w:rFonts w:eastAsia="Times New Roman"/>
                <w:sz w:val="22"/>
              </w:rPr>
              <w:t>,</w:t>
            </w:r>
            <w:r w:rsidR="005404C0" w:rsidRPr="00B175FB">
              <w:rPr>
                <w:rFonts w:eastAsia="Times New Roman"/>
                <w:sz w:val="22"/>
              </w:rPr>
              <w:t xml:space="preserve"> tak </w:t>
            </w:r>
            <w:r w:rsidR="00483E70" w:rsidRPr="00B175FB">
              <w:rPr>
                <w:rFonts w:eastAsia="Times New Roman"/>
                <w:sz w:val="22"/>
              </w:rPr>
              <w:t>budování</w:t>
            </w:r>
            <w:r w:rsidR="005404C0" w:rsidRPr="00B175FB">
              <w:rPr>
                <w:rFonts w:eastAsia="Times New Roman"/>
                <w:sz w:val="22"/>
              </w:rPr>
              <w:t xml:space="preserve"> výzkumných týmů</w:t>
            </w:r>
            <w:r w:rsidR="00483E70" w:rsidRPr="00B175FB">
              <w:rPr>
                <w:rFonts w:eastAsia="Times New Roman"/>
                <w:sz w:val="22"/>
              </w:rPr>
              <w:t xml:space="preserve"> se zastoupením pracovníků ze zahraničí</w:t>
            </w:r>
            <w:r w:rsidR="005404C0" w:rsidRPr="00B175FB">
              <w:rPr>
                <w:rFonts w:eastAsia="Times New Roman"/>
                <w:sz w:val="22"/>
              </w:rPr>
              <w:t xml:space="preserve">, </w:t>
            </w:r>
            <w:r w:rsidR="00640221" w:rsidRPr="00B175FB">
              <w:rPr>
                <w:rFonts w:eastAsia="Times New Roman"/>
                <w:sz w:val="22"/>
              </w:rPr>
              <w:t xml:space="preserve">či </w:t>
            </w:r>
            <w:r w:rsidR="00483E70" w:rsidRPr="00B175FB">
              <w:rPr>
                <w:rFonts w:eastAsia="Times New Roman"/>
                <w:sz w:val="22"/>
              </w:rPr>
              <w:t xml:space="preserve">na projektové úrovni prostřednictvím podpory </w:t>
            </w:r>
            <w:r w:rsidR="00640221" w:rsidRPr="00B175FB">
              <w:rPr>
                <w:rFonts w:eastAsia="Times New Roman"/>
                <w:sz w:val="22"/>
              </w:rPr>
              <w:t>zapojení se do</w:t>
            </w:r>
            <w:r w:rsidR="005404C0" w:rsidRPr="00B175FB">
              <w:rPr>
                <w:rFonts w:eastAsia="Times New Roman"/>
                <w:sz w:val="22"/>
              </w:rPr>
              <w:t xml:space="preserve"> </w:t>
            </w:r>
            <w:r w:rsidR="00640221" w:rsidRPr="00B175FB">
              <w:rPr>
                <w:rFonts w:eastAsia="Times New Roman"/>
                <w:sz w:val="22"/>
              </w:rPr>
              <w:t xml:space="preserve">mezinárodních </w:t>
            </w:r>
            <w:r w:rsidR="005404C0" w:rsidRPr="00B175FB">
              <w:rPr>
                <w:rFonts w:eastAsia="Times New Roman"/>
                <w:sz w:val="22"/>
              </w:rPr>
              <w:t xml:space="preserve">programů </w:t>
            </w:r>
            <w:r w:rsidR="00C144F7" w:rsidRPr="00B175FB">
              <w:rPr>
                <w:rFonts w:eastAsia="Times New Roman"/>
                <w:sz w:val="22"/>
              </w:rPr>
              <w:t>VaV</w:t>
            </w:r>
            <w:r w:rsidR="005404C0" w:rsidRPr="00B175FB">
              <w:rPr>
                <w:rFonts w:eastAsia="Times New Roman"/>
                <w:iCs/>
                <w:noProof/>
                <w:sz w:val="22"/>
              </w:rPr>
              <w:t>.</w:t>
            </w:r>
            <w:r w:rsidR="00640221" w:rsidRPr="00B175FB">
              <w:rPr>
                <w:rFonts w:eastAsia="Times New Roman"/>
                <w:sz w:val="22"/>
              </w:rPr>
              <w:t xml:space="preserve"> </w:t>
            </w:r>
            <w:r w:rsidR="007569D2">
              <w:rPr>
                <w:rFonts w:eastAsia="Times New Roman"/>
                <w:sz w:val="22"/>
              </w:rPr>
              <w:t>Dále se i</w:t>
            </w:r>
            <w:r w:rsidR="007569D2" w:rsidRPr="00B175FB">
              <w:rPr>
                <w:rFonts w:eastAsia="Times New Roman"/>
                <w:sz w:val="22"/>
              </w:rPr>
              <w:t>ntervence zaměř</w:t>
            </w:r>
            <w:r w:rsidR="007569D2">
              <w:rPr>
                <w:rFonts w:eastAsia="Times New Roman"/>
                <w:sz w:val="22"/>
              </w:rPr>
              <w:t>í</w:t>
            </w:r>
            <w:r w:rsidR="007569D2" w:rsidRPr="00B175FB">
              <w:rPr>
                <w:rFonts w:eastAsia="Times New Roman"/>
                <w:sz w:val="22"/>
              </w:rPr>
              <w:t xml:space="preserve"> na</w:t>
            </w:r>
            <w:r w:rsidR="00CF4CB1">
              <w:rPr>
                <w:rFonts w:eastAsia="Times New Roman"/>
                <w:sz w:val="22"/>
              </w:rPr>
              <w:t> </w:t>
            </w:r>
            <w:r w:rsidR="007569D2" w:rsidRPr="00B175FB">
              <w:rPr>
                <w:rFonts w:eastAsia="Times New Roman"/>
                <w:sz w:val="22"/>
              </w:rPr>
              <w:t xml:space="preserve">podporu rozvoje aplikačního potenciálu VO, zejména </w:t>
            </w:r>
            <w:r w:rsidR="008E622D">
              <w:rPr>
                <w:rFonts w:eastAsia="Times New Roman"/>
                <w:sz w:val="22"/>
              </w:rPr>
              <w:t xml:space="preserve">na </w:t>
            </w:r>
            <w:r w:rsidR="007569D2" w:rsidRPr="00B175FB">
              <w:rPr>
                <w:rFonts w:eastAsia="Times New Roman"/>
                <w:sz w:val="22"/>
              </w:rPr>
              <w:t>navázání spolupráce se subjekty z aplikační sféry, posílení schopnosti vytvoření a efektivního využití výsledků výzkumu v praxi.</w:t>
            </w:r>
            <w:r w:rsidR="007569D2">
              <w:rPr>
                <w:rFonts w:eastAsia="Times New Roman"/>
                <w:sz w:val="22"/>
              </w:rPr>
              <w:t xml:space="preserve"> </w:t>
            </w:r>
            <w:r w:rsidR="00FE39EC" w:rsidRPr="00B175FB">
              <w:rPr>
                <w:rFonts w:eastAsia="Times New Roman"/>
                <w:sz w:val="22"/>
              </w:rPr>
              <w:t xml:space="preserve">Podporováno bude </w:t>
            </w:r>
            <w:r w:rsidR="007569D2">
              <w:rPr>
                <w:rFonts w:eastAsia="Times New Roman"/>
                <w:sz w:val="22"/>
              </w:rPr>
              <w:t>také</w:t>
            </w:r>
            <w:r w:rsidR="00FE39EC" w:rsidRPr="00B175FB">
              <w:rPr>
                <w:rFonts w:eastAsia="Times New Roman"/>
                <w:sz w:val="22"/>
              </w:rPr>
              <w:t xml:space="preserve"> vytvoření podmínek pro rozvoj </w:t>
            </w:r>
            <w:r w:rsidR="00D075AB" w:rsidRPr="00B175FB">
              <w:rPr>
                <w:rFonts w:eastAsia="Times New Roman"/>
                <w:sz w:val="22"/>
              </w:rPr>
              <w:t xml:space="preserve">prioritních </w:t>
            </w:r>
            <w:r w:rsidR="00FE39EC" w:rsidRPr="00B175FB">
              <w:rPr>
                <w:rFonts w:eastAsia="Times New Roman"/>
                <w:sz w:val="22"/>
              </w:rPr>
              <w:t>excelentních pracovišť VaV</w:t>
            </w:r>
            <w:r w:rsidR="00700724" w:rsidRPr="00B175FB">
              <w:rPr>
                <w:rFonts w:eastAsia="Times New Roman"/>
                <w:sz w:val="22"/>
              </w:rPr>
              <w:t>aI</w:t>
            </w:r>
            <w:r w:rsidR="00FE39EC" w:rsidRPr="00B175FB">
              <w:rPr>
                <w:rFonts w:eastAsia="Times New Roman"/>
                <w:sz w:val="22"/>
              </w:rPr>
              <w:t>, v nichž bude r</w:t>
            </w:r>
            <w:r w:rsidR="009729C9" w:rsidRPr="00B175FB">
              <w:rPr>
                <w:rFonts w:eastAsia="Times New Roman"/>
                <w:sz w:val="22"/>
              </w:rPr>
              <w:t>e</w:t>
            </w:r>
            <w:r w:rsidR="00FE39EC" w:rsidRPr="00B175FB">
              <w:rPr>
                <w:rFonts w:eastAsia="Times New Roman"/>
                <w:sz w:val="22"/>
              </w:rPr>
              <w:t xml:space="preserve">alizován špičkový mezinárodně konkurenceschopný </w:t>
            </w:r>
            <w:r w:rsidR="00C144F7" w:rsidRPr="00B175FB">
              <w:rPr>
                <w:rFonts w:eastAsia="Times New Roman"/>
                <w:sz w:val="22"/>
              </w:rPr>
              <w:t>VaV</w:t>
            </w:r>
            <w:r w:rsidR="00FA1369" w:rsidRPr="00B175FB">
              <w:rPr>
                <w:rFonts w:eastAsia="Times New Roman"/>
                <w:sz w:val="22"/>
              </w:rPr>
              <w:t> </w:t>
            </w:r>
            <w:r w:rsidR="00FE39EC" w:rsidRPr="00B175FB">
              <w:rPr>
                <w:rFonts w:eastAsia="Times New Roman"/>
                <w:sz w:val="22"/>
              </w:rPr>
              <w:t>s význam</w:t>
            </w:r>
            <w:r w:rsidR="009729C9" w:rsidRPr="00B175FB">
              <w:rPr>
                <w:rFonts w:eastAsia="Times New Roman"/>
                <w:sz w:val="22"/>
              </w:rPr>
              <w:t>n</w:t>
            </w:r>
            <w:r w:rsidR="00FE39EC" w:rsidRPr="00B175FB">
              <w:rPr>
                <w:rFonts w:eastAsia="Times New Roman"/>
                <w:sz w:val="22"/>
              </w:rPr>
              <w:t>ými socioekonomickými dopady</w:t>
            </w:r>
            <w:r w:rsidR="00A7640A" w:rsidRPr="00B175FB">
              <w:rPr>
                <w:rFonts w:eastAsia="Times New Roman"/>
                <w:sz w:val="22"/>
              </w:rPr>
              <w:t xml:space="preserve"> a </w:t>
            </w:r>
            <w:r w:rsidR="00502499" w:rsidRPr="00B175FB">
              <w:rPr>
                <w:rFonts w:eastAsia="Times New Roman"/>
                <w:sz w:val="22"/>
              </w:rPr>
              <w:t xml:space="preserve">s dopadem </w:t>
            </w:r>
            <w:r w:rsidR="00A7640A" w:rsidRPr="00B175FB">
              <w:rPr>
                <w:rFonts w:eastAsia="Times New Roman"/>
                <w:sz w:val="22"/>
              </w:rPr>
              <w:t>na rozvoj inovační</w:t>
            </w:r>
            <w:r w:rsidR="00AC5ED0" w:rsidRPr="00B175FB">
              <w:rPr>
                <w:rFonts w:eastAsia="Times New Roman"/>
                <w:sz w:val="22"/>
              </w:rPr>
              <w:t>ho</w:t>
            </w:r>
            <w:r w:rsidR="00A7640A" w:rsidRPr="00B175FB">
              <w:rPr>
                <w:rFonts w:eastAsia="Times New Roman"/>
                <w:sz w:val="22"/>
              </w:rPr>
              <w:t xml:space="preserve"> </w:t>
            </w:r>
            <w:r w:rsidR="00AC5ED0" w:rsidRPr="00B175FB">
              <w:rPr>
                <w:rFonts w:eastAsia="Times New Roman"/>
                <w:sz w:val="22"/>
              </w:rPr>
              <w:t>potenciálu</w:t>
            </w:r>
            <w:r w:rsidR="00A7640A" w:rsidRPr="00B175FB">
              <w:rPr>
                <w:rFonts w:eastAsia="Times New Roman"/>
                <w:sz w:val="22"/>
              </w:rPr>
              <w:t xml:space="preserve"> ČR</w:t>
            </w:r>
            <w:r w:rsidR="003E321A" w:rsidRPr="00B175FB">
              <w:rPr>
                <w:rFonts w:eastAsia="Times New Roman"/>
                <w:sz w:val="22"/>
              </w:rPr>
              <w:t>.</w:t>
            </w:r>
            <w:r w:rsidR="00FE39EC" w:rsidRPr="00B175FB">
              <w:rPr>
                <w:rFonts w:eastAsia="Times New Roman"/>
                <w:sz w:val="22"/>
              </w:rPr>
              <w:t xml:space="preserve"> </w:t>
            </w:r>
            <w:r w:rsidR="003E321A" w:rsidRPr="00B175FB">
              <w:rPr>
                <w:rFonts w:eastAsia="Times New Roman"/>
                <w:iCs/>
                <w:noProof/>
                <w:sz w:val="22"/>
              </w:rPr>
              <w:t>P</w:t>
            </w:r>
            <w:r w:rsidR="00483E70" w:rsidRPr="00B175FB">
              <w:rPr>
                <w:rFonts w:eastAsia="Times New Roman"/>
                <w:iCs/>
                <w:noProof/>
                <w:sz w:val="22"/>
              </w:rPr>
              <w:t>odstatnou</w:t>
            </w:r>
            <w:r w:rsidR="00483E70" w:rsidRPr="00B175FB">
              <w:rPr>
                <w:rFonts w:eastAsia="Times New Roman"/>
                <w:sz w:val="22"/>
              </w:rPr>
              <w:t xml:space="preserve"> částí bude podpora rozvoje infrastrukturního zajištění</w:t>
            </w:r>
            <w:r w:rsidR="00FE39EC" w:rsidRPr="00B175FB">
              <w:rPr>
                <w:rFonts w:eastAsia="Times New Roman"/>
                <w:sz w:val="22"/>
              </w:rPr>
              <w:t xml:space="preserve"> tzv. velkých výzkumných infrastruktur, které provozovatelé zpřístupňují na principu otevřeného přístupu všem jejich potenciálním uživatelům</w:t>
            </w:r>
            <w:r w:rsidR="00483E70" w:rsidRPr="00B175FB">
              <w:rPr>
                <w:rFonts w:eastAsia="Times New Roman"/>
                <w:sz w:val="22"/>
              </w:rPr>
              <w:t xml:space="preserve"> a jsou tak důležitou základnou oblasti VaVaI v</w:t>
            </w:r>
            <w:r w:rsidR="007569D2">
              <w:rPr>
                <w:rFonts w:eastAsia="Times New Roman"/>
                <w:sz w:val="22"/>
              </w:rPr>
              <w:t> </w:t>
            </w:r>
            <w:r w:rsidR="00483E70" w:rsidRPr="00B175FB">
              <w:rPr>
                <w:rFonts w:eastAsia="Times New Roman"/>
                <w:sz w:val="22"/>
              </w:rPr>
              <w:t>ČR</w:t>
            </w:r>
            <w:r w:rsidR="007569D2">
              <w:rPr>
                <w:rFonts w:eastAsia="Times New Roman"/>
                <w:sz w:val="22"/>
              </w:rPr>
              <w:t xml:space="preserve"> i driverem regionálního rozvoje</w:t>
            </w:r>
            <w:r w:rsidR="00FE39EC" w:rsidRPr="00B175FB">
              <w:rPr>
                <w:rFonts w:eastAsia="Times New Roman"/>
                <w:sz w:val="22"/>
              </w:rPr>
              <w:t>.</w:t>
            </w:r>
            <w:r w:rsidR="00640221" w:rsidRPr="00B175FB">
              <w:rPr>
                <w:rFonts w:eastAsia="Times New Roman"/>
                <w:sz w:val="22"/>
              </w:rPr>
              <w:t xml:space="preserve"> </w:t>
            </w:r>
          </w:p>
          <w:p w:rsidR="000931C6" w:rsidRPr="00B175FB" w:rsidRDefault="00652CDD">
            <w:pPr>
              <w:spacing w:line="276" w:lineRule="auto"/>
              <w:jc w:val="both"/>
              <w:rPr>
                <w:i/>
                <w:sz w:val="22"/>
                <w:lang w:eastAsia="cs-CZ"/>
              </w:rPr>
            </w:pPr>
            <w:r w:rsidRPr="00B175FB">
              <w:rPr>
                <w:rFonts w:eastAsia="Times New Roman"/>
                <w:sz w:val="22"/>
              </w:rPr>
              <w:t>Výzkumné prostředí bude dále podpořeno systémovými opatřeními na národní úrovni, jejichž cílem bude zejména příprava</w:t>
            </w:r>
            <w:r w:rsidR="00ED43F7" w:rsidRPr="00B175FB">
              <w:rPr>
                <w:sz w:val="22"/>
              </w:rPr>
              <w:t xml:space="preserve"> výzkumného prostředí na implementaci </w:t>
            </w:r>
            <w:r w:rsidR="00C115EE" w:rsidRPr="00B175FB">
              <w:rPr>
                <w:sz w:val="22"/>
              </w:rPr>
              <w:t>O</w:t>
            </w:r>
            <w:r w:rsidR="00ED43F7" w:rsidRPr="00B175FB">
              <w:rPr>
                <w:sz w:val="22"/>
              </w:rPr>
              <w:t xml:space="preserve">pen </w:t>
            </w:r>
            <w:r w:rsidR="00C115EE" w:rsidRPr="00B175FB">
              <w:rPr>
                <w:sz w:val="22"/>
              </w:rPr>
              <w:t>S</w:t>
            </w:r>
            <w:r w:rsidR="00ED43F7" w:rsidRPr="00B175FB">
              <w:rPr>
                <w:sz w:val="22"/>
              </w:rPr>
              <w:t xml:space="preserve">cience včetně </w:t>
            </w:r>
            <w:r w:rsidR="00371EE5" w:rsidRPr="00B175FB">
              <w:rPr>
                <w:sz w:val="22"/>
              </w:rPr>
              <w:t>přípravy na</w:t>
            </w:r>
            <w:r w:rsidR="00672C3E" w:rsidRPr="00B175FB">
              <w:rPr>
                <w:sz w:val="22"/>
              </w:rPr>
              <w:t> </w:t>
            </w:r>
            <w:r w:rsidR="00ED43F7" w:rsidRPr="00B175FB">
              <w:rPr>
                <w:sz w:val="22"/>
              </w:rPr>
              <w:t>paradigmatick</w:t>
            </w:r>
            <w:r w:rsidR="00371EE5" w:rsidRPr="00B175FB">
              <w:rPr>
                <w:sz w:val="22"/>
              </w:rPr>
              <w:t>ou</w:t>
            </w:r>
            <w:r w:rsidR="00ED43F7" w:rsidRPr="00B175FB">
              <w:rPr>
                <w:sz w:val="22"/>
              </w:rPr>
              <w:t xml:space="preserve"> změn</w:t>
            </w:r>
            <w:r w:rsidR="00371EE5" w:rsidRPr="00B175FB">
              <w:rPr>
                <w:sz w:val="22"/>
              </w:rPr>
              <w:t>u</w:t>
            </w:r>
            <w:r w:rsidR="00223C13" w:rsidRPr="00B175FB">
              <w:rPr>
                <w:sz w:val="22"/>
              </w:rPr>
              <w:t xml:space="preserve"> modelu</w:t>
            </w:r>
            <w:r w:rsidR="00ED43F7" w:rsidRPr="00B175FB">
              <w:rPr>
                <w:sz w:val="22"/>
              </w:rPr>
              <w:t xml:space="preserve"> zpřístupň</w:t>
            </w:r>
            <w:r w:rsidR="00212B8E" w:rsidRPr="00B175FB">
              <w:rPr>
                <w:sz w:val="22"/>
              </w:rPr>
              <w:t>ování výsledků VaVaI</w:t>
            </w:r>
            <w:r w:rsidR="00BE44B3" w:rsidRPr="00B175FB">
              <w:rPr>
                <w:sz w:val="22"/>
              </w:rPr>
              <w:t xml:space="preserve"> a jejich zdrojových dat v režimu </w:t>
            </w:r>
            <w:r w:rsidR="00212B8E" w:rsidRPr="00B175FB">
              <w:rPr>
                <w:sz w:val="22"/>
              </w:rPr>
              <w:t>Open A</w:t>
            </w:r>
            <w:r w:rsidR="00BE2A88" w:rsidRPr="00B175FB">
              <w:rPr>
                <w:sz w:val="22"/>
              </w:rPr>
              <w:t>ccess/</w:t>
            </w:r>
            <w:r w:rsidR="00D177EC" w:rsidRPr="00B175FB">
              <w:rPr>
                <w:sz w:val="22"/>
              </w:rPr>
              <w:t>Open Data</w:t>
            </w:r>
            <w:r w:rsidR="00AA777D" w:rsidRPr="00B175FB">
              <w:rPr>
                <w:sz w:val="22"/>
              </w:rPr>
              <w:t>,</w:t>
            </w:r>
            <w:r w:rsidR="00D177EC" w:rsidRPr="00B175FB">
              <w:rPr>
                <w:sz w:val="22"/>
              </w:rPr>
              <w:t xml:space="preserve"> </w:t>
            </w:r>
            <w:r w:rsidR="00ED43F7" w:rsidRPr="00B175FB">
              <w:rPr>
                <w:sz w:val="22"/>
              </w:rPr>
              <w:t>a</w:t>
            </w:r>
            <w:r w:rsidR="00637B74" w:rsidRPr="00B175FB">
              <w:rPr>
                <w:sz w:val="22"/>
              </w:rPr>
              <w:t> </w:t>
            </w:r>
            <w:r w:rsidR="00AA777D" w:rsidRPr="00B175FB">
              <w:rPr>
                <w:sz w:val="22"/>
              </w:rPr>
              <w:t>to</w:t>
            </w:r>
            <w:r w:rsidR="00637B74" w:rsidRPr="00B175FB">
              <w:rPr>
                <w:sz w:val="22"/>
              </w:rPr>
              <w:t> </w:t>
            </w:r>
            <w:r w:rsidR="002854DB" w:rsidRPr="00B175FB">
              <w:rPr>
                <w:sz w:val="22"/>
              </w:rPr>
              <w:t xml:space="preserve">v souladu s iniciativou </w:t>
            </w:r>
            <w:r w:rsidR="00F87483" w:rsidRPr="00B175FB">
              <w:rPr>
                <w:sz w:val="22"/>
              </w:rPr>
              <w:t>EOSC</w:t>
            </w:r>
            <w:r w:rsidR="00AA777D" w:rsidRPr="00B175FB">
              <w:rPr>
                <w:sz w:val="22"/>
              </w:rPr>
              <w:t>, a systémové nastavení efektivnější koordinace práce s informačními zdroji a</w:t>
            </w:r>
            <w:r w:rsidR="00637B74" w:rsidRPr="00B175FB">
              <w:rPr>
                <w:sz w:val="22"/>
              </w:rPr>
              <w:t> </w:t>
            </w:r>
            <w:r w:rsidR="00AA777D" w:rsidRPr="00B175FB">
              <w:rPr>
                <w:sz w:val="22"/>
              </w:rPr>
              <w:t>daty ve VaVaI</w:t>
            </w:r>
            <w:r w:rsidR="00ED43F7" w:rsidRPr="00B175FB">
              <w:rPr>
                <w:i/>
                <w:sz w:val="22"/>
                <w:lang w:eastAsia="cs-CZ"/>
              </w:rPr>
              <w:t xml:space="preserve">. </w:t>
            </w:r>
          </w:p>
          <w:p w:rsidR="000931C6" w:rsidRPr="00B175FB" w:rsidRDefault="00D177EC">
            <w:pPr>
              <w:spacing w:line="276" w:lineRule="auto"/>
              <w:jc w:val="both"/>
              <w:rPr>
                <w:sz w:val="22"/>
              </w:rPr>
            </w:pPr>
            <w:r w:rsidRPr="00B175FB">
              <w:rPr>
                <w:sz w:val="22"/>
              </w:rPr>
              <w:t>Posílena bude také</w:t>
            </w:r>
            <w:r w:rsidR="000931C6" w:rsidRPr="00B175FB">
              <w:rPr>
                <w:sz w:val="22"/>
              </w:rPr>
              <w:t xml:space="preserve"> koordinace a </w:t>
            </w:r>
            <w:r w:rsidRPr="00B175FB">
              <w:rPr>
                <w:sz w:val="22"/>
              </w:rPr>
              <w:t xml:space="preserve">systematický </w:t>
            </w:r>
            <w:r w:rsidR="000931C6" w:rsidRPr="00B175FB">
              <w:rPr>
                <w:sz w:val="22"/>
              </w:rPr>
              <w:t>přístup k</w:t>
            </w:r>
            <w:r w:rsidR="00223C13" w:rsidRPr="00B175FB">
              <w:rPr>
                <w:sz w:val="22"/>
              </w:rPr>
              <w:t> </w:t>
            </w:r>
            <w:r w:rsidR="00371EE5" w:rsidRPr="00B175FB">
              <w:rPr>
                <w:sz w:val="22"/>
              </w:rPr>
              <w:t>prezentaci</w:t>
            </w:r>
            <w:r w:rsidR="00223C13" w:rsidRPr="00B175FB">
              <w:rPr>
                <w:sz w:val="22"/>
              </w:rPr>
              <w:t xml:space="preserve"> </w:t>
            </w:r>
            <w:r w:rsidR="000931C6" w:rsidRPr="00B175FB">
              <w:rPr>
                <w:rFonts w:eastAsia="Calibri"/>
                <w:sz w:val="22"/>
              </w:rPr>
              <w:t xml:space="preserve">úspěchů a výsledků VaVaI na národní </w:t>
            </w:r>
            <w:r w:rsidR="00371EE5" w:rsidRPr="00B175FB">
              <w:rPr>
                <w:rFonts w:eastAsia="Calibri"/>
                <w:sz w:val="22"/>
              </w:rPr>
              <w:t>i</w:t>
            </w:r>
            <w:r w:rsidR="00B41D91" w:rsidRPr="00B175FB">
              <w:rPr>
                <w:rFonts w:eastAsia="Calibri"/>
                <w:sz w:val="22"/>
              </w:rPr>
              <w:t> </w:t>
            </w:r>
            <w:r w:rsidR="00371EE5" w:rsidRPr="00B175FB">
              <w:rPr>
                <w:rFonts w:eastAsia="Calibri"/>
                <w:sz w:val="22"/>
              </w:rPr>
              <w:t xml:space="preserve">mezinárodní </w:t>
            </w:r>
            <w:r w:rsidR="000931C6" w:rsidRPr="00B175FB">
              <w:rPr>
                <w:rFonts w:eastAsia="Calibri"/>
                <w:sz w:val="22"/>
              </w:rPr>
              <w:t xml:space="preserve">úrovni, a to </w:t>
            </w:r>
            <w:r w:rsidR="00037260" w:rsidRPr="00B175FB">
              <w:rPr>
                <w:rFonts w:eastAsia="Calibri"/>
                <w:sz w:val="22"/>
              </w:rPr>
              <w:t>směrem k</w:t>
            </w:r>
            <w:r w:rsidR="000931C6" w:rsidRPr="00B175FB">
              <w:rPr>
                <w:rFonts w:eastAsia="Calibri"/>
                <w:sz w:val="22"/>
              </w:rPr>
              <w:t> odborné i laické veřejnosti</w:t>
            </w:r>
            <w:r w:rsidR="000931C6" w:rsidRPr="00B175FB">
              <w:rPr>
                <w:sz w:val="22"/>
              </w:rPr>
              <w:t xml:space="preserve">. </w:t>
            </w:r>
          </w:p>
          <w:p w:rsidR="00786E5C" w:rsidRPr="00B175FB" w:rsidRDefault="00786E5C">
            <w:pPr>
              <w:spacing w:line="276" w:lineRule="auto"/>
              <w:jc w:val="both"/>
              <w:rPr>
                <w:rFonts w:eastAsia="Times New Roman"/>
                <w:sz w:val="22"/>
              </w:rPr>
            </w:pPr>
            <w:r w:rsidRPr="00B175FB">
              <w:rPr>
                <w:rFonts w:eastAsia="Times New Roman"/>
                <w:sz w:val="22"/>
              </w:rPr>
              <w:t>Veškeré intervence budou realizovány v návaznosti na priority definované v</w:t>
            </w:r>
            <w:r w:rsidRPr="00B175FB" w:rsidDel="00483E70">
              <w:rPr>
                <w:rFonts w:eastAsia="Times New Roman"/>
                <w:sz w:val="22"/>
              </w:rPr>
              <w:t> </w:t>
            </w:r>
            <w:r w:rsidR="00483E70" w:rsidRPr="00B175FB">
              <w:rPr>
                <w:rFonts w:eastAsia="Times New Roman"/>
                <w:sz w:val="22"/>
              </w:rPr>
              <w:t xml:space="preserve">Národní </w:t>
            </w:r>
            <w:r w:rsidRPr="00B175FB">
              <w:rPr>
                <w:rFonts w:eastAsia="Times New Roman"/>
                <w:sz w:val="22"/>
              </w:rPr>
              <w:t>RIS3</w:t>
            </w:r>
            <w:r w:rsidR="00FE39EC" w:rsidRPr="00B175FB">
              <w:rPr>
                <w:rFonts w:eastAsia="Times New Roman"/>
                <w:sz w:val="22"/>
              </w:rPr>
              <w:t xml:space="preserve"> strategii</w:t>
            </w:r>
            <w:r w:rsidRPr="00B175FB">
              <w:rPr>
                <w:rFonts w:eastAsia="Times New Roman"/>
                <w:sz w:val="22"/>
              </w:rPr>
              <w:t>.</w:t>
            </w:r>
          </w:p>
          <w:p w:rsidR="00C02268" w:rsidRPr="00B175FB" w:rsidRDefault="00C02268">
            <w:pPr>
              <w:spacing w:line="276" w:lineRule="auto"/>
              <w:jc w:val="both"/>
              <w:rPr>
                <w:rFonts w:eastAsia="Times New Roman"/>
                <w:b/>
                <w:sz w:val="22"/>
              </w:rPr>
            </w:pPr>
            <w:r w:rsidRPr="00B175FB">
              <w:rPr>
                <w:rFonts w:eastAsia="Times New Roman"/>
                <w:b/>
                <w:sz w:val="22"/>
              </w:rPr>
              <w:t>Výsledkem intervencí bude:</w:t>
            </w:r>
          </w:p>
          <w:p w:rsidR="00786E5C" w:rsidRPr="00B175FB" w:rsidRDefault="009F68BA" w:rsidP="006A2F6A">
            <w:pPr>
              <w:pStyle w:val="Odstavecseseznamem"/>
              <w:numPr>
                <w:ilvl w:val="0"/>
                <w:numId w:val="66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a</w:t>
            </w:r>
            <w:r w:rsidR="00786E5C" w:rsidRPr="00B175FB">
              <w:rPr>
                <w:rFonts w:eastAsia="Times New Roman" w:cs="Times New Roman"/>
                <w:sz w:val="22"/>
              </w:rPr>
              <w:t>traktivní</w:t>
            </w:r>
            <w:r w:rsidR="004F6B8F">
              <w:rPr>
                <w:rFonts w:eastAsia="Times New Roman" w:cs="Times New Roman"/>
                <w:sz w:val="22"/>
              </w:rPr>
              <w:t>, férové</w:t>
            </w:r>
            <w:r w:rsidR="00786E5C" w:rsidRPr="00B175FB">
              <w:rPr>
                <w:rFonts w:eastAsia="Times New Roman" w:cs="Times New Roman"/>
                <w:sz w:val="22"/>
              </w:rPr>
              <w:t xml:space="preserve"> a motivující institucionální prostředí </w:t>
            </w:r>
            <w:r w:rsidR="00DA6D24" w:rsidRPr="00B175FB">
              <w:rPr>
                <w:rFonts w:eastAsia="Times New Roman" w:cs="Times New Roman"/>
                <w:sz w:val="22"/>
              </w:rPr>
              <w:t>VO</w:t>
            </w:r>
            <w:r w:rsidR="00672C3E" w:rsidRPr="00B175FB">
              <w:rPr>
                <w:rFonts w:eastAsia="Times New Roman" w:cs="Times New Roman"/>
                <w:sz w:val="22"/>
              </w:rPr>
              <w:t>;</w:t>
            </w:r>
          </w:p>
          <w:p w:rsidR="00786E5C" w:rsidRPr="00B175FB" w:rsidRDefault="00786E5C" w:rsidP="006A2F6A">
            <w:pPr>
              <w:pStyle w:val="Odstavecseseznamem"/>
              <w:numPr>
                <w:ilvl w:val="0"/>
                <w:numId w:val="66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 xml:space="preserve">otevření výzkumného prostoru </w:t>
            </w:r>
            <w:r w:rsidR="00FE39EC" w:rsidRPr="00B175FB">
              <w:rPr>
                <w:rFonts w:eastAsia="Times New Roman" w:cs="Times New Roman"/>
                <w:sz w:val="22"/>
              </w:rPr>
              <w:t>ČR</w:t>
            </w:r>
            <w:r w:rsidRPr="00B175FB">
              <w:rPr>
                <w:rFonts w:eastAsia="Times New Roman" w:cs="Times New Roman"/>
                <w:sz w:val="22"/>
              </w:rPr>
              <w:t xml:space="preserve"> mezinárodní spolupráci</w:t>
            </w:r>
            <w:r w:rsidR="00672C3E" w:rsidRPr="00B175FB">
              <w:rPr>
                <w:rFonts w:eastAsia="Times New Roman" w:cs="Times New Roman"/>
                <w:sz w:val="22"/>
              </w:rPr>
              <w:t>;</w:t>
            </w:r>
          </w:p>
          <w:p w:rsidR="00786E5C" w:rsidRPr="00B175FB" w:rsidRDefault="00786E5C" w:rsidP="006A2F6A">
            <w:pPr>
              <w:pStyle w:val="Odstavecseseznamem"/>
              <w:numPr>
                <w:ilvl w:val="0"/>
                <w:numId w:val="66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 xml:space="preserve">vyšší míra zapojení </w:t>
            </w:r>
            <w:r w:rsidR="00DA6D24" w:rsidRPr="00B175FB">
              <w:rPr>
                <w:rFonts w:eastAsia="Times New Roman" w:cs="Times New Roman"/>
                <w:sz w:val="22"/>
              </w:rPr>
              <w:t>českých VO</w:t>
            </w:r>
            <w:r w:rsidRPr="00B175FB">
              <w:rPr>
                <w:rFonts w:eastAsia="Times New Roman" w:cs="Times New Roman"/>
                <w:sz w:val="22"/>
              </w:rPr>
              <w:t xml:space="preserve"> do mezinárodních iniciativ a programů</w:t>
            </w:r>
            <w:r w:rsidR="00672C3E" w:rsidRPr="00B175FB">
              <w:rPr>
                <w:rFonts w:eastAsia="Times New Roman" w:cs="Times New Roman"/>
                <w:sz w:val="22"/>
              </w:rPr>
              <w:t>;</w:t>
            </w:r>
          </w:p>
          <w:p w:rsidR="00725E68" w:rsidRPr="00B175FB" w:rsidRDefault="00725E68" w:rsidP="00725E68">
            <w:pPr>
              <w:pStyle w:val="Odstavecseseznamem"/>
              <w:numPr>
                <w:ilvl w:val="0"/>
                <w:numId w:val="66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intenzivnější spolupráce VO a subjektů aplikační sféry;</w:t>
            </w:r>
          </w:p>
          <w:p w:rsidR="00725E68" w:rsidRPr="00B175FB" w:rsidRDefault="00725E68" w:rsidP="00725E68">
            <w:pPr>
              <w:pStyle w:val="Odstavecseseznamem"/>
              <w:numPr>
                <w:ilvl w:val="0"/>
                <w:numId w:val="66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zvýšení potenciálu a schopnosti uplatnění výzkumných výsledků v praxi;</w:t>
            </w:r>
          </w:p>
          <w:p w:rsidR="00786E5C" w:rsidRPr="00B175FB" w:rsidRDefault="00786E5C" w:rsidP="006A2F6A">
            <w:pPr>
              <w:pStyle w:val="Odstavecseseznamem"/>
              <w:numPr>
                <w:ilvl w:val="0"/>
                <w:numId w:val="66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zvýšení počtu</w:t>
            </w:r>
            <w:r w:rsidR="00483E70" w:rsidRPr="00B175FB">
              <w:rPr>
                <w:rFonts w:eastAsia="Times New Roman" w:cs="Times New Roman"/>
                <w:sz w:val="22"/>
              </w:rPr>
              <w:t xml:space="preserve"> </w:t>
            </w:r>
            <w:r w:rsidRPr="00B175FB">
              <w:rPr>
                <w:rFonts w:eastAsia="Times New Roman" w:cs="Times New Roman"/>
                <w:sz w:val="22"/>
              </w:rPr>
              <w:t>excelentních výzkumných týmů</w:t>
            </w:r>
            <w:r w:rsidR="00672C3E" w:rsidRPr="00B175FB">
              <w:rPr>
                <w:rFonts w:eastAsia="Times New Roman" w:cs="Times New Roman"/>
                <w:sz w:val="22"/>
              </w:rPr>
              <w:t>;</w:t>
            </w:r>
          </w:p>
          <w:p w:rsidR="00786E5C" w:rsidRPr="00B175FB" w:rsidRDefault="00786E5C" w:rsidP="006A2F6A">
            <w:pPr>
              <w:pStyle w:val="Odstavecseseznamem"/>
              <w:numPr>
                <w:ilvl w:val="0"/>
                <w:numId w:val="66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kvalitní infrastruktura odpovídající potřebám špičkového výzkumu</w:t>
            </w:r>
            <w:r w:rsidR="00672C3E" w:rsidRPr="00B175FB">
              <w:rPr>
                <w:rFonts w:eastAsia="Times New Roman" w:cs="Times New Roman"/>
                <w:sz w:val="22"/>
              </w:rPr>
              <w:t>;</w:t>
            </w:r>
          </w:p>
          <w:p w:rsidR="00743D77" w:rsidRPr="00B175FB" w:rsidRDefault="00743D77" w:rsidP="006A2F6A">
            <w:pPr>
              <w:pStyle w:val="Odstavecseseznamem"/>
              <w:numPr>
                <w:ilvl w:val="0"/>
                <w:numId w:val="75"/>
              </w:numPr>
              <w:spacing w:after="160" w:line="276" w:lineRule="auto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>vytvoření prostředí pro implem</w:t>
            </w:r>
            <w:r w:rsidR="00223C13" w:rsidRPr="00B175FB">
              <w:rPr>
                <w:rFonts w:cs="Times New Roman"/>
                <w:sz w:val="22"/>
              </w:rPr>
              <w:t xml:space="preserve">entaci </w:t>
            </w:r>
            <w:r w:rsidR="00F87483" w:rsidRPr="00B175FB">
              <w:rPr>
                <w:rFonts w:cs="Times New Roman"/>
                <w:sz w:val="22"/>
              </w:rPr>
              <w:t>Open Science</w:t>
            </w:r>
            <w:r w:rsidR="00672C3E" w:rsidRPr="00B175FB">
              <w:rPr>
                <w:rFonts w:cs="Times New Roman"/>
                <w:sz w:val="22"/>
              </w:rPr>
              <w:t>;</w:t>
            </w:r>
          </w:p>
          <w:p w:rsidR="000A41E9" w:rsidRPr="00B175FB" w:rsidRDefault="00743D77" w:rsidP="006A2F6A">
            <w:pPr>
              <w:pStyle w:val="Odstavecseseznamem"/>
              <w:numPr>
                <w:ilvl w:val="0"/>
                <w:numId w:val="75"/>
              </w:numPr>
              <w:spacing w:after="160" w:line="276" w:lineRule="auto"/>
              <w:jc w:val="both"/>
              <w:rPr>
                <w:rFonts w:cs="Times New Roman"/>
                <w:b/>
                <w:sz w:val="22"/>
              </w:rPr>
            </w:pPr>
            <w:r w:rsidRPr="00B175FB">
              <w:rPr>
                <w:rFonts w:cs="Times New Roman"/>
                <w:sz w:val="22"/>
              </w:rPr>
              <w:t>zviditelnění ČR v globálním prostředí jako země s vysokým výzkumným a inovativním potenciálem.</w:t>
            </w:r>
          </w:p>
          <w:p w:rsidR="00093CF6" w:rsidRDefault="00093CF6">
            <w:pPr>
              <w:spacing w:line="276" w:lineRule="auto"/>
              <w:jc w:val="both"/>
              <w:rPr>
                <w:rFonts w:eastAsia="Times New Roman"/>
                <w:b/>
                <w:sz w:val="22"/>
              </w:rPr>
            </w:pPr>
          </w:p>
          <w:p w:rsidR="00093CF6" w:rsidRDefault="00093CF6">
            <w:pPr>
              <w:spacing w:line="276" w:lineRule="auto"/>
              <w:jc w:val="both"/>
              <w:rPr>
                <w:rFonts w:eastAsia="Times New Roman"/>
                <w:b/>
                <w:sz w:val="22"/>
              </w:rPr>
            </w:pPr>
          </w:p>
          <w:p w:rsidR="00C02268" w:rsidRPr="00B175FB" w:rsidRDefault="00371A56">
            <w:pPr>
              <w:spacing w:line="276" w:lineRule="auto"/>
              <w:jc w:val="both"/>
              <w:rPr>
                <w:rFonts w:eastAsia="Times New Roman"/>
                <w:b/>
                <w:sz w:val="22"/>
              </w:rPr>
            </w:pPr>
            <w:r w:rsidRPr="00B175FB">
              <w:rPr>
                <w:rFonts w:eastAsia="Times New Roman"/>
                <w:b/>
                <w:sz w:val="22"/>
              </w:rPr>
              <w:t xml:space="preserve">Příklady </w:t>
            </w:r>
            <w:r w:rsidR="0022558E" w:rsidRPr="00B175FB">
              <w:rPr>
                <w:rFonts w:eastAsia="Times New Roman"/>
                <w:b/>
                <w:sz w:val="22"/>
              </w:rPr>
              <w:t>typových</w:t>
            </w:r>
            <w:r w:rsidRPr="00B175FB">
              <w:rPr>
                <w:rFonts w:eastAsia="Times New Roman"/>
                <w:b/>
                <w:sz w:val="22"/>
              </w:rPr>
              <w:t xml:space="preserve"> podporovaných aktivit: </w:t>
            </w:r>
          </w:p>
          <w:p w:rsidR="00792DE8" w:rsidRPr="00B175FB" w:rsidRDefault="005342E2">
            <w:pPr>
              <w:spacing w:line="276" w:lineRule="auto"/>
              <w:jc w:val="both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I</w:t>
            </w:r>
            <w:r w:rsidR="005E4833" w:rsidRPr="00B175FB">
              <w:rPr>
                <w:rFonts w:eastAsia="Times New Roman"/>
                <w:iCs/>
                <w:noProof/>
                <w:sz w:val="22"/>
              </w:rPr>
              <w:t>nstitucionální</w:t>
            </w:r>
            <w:r w:rsidR="00700724" w:rsidRPr="00B175FB">
              <w:rPr>
                <w:rFonts w:eastAsia="Times New Roman"/>
                <w:iCs/>
                <w:noProof/>
                <w:sz w:val="22"/>
              </w:rPr>
              <w:t xml:space="preserve"> </w:t>
            </w:r>
            <w:r w:rsidR="005E4833" w:rsidRPr="00B175FB">
              <w:rPr>
                <w:rFonts w:eastAsia="Times New Roman"/>
                <w:iCs/>
                <w:noProof/>
                <w:sz w:val="22"/>
              </w:rPr>
              <w:t>prostředí</w:t>
            </w:r>
            <w:r w:rsidR="00792DE8" w:rsidRPr="00B175FB">
              <w:rPr>
                <w:rFonts w:eastAsia="Times New Roman"/>
                <w:iCs/>
                <w:noProof/>
                <w:sz w:val="22"/>
              </w:rPr>
              <w:t xml:space="preserve"> </w:t>
            </w:r>
            <w:r w:rsidR="002941A1" w:rsidRPr="00B175FB">
              <w:rPr>
                <w:rFonts w:eastAsia="Times New Roman"/>
                <w:iCs/>
                <w:noProof/>
                <w:sz w:val="22"/>
              </w:rPr>
              <w:t>VO</w:t>
            </w:r>
            <w:r w:rsidR="004C64B3" w:rsidRPr="00B175FB">
              <w:rPr>
                <w:rFonts w:eastAsia="Times New Roman"/>
                <w:iCs/>
                <w:noProof/>
                <w:sz w:val="22"/>
              </w:rPr>
              <w:t xml:space="preserve">, internacionalizace a </w:t>
            </w:r>
            <w:r w:rsidR="00700724" w:rsidRPr="00B175FB">
              <w:rPr>
                <w:rFonts w:eastAsia="Times New Roman"/>
                <w:iCs/>
                <w:noProof/>
                <w:sz w:val="22"/>
              </w:rPr>
              <w:t xml:space="preserve">rozvoj </w:t>
            </w:r>
            <w:r w:rsidR="004C64B3" w:rsidRPr="00B175FB">
              <w:rPr>
                <w:rFonts w:eastAsia="Times New Roman"/>
                <w:iCs/>
                <w:noProof/>
                <w:sz w:val="22"/>
              </w:rPr>
              <w:t>lidského potenciálu</w:t>
            </w:r>
            <w:r w:rsidR="00353BA8" w:rsidRPr="00B175FB">
              <w:rPr>
                <w:rFonts w:eastAsia="Times New Roman"/>
                <w:iCs/>
                <w:noProof/>
                <w:sz w:val="22"/>
              </w:rPr>
              <w:t>:</w:t>
            </w:r>
          </w:p>
          <w:p w:rsidR="0022558E" w:rsidRPr="00B175FB" w:rsidRDefault="00792DE8" w:rsidP="006A2F6A">
            <w:pPr>
              <w:pStyle w:val="Odstavecseseznamem"/>
              <w:numPr>
                <w:ilvl w:val="0"/>
                <w:numId w:val="66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>zisk HR Award</w:t>
            </w:r>
            <w:r w:rsidR="00D31F64">
              <w:rPr>
                <w:rFonts w:cs="Times New Roman"/>
                <w:sz w:val="22"/>
              </w:rPr>
              <w:t>, opatření na podporu genderové rovnosti včetně vytváření a implementace plánů genderové rovnosti VO</w:t>
            </w:r>
            <w:r w:rsidRPr="00B175FB">
              <w:rPr>
                <w:rFonts w:cs="Times New Roman"/>
                <w:sz w:val="22"/>
              </w:rPr>
              <w:t>;</w:t>
            </w:r>
          </w:p>
          <w:p w:rsidR="00792DE8" w:rsidRPr="00B175FB" w:rsidRDefault="00792DE8" w:rsidP="006A2F6A">
            <w:pPr>
              <w:pStyle w:val="Odstavecseseznamem"/>
              <w:numPr>
                <w:ilvl w:val="0"/>
                <w:numId w:val="66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>vznik a rozvoj administrativních kapacit</w:t>
            </w:r>
            <w:r w:rsidR="00E05C1B" w:rsidRPr="00B175FB">
              <w:rPr>
                <w:rFonts w:cs="Times New Roman"/>
                <w:sz w:val="22"/>
              </w:rPr>
              <w:t xml:space="preserve"> podporujících výzkumné týmy při jejich výzkumné práci či</w:t>
            </w:r>
            <w:r w:rsidR="00305806" w:rsidRPr="00B175FB">
              <w:rPr>
                <w:rFonts w:cs="Times New Roman"/>
                <w:sz w:val="22"/>
              </w:rPr>
              <w:t> </w:t>
            </w:r>
            <w:r w:rsidR="00E05C1B" w:rsidRPr="00B175FB">
              <w:rPr>
                <w:rFonts w:cs="Times New Roman"/>
                <w:sz w:val="22"/>
              </w:rPr>
              <w:t>administraci grantů atp.</w:t>
            </w:r>
            <w:r w:rsidRPr="00B175FB">
              <w:rPr>
                <w:rFonts w:cs="Times New Roman"/>
                <w:sz w:val="22"/>
              </w:rPr>
              <w:t xml:space="preserve">; </w:t>
            </w:r>
          </w:p>
          <w:p w:rsidR="00792DE8" w:rsidRPr="00B175FB" w:rsidRDefault="00AA777D" w:rsidP="006A2F6A">
            <w:pPr>
              <w:pStyle w:val="Odstavecseseznamem"/>
              <w:numPr>
                <w:ilvl w:val="0"/>
                <w:numId w:val="66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 xml:space="preserve">rozvoj </w:t>
            </w:r>
            <w:r w:rsidR="00792DE8" w:rsidRPr="00B175FB">
              <w:rPr>
                <w:rFonts w:cs="Times New Roman"/>
                <w:sz w:val="22"/>
              </w:rPr>
              <w:t xml:space="preserve">nástrojů řízení lidských zdrojů a kariérního </w:t>
            </w:r>
            <w:r w:rsidRPr="00B175FB">
              <w:rPr>
                <w:rFonts w:cs="Times New Roman"/>
                <w:sz w:val="22"/>
              </w:rPr>
              <w:t>plánování</w:t>
            </w:r>
            <w:r w:rsidR="00792DE8" w:rsidRPr="00B175FB">
              <w:rPr>
                <w:rFonts w:cs="Times New Roman"/>
                <w:sz w:val="22"/>
              </w:rPr>
              <w:t>;</w:t>
            </w:r>
          </w:p>
          <w:p w:rsidR="00792DE8" w:rsidRPr="00B175FB" w:rsidRDefault="00792DE8" w:rsidP="006A2F6A">
            <w:pPr>
              <w:pStyle w:val="Odstavecseseznamem"/>
              <w:numPr>
                <w:ilvl w:val="0"/>
                <w:numId w:val="66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 xml:space="preserve">další vzdělávání v manažerských, profesních a osobnostně rozvojových dovednostech; </w:t>
            </w:r>
          </w:p>
          <w:p w:rsidR="00792DE8" w:rsidRPr="00B175FB" w:rsidRDefault="00792DE8" w:rsidP="006A2F6A">
            <w:pPr>
              <w:pStyle w:val="Odstavecseseznamem"/>
              <w:numPr>
                <w:ilvl w:val="0"/>
                <w:numId w:val="66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 xml:space="preserve">jazykové vzdělávání zaměstnanců </w:t>
            </w:r>
            <w:r w:rsidR="002941A1" w:rsidRPr="00B175FB">
              <w:rPr>
                <w:rFonts w:eastAsia="Times New Roman" w:cs="Times New Roman"/>
                <w:sz w:val="22"/>
              </w:rPr>
              <w:t>VO</w:t>
            </w:r>
            <w:r w:rsidRPr="00B175FB">
              <w:rPr>
                <w:rFonts w:eastAsia="Times New Roman" w:cs="Times New Roman"/>
                <w:sz w:val="22"/>
              </w:rPr>
              <w:t>;</w:t>
            </w:r>
          </w:p>
          <w:p w:rsidR="00792DE8" w:rsidRPr="00B175FB" w:rsidRDefault="00792DE8" w:rsidP="006A2F6A">
            <w:pPr>
              <w:pStyle w:val="Odstavecseseznamem"/>
              <w:numPr>
                <w:ilvl w:val="0"/>
                <w:numId w:val="66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 xml:space="preserve">vytváření </w:t>
            </w:r>
            <w:r w:rsidR="00E05C1B" w:rsidRPr="00B175FB">
              <w:rPr>
                <w:rFonts w:eastAsia="Times New Roman" w:cs="Times New Roman"/>
                <w:sz w:val="22"/>
              </w:rPr>
              <w:t xml:space="preserve">a rozvoj </w:t>
            </w:r>
            <w:r w:rsidRPr="00B175FB">
              <w:rPr>
                <w:rFonts w:eastAsia="Times New Roman" w:cs="Times New Roman"/>
                <w:sz w:val="22"/>
              </w:rPr>
              <w:t>welcome office, grant office, CTT office;</w:t>
            </w:r>
          </w:p>
          <w:p w:rsidR="00792DE8" w:rsidRPr="00B175FB" w:rsidRDefault="00792DE8" w:rsidP="006A2F6A">
            <w:pPr>
              <w:pStyle w:val="Odstavecseseznamem"/>
              <w:numPr>
                <w:ilvl w:val="0"/>
                <w:numId w:val="66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 xml:space="preserve">vytváření podmínek, které umožní začínajícím výzkumníkům </w:t>
            </w:r>
            <w:r w:rsidR="00E05C1B" w:rsidRPr="00B175FB">
              <w:rPr>
                <w:rFonts w:eastAsia="Times New Roman" w:cs="Times New Roman"/>
                <w:sz w:val="22"/>
              </w:rPr>
              <w:t>budovat po ukončení studia</w:t>
            </w:r>
            <w:r w:rsidRPr="00B175FB">
              <w:rPr>
                <w:rFonts w:eastAsia="Times New Roman" w:cs="Times New Roman"/>
                <w:sz w:val="22"/>
              </w:rPr>
              <w:t xml:space="preserve"> vlastní </w:t>
            </w:r>
            <w:r w:rsidR="00E05C1B" w:rsidRPr="00B175FB">
              <w:rPr>
                <w:rFonts w:eastAsia="Times New Roman" w:cs="Times New Roman"/>
                <w:sz w:val="22"/>
              </w:rPr>
              <w:t xml:space="preserve">výzkumné </w:t>
            </w:r>
            <w:r w:rsidRPr="00B175FB">
              <w:rPr>
                <w:rFonts w:eastAsia="Times New Roman" w:cs="Times New Roman"/>
                <w:sz w:val="22"/>
              </w:rPr>
              <w:t>skupin</w:t>
            </w:r>
            <w:r w:rsidR="00E05C1B" w:rsidRPr="00B175FB">
              <w:rPr>
                <w:rFonts w:eastAsia="Times New Roman" w:cs="Times New Roman"/>
                <w:sz w:val="22"/>
              </w:rPr>
              <w:t>y</w:t>
            </w:r>
            <w:r w:rsidRPr="00B175FB">
              <w:rPr>
                <w:rFonts w:eastAsia="Times New Roman" w:cs="Times New Roman"/>
                <w:sz w:val="22"/>
              </w:rPr>
              <w:t xml:space="preserve">; </w:t>
            </w:r>
          </w:p>
          <w:p w:rsidR="00792DE8" w:rsidRPr="00B175FB" w:rsidRDefault="00792DE8" w:rsidP="006A2F6A">
            <w:pPr>
              <w:pStyle w:val="Odstavecseseznamem"/>
              <w:numPr>
                <w:ilvl w:val="0"/>
                <w:numId w:val="66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propagace výs</w:t>
            </w:r>
            <w:r w:rsidR="005E4833" w:rsidRPr="00B175FB">
              <w:rPr>
                <w:rFonts w:eastAsia="Times New Roman" w:cs="Times New Roman"/>
                <w:sz w:val="22"/>
              </w:rPr>
              <w:t>ledků VaV</w:t>
            </w:r>
            <w:r w:rsidR="00700724" w:rsidRPr="00B175FB">
              <w:rPr>
                <w:rFonts w:eastAsia="Times New Roman" w:cs="Times New Roman"/>
                <w:sz w:val="22"/>
              </w:rPr>
              <w:t>aI</w:t>
            </w:r>
            <w:r w:rsidR="00D75049" w:rsidRPr="00B175FB">
              <w:rPr>
                <w:rFonts w:eastAsia="Times New Roman" w:cs="Times New Roman"/>
                <w:sz w:val="22"/>
              </w:rPr>
              <w:t>;</w:t>
            </w:r>
          </w:p>
          <w:p w:rsidR="005E4833" w:rsidRPr="00B175FB" w:rsidRDefault="0034519E" w:rsidP="006A2F6A">
            <w:pPr>
              <w:pStyle w:val="Odstavecseseznamem"/>
              <w:numPr>
                <w:ilvl w:val="0"/>
                <w:numId w:val="68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 xml:space="preserve">mezinárodní a </w:t>
            </w:r>
            <w:r w:rsidR="005F02BE" w:rsidRPr="00B175FB">
              <w:rPr>
                <w:rFonts w:eastAsia="Times New Roman" w:cs="Times New Roman"/>
                <w:sz w:val="22"/>
              </w:rPr>
              <w:t xml:space="preserve">mezisektorové </w:t>
            </w:r>
            <w:r w:rsidR="005E4833" w:rsidRPr="00B175FB">
              <w:rPr>
                <w:rFonts w:eastAsia="Times New Roman" w:cs="Times New Roman"/>
                <w:sz w:val="22"/>
              </w:rPr>
              <w:t>mobilit</w:t>
            </w:r>
            <w:r w:rsidR="005F02BE" w:rsidRPr="00B175FB">
              <w:rPr>
                <w:rFonts w:eastAsia="Times New Roman" w:cs="Times New Roman"/>
                <w:sz w:val="22"/>
              </w:rPr>
              <w:t>y</w:t>
            </w:r>
            <w:r w:rsidR="005E4833" w:rsidRPr="00B175FB">
              <w:rPr>
                <w:rFonts w:eastAsia="Times New Roman" w:cs="Times New Roman"/>
                <w:sz w:val="22"/>
              </w:rPr>
              <w:t xml:space="preserve">; </w:t>
            </w:r>
          </w:p>
          <w:p w:rsidR="005E4833" w:rsidRPr="00B175FB" w:rsidRDefault="0034519E" w:rsidP="006A2F6A">
            <w:pPr>
              <w:pStyle w:val="Odstavecseseznamem"/>
              <w:numPr>
                <w:ilvl w:val="0"/>
                <w:numId w:val="68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rozvoj know-how pro zvýšení účasti v</w:t>
            </w:r>
            <w:r w:rsidR="005E4833" w:rsidRPr="00B175FB">
              <w:rPr>
                <w:rFonts w:eastAsia="Times New Roman" w:cs="Times New Roman"/>
                <w:sz w:val="22"/>
              </w:rPr>
              <w:t xml:space="preserve"> mezinárodních </w:t>
            </w:r>
            <w:r w:rsidRPr="00B175FB">
              <w:rPr>
                <w:rFonts w:eastAsia="Times New Roman" w:cs="Times New Roman"/>
                <w:sz w:val="22"/>
              </w:rPr>
              <w:t>grantových</w:t>
            </w:r>
            <w:r w:rsidR="005E4833" w:rsidRPr="00B175FB">
              <w:rPr>
                <w:rFonts w:eastAsia="Times New Roman" w:cs="Times New Roman"/>
                <w:sz w:val="22"/>
              </w:rPr>
              <w:t xml:space="preserve"> </w:t>
            </w:r>
            <w:r w:rsidRPr="00B175FB">
              <w:rPr>
                <w:rFonts w:eastAsia="Times New Roman" w:cs="Times New Roman"/>
                <w:sz w:val="22"/>
              </w:rPr>
              <w:t xml:space="preserve">programech </w:t>
            </w:r>
            <w:r w:rsidR="005F02BE" w:rsidRPr="00B175FB">
              <w:rPr>
                <w:rFonts w:eastAsia="Times New Roman" w:cs="Times New Roman"/>
                <w:sz w:val="22"/>
              </w:rPr>
              <w:t>včetně</w:t>
            </w:r>
            <w:r w:rsidRPr="00B175FB">
              <w:rPr>
                <w:rFonts w:eastAsia="Times New Roman" w:cs="Times New Roman"/>
                <w:sz w:val="22"/>
              </w:rPr>
              <w:t xml:space="preserve"> </w:t>
            </w:r>
            <w:r w:rsidR="005F02BE" w:rsidRPr="00B175FB">
              <w:rPr>
                <w:rFonts w:eastAsia="Times New Roman" w:cs="Times New Roman"/>
                <w:sz w:val="22"/>
              </w:rPr>
              <w:t xml:space="preserve">podpory </w:t>
            </w:r>
            <w:r w:rsidRPr="00B175FB">
              <w:rPr>
                <w:rFonts w:eastAsia="Times New Roman" w:cs="Times New Roman"/>
                <w:sz w:val="22"/>
              </w:rPr>
              <w:t>přípravy žádostí do mezinárodních grantových schémat</w:t>
            </w:r>
            <w:r w:rsidR="005E4833" w:rsidRPr="00B175FB">
              <w:rPr>
                <w:rFonts w:eastAsia="Times New Roman" w:cs="Times New Roman"/>
                <w:sz w:val="22"/>
              </w:rPr>
              <w:t>;</w:t>
            </w:r>
          </w:p>
          <w:p w:rsidR="00560BEC" w:rsidRPr="00B175FB" w:rsidRDefault="00560BEC" w:rsidP="006A2F6A">
            <w:pPr>
              <w:pStyle w:val="Odstavecseseznamem"/>
              <w:numPr>
                <w:ilvl w:val="0"/>
                <w:numId w:val="71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 xml:space="preserve">zapojení studentů </w:t>
            </w:r>
            <w:r w:rsidR="00A76615" w:rsidRPr="00B175FB">
              <w:rPr>
                <w:rFonts w:eastAsia="Times New Roman" w:cs="Times New Roman"/>
                <w:sz w:val="22"/>
              </w:rPr>
              <w:t>(</w:t>
            </w:r>
            <w:r w:rsidR="00331FE8" w:rsidRPr="00B175FB">
              <w:rPr>
                <w:rFonts w:eastAsia="Times New Roman" w:cs="Times New Roman"/>
                <w:sz w:val="22"/>
              </w:rPr>
              <w:t>tj.</w:t>
            </w:r>
            <w:r w:rsidR="00F87483" w:rsidRPr="00B175FB">
              <w:rPr>
                <w:rFonts w:eastAsia="Times New Roman" w:cs="Times New Roman"/>
                <w:sz w:val="22"/>
              </w:rPr>
              <w:t xml:space="preserve"> </w:t>
            </w:r>
            <w:r w:rsidR="0034519E" w:rsidRPr="00B175FB">
              <w:rPr>
                <w:rFonts w:eastAsia="Times New Roman" w:cs="Times New Roman"/>
                <w:sz w:val="22"/>
              </w:rPr>
              <w:t xml:space="preserve">budoucích výzkumných pracovníků) </w:t>
            </w:r>
            <w:r w:rsidRPr="00B175FB">
              <w:rPr>
                <w:rFonts w:eastAsia="Times New Roman" w:cs="Times New Roman"/>
                <w:sz w:val="22"/>
              </w:rPr>
              <w:t>do výzkumných projektů</w:t>
            </w:r>
            <w:r w:rsidR="004C64B3" w:rsidRPr="00B175FB">
              <w:rPr>
                <w:rFonts w:eastAsia="Times New Roman" w:cs="Times New Roman"/>
                <w:sz w:val="22"/>
              </w:rPr>
              <w:t>;</w:t>
            </w:r>
            <w:r w:rsidRPr="00B175FB">
              <w:rPr>
                <w:rFonts w:eastAsia="Times New Roman" w:cs="Times New Roman"/>
                <w:sz w:val="22"/>
              </w:rPr>
              <w:t xml:space="preserve"> </w:t>
            </w:r>
          </w:p>
          <w:p w:rsidR="00EA641F" w:rsidRPr="00B175FB" w:rsidRDefault="005F02BE" w:rsidP="006A2F6A">
            <w:pPr>
              <w:pStyle w:val="Odstavecseseznamem"/>
              <w:numPr>
                <w:ilvl w:val="0"/>
                <w:numId w:val="71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 xml:space="preserve">rozvoj podmínek pro </w:t>
            </w:r>
            <w:r w:rsidR="00560BEC" w:rsidRPr="00B175FB">
              <w:rPr>
                <w:rFonts w:eastAsia="Times New Roman" w:cs="Times New Roman"/>
                <w:sz w:val="22"/>
              </w:rPr>
              <w:t xml:space="preserve">příchod </w:t>
            </w:r>
            <w:r w:rsidR="0012699E" w:rsidRPr="00B175FB">
              <w:rPr>
                <w:rFonts w:eastAsia="Times New Roman" w:cs="Times New Roman"/>
                <w:sz w:val="22"/>
              </w:rPr>
              <w:t>a adaptac</w:t>
            </w:r>
            <w:r w:rsidRPr="00B175FB">
              <w:rPr>
                <w:rFonts w:eastAsia="Times New Roman" w:cs="Times New Roman"/>
                <w:sz w:val="22"/>
              </w:rPr>
              <w:t>i</w:t>
            </w:r>
            <w:r w:rsidR="0012699E" w:rsidRPr="00B175FB">
              <w:rPr>
                <w:rFonts w:eastAsia="Times New Roman" w:cs="Times New Roman"/>
                <w:sz w:val="22"/>
              </w:rPr>
              <w:t xml:space="preserve"> </w:t>
            </w:r>
            <w:r w:rsidR="00560BEC" w:rsidRPr="00B175FB">
              <w:rPr>
                <w:rFonts w:eastAsia="Times New Roman" w:cs="Times New Roman"/>
                <w:sz w:val="22"/>
              </w:rPr>
              <w:t xml:space="preserve">výzkumníků a technických a </w:t>
            </w:r>
            <w:r w:rsidR="001E086B">
              <w:rPr>
                <w:rFonts w:eastAsia="Times New Roman" w:cs="Times New Roman"/>
                <w:sz w:val="22"/>
              </w:rPr>
              <w:t xml:space="preserve">dalších </w:t>
            </w:r>
            <w:r w:rsidR="00560BEC" w:rsidRPr="00B175FB">
              <w:rPr>
                <w:rFonts w:eastAsia="Times New Roman" w:cs="Times New Roman"/>
                <w:sz w:val="22"/>
              </w:rPr>
              <w:t xml:space="preserve">odborných pracovníků </w:t>
            </w:r>
            <w:r w:rsidR="0034519E" w:rsidRPr="00B175FB">
              <w:rPr>
                <w:rFonts w:eastAsia="Times New Roman" w:cs="Times New Roman"/>
                <w:sz w:val="22"/>
              </w:rPr>
              <w:t>ze zahraničí</w:t>
            </w:r>
            <w:r w:rsidR="00EA641F" w:rsidRPr="00B175FB">
              <w:rPr>
                <w:rFonts w:eastAsia="Times New Roman" w:cs="Times New Roman"/>
                <w:sz w:val="22"/>
              </w:rPr>
              <w:t xml:space="preserve">; </w:t>
            </w:r>
          </w:p>
          <w:p w:rsidR="00560BEC" w:rsidRPr="00B175FB" w:rsidRDefault="00EA641F" w:rsidP="006A2F6A">
            <w:pPr>
              <w:pStyle w:val="Odstavecseseznamem"/>
              <w:numPr>
                <w:ilvl w:val="0"/>
                <w:numId w:val="71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podpora sladění vědeckého a soukromého života a snižování genderových nerovností ve VaVaI</w:t>
            </w:r>
            <w:r w:rsidR="00D75049" w:rsidRPr="00B175FB">
              <w:rPr>
                <w:rFonts w:eastAsia="Times New Roman" w:cs="Times New Roman"/>
                <w:sz w:val="22"/>
              </w:rPr>
              <w:t>.</w:t>
            </w:r>
            <w:r w:rsidR="00560BEC" w:rsidRPr="00B175FB">
              <w:rPr>
                <w:rFonts w:eastAsia="Times New Roman" w:cs="Times New Roman"/>
                <w:sz w:val="22"/>
              </w:rPr>
              <w:t xml:space="preserve">  </w:t>
            </w:r>
          </w:p>
          <w:p w:rsidR="004E1664" w:rsidRPr="00B175FB" w:rsidRDefault="0034519E" w:rsidP="004E1664">
            <w:pPr>
              <w:spacing w:line="276" w:lineRule="auto"/>
              <w:jc w:val="both"/>
              <w:rPr>
                <w:rFonts w:eastAsia="Times New Roman"/>
                <w:sz w:val="22"/>
              </w:rPr>
            </w:pPr>
            <w:r w:rsidRPr="00B175FB">
              <w:rPr>
                <w:rFonts w:eastAsia="Times New Roman"/>
                <w:sz w:val="22"/>
              </w:rPr>
              <w:t xml:space="preserve"> </w:t>
            </w:r>
            <w:r w:rsidR="004E1664" w:rsidRPr="00B175FB">
              <w:rPr>
                <w:rFonts w:eastAsia="Times New Roman"/>
                <w:sz w:val="22"/>
              </w:rPr>
              <w:t xml:space="preserve">Rozvoj aplikačního potenciálu </w:t>
            </w:r>
            <w:r w:rsidR="00032599">
              <w:rPr>
                <w:rFonts w:eastAsia="Times New Roman"/>
                <w:sz w:val="22"/>
              </w:rPr>
              <w:t>VO</w:t>
            </w:r>
            <w:r w:rsidR="004E1664" w:rsidRPr="00B175FB">
              <w:rPr>
                <w:rFonts w:eastAsia="Times New Roman"/>
                <w:sz w:val="22"/>
              </w:rPr>
              <w:t xml:space="preserve">: </w:t>
            </w:r>
          </w:p>
          <w:p w:rsidR="004E1664" w:rsidRPr="00B175FB" w:rsidRDefault="004E1664" w:rsidP="004E1664">
            <w:pPr>
              <w:pStyle w:val="Odstavecseseznamem"/>
              <w:numPr>
                <w:ilvl w:val="0"/>
                <w:numId w:val="72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 xml:space="preserve">realizace orientovaného výzkumu s aplikačním potenciálem včetně fáze proof of concept; </w:t>
            </w:r>
          </w:p>
          <w:p w:rsidR="004E1664" w:rsidRPr="00B175FB" w:rsidRDefault="004E1664" w:rsidP="004E1664">
            <w:pPr>
              <w:pStyle w:val="Odstavecseseznamem"/>
              <w:numPr>
                <w:ilvl w:val="0"/>
                <w:numId w:val="72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realizace orientovaného výzkumu ve spolupráci se subjekty aplikační sféry;</w:t>
            </w:r>
          </w:p>
          <w:p w:rsidR="004E1664" w:rsidRPr="00B175FB" w:rsidRDefault="004E1664" w:rsidP="004E1664">
            <w:pPr>
              <w:pStyle w:val="Odstavecseseznamem"/>
              <w:numPr>
                <w:ilvl w:val="0"/>
                <w:numId w:val="72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 xml:space="preserve">rozvoj nastavení možností uplatnění znalostního transferu/transferu technologií v praxi </w:t>
            </w:r>
            <w:r w:rsidR="00A633E2">
              <w:rPr>
                <w:rFonts w:eastAsia="Times New Roman" w:cs="Times New Roman"/>
                <w:sz w:val="22"/>
              </w:rPr>
              <w:t>(včetně</w:t>
            </w:r>
            <w:r w:rsidR="00F2079B">
              <w:rPr>
                <w:rFonts w:eastAsia="Times New Roman" w:cs="Times New Roman"/>
                <w:sz w:val="22"/>
              </w:rPr>
              <w:t xml:space="preserve"> podmínek pro</w:t>
            </w:r>
            <w:r w:rsidR="00A633E2">
              <w:rPr>
                <w:rFonts w:eastAsia="Times New Roman" w:cs="Times New Roman"/>
                <w:sz w:val="22"/>
              </w:rPr>
              <w:t xml:space="preserve"> </w:t>
            </w:r>
            <w:r w:rsidR="00F2079B">
              <w:rPr>
                <w:rFonts w:eastAsia="Times New Roman" w:cs="Times New Roman"/>
                <w:sz w:val="22"/>
              </w:rPr>
              <w:t xml:space="preserve">zakládání start-ups/spin-offs) </w:t>
            </w:r>
            <w:r w:rsidRPr="00B175FB">
              <w:rPr>
                <w:rFonts w:eastAsia="Times New Roman" w:cs="Times New Roman"/>
                <w:sz w:val="22"/>
              </w:rPr>
              <w:t>uvnitř VO;</w:t>
            </w:r>
          </w:p>
          <w:p w:rsidR="004E1664" w:rsidRPr="00B175FB" w:rsidRDefault="004E1664" w:rsidP="004E1664">
            <w:pPr>
              <w:pStyle w:val="Odstavecseseznamem"/>
              <w:numPr>
                <w:ilvl w:val="0"/>
                <w:numId w:val="72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rozvoj kompetencí a posílení personálního zajištění VO v oblasti duševního vlastnictví;</w:t>
            </w:r>
          </w:p>
          <w:p w:rsidR="004E1664" w:rsidRPr="00B175FB" w:rsidRDefault="004E1664" w:rsidP="004E1664">
            <w:pPr>
              <w:pStyle w:val="Odstavecseseznamem"/>
              <w:numPr>
                <w:ilvl w:val="0"/>
                <w:numId w:val="72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 xml:space="preserve">vznik a rozvoj struktur a platforem pro efektivní spolupráci výzkumného a aplikačního sektoru; </w:t>
            </w:r>
          </w:p>
          <w:p w:rsidR="004E1664" w:rsidRPr="00B175FB" w:rsidRDefault="004E1664" w:rsidP="004E1664">
            <w:pPr>
              <w:pStyle w:val="Odstavecseseznamem"/>
              <w:numPr>
                <w:ilvl w:val="0"/>
                <w:numId w:val="72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 xml:space="preserve">navazování partnerství a rozvoj spolupráce s partnery z aplikační sféry včetně obousměrných mobilit pracovníků; </w:t>
            </w:r>
          </w:p>
          <w:p w:rsidR="004E1664" w:rsidRPr="00B175FB" w:rsidRDefault="004E1664" w:rsidP="004E1664">
            <w:pPr>
              <w:pStyle w:val="Odstavecseseznamem"/>
              <w:numPr>
                <w:ilvl w:val="0"/>
                <w:numId w:val="72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rozvoj spolupráce VŠ a subjektů aplikační sféry již v rámci přípravy budoucích výzkumných pracovníků (v rámci postgraduálního studia), příprava zázemí pro Knowledge Transfer Partnership;</w:t>
            </w:r>
          </w:p>
          <w:p w:rsidR="004E1664" w:rsidRPr="00B175FB" w:rsidRDefault="004E1664" w:rsidP="004E1664">
            <w:pPr>
              <w:pStyle w:val="Odstavecseseznamem"/>
              <w:numPr>
                <w:ilvl w:val="0"/>
                <w:numId w:val="72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příprava společných projektových záměrů se subjekty z aplikační sféry do národních i mezinárodních grantových schémat;</w:t>
            </w:r>
          </w:p>
          <w:p w:rsidR="004E1664" w:rsidRPr="00B175FB" w:rsidRDefault="004E1664" w:rsidP="004E1664">
            <w:pPr>
              <w:pStyle w:val="Odstavecseseznamem"/>
              <w:numPr>
                <w:ilvl w:val="0"/>
                <w:numId w:val="72"/>
              </w:numPr>
              <w:spacing w:line="276" w:lineRule="auto"/>
              <w:jc w:val="both"/>
              <w:rPr>
                <w:rFonts w:eastAsia="Times New Roman" w:cs="Times New Roman"/>
                <w:i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šíření výsledků a výstupů výzkumu realizovaného společně se subjekty aplikační sféry.</w:t>
            </w:r>
          </w:p>
          <w:p w:rsidR="005E4833" w:rsidRPr="00B175FB" w:rsidRDefault="005342E2">
            <w:pPr>
              <w:spacing w:line="276" w:lineRule="auto"/>
              <w:jc w:val="both"/>
              <w:rPr>
                <w:rFonts w:eastAsia="Times New Roman"/>
                <w:sz w:val="22"/>
              </w:rPr>
            </w:pPr>
            <w:r w:rsidRPr="00B175FB">
              <w:rPr>
                <w:rFonts w:eastAsia="Times New Roman"/>
                <w:sz w:val="22"/>
              </w:rPr>
              <w:t>E</w:t>
            </w:r>
            <w:r w:rsidR="005E4833" w:rsidRPr="00B175FB">
              <w:rPr>
                <w:rFonts w:eastAsia="Times New Roman"/>
                <w:sz w:val="22"/>
              </w:rPr>
              <w:t xml:space="preserve">xcelence ve výzkumu: </w:t>
            </w:r>
          </w:p>
          <w:p w:rsidR="005E4833" w:rsidRDefault="009A0765" w:rsidP="006A2F6A">
            <w:pPr>
              <w:pStyle w:val="Odstavecseseznamem"/>
              <w:numPr>
                <w:ilvl w:val="0"/>
                <w:numId w:val="69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 xml:space="preserve">víceleté </w:t>
            </w:r>
            <w:r w:rsidR="002637DC">
              <w:rPr>
                <w:rFonts w:eastAsia="Times New Roman" w:cs="Times New Roman"/>
                <w:sz w:val="22"/>
              </w:rPr>
              <w:t xml:space="preserve">interdisciplinární </w:t>
            </w:r>
            <w:r w:rsidR="0034519E" w:rsidRPr="00B175FB">
              <w:rPr>
                <w:rFonts w:eastAsia="Times New Roman" w:cs="Times New Roman"/>
                <w:sz w:val="22"/>
              </w:rPr>
              <w:t>výzkumn</w:t>
            </w:r>
            <w:r w:rsidRPr="00B175FB">
              <w:rPr>
                <w:rFonts w:eastAsia="Times New Roman" w:cs="Times New Roman"/>
                <w:sz w:val="22"/>
              </w:rPr>
              <w:t>é</w:t>
            </w:r>
            <w:r w:rsidR="0034519E" w:rsidRPr="00B175FB">
              <w:rPr>
                <w:rFonts w:eastAsia="Times New Roman" w:cs="Times New Roman"/>
                <w:sz w:val="22"/>
              </w:rPr>
              <w:t xml:space="preserve"> </w:t>
            </w:r>
            <w:r w:rsidRPr="00B175FB">
              <w:rPr>
                <w:rFonts w:eastAsia="Times New Roman" w:cs="Times New Roman"/>
                <w:sz w:val="22"/>
              </w:rPr>
              <w:t>projekty</w:t>
            </w:r>
            <w:r w:rsidR="00314B53" w:rsidRPr="00B175FB">
              <w:rPr>
                <w:rFonts w:eastAsia="Times New Roman" w:cs="Times New Roman"/>
                <w:sz w:val="22"/>
              </w:rPr>
              <w:t xml:space="preserve"> s vysokým potenciálem pro špičkové výsledky VaV</w:t>
            </w:r>
            <w:r w:rsidR="00700724" w:rsidRPr="00B175FB">
              <w:rPr>
                <w:rFonts w:eastAsia="Times New Roman" w:cs="Times New Roman"/>
                <w:sz w:val="22"/>
              </w:rPr>
              <w:t>aI</w:t>
            </w:r>
            <w:r w:rsidR="00314B53" w:rsidRPr="00B175FB">
              <w:rPr>
                <w:rFonts w:eastAsia="Times New Roman" w:cs="Times New Roman"/>
                <w:sz w:val="22"/>
              </w:rPr>
              <w:t>, a</w:t>
            </w:r>
            <w:r w:rsidR="00D6696E" w:rsidRPr="00B175FB">
              <w:rPr>
                <w:rFonts w:eastAsia="Times New Roman" w:cs="Times New Roman"/>
                <w:sz w:val="22"/>
              </w:rPr>
              <w:t> to </w:t>
            </w:r>
            <w:r w:rsidR="00314B53" w:rsidRPr="00B175FB">
              <w:rPr>
                <w:rFonts w:eastAsia="Times New Roman" w:cs="Times New Roman"/>
                <w:sz w:val="22"/>
              </w:rPr>
              <w:t>včetně podpory lidských zdrojů, spolupráce se zahraničními partnery, zapojení mladých perspektivních výzkumných pracovníků, zajištění potřebného infrastrukturního vybavení</w:t>
            </w:r>
            <w:r w:rsidR="00032599">
              <w:rPr>
                <w:rFonts w:eastAsia="Times New Roman" w:cs="Times New Roman"/>
                <w:sz w:val="22"/>
              </w:rPr>
              <w:t>.</w:t>
            </w:r>
          </w:p>
          <w:p w:rsidR="004A4DA6" w:rsidRPr="004A4DA6" w:rsidRDefault="004A4DA6" w:rsidP="004A4DA6">
            <w:pPr>
              <w:spacing w:line="276" w:lineRule="auto"/>
              <w:jc w:val="both"/>
              <w:rPr>
                <w:rFonts w:eastAsia="Times New Roman"/>
                <w:sz w:val="22"/>
              </w:rPr>
            </w:pPr>
            <w:r>
              <w:rPr>
                <w:sz w:val="22"/>
              </w:rPr>
              <w:t>Synergie/komplementarity s programem Horizont Evropa</w:t>
            </w:r>
            <w:r w:rsidR="00032599">
              <w:rPr>
                <w:sz w:val="22"/>
              </w:rPr>
              <w:t>:</w:t>
            </w:r>
          </w:p>
          <w:p w:rsidR="005E4833" w:rsidRPr="00B175FB" w:rsidRDefault="005E4833" w:rsidP="006A2F6A">
            <w:pPr>
              <w:pStyle w:val="Odstavecseseznamem"/>
              <w:numPr>
                <w:ilvl w:val="0"/>
                <w:numId w:val="69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kofinancování projektů podpořených v rámci specifických implementačních nás</w:t>
            </w:r>
            <w:r w:rsidR="00C4549D" w:rsidRPr="00B175FB">
              <w:rPr>
                <w:rFonts w:eastAsia="Times New Roman" w:cs="Times New Roman"/>
                <w:sz w:val="22"/>
              </w:rPr>
              <w:t>trojů rámcového programu Horizon</w:t>
            </w:r>
            <w:r w:rsidR="009E1210" w:rsidRPr="00B175FB">
              <w:rPr>
                <w:rFonts w:eastAsia="Times New Roman" w:cs="Times New Roman"/>
                <w:sz w:val="22"/>
              </w:rPr>
              <w:t>t</w:t>
            </w:r>
            <w:r w:rsidR="00C4549D" w:rsidRPr="00B175FB">
              <w:rPr>
                <w:rFonts w:eastAsia="Times New Roman" w:cs="Times New Roman"/>
                <w:sz w:val="22"/>
              </w:rPr>
              <w:t xml:space="preserve"> E</w:t>
            </w:r>
            <w:r w:rsidR="009E1210" w:rsidRPr="00B175FB">
              <w:rPr>
                <w:rFonts w:eastAsia="Times New Roman" w:cs="Times New Roman"/>
                <w:sz w:val="22"/>
              </w:rPr>
              <w:t>v</w:t>
            </w:r>
            <w:r w:rsidR="00C4549D" w:rsidRPr="00B175FB">
              <w:rPr>
                <w:rFonts w:eastAsia="Times New Roman" w:cs="Times New Roman"/>
                <w:sz w:val="22"/>
              </w:rPr>
              <w:t xml:space="preserve">ropa </w:t>
            </w:r>
            <w:r w:rsidRPr="00B175FB">
              <w:rPr>
                <w:rFonts w:eastAsia="Times New Roman" w:cs="Times New Roman"/>
                <w:sz w:val="22"/>
              </w:rPr>
              <w:t>vyžadujících finanční</w:t>
            </w:r>
            <w:r w:rsidR="00A76615" w:rsidRPr="00B175FB">
              <w:rPr>
                <w:rFonts w:eastAsia="Times New Roman" w:cs="Times New Roman"/>
                <w:sz w:val="22"/>
              </w:rPr>
              <w:t xml:space="preserve"> spoluúčast zapojených států;</w:t>
            </w:r>
          </w:p>
          <w:p w:rsidR="005E4833" w:rsidRPr="00B175FB" w:rsidRDefault="005E4833" w:rsidP="006A2F6A">
            <w:pPr>
              <w:pStyle w:val="Odstavecseseznamem"/>
              <w:numPr>
                <w:ilvl w:val="0"/>
                <w:numId w:val="69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financování kvalitních návrhů projektů předložených do rám</w:t>
            </w:r>
            <w:r w:rsidR="00C94250" w:rsidRPr="00B175FB">
              <w:rPr>
                <w:rFonts w:eastAsia="Times New Roman" w:cs="Times New Roman"/>
                <w:sz w:val="22"/>
              </w:rPr>
              <w:t>cového programu Horizont Evropa</w:t>
            </w:r>
            <w:r w:rsidRPr="00B175FB">
              <w:rPr>
                <w:rFonts w:eastAsia="Times New Roman" w:cs="Times New Roman"/>
                <w:sz w:val="22"/>
              </w:rPr>
              <w:t xml:space="preserve">, které nebyly financovány z důvodu nedostatku rozpočtových prostředků na straně </w:t>
            </w:r>
            <w:r w:rsidR="00314B53" w:rsidRPr="00B175FB">
              <w:rPr>
                <w:rFonts w:eastAsia="Times New Roman" w:cs="Times New Roman"/>
                <w:sz w:val="22"/>
              </w:rPr>
              <w:t>Evropské komise</w:t>
            </w:r>
            <w:r w:rsidRPr="00B175FB">
              <w:rPr>
                <w:rFonts w:eastAsia="Times New Roman" w:cs="Times New Roman"/>
                <w:sz w:val="22"/>
              </w:rPr>
              <w:t>;</w:t>
            </w:r>
          </w:p>
          <w:p w:rsidR="0068269B" w:rsidRPr="00B175FB" w:rsidRDefault="00032400" w:rsidP="006A2F6A">
            <w:pPr>
              <w:pStyle w:val="Odstavecseseznamem"/>
              <w:numPr>
                <w:ilvl w:val="0"/>
                <w:numId w:val="69"/>
              </w:numPr>
              <w:spacing w:line="276" w:lineRule="auto"/>
              <w:jc w:val="both"/>
              <w:rPr>
                <w:rFonts w:eastAsia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 xml:space="preserve">další </w:t>
            </w:r>
            <w:r w:rsidR="009A0765" w:rsidRPr="00B175FB">
              <w:rPr>
                <w:rFonts w:eastAsia="Times New Roman" w:cs="Times New Roman"/>
                <w:sz w:val="22"/>
              </w:rPr>
              <w:t xml:space="preserve">synergie </w:t>
            </w:r>
            <w:r w:rsidRPr="00B175FB">
              <w:rPr>
                <w:rFonts w:eastAsia="Times New Roman" w:cs="Times New Roman"/>
                <w:sz w:val="22"/>
              </w:rPr>
              <w:t xml:space="preserve">s programem </w:t>
            </w:r>
            <w:r w:rsidR="00314B53" w:rsidRPr="00B175FB">
              <w:rPr>
                <w:rFonts w:eastAsia="Times New Roman" w:cs="Times New Roman"/>
                <w:sz w:val="22"/>
              </w:rPr>
              <w:t>Horizon</w:t>
            </w:r>
            <w:r w:rsidRPr="00B175FB">
              <w:rPr>
                <w:rFonts w:eastAsia="Times New Roman" w:cs="Times New Roman"/>
                <w:sz w:val="22"/>
              </w:rPr>
              <w:t>t</w:t>
            </w:r>
            <w:r w:rsidR="00314B53" w:rsidRPr="00B175FB">
              <w:rPr>
                <w:rFonts w:eastAsia="Times New Roman" w:cs="Times New Roman"/>
                <w:sz w:val="22"/>
              </w:rPr>
              <w:t xml:space="preserve"> E</w:t>
            </w:r>
            <w:r w:rsidRPr="00B175FB">
              <w:rPr>
                <w:rFonts w:eastAsia="Times New Roman" w:cs="Times New Roman"/>
                <w:sz w:val="22"/>
              </w:rPr>
              <w:t>v</w:t>
            </w:r>
            <w:r w:rsidR="00873CDD" w:rsidRPr="00B175FB">
              <w:rPr>
                <w:rFonts w:eastAsia="Times New Roman" w:cs="Times New Roman"/>
                <w:sz w:val="22"/>
              </w:rPr>
              <w:t>rop</w:t>
            </w:r>
            <w:r w:rsidRPr="00B175FB">
              <w:rPr>
                <w:rFonts w:eastAsia="Times New Roman" w:cs="Times New Roman"/>
                <w:sz w:val="22"/>
              </w:rPr>
              <w:t>a</w:t>
            </w:r>
            <w:r w:rsidR="00753960" w:rsidRPr="00B175FB">
              <w:rPr>
                <w:rFonts w:eastAsia="Times New Roman" w:cs="Times New Roman"/>
                <w:sz w:val="22"/>
              </w:rPr>
              <w:t>.</w:t>
            </w:r>
          </w:p>
          <w:p w:rsidR="00093CF6" w:rsidRDefault="00093CF6" w:rsidP="00C94250">
            <w:pPr>
              <w:spacing w:line="276" w:lineRule="auto"/>
            </w:pPr>
          </w:p>
          <w:p w:rsidR="007B40F6" w:rsidRPr="00B175FB" w:rsidRDefault="005342E2" w:rsidP="00C94250">
            <w:pPr>
              <w:spacing w:line="276" w:lineRule="auto"/>
              <w:rPr>
                <w:noProof/>
                <w:sz w:val="22"/>
              </w:rPr>
            </w:pPr>
            <w:r w:rsidRPr="00B175FB">
              <w:t>I</w:t>
            </w:r>
            <w:r w:rsidR="007B40F6" w:rsidRPr="00B175FB">
              <w:rPr>
                <w:noProof/>
                <w:sz w:val="22"/>
              </w:rPr>
              <w:t>nfrastruktur</w:t>
            </w:r>
            <w:r w:rsidRPr="00B175FB">
              <w:rPr>
                <w:noProof/>
                <w:sz w:val="22"/>
              </w:rPr>
              <w:t xml:space="preserve">a pro </w:t>
            </w:r>
            <w:r w:rsidR="007B40F6" w:rsidRPr="00B175FB">
              <w:rPr>
                <w:noProof/>
                <w:sz w:val="22"/>
              </w:rPr>
              <w:t xml:space="preserve"> VaV</w:t>
            </w:r>
            <w:r w:rsidR="00700724" w:rsidRPr="00B175FB">
              <w:rPr>
                <w:noProof/>
                <w:sz w:val="22"/>
              </w:rPr>
              <w:t>aI</w:t>
            </w:r>
            <w:r w:rsidR="007B40F6" w:rsidRPr="00B175FB">
              <w:rPr>
                <w:noProof/>
                <w:sz w:val="22"/>
              </w:rPr>
              <w:t xml:space="preserve">: </w:t>
            </w:r>
          </w:p>
          <w:p w:rsidR="007B40F6" w:rsidRPr="00B175FB" w:rsidRDefault="007B40F6" w:rsidP="006A2F6A">
            <w:pPr>
              <w:pStyle w:val="Odstavecseseznamem"/>
              <w:numPr>
                <w:ilvl w:val="0"/>
                <w:numId w:val="70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modernizace výzkumného vybavení</w:t>
            </w:r>
            <w:r w:rsidR="00314B53" w:rsidRPr="00B175FB">
              <w:rPr>
                <w:rFonts w:eastAsia="Times New Roman" w:cs="Times New Roman"/>
                <w:sz w:val="22"/>
              </w:rPr>
              <w:t>, a to jak v rámci výzkumných projektů</w:t>
            </w:r>
            <w:r w:rsidR="002701E8">
              <w:rPr>
                <w:rFonts w:eastAsia="Times New Roman" w:cs="Times New Roman"/>
                <w:sz w:val="22"/>
              </w:rPr>
              <w:t>,</w:t>
            </w:r>
            <w:r w:rsidR="00314B53" w:rsidRPr="00B175FB">
              <w:rPr>
                <w:rFonts w:eastAsia="Times New Roman" w:cs="Times New Roman"/>
                <w:sz w:val="22"/>
              </w:rPr>
              <w:t xml:space="preserve"> tak ve smyslu </w:t>
            </w:r>
            <w:r w:rsidR="0068269B" w:rsidRPr="00B175FB">
              <w:rPr>
                <w:rFonts w:eastAsia="Times New Roman" w:cs="Times New Roman"/>
                <w:sz w:val="22"/>
              </w:rPr>
              <w:t xml:space="preserve">rozvoje </w:t>
            </w:r>
            <w:r w:rsidR="00314B53" w:rsidRPr="00B175FB">
              <w:rPr>
                <w:rFonts w:eastAsia="Times New Roman" w:cs="Times New Roman"/>
                <w:sz w:val="22"/>
              </w:rPr>
              <w:t>infrastrukturní základny</w:t>
            </w:r>
            <w:r w:rsidR="00F736DD">
              <w:rPr>
                <w:rFonts w:eastAsia="Times New Roman" w:cs="Times New Roman"/>
                <w:sz w:val="22"/>
              </w:rPr>
              <w:t xml:space="preserve"> </w:t>
            </w:r>
            <w:r w:rsidR="00314B53" w:rsidRPr="00B175FB">
              <w:rPr>
                <w:rFonts w:eastAsia="Times New Roman" w:cs="Times New Roman"/>
                <w:sz w:val="22"/>
              </w:rPr>
              <w:t>pro oblas</w:t>
            </w:r>
            <w:r w:rsidR="00D315A2" w:rsidRPr="00B175FB">
              <w:rPr>
                <w:rFonts w:eastAsia="Times New Roman" w:cs="Times New Roman"/>
                <w:sz w:val="22"/>
              </w:rPr>
              <w:t>t</w:t>
            </w:r>
            <w:r w:rsidR="00314B53" w:rsidRPr="00B175FB">
              <w:rPr>
                <w:rFonts w:eastAsia="Times New Roman" w:cs="Times New Roman"/>
                <w:sz w:val="22"/>
              </w:rPr>
              <w:t xml:space="preserve"> VaVaI (podpora tzv. velkých výzkumných infrastruktur v návaznosti na Cestovní mapu velkých </w:t>
            </w:r>
            <w:r w:rsidR="00CB26B7">
              <w:rPr>
                <w:rFonts w:eastAsia="Times New Roman" w:cs="Times New Roman"/>
                <w:sz w:val="22"/>
              </w:rPr>
              <w:t>výzkumných</w:t>
            </w:r>
            <w:r w:rsidR="00314B53" w:rsidRPr="00B175FB">
              <w:rPr>
                <w:rFonts w:eastAsia="Times New Roman" w:cs="Times New Roman"/>
                <w:sz w:val="22"/>
              </w:rPr>
              <w:t xml:space="preserve"> </w:t>
            </w:r>
            <w:r w:rsidR="000928BF" w:rsidRPr="00B175FB">
              <w:rPr>
                <w:rFonts w:eastAsia="Times New Roman" w:cs="Times New Roman"/>
                <w:sz w:val="22"/>
              </w:rPr>
              <w:t xml:space="preserve">infrastruktur </w:t>
            </w:r>
            <w:r w:rsidR="00CB26B7">
              <w:rPr>
                <w:rFonts w:eastAsia="Times New Roman" w:cs="Times New Roman"/>
                <w:sz w:val="22"/>
              </w:rPr>
              <w:t>ČR</w:t>
            </w:r>
            <w:r w:rsidR="00314B53" w:rsidRPr="00B175FB">
              <w:rPr>
                <w:rFonts w:eastAsia="Times New Roman" w:cs="Times New Roman"/>
                <w:sz w:val="22"/>
              </w:rPr>
              <w:t>)</w:t>
            </w:r>
            <w:r w:rsidRPr="00B175FB">
              <w:rPr>
                <w:rFonts w:eastAsia="Times New Roman" w:cs="Times New Roman"/>
                <w:sz w:val="22"/>
              </w:rPr>
              <w:t>;</w:t>
            </w:r>
          </w:p>
          <w:p w:rsidR="005336E0" w:rsidRDefault="005336E0" w:rsidP="006A2F6A">
            <w:pPr>
              <w:pStyle w:val="Odstavecseseznamem"/>
              <w:numPr>
                <w:ilvl w:val="0"/>
                <w:numId w:val="70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rozvoj infrastruktury pro přípravu budoucích výzkumných pracovníků</w:t>
            </w:r>
            <w:r w:rsidR="002C1B0E" w:rsidRPr="00B175FB">
              <w:rPr>
                <w:rFonts w:eastAsia="Times New Roman" w:cs="Times New Roman"/>
                <w:sz w:val="22"/>
              </w:rPr>
              <w:t>;</w:t>
            </w:r>
          </w:p>
          <w:p w:rsidR="007B40F6" w:rsidRPr="00B175FB" w:rsidRDefault="00D315A2" w:rsidP="006A2F6A">
            <w:pPr>
              <w:pStyle w:val="Odstavecseseznamem"/>
              <w:numPr>
                <w:ilvl w:val="0"/>
                <w:numId w:val="70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 xml:space="preserve">nezbytné </w:t>
            </w:r>
            <w:r w:rsidR="007B40F6" w:rsidRPr="00B175FB">
              <w:rPr>
                <w:rFonts w:eastAsia="Times New Roman" w:cs="Times New Roman"/>
                <w:sz w:val="22"/>
              </w:rPr>
              <w:t>rozšiřování infrastruktury ve vazbě na strategické řízení VaV</w:t>
            </w:r>
            <w:r w:rsidR="00700724" w:rsidRPr="00B175FB">
              <w:rPr>
                <w:rFonts w:eastAsia="Times New Roman" w:cs="Times New Roman"/>
                <w:sz w:val="22"/>
              </w:rPr>
              <w:t>aI</w:t>
            </w:r>
            <w:r w:rsidR="007B40F6" w:rsidRPr="00B175FB">
              <w:rPr>
                <w:rFonts w:eastAsia="Times New Roman" w:cs="Times New Roman"/>
                <w:sz w:val="22"/>
              </w:rPr>
              <w:t>;</w:t>
            </w:r>
          </w:p>
          <w:p w:rsidR="007B40F6" w:rsidRPr="00B175FB" w:rsidRDefault="00D75049" w:rsidP="006A2F6A">
            <w:pPr>
              <w:pStyle w:val="Odstavecseseznamem"/>
              <w:numPr>
                <w:ilvl w:val="0"/>
                <w:numId w:val="70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nov</w:t>
            </w:r>
            <w:r w:rsidR="0068269B" w:rsidRPr="00B175FB">
              <w:rPr>
                <w:rFonts w:eastAsia="Times New Roman" w:cs="Times New Roman"/>
                <w:sz w:val="22"/>
              </w:rPr>
              <w:t>á</w:t>
            </w:r>
            <w:r w:rsidRPr="00B175FB">
              <w:rPr>
                <w:rFonts w:eastAsia="Times New Roman" w:cs="Times New Roman"/>
                <w:sz w:val="22"/>
              </w:rPr>
              <w:t xml:space="preserve"> </w:t>
            </w:r>
            <w:r w:rsidR="0068269B" w:rsidRPr="00B175FB">
              <w:rPr>
                <w:rFonts w:eastAsia="Times New Roman" w:cs="Times New Roman"/>
                <w:sz w:val="22"/>
              </w:rPr>
              <w:t xml:space="preserve">výstavba </w:t>
            </w:r>
            <w:r w:rsidR="00D315A2" w:rsidRPr="00B175FB">
              <w:rPr>
                <w:rFonts w:eastAsia="Times New Roman" w:cs="Times New Roman"/>
                <w:sz w:val="22"/>
              </w:rPr>
              <w:t xml:space="preserve">výhradně </w:t>
            </w:r>
            <w:r w:rsidR="007B40F6" w:rsidRPr="00B175FB">
              <w:rPr>
                <w:rFonts w:eastAsia="Times New Roman" w:cs="Times New Roman"/>
                <w:sz w:val="22"/>
              </w:rPr>
              <w:t xml:space="preserve">pro </w:t>
            </w:r>
            <w:r w:rsidR="00D315A2" w:rsidRPr="00B175FB">
              <w:rPr>
                <w:rFonts w:eastAsia="Times New Roman" w:cs="Times New Roman"/>
                <w:sz w:val="22"/>
              </w:rPr>
              <w:t>vysoce prioritní</w:t>
            </w:r>
            <w:r w:rsidR="007B40F6" w:rsidRPr="00B175FB">
              <w:rPr>
                <w:rFonts w:eastAsia="Times New Roman" w:cs="Times New Roman"/>
                <w:sz w:val="22"/>
              </w:rPr>
              <w:t xml:space="preserve"> projekty;  </w:t>
            </w:r>
          </w:p>
          <w:p w:rsidR="007B40F6" w:rsidRPr="00B175FB" w:rsidRDefault="007B40F6" w:rsidP="006A2F6A">
            <w:pPr>
              <w:pStyle w:val="Odstavecseseznamem"/>
              <w:numPr>
                <w:ilvl w:val="0"/>
                <w:numId w:val="70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in-kind příspěvky do výzkumných infrastruktur lokalizovaných mimo ČR</w:t>
            </w:r>
            <w:r w:rsidR="00314B53" w:rsidRPr="00B175FB">
              <w:rPr>
                <w:rFonts w:eastAsia="Times New Roman" w:cs="Times New Roman"/>
                <w:sz w:val="22"/>
              </w:rPr>
              <w:t xml:space="preserve"> v návaznosti na konkrétní výzkumné záměry či členství v mezinárodních konsorcií</w:t>
            </w:r>
            <w:r w:rsidR="00D315A2" w:rsidRPr="00B175FB">
              <w:rPr>
                <w:rFonts w:eastAsia="Times New Roman" w:cs="Times New Roman"/>
                <w:sz w:val="22"/>
              </w:rPr>
              <w:t>ch</w:t>
            </w:r>
            <w:r w:rsidR="00314B53" w:rsidRPr="00B175FB">
              <w:rPr>
                <w:rFonts w:eastAsia="Times New Roman" w:cs="Times New Roman"/>
                <w:sz w:val="22"/>
              </w:rPr>
              <w:t xml:space="preserve"> výzkumných infrastruktur</w:t>
            </w:r>
            <w:r w:rsidRPr="00B175FB">
              <w:rPr>
                <w:rFonts w:eastAsia="Times New Roman" w:cs="Times New Roman"/>
                <w:sz w:val="22"/>
              </w:rPr>
              <w:t>.</w:t>
            </w:r>
          </w:p>
          <w:p w:rsidR="00743D77" w:rsidRPr="00B175FB" w:rsidRDefault="007B40F6">
            <w:pPr>
              <w:spacing w:line="276" w:lineRule="auto"/>
              <w:jc w:val="both"/>
              <w:rPr>
                <w:rFonts w:eastAsia="Times New Roman"/>
                <w:sz w:val="22"/>
              </w:rPr>
            </w:pPr>
            <w:r w:rsidRPr="00B175FB">
              <w:rPr>
                <w:rFonts w:eastAsia="Times New Roman"/>
                <w:sz w:val="22"/>
              </w:rPr>
              <w:t xml:space="preserve"> </w:t>
            </w:r>
            <w:r w:rsidR="005342E2" w:rsidRPr="00B175FB">
              <w:rPr>
                <w:rFonts w:eastAsia="Times New Roman"/>
                <w:sz w:val="22"/>
              </w:rPr>
              <w:t>S</w:t>
            </w:r>
            <w:r w:rsidR="00743D77" w:rsidRPr="00B175FB">
              <w:rPr>
                <w:rFonts w:eastAsia="Times New Roman"/>
                <w:sz w:val="22"/>
              </w:rPr>
              <w:t>ystémov</w:t>
            </w:r>
            <w:r w:rsidR="005342E2" w:rsidRPr="00B175FB">
              <w:rPr>
                <w:rFonts w:eastAsia="Times New Roman"/>
                <w:sz w:val="22"/>
              </w:rPr>
              <w:t>á</w:t>
            </w:r>
            <w:r w:rsidR="00743D77" w:rsidRPr="00B175FB">
              <w:rPr>
                <w:rFonts w:eastAsia="Times New Roman"/>
                <w:sz w:val="22"/>
              </w:rPr>
              <w:t xml:space="preserve"> opatření </w:t>
            </w:r>
            <w:r w:rsidR="00FD2423" w:rsidRPr="00B175FB">
              <w:rPr>
                <w:rFonts w:eastAsia="Times New Roman"/>
                <w:sz w:val="22"/>
              </w:rPr>
              <w:t xml:space="preserve">na národní úrovni </w:t>
            </w:r>
            <w:r w:rsidR="00743D77" w:rsidRPr="00B175FB">
              <w:rPr>
                <w:rFonts w:eastAsia="Times New Roman"/>
                <w:sz w:val="22"/>
              </w:rPr>
              <w:t>na podporu výzkumného a inovačního prostředí:</w:t>
            </w:r>
          </w:p>
          <w:p w:rsidR="003B3F74" w:rsidRPr="00B175FB" w:rsidRDefault="003B3F74" w:rsidP="003B3F74">
            <w:pPr>
              <w:pStyle w:val="Odstavecseseznamem"/>
              <w:numPr>
                <w:ilvl w:val="1"/>
                <w:numId w:val="54"/>
              </w:numPr>
              <w:spacing w:before="60" w:after="60" w:line="276" w:lineRule="auto"/>
              <w:ind w:left="601" w:hanging="425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>vznik/rozvoj agregačního, vyhledávacího a analytického aparátu pro propojení dílčích informačních, bibliometrických, knihovnických a analytických zdrojů a systémů pro potřeby VaVaI</w:t>
            </w:r>
            <w:r w:rsidR="008604D3">
              <w:rPr>
                <w:rFonts w:cs="Times New Roman"/>
                <w:sz w:val="22"/>
              </w:rPr>
              <w:t xml:space="preserve"> na základě principů Open Science</w:t>
            </w:r>
            <w:r w:rsidRPr="00B175FB">
              <w:rPr>
                <w:rFonts w:cs="Times New Roman"/>
                <w:sz w:val="22"/>
              </w:rPr>
              <w:t>;</w:t>
            </w:r>
          </w:p>
          <w:p w:rsidR="00743D77" w:rsidRPr="00B175FB" w:rsidRDefault="0051496D" w:rsidP="006A2F6A">
            <w:pPr>
              <w:pStyle w:val="Odstavecseseznamem"/>
              <w:numPr>
                <w:ilvl w:val="1"/>
                <w:numId w:val="54"/>
              </w:numPr>
              <w:spacing w:before="60" w:after="60" w:line="276" w:lineRule="auto"/>
              <w:ind w:left="601" w:hanging="425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 xml:space="preserve">příprava </w:t>
            </w:r>
            <w:r w:rsidR="00D315A2" w:rsidRPr="00B175FB">
              <w:rPr>
                <w:rFonts w:cs="Times New Roman"/>
                <w:sz w:val="22"/>
              </w:rPr>
              <w:t>na</w:t>
            </w:r>
            <w:r w:rsidR="00743D77" w:rsidRPr="00B175FB">
              <w:rPr>
                <w:rFonts w:cs="Times New Roman"/>
                <w:sz w:val="22"/>
              </w:rPr>
              <w:t xml:space="preserve"> implementac</w:t>
            </w:r>
            <w:r w:rsidR="00D315A2" w:rsidRPr="00B175FB">
              <w:rPr>
                <w:rFonts w:cs="Times New Roman"/>
                <w:sz w:val="22"/>
              </w:rPr>
              <w:t>i</w:t>
            </w:r>
            <w:r w:rsidR="00743D77" w:rsidRPr="00B175FB">
              <w:rPr>
                <w:rFonts w:cs="Times New Roman"/>
                <w:sz w:val="22"/>
              </w:rPr>
              <w:t xml:space="preserve"> iniciativy EOSC včetně:</w:t>
            </w:r>
          </w:p>
          <w:p w:rsidR="00743D77" w:rsidRPr="00B175FB" w:rsidRDefault="00743D77" w:rsidP="006A2F6A">
            <w:pPr>
              <w:pStyle w:val="Odstavecseseznamem"/>
              <w:numPr>
                <w:ilvl w:val="1"/>
                <w:numId w:val="74"/>
              </w:numPr>
              <w:spacing w:before="60" w:after="60" w:line="276" w:lineRule="auto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 xml:space="preserve">podpory výzkumného prostředí při </w:t>
            </w:r>
            <w:r w:rsidR="0051496D" w:rsidRPr="00B175FB">
              <w:rPr>
                <w:rFonts w:cs="Times New Roman"/>
                <w:sz w:val="22"/>
              </w:rPr>
              <w:t xml:space="preserve">tvorbě </w:t>
            </w:r>
            <w:r w:rsidRPr="00B175FB">
              <w:rPr>
                <w:rFonts w:cs="Times New Roman"/>
                <w:sz w:val="22"/>
              </w:rPr>
              <w:t>„Data management plan</w:t>
            </w:r>
            <w:r w:rsidR="008604D3">
              <w:rPr>
                <w:rFonts w:cs="Times New Roman"/>
                <w:sz w:val="22"/>
              </w:rPr>
              <w:t>s</w:t>
            </w:r>
            <w:r w:rsidRPr="00B175FB">
              <w:rPr>
                <w:rFonts w:cs="Times New Roman"/>
                <w:sz w:val="22"/>
              </w:rPr>
              <w:t xml:space="preserve">“; </w:t>
            </w:r>
          </w:p>
          <w:p w:rsidR="00743D77" w:rsidRPr="00B175FB" w:rsidRDefault="00743D77" w:rsidP="006A2F6A">
            <w:pPr>
              <w:pStyle w:val="Odstavecseseznamem"/>
              <w:numPr>
                <w:ilvl w:val="1"/>
                <w:numId w:val="74"/>
              </w:numPr>
              <w:spacing w:before="60" w:after="60" w:line="276" w:lineRule="auto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>podpory vytváření úložišť nutných pro implementaci</w:t>
            </w:r>
            <w:r w:rsidR="00783243" w:rsidRPr="00B175FB">
              <w:rPr>
                <w:rFonts w:cs="Times New Roman"/>
                <w:sz w:val="22"/>
              </w:rPr>
              <w:t xml:space="preserve"> </w:t>
            </w:r>
            <w:r w:rsidRPr="00B175FB">
              <w:rPr>
                <w:rFonts w:cs="Times New Roman"/>
                <w:sz w:val="22"/>
              </w:rPr>
              <w:t>Open Science a principů FAIR;</w:t>
            </w:r>
          </w:p>
          <w:p w:rsidR="00743D77" w:rsidRPr="00B175FB" w:rsidRDefault="00743D77" w:rsidP="006A2F6A">
            <w:pPr>
              <w:pStyle w:val="Odstavecseseznamem"/>
              <w:numPr>
                <w:ilvl w:val="1"/>
                <w:numId w:val="74"/>
              </w:numPr>
              <w:spacing w:before="60" w:after="60" w:line="276" w:lineRule="auto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>podpory lidských zdrojů pro Open Science</w:t>
            </w:r>
            <w:r w:rsidR="002941A1" w:rsidRPr="00B175FB">
              <w:rPr>
                <w:rFonts w:cs="Times New Roman"/>
                <w:sz w:val="22"/>
              </w:rPr>
              <w:t>;</w:t>
            </w:r>
          </w:p>
          <w:p w:rsidR="003B3F74" w:rsidRDefault="003B3F74" w:rsidP="006A2F6A">
            <w:pPr>
              <w:pStyle w:val="Odstavecseseznamem"/>
              <w:numPr>
                <w:ilvl w:val="1"/>
                <w:numId w:val="54"/>
              </w:numPr>
              <w:spacing w:before="60" w:after="60" w:line="276" w:lineRule="auto"/>
              <w:ind w:left="601" w:hanging="425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vytváření povědomí a příprava výzkumného prostředí pro pozitivní </w:t>
            </w:r>
            <w:r w:rsidR="006E3D10">
              <w:rPr>
                <w:rFonts w:cs="Times New Roman"/>
                <w:sz w:val="22"/>
              </w:rPr>
              <w:t>přijetí</w:t>
            </w:r>
            <w:r>
              <w:rPr>
                <w:rFonts w:cs="Times New Roman"/>
                <w:sz w:val="22"/>
              </w:rPr>
              <w:t xml:space="preserve"> </w:t>
            </w:r>
            <w:r w:rsidR="00247B78">
              <w:rPr>
                <w:rFonts w:cs="Times New Roman"/>
                <w:sz w:val="22"/>
              </w:rPr>
              <w:t>Open Access/</w:t>
            </w:r>
            <w:r>
              <w:rPr>
                <w:rFonts w:cs="Times New Roman"/>
                <w:sz w:val="22"/>
              </w:rPr>
              <w:t>Open Science</w:t>
            </w:r>
            <w:r w:rsidR="00923E4E">
              <w:rPr>
                <w:rFonts w:cs="Times New Roman"/>
                <w:sz w:val="22"/>
              </w:rPr>
              <w:t>;</w:t>
            </w:r>
          </w:p>
          <w:p w:rsidR="00743D77" w:rsidRPr="00B175FB" w:rsidRDefault="00FA5E2A" w:rsidP="006A2F6A">
            <w:pPr>
              <w:pStyle w:val="Odstavecseseznamem"/>
              <w:numPr>
                <w:ilvl w:val="1"/>
                <w:numId w:val="54"/>
              </w:numPr>
              <w:spacing w:before="60" w:after="60" w:line="276" w:lineRule="auto"/>
              <w:ind w:left="601" w:hanging="425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>p</w:t>
            </w:r>
            <w:r w:rsidR="00743D77" w:rsidRPr="00B175FB">
              <w:rPr>
                <w:rFonts w:cs="Times New Roman"/>
                <w:sz w:val="22"/>
              </w:rPr>
              <w:t xml:space="preserve">ropagace </w:t>
            </w:r>
            <w:r w:rsidR="00A8316A">
              <w:rPr>
                <w:rFonts w:cs="Times New Roman"/>
                <w:sz w:val="22"/>
              </w:rPr>
              <w:t xml:space="preserve">úspěchů a </w:t>
            </w:r>
            <w:r w:rsidR="00743D77" w:rsidRPr="00B175FB">
              <w:rPr>
                <w:rFonts w:cs="Times New Roman"/>
                <w:sz w:val="22"/>
              </w:rPr>
              <w:t>výsledků VaVaI v ČR i v zahraničí</w:t>
            </w:r>
            <w:r w:rsidRPr="00B175FB">
              <w:rPr>
                <w:rFonts w:cs="Times New Roman"/>
                <w:sz w:val="22"/>
              </w:rPr>
              <w:t>;</w:t>
            </w:r>
          </w:p>
          <w:p w:rsidR="00114426" w:rsidRPr="00B175FB" w:rsidRDefault="00FA5E2A" w:rsidP="006A2F6A">
            <w:pPr>
              <w:pStyle w:val="Odstavecseseznamem"/>
              <w:numPr>
                <w:ilvl w:val="1"/>
                <w:numId w:val="54"/>
              </w:numPr>
              <w:spacing w:before="60" w:after="60" w:line="276" w:lineRule="auto"/>
              <w:ind w:left="601" w:hanging="425"/>
              <w:jc w:val="both"/>
              <w:rPr>
                <w:rFonts w:eastAsia="Times New Roman"/>
              </w:rPr>
            </w:pPr>
            <w:r w:rsidRPr="00B175FB">
              <w:rPr>
                <w:rFonts w:cs="Times New Roman"/>
                <w:sz w:val="22"/>
              </w:rPr>
              <w:t>p</w:t>
            </w:r>
            <w:r w:rsidR="00743D77" w:rsidRPr="00B175FB">
              <w:rPr>
                <w:rFonts w:cs="Times New Roman"/>
                <w:sz w:val="22"/>
              </w:rPr>
              <w:t>ropagace/popularizace globálních výsledků VaVaI a z nich vyplývajících inovačních trendů</w:t>
            </w:r>
            <w:r w:rsidR="00383024" w:rsidRPr="00B175FB">
              <w:rPr>
                <w:rFonts w:cs="Times New Roman"/>
                <w:sz w:val="22"/>
              </w:rPr>
              <w:t>.</w:t>
            </w:r>
            <w:bookmarkEnd w:id="104"/>
          </w:p>
        </w:tc>
      </w:tr>
    </w:tbl>
    <w:p w:rsidR="007475A6" w:rsidRPr="00B175FB" w:rsidRDefault="008D72F1" w:rsidP="007475A6">
      <w:pPr>
        <w:rPr>
          <w:rFonts w:eastAsia="Times New Roman"/>
          <w:i/>
          <w:iCs/>
          <w:noProof/>
          <w:szCs w:val="24"/>
        </w:rPr>
      </w:pPr>
      <w:r w:rsidRPr="00B175FB">
        <w:rPr>
          <w:rFonts w:eastAsia="Times New Roman"/>
          <w:b/>
          <w:i/>
          <w:noProof/>
          <w:szCs w:val="24"/>
        </w:rPr>
        <w:t>Hlavní cílové skupiny</w:t>
      </w:r>
      <w:r w:rsidRPr="00B175FB">
        <w:rPr>
          <w:rFonts w:eastAsia="Times New Roman"/>
          <w:i/>
          <w:noProof/>
          <w:szCs w:val="24"/>
        </w:rPr>
        <w:t xml:space="preserve"> </w:t>
      </w:r>
    </w:p>
    <w:p w:rsidR="00255AC3" w:rsidRPr="00B175FB" w:rsidRDefault="002109E5" w:rsidP="00C942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rFonts w:eastAsia="Times New Roman"/>
          <w:b/>
          <w:sz w:val="22"/>
        </w:rPr>
      </w:pPr>
      <w:r w:rsidRPr="00B175FB">
        <w:rPr>
          <w:rFonts w:eastAsia="Times New Roman"/>
          <w:b/>
          <w:sz w:val="22"/>
        </w:rPr>
        <w:t xml:space="preserve">Hlavními cílovými </w:t>
      </w:r>
      <w:r w:rsidR="00C62C87" w:rsidRPr="00B175FB">
        <w:rPr>
          <w:rFonts w:eastAsia="Times New Roman"/>
          <w:b/>
          <w:sz w:val="22"/>
        </w:rPr>
        <w:t xml:space="preserve">skupinami </w:t>
      </w:r>
      <w:r w:rsidRPr="00B175FB">
        <w:rPr>
          <w:rFonts w:eastAsia="Times New Roman"/>
          <w:b/>
          <w:sz w:val="22"/>
        </w:rPr>
        <w:t xml:space="preserve">jsou: </w:t>
      </w:r>
    </w:p>
    <w:p w:rsidR="002109E5" w:rsidRPr="00B175FB" w:rsidRDefault="002109E5" w:rsidP="00C94250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/>
          <w:sz w:val="22"/>
        </w:rPr>
      </w:pPr>
      <w:r w:rsidRPr="00B175FB">
        <w:rPr>
          <w:rFonts w:eastAsia="Times New Roman" w:cs="Times New Roman"/>
          <w:sz w:val="22"/>
        </w:rPr>
        <w:t xml:space="preserve">pracovníci </w:t>
      </w:r>
      <w:r w:rsidR="002941A1" w:rsidRPr="00B175FB">
        <w:rPr>
          <w:rFonts w:eastAsia="Times New Roman" w:cs="Times New Roman"/>
          <w:sz w:val="22"/>
        </w:rPr>
        <w:t>VO</w:t>
      </w:r>
      <w:r w:rsidR="0060709E" w:rsidRPr="00B175FB">
        <w:rPr>
          <w:rFonts w:eastAsia="Times New Roman" w:cs="Times New Roman"/>
          <w:sz w:val="22"/>
        </w:rPr>
        <w:t>;</w:t>
      </w:r>
    </w:p>
    <w:p w:rsidR="002109E5" w:rsidRPr="00B175FB" w:rsidRDefault="002109E5" w:rsidP="00C94250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/>
          <w:sz w:val="22"/>
        </w:rPr>
      </w:pPr>
      <w:r w:rsidRPr="00B175FB">
        <w:rPr>
          <w:rFonts w:eastAsia="Times New Roman" w:cs="Times New Roman"/>
          <w:sz w:val="22"/>
        </w:rPr>
        <w:t xml:space="preserve">pracovníci veřejné správy v oblasti </w:t>
      </w:r>
      <w:r w:rsidR="002941A1" w:rsidRPr="00B175FB">
        <w:rPr>
          <w:rFonts w:eastAsia="Times New Roman" w:cs="Times New Roman"/>
          <w:sz w:val="22"/>
        </w:rPr>
        <w:t>VaVaI</w:t>
      </w:r>
      <w:r w:rsidR="0060709E" w:rsidRPr="00B175FB">
        <w:rPr>
          <w:rFonts w:eastAsia="Times New Roman" w:cs="Times New Roman"/>
          <w:sz w:val="22"/>
        </w:rPr>
        <w:t>;</w:t>
      </w:r>
    </w:p>
    <w:p w:rsidR="002109E5" w:rsidRPr="00B175FB" w:rsidRDefault="002109E5" w:rsidP="00C94250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/>
          <w:sz w:val="22"/>
        </w:rPr>
      </w:pPr>
      <w:r w:rsidRPr="00B175FB">
        <w:rPr>
          <w:rFonts w:eastAsia="Times New Roman" w:cs="Times New Roman"/>
          <w:sz w:val="22"/>
        </w:rPr>
        <w:t xml:space="preserve">studenti </w:t>
      </w:r>
      <w:r w:rsidR="002941A1" w:rsidRPr="00B175FB">
        <w:rPr>
          <w:rFonts w:eastAsia="Times New Roman" w:cs="Times New Roman"/>
          <w:sz w:val="22"/>
        </w:rPr>
        <w:t>VŠ</w:t>
      </w:r>
      <w:r w:rsidR="0060709E" w:rsidRPr="00B175FB">
        <w:rPr>
          <w:rFonts w:eastAsia="Times New Roman" w:cs="Times New Roman"/>
          <w:sz w:val="22"/>
        </w:rPr>
        <w:t>;</w:t>
      </w:r>
    </w:p>
    <w:p w:rsidR="002109E5" w:rsidRPr="00B175FB" w:rsidRDefault="002109E5" w:rsidP="00C94250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/>
          <w:sz w:val="22"/>
        </w:rPr>
      </w:pPr>
      <w:r w:rsidRPr="00B175FB">
        <w:rPr>
          <w:rFonts w:eastAsia="Times New Roman" w:cs="Times New Roman"/>
          <w:sz w:val="22"/>
        </w:rPr>
        <w:t xml:space="preserve">pracovníci </w:t>
      </w:r>
      <w:r w:rsidR="00BD393D" w:rsidRPr="00B175FB">
        <w:rPr>
          <w:rFonts w:eastAsia="Times New Roman" w:cs="Times New Roman"/>
          <w:sz w:val="22"/>
        </w:rPr>
        <w:t>aplikačního</w:t>
      </w:r>
      <w:r w:rsidRPr="00B175FB">
        <w:rPr>
          <w:rFonts w:eastAsia="Times New Roman" w:cs="Times New Roman"/>
          <w:sz w:val="22"/>
        </w:rPr>
        <w:t xml:space="preserve"> sektoru</w:t>
      </w:r>
      <w:r w:rsidR="0060709E" w:rsidRPr="00B175FB">
        <w:rPr>
          <w:rFonts w:eastAsia="Times New Roman" w:cs="Times New Roman"/>
          <w:sz w:val="22"/>
        </w:rPr>
        <w:t>;</w:t>
      </w:r>
    </w:p>
    <w:p w:rsidR="00E003A6" w:rsidRPr="00B175FB" w:rsidRDefault="00E003A6" w:rsidP="00C94250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/>
          <w:sz w:val="22"/>
        </w:rPr>
      </w:pPr>
      <w:r w:rsidRPr="00B175FB">
        <w:rPr>
          <w:rFonts w:eastAsia="Times New Roman"/>
          <w:sz w:val="22"/>
        </w:rPr>
        <w:t xml:space="preserve">pracovníci knihoven; </w:t>
      </w:r>
    </w:p>
    <w:p w:rsidR="009C6895" w:rsidRPr="00B175FB" w:rsidRDefault="002109E5" w:rsidP="00060BEF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/>
          <w:noProof/>
          <w:sz w:val="22"/>
        </w:rPr>
      </w:pPr>
      <w:r w:rsidRPr="00B175FB">
        <w:rPr>
          <w:rFonts w:eastAsia="Times New Roman" w:cs="Times New Roman"/>
          <w:sz w:val="22"/>
        </w:rPr>
        <w:t xml:space="preserve">veřejnost. </w:t>
      </w:r>
    </w:p>
    <w:p w:rsidR="00331F49" w:rsidRPr="00B175FB" w:rsidRDefault="00CF3E05" w:rsidP="007475A6">
      <w:pPr>
        <w:rPr>
          <w:rFonts w:eastAsia="Times New Roman"/>
          <w:b/>
          <w:i/>
          <w:noProof/>
          <w:szCs w:val="24"/>
        </w:rPr>
      </w:pPr>
      <w:r w:rsidRPr="00B175FB">
        <w:rPr>
          <w:rFonts w:eastAsia="Times New Roman"/>
          <w:b/>
          <w:i/>
          <w:noProof/>
          <w:szCs w:val="24"/>
        </w:rPr>
        <w:t xml:space="preserve">Akce zajišťující rovnost, začlenění a nediskriminaci </w:t>
      </w:r>
      <w:r w:rsidR="00331F49" w:rsidRPr="00B175FB">
        <w:rPr>
          <w:rFonts w:eastAsia="Times New Roman"/>
          <w:i/>
          <w:noProof/>
          <w:szCs w:val="24"/>
        </w:rPr>
        <w:t xml:space="preserve"> </w:t>
      </w:r>
      <w:r w:rsidR="00331F49" w:rsidRPr="00B175FB">
        <w:rPr>
          <w:rFonts w:eastAsia="Times New Roman"/>
          <w:i/>
          <w:iCs/>
          <w:noProof/>
          <w:szCs w:val="24"/>
        </w:rPr>
        <w:t> </w:t>
      </w:r>
    </w:p>
    <w:p w:rsidR="00331F49" w:rsidRPr="00B175FB" w:rsidRDefault="00480AE1" w:rsidP="000C0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both"/>
        <w:rPr>
          <w:rFonts w:eastAsia="Times New Roman"/>
          <w:noProof/>
          <w:sz w:val="22"/>
        </w:rPr>
      </w:pPr>
      <w:r>
        <w:rPr>
          <w:rFonts w:eastAsia="Times New Roman"/>
          <w:sz w:val="22"/>
        </w:rPr>
        <w:t xml:space="preserve">Plánované aktivity zahrnují </w:t>
      </w:r>
      <w:r w:rsidR="00551672">
        <w:rPr>
          <w:rFonts w:eastAsia="Times New Roman"/>
          <w:sz w:val="22"/>
        </w:rPr>
        <w:t>podporu slaďování soukromého a pracovního života výzkumných pracovníků, podporu rodičů vracejících se z mateřské/rodičovské dovolené, snižování genderových nerovností ve VaVaI apod. V obecné rovině bude u každého projektu posuzován soulad s horizontálními principy.</w:t>
      </w:r>
    </w:p>
    <w:p w:rsidR="007475A6" w:rsidRPr="00B175FB" w:rsidRDefault="00B24D74" w:rsidP="007475A6">
      <w:pPr>
        <w:rPr>
          <w:rFonts w:eastAsia="Times New Roman"/>
          <w:i/>
          <w:iCs/>
          <w:noProof/>
          <w:szCs w:val="24"/>
        </w:rPr>
      </w:pPr>
      <w:r w:rsidRPr="00B175FB">
        <w:rPr>
          <w:rFonts w:eastAsia="Times New Roman"/>
          <w:b/>
          <w:i/>
          <w:noProof/>
          <w:szCs w:val="24"/>
        </w:rPr>
        <w:t>Konkrétní cílová území včetně plánovaného použití územních nástrojů</w:t>
      </w:r>
      <w:r w:rsidRPr="00B175FB">
        <w:rPr>
          <w:rFonts w:eastAsia="Times New Roman"/>
          <w:i/>
          <w:noProof/>
          <w:szCs w:val="24"/>
        </w:rPr>
        <w:t xml:space="preserve">  </w:t>
      </w:r>
      <w:bookmarkStart w:id="105" w:name="_Hlk25911307"/>
      <w:r w:rsidR="007475A6" w:rsidRPr="00B175FB">
        <w:rPr>
          <w:rFonts w:eastAsia="Times New Roman"/>
          <w:i/>
          <w:noProof/>
          <w:szCs w:val="24"/>
        </w:rPr>
        <w:t xml:space="preserve"> </w:t>
      </w:r>
      <w:r w:rsidR="007475A6" w:rsidRPr="00B175FB">
        <w:rPr>
          <w:rFonts w:eastAsia="Times New Roman"/>
          <w:i/>
          <w:iCs/>
          <w:noProof/>
          <w:szCs w:val="24"/>
        </w:rPr>
        <w:t> </w:t>
      </w:r>
      <w:bookmarkEnd w:id="105"/>
    </w:p>
    <w:p w:rsidR="0075134D" w:rsidRPr="00B175FB" w:rsidRDefault="002641D3" w:rsidP="000A41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eastAsia="Batang" w:hAnsi="Arial" w:cstheme="minorBidi"/>
          <w:sz w:val="22"/>
          <w:lang w:eastAsia="cs-CZ"/>
        </w:rPr>
      </w:pPr>
      <w:bookmarkStart w:id="106" w:name="_Hlk25050511"/>
      <w:r w:rsidRPr="00B175FB">
        <w:rPr>
          <w:rFonts w:eastAsia="Times New Roman"/>
          <w:i/>
          <w:sz w:val="22"/>
        </w:rPr>
        <w:t>Popis zapojení územních nástrojů a zohlednění územní dimenze plánovaných intervencí – bude doplněno v další fázi ve vazbě na přípravu Národního dokumentu k územní dimenzi a integrovaným nástrojům</w:t>
      </w:r>
      <w:r w:rsidR="00A80046">
        <w:rPr>
          <w:rFonts w:eastAsia="Times New Roman"/>
          <w:i/>
          <w:sz w:val="22"/>
        </w:rPr>
        <w:t>.</w:t>
      </w:r>
      <w:r w:rsidR="0075134D" w:rsidRPr="00B175FB">
        <w:rPr>
          <w:rFonts w:ascii="Arial" w:eastAsia="Batang" w:hAnsi="Arial" w:cstheme="minorBidi"/>
          <w:sz w:val="22"/>
          <w:lang w:eastAsia="cs-CZ"/>
        </w:rPr>
        <w:t xml:space="preserve"> </w:t>
      </w:r>
    </w:p>
    <w:p w:rsidR="002641D3" w:rsidRPr="00B175FB" w:rsidRDefault="0075134D" w:rsidP="007961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/>
          <w:i/>
        </w:rPr>
      </w:pPr>
      <w:r w:rsidRPr="00B175FB">
        <w:rPr>
          <w:rFonts w:eastAsia="Times New Roman"/>
          <w:sz w:val="22"/>
        </w:rPr>
        <w:t>Aktivity podporované ve specifickém cíli budou realizovány ve všech regionech České republiky včetně hl</w:t>
      </w:r>
      <w:r w:rsidR="00047E65" w:rsidRPr="00B175FB">
        <w:rPr>
          <w:rFonts w:eastAsia="Times New Roman"/>
          <w:sz w:val="22"/>
        </w:rPr>
        <w:t>avního</w:t>
      </w:r>
      <w:r w:rsidR="009247B5" w:rsidRPr="00B175FB">
        <w:rPr>
          <w:rFonts w:eastAsia="Times New Roman"/>
          <w:sz w:val="22"/>
        </w:rPr>
        <w:t> </w:t>
      </w:r>
      <w:r w:rsidRPr="00B175FB">
        <w:rPr>
          <w:rFonts w:eastAsia="Times New Roman"/>
          <w:sz w:val="22"/>
        </w:rPr>
        <w:t>města Prahy, tj. ve více rozvinutých, méně rozvinutých a přechodových regionech ČR.</w:t>
      </w:r>
      <w:bookmarkEnd w:id="106"/>
    </w:p>
    <w:p w:rsidR="00B24D74" w:rsidRPr="00B175FB" w:rsidRDefault="00CA680F" w:rsidP="00114426">
      <w:pPr>
        <w:rPr>
          <w:rFonts w:eastAsia="Times New Roman"/>
          <w:b/>
          <w:i/>
          <w:szCs w:val="24"/>
        </w:rPr>
      </w:pPr>
      <w:bookmarkStart w:id="107" w:name="_Hlk25048845"/>
      <w:r w:rsidRPr="00B175FB">
        <w:rPr>
          <w:rFonts w:eastAsia="Times New Roman"/>
          <w:i/>
          <w:noProof/>
          <w:szCs w:val="24"/>
        </w:rPr>
        <w:t xml:space="preserve"> </w:t>
      </w:r>
      <w:bookmarkEnd w:id="107"/>
      <w:r w:rsidR="005B6212" w:rsidRPr="00B175FB">
        <w:rPr>
          <w:rFonts w:eastAsia="Times New Roman"/>
          <w:b/>
          <w:i/>
          <w:szCs w:val="24"/>
        </w:rPr>
        <w:t>Meziregionální a nadnárodní činnosti</w:t>
      </w:r>
      <w:r w:rsidR="005B6212" w:rsidRPr="00B175FB">
        <w:rPr>
          <w:rFonts w:eastAsia="Times New Roman"/>
          <w:b/>
          <w:noProof/>
          <w:color w:val="D0CECE" w:themeColor="background2" w:themeShade="E6"/>
          <w:szCs w:val="24"/>
        </w:rPr>
        <w:t xml:space="preserve"> </w:t>
      </w:r>
      <w:r w:rsidR="005B6212" w:rsidRPr="00B175FB">
        <w:rPr>
          <w:rFonts w:eastAsia="Times New Roman"/>
          <w:i/>
          <w:noProof/>
          <w:szCs w:val="24"/>
        </w:rPr>
        <w:t xml:space="preserve"> </w:t>
      </w:r>
      <w:r w:rsidR="005B6212" w:rsidRPr="00B175FB">
        <w:rPr>
          <w:rFonts w:eastAsia="Times New Roman"/>
          <w:i/>
          <w:iCs/>
          <w:noProof/>
          <w:szCs w:val="24"/>
        </w:rPr>
        <w:t> </w:t>
      </w:r>
    </w:p>
    <w:p w:rsidR="0075134D" w:rsidRPr="00B175FB" w:rsidRDefault="0075134D" w:rsidP="007961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/>
          <w:i/>
          <w:szCs w:val="24"/>
        </w:rPr>
      </w:pPr>
      <w:bookmarkStart w:id="108" w:name="_Hlk25051108"/>
      <w:r w:rsidRPr="00B175FB">
        <w:rPr>
          <w:rFonts w:eastAsia="Times New Roman"/>
          <w:sz w:val="22"/>
        </w:rPr>
        <w:t xml:space="preserve">Plánované aktivity ve specifickém cíli nepředpokládají zapojení příjemců z dalších členských států </w:t>
      </w:r>
      <w:r w:rsidR="001C3A12" w:rsidRPr="00B175FB">
        <w:rPr>
          <w:rFonts w:eastAsia="Times New Roman"/>
          <w:sz w:val="22"/>
        </w:rPr>
        <w:t xml:space="preserve">EU </w:t>
      </w:r>
      <w:r w:rsidRPr="00B175FB">
        <w:rPr>
          <w:rFonts w:eastAsia="Times New Roman"/>
          <w:sz w:val="22"/>
        </w:rPr>
        <w:t xml:space="preserve">nebo států mimo EU </w:t>
      </w:r>
      <w:bookmarkEnd w:id="108"/>
      <w:r w:rsidRPr="00B175FB">
        <w:rPr>
          <w:rFonts w:eastAsia="Times New Roman"/>
          <w:sz w:val="22"/>
        </w:rPr>
        <w:t xml:space="preserve">(vybrané aktivity mohou být řešeny ve spolupráci/partnerství </w:t>
      </w:r>
      <w:r w:rsidR="00C16FF6" w:rsidRPr="00B175FB">
        <w:rPr>
          <w:rFonts w:eastAsia="Times New Roman"/>
          <w:sz w:val="22"/>
        </w:rPr>
        <w:t>s</w:t>
      </w:r>
      <w:r w:rsidRPr="00B175FB">
        <w:rPr>
          <w:rFonts w:eastAsia="Times New Roman"/>
          <w:sz w:val="22"/>
        </w:rPr>
        <w:t xml:space="preserve">e subjekty z dalších členských států </w:t>
      </w:r>
      <w:r w:rsidR="001C3A12" w:rsidRPr="00B175FB">
        <w:rPr>
          <w:rFonts w:eastAsia="Times New Roman"/>
          <w:sz w:val="22"/>
        </w:rPr>
        <w:t xml:space="preserve">EU </w:t>
      </w:r>
      <w:r w:rsidRPr="00B175FB">
        <w:rPr>
          <w:rFonts w:eastAsia="Times New Roman"/>
          <w:sz w:val="22"/>
        </w:rPr>
        <w:t>nebo států mimo EU).</w:t>
      </w:r>
    </w:p>
    <w:p w:rsidR="007475A6" w:rsidRPr="00B175FB" w:rsidRDefault="005B6212" w:rsidP="007475A6">
      <w:pPr>
        <w:rPr>
          <w:rFonts w:eastAsia="Times New Roman"/>
          <w:b/>
          <w:i/>
          <w:iCs/>
          <w:noProof/>
          <w:szCs w:val="24"/>
        </w:rPr>
      </w:pPr>
      <w:r w:rsidRPr="00B175FB">
        <w:rPr>
          <w:rFonts w:eastAsia="Times New Roman"/>
          <w:b/>
          <w:i/>
          <w:noProof/>
          <w:szCs w:val="24"/>
        </w:rPr>
        <w:t>Plánované využití finančních nástrojů</w:t>
      </w:r>
      <w:r w:rsidRPr="00B175FB">
        <w:rPr>
          <w:rFonts w:eastAsia="Times New Roman"/>
          <w:i/>
          <w:noProof/>
          <w:szCs w:val="24"/>
        </w:rPr>
        <w:t xml:space="preserve">  </w:t>
      </w:r>
      <w:r w:rsidRPr="00B175FB">
        <w:rPr>
          <w:rFonts w:eastAsia="Times New Roman"/>
          <w:i/>
          <w:iCs/>
          <w:noProof/>
          <w:szCs w:val="24"/>
        </w:rPr>
        <w:t> </w:t>
      </w:r>
      <w:r w:rsidR="007475A6" w:rsidRPr="00B175FB">
        <w:rPr>
          <w:rFonts w:eastAsia="Times New Roman"/>
          <w:i/>
          <w:noProof/>
          <w:szCs w:val="24"/>
        </w:rPr>
        <w:t xml:space="preserve"> </w:t>
      </w:r>
    </w:p>
    <w:p w:rsidR="009346DC" w:rsidRPr="00B175FB" w:rsidRDefault="009346DC" w:rsidP="00934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/>
          <w:sz w:val="22"/>
        </w:rPr>
      </w:pPr>
      <w:bookmarkStart w:id="109" w:name="_Hlk25051381"/>
      <w:r w:rsidRPr="00B175FB">
        <w:rPr>
          <w:rFonts w:eastAsia="Times New Roman"/>
          <w:sz w:val="22"/>
        </w:rPr>
        <w:t>Možnosti vy</w:t>
      </w:r>
      <w:r w:rsidR="00D45AC1">
        <w:rPr>
          <w:rFonts w:eastAsia="Times New Roman"/>
          <w:sz w:val="22"/>
        </w:rPr>
        <w:t>u</w:t>
      </w:r>
      <w:r w:rsidRPr="00B175FB">
        <w:rPr>
          <w:rFonts w:eastAsia="Times New Roman"/>
          <w:sz w:val="22"/>
        </w:rPr>
        <w:t>žití finančních nástrojů (</w:t>
      </w:r>
      <w:r w:rsidR="002941A1" w:rsidRPr="00B175FB">
        <w:rPr>
          <w:rFonts w:eastAsia="Times New Roman"/>
          <w:sz w:val="22"/>
        </w:rPr>
        <w:t>dále jen „</w:t>
      </w:r>
      <w:r w:rsidRPr="00B175FB">
        <w:rPr>
          <w:rFonts w:eastAsia="Times New Roman"/>
          <w:sz w:val="22"/>
        </w:rPr>
        <w:t>FN</w:t>
      </w:r>
      <w:r w:rsidR="002941A1" w:rsidRPr="00B175FB">
        <w:rPr>
          <w:rFonts w:eastAsia="Times New Roman"/>
          <w:sz w:val="22"/>
        </w:rPr>
        <w:t>“</w:t>
      </w:r>
      <w:r w:rsidRPr="00B175FB">
        <w:rPr>
          <w:rFonts w:eastAsia="Times New Roman"/>
          <w:sz w:val="22"/>
        </w:rPr>
        <w:t xml:space="preserve">) jsou v tomto SC omezené. V roce 2018 provedl </w:t>
      </w:r>
      <w:r w:rsidR="002941A1" w:rsidRPr="00B175FB">
        <w:rPr>
          <w:rFonts w:eastAsia="Times New Roman"/>
          <w:sz w:val="22"/>
        </w:rPr>
        <w:t xml:space="preserve">Řídicí orgán (dále jen </w:t>
      </w:r>
      <w:r w:rsidR="005A7879" w:rsidRPr="00B175FB">
        <w:rPr>
          <w:rFonts w:eastAsia="Times New Roman"/>
          <w:sz w:val="22"/>
        </w:rPr>
        <w:t>„</w:t>
      </w:r>
      <w:r w:rsidR="002941A1" w:rsidRPr="00B175FB">
        <w:rPr>
          <w:rFonts w:eastAsia="Times New Roman"/>
          <w:sz w:val="22"/>
        </w:rPr>
        <w:t>ŘO“)</w:t>
      </w:r>
      <w:r w:rsidRPr="00B175FB">
        <w:rPr>
          <w:rFonts w:eastAsia="Times New Roman"/>
          <w:sz w:val="22"/>
        </w:rPr>
        <w:t xml:space="preserve"> předběžné posouzení pilotního využití FN v OP VVV</w:t>
      </w:r>
      <w:r w:rsidR="00CB5F3E">
        <w:rPr>
          <w:rFonts w:eastAsia="Times New Roman"/>
          <w:sz w:val="22"/>
        </w:rPr>
        <w:t xml:space="preserve"> </w:t>
      </w:r>
      <w:r w:rsidR="00CB5F3E" w:rsidRPr="00B175FB">
        <w:rPr>
          <w:rFonts w:eastAsia="Times New Roman"/>
          <w:sz w:val="22"/>
        </w:rPr>
        <w:t>(v souladu s nařízením Evropského parlamentu a Rady (EU) č. 1303/2013)</w:t>
      </w:r>
      <w:r w:rsidR="000F25FF" w:rsidRPr="00B175FB">
        <w:rPr>
          <w:rFonts w:eastAsia="Times New Roman"/>
          <w:sz w:val="22"/>
        </w:rPr>
        <w:t>.</w:t>
      </w:r>
      <w:r w:rsidRPr="00B175FB">
        <w:rPr>
          <w:rStyle w:val="Znakapoznpodarou"/>
          <w:rFonts w:eastAsia="Times New Roman"/>
          <w:b w:val="0"/>
          <w:sz w:val="22"/>
        </w:rPr>
        <w:footnoteReference w:id="71"/>
      </w:r>
      <w:r w:rsidRPr="00B175FB">
        <w:rPr>
          <w:rFonts w:eastAsia="Times New Roman"/>
          <w:sz w:val="22"/>
        </w:rPr>
        <w:t xml:space="preserve"> </w:t>
      </w:r>
    </w:p>
    <w:p w:rsidR="009346DC" w:rsidRPr="00B175FB" w:rsidRDefault="009346DC" w:rsidP="00934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/>
          <w:sz w:val="22"/>
        </w:rPr>
      </w:pPr>
      <w:r w:rsidRPr="00B175FB">
        <w:rPr>
          <w:rFonts w:eastAsia="Times New Roman"/>
          <w:sz w:val="22"/>
        </w:rPr>
        <w:t>Z předběžného posouzení vyplynulo, že v oblast</w:t>
      </w:r>
      <w:r w:rsidR="00793988" w:rsidRPr="00B175FB">
        <w:rPr>
          <w:rFonts w:eastAsia="Times New Roman"/>
          <w:sz w:val="22"/>
        </w:rPr>
        <w:t>i</w:t>
      </w:r>
      <w:r w:rsidRPr="00B175FB">
        <w:rPr>
          <w:rFonts w:eastAsia="Times New Roman"/>
          <w:sz w:val="22"/>
        </w:rPr>
        <w:t xml:space="preserve"> vzdělávání a podpory VaV jsou vhodné pro pilotní ověření FN pouze </w:t>
      </w:r>
      <w:r w:rsidR="008B047E">
        <w:rPr>
          <w:rFonts w:eastAsia="Times New Roman"/>
          <w:sz w:val="22"/>
        </w:rPr>
        <w:t>dvě oblasti</w:t>
      </w:r>
      <w:r w:rsidRPr="00B175FB">
        <w:rPr>
          <w:rFonts w:eastAsia="Times New Roman"/>
          <w:sz w:val="22"/>
        </w:rPr>
        <w:t xml:space="preserve">, </w:t>
      </w:r>
      <w:r w:rsidR="00270BF6" w:rsidRPr="00B175FB">
        <w:rPr>
          <w:rFonts w:eastAsia="Times New Roman"/>
          <w:sz w:val="22"/>
        </w:rPr>
        <w:t>a to</w:t>
      </w:r>
      <w:r w:rsidR="000F02EA" w:rsidRPr="00B175FB">
        <w:rPr>
          <w:rFonts w:eastAsia="Times New Roman"/>
          <w:sz w:val="22"/>
        </w:rPr>
        <w:t xml:space="preserve"> podpor</w:t>
      </w:r>
      <w:r w:rsidR="008B047E">
        <w:rPr>
          <w:rFonts w:eastAsia="Times New Roman"/>
          <w:sz w:val="22"/>
        </w:rPr>
        <w:t>a</w:t>
      </w:r>
      <w:r w:rsidR="000F02EA" w:rsidRPr="00B175FB">
        <w:rPr>
          <w:rFonts w:eastAsia="Times New Roman"/>
          <w:sz w:val="22"/>
        </w:rPr>
        <w:t xml:space="preserve"> mobilit a získání pracovních zkušeností v</w:t>
      </w:r>
      <w:r w:rsidR="007E01C5" w:rsidRPr="00B175FB">
        <w:rPr>
          <w:rFonts w:eastAsia="Times New Roman"/>
          <w:sz w:val="22"/>
        </w:rPr>
        <w:t> </w:t>
      </w:r>
      <w:r w:rsidR="000F02EA" w:rsidRPr="00B175FB">
        <w:rPr>
          <w:rFonts w:eastAsia="Times New Roman"/>
          <w:sz w:val="22"/>
        </w:rPr>
        <w:t>zahraničí</w:t>
      </w:r>
      <w:r w:rsidRPr="00B175FB">
        <w:rPr>
          <w:rFonts w:eastAsia="Times New Roman"/>
          <w:sz w:val="22"/>
        </w:rPr>
        <w:t>.</w:t>
      </w:r>
    </w:p>
    <w:p w:rsidR="009346DC" w:rsidRPr="00B175FB" w:rsidRDefault="009346DC" w:rsidP="00934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/>
          <w:sz w:val="22"/>
        </w:rPr>
      </w:pPr>
      <w:r w:rsidRPr="00B175FB">
        <w:rPr>
          <w:rFonts w:eastAsia="Times New Roman"/>
          <w:sz w:val="22"/>
        </w:rPr>
        <w:t xml:space="preserve">Na základě analýzy a po pečlivém zvážení všech souvisejících rizik (právní rizika, nezájem potenciálních </w:t>
      </w:r>
      <w:r w:rsidR="002C1B0E">
        <w:rPr>
          <w:rFonts w:eastAsia="Times New Roman"/>
          <w:sz w:val="22"/>
        </w:rPr>
        <w:t>správců FN</w:t>
      </w:r>
      <w:r w:rsidRPr="00B175FB">
        <w:rPr>
          <w:rFonts w:eastAsia="Times New Roman"/>
          <w:sz w:val="22"/>
        </w:rPr>
        <w:t xml:space="preserve"> a nedostatečná absorpční kapacita) a současného stavu implementace OP VVV se ŘO rozhodl nepokračovat v implementaci FN. </w:t>
      </w:r>
    </w:p>
    <w:p w:rsidR="009346DC" w:rsidRPr="00B175FB" w:rsidRDefault="009346DC" w:rsidP="000A41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/>
          <w:sz w:val="22"/>
        </w:rPr>
      </w:pPr>
      <w:r w:rsidRPr="00B175FB">
        <w:rPr>
          <w:rFonts w:eastAsia="Times New Roman"/>
          <w:sz w:val="22"/>
        </w:rPr>
        <w:t>Pro programové období 2021</w:t>
      </w:r>
      <w:r w:rsidR="002C1B0E">
        <w:rPr>
          <w:rFonts w:eastAsia="Times New Roman"/>
          <w:noProof/>
          <w:sz w:val="22"/>
        </w:rPr>
        <w:t>-</w:t>
      </w:r>
      <w:r w:rsidRPr="00B175FB">
        <w:rPr>
          <w:rFonts w:eastAsia="Times New Roman"/>
          <w:sz w:val="22"/>
        </w:rPr>
        <w:t>2027 ŘO předpokládá zajištění aktualizace ex-ante posouzení v průběhu roku</w:t>
      </w:r>
      <w:r w:rsidR="006B157B" w:rsidRPr="00B175FB">
        <w:rPr>
          <w:rFonts w:eastAsia="Times New Roman"/>
          <w:sz w:val="22"/>
        </w:rPr>
        <w:t> </w:t>
      </w:r>
      <w:r w:rsidR="00002346" w:rsidRPr="00B175FB">
        <w:rPr>
          <w:rFonts w:eastAsia="Times New Roman"/>
          <w:sz w:val="22"/>
        </w:rPr>
        <w:t>202</w:t>
      </w:r>
      <w:r w:rsidR="00002346">
        <w:rPr>
          <w:rFonts w:eastAsia="Times New Roman"/>
          <w:sz w:val="22"/>
        </w:rPr>
        <w:t>1</w:t>
      </w:r>
      <w:r w:rsidRPr="00B175FB">
        <w:rPr>
          <w:rFonts w:eastAsia="Times New Roman"/>
          <w:sz w:val="22"/>
        </w:rPr>
        <w:t>. Na základě tohoto posouzení mohou být identifikovány relevantní oblasti vhodné pro</w:t>
      </w:r>
      <w:r w:rsidR="005800C8" w:rsidRPr="00B175FB">
        <w:rPr>
          <w:rFonts w:eastAsia="Times New Roman"/>
          <w:sz w:val="22"/>
        </w:rPr>
        <w:t> </w:t>
      </w:r>
      <w:r w:rsidRPr="00B175FB">
        <w:rPr>
          <w:rFonts w:eastAsia="Times New Roman"/>
          <w:sz w:val="22"/>
        </w:rPr>
        <w:t xml:space="preserve">využití FN. </w:t>
      </w:r>
      <w:bookmarkEnd w:id="101"/>
    </w:p>
    <w:bookmarkEnd w:id="109"/>
    <w:p w:rsidR="00EE50B5" w:rsidRPr="00B175FB" w:rsidRDefault="00EE50B5" w:rsidP="00114426">
      <w:pPr>
        <w:spacing w:line="240" w:lineRule="auto"/>
        <w:rPr>
          <w:rFonts w:eastAsia="Times New Roman"/>
          <w:b/>
          <w:iCs/>
          <w:noProof/>
          <w:szCs w:val="24"/>
        </w:rPr>
      </w:pPr>
    </w:p>
    <w:p w:rsidR="00114426" w:rsidRPr="00FA5D6F" w:rsidRDefault="00C1039A" w:rsidP="00FA5D6F">
      <w:pPr>
        <w:pStyle w:val="Nadpis4"/>
        <w:rPr>
          <w:b/>
          <w:color w:val="1F4E79" w:themeColor="accent5" w:themeShade="80"/>
          <w:lang w:val="cs-CZ" w:eastAsia="cs-CZ" w:bidi="cs-CZ"/>
        </w:rPr>
      </w:pPr>
      <w:bookmarkStart w:id="110" w:name="_Toc66476042"/>
      <w:bookmarkStart w:id="111" w:name="_Toc68611000"/>
      <w:r w:rsidRPr="00FA5D6F">
        <w:rPr>
          <w:b/>
          <w:color w:val="1F4E79" w:themeColor="accent5" w:themeShade="80"/>
          <w:lang w:val="cs-CZ" w:eastAsia="cs-CZ" w:bidi="cs-CZ"/>
        </w:rPr>
        <w:t>Ukazatel</w:t>
      </w:r>
      <w:r w:rsidR="005B64A1">
        <w:rPr>
          <w:b/>
          <w:color w:val="1F4E79" w:themeColor="accent5" w:themeShade="80"/>
          <w:lang w:val="cs-CZ" w:eastAsia="cs-CZ" w:bidi="cs-CZ"/>
        </w:rPr>
        <w:t>e</w:t>
      </w:r>
      <w:bookmarkEnd w:id="110"/>
      <w:bookmarkEnd w:id="111"/>
    </w:p>
    <w:p w:rsidR="00EF0BFC" w:rsidRPr="00F6239D" w:rsidRDefault="00EF0BFC" w:rsidP="005D3657">
      <w:pPr>
        <w:pStyle w:val="Titulek"/>
        <w:rPr>
          <w:rFonts w:ascii="Times New Roman" w:hAnsi="Times New Roman" w:cs="Times New Roman"/>
          <w:szCs w:val="22"/>
        </w:rPr>
      </w:pPr>
      <w:bookmarkStart w:id="112" w:name="_Toc66346562"/>
      <w:r w:rsidRPr="00F6239D">
        <w:rPr>
          <w:rFonts w:ascii="Times New Roman" w:hAnsi="Times New Roman" w:cs="Times New Roman"/>
          <w:szCs w:val="22"/>
        </w:rPr>
        <w:t xml:space="preserve">Tabulka </w:t>
      </w:r>
      <w:r w:rsidRPr="00F6239D">
        <w:rPr>
          <w:rFonts w:ascii="Times New Roman" w:hAnsi="Times New Roman" w:cs="Times New Roman"/>
          <w:szCs w:val="22"/>
        </w:rPr>
        <w:fldChar w:fldCharType="begin"/>
      </w:r>
      <w:r w:rsidRPr="00F6239D">
        <w:rPr>
          <w:rFonts w:ascii="Times New Roman" w:hAnsi="Times New Roman" w:cs="Times New Roman"/>
          <w:szCs w:val="22"/>
        </w:rPr>
        <w:instrText xml:space="preserve"> SEQ Tabulka \* ARABIC </w:instrText>
      </w:r>
      <w:r w:rsidRPr="00F6239D">
        <w:rPr>
          <w:rFonts w:ascii="Times New Roman" w:hAnsi="Times New Roman" w:cs="Times New Roman"/>
          <w:szCs w:val="22"/>
        </w:rPr>
        <w:fldChar w:fldCharType="separate"/>
      </w:r>
      <w:r w:rsidR="0092092A">
        <w:rPr>
          <w:rFonts w:ascii="Times New Roman" w:hAnsi="Times New Roman" w:cs="Times New Roman"/>
          <w:noProof/>
          <w:szCs w:val="22"/>
        </w:rPr>
        <w:t>3</w:t>
      </w:r>
      <w:r w:rsidRPr="00F6239D">
        <w:rPr>
          <w:rFonts w:ascii="Times New Roman" w:hAnsi="Times New Roman" w:cs="Times New Roman"/>
          <w:szCs w:val="22"/>
        </w:rPr>
        <w:fldChar w:fldCharType="end"/>
      </w:r>
      <w:r w:rsidRPr="00F6239D">
        <w:rPr>
          <w:rFonts w:ascii="Times New Roman" w:hAnsi="Times New Roman" w:cs="Times New Roman"/>
          <w:szCs w:val="22"/>
        </w:rPr>
        <w:t>: Ukazatel</w:t>
      </w:r>
      <w:r w:rsidR="005B64A1">
        <w:rPr>
          <w:rFonts w:ascii="Times New Roman" w:hAnsi="Times New Roman" w:cs="Times New Roman"/>
          <w:szCs w:val="22"/>
        </w:rPr>
        <w:t>e</w:t>
      </w:r>
      <w:r w:rsidRPr="00F6239D">
        <w:rPr>
          <w:rFonts w:ascii="Times New Roman" w:hAnsi="Times New Roman" w:cs="Times New Roman"/>
          <w:szCs w:val="22"/>
        </w:rPr>
        <w:t xml:space="preserve"> výstupů</w:t>
      </w:r>
      <w:bookmarkEnd w:id="112"/>
    </w:p>
    <w:tbl>
      <w:tblPr>
        <w:tblW w:w="5000" w:type="pct"/>
        <w:jc w:val="center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shd w:val="clear" w:color="auto" w:fill="44546A" w:themeFill="text2"/>
        <w:tblLook w:val="01E0" w:firstRow="1" w:lastRow="1" w:firstColumn="1" w:lastColumn="1" w:noHBand="0" w:noVBand="0"/>
      </w:tblPr>
      <w:tblGrid>
        <w:gridCol w:w="827"/>
        <w:gridCol w:w="1006"/>
        <w:gridCol w:w="714"/>
        <w:gridCol w:w="1417"/>
        <w:gridCol w:w="913"/>
        <w:gridCol w:w="2074"/>
        <w:gridCol w:w="1036"/>
        <w:gridCol w:w="946"/>
        <w:gridCol w:w="696"/>
      </w:tblGrid>
      <w:tr w:rsidR="00B631E7" w:rsidRPr="00E73BB6" w:rsidTr="00416BD3">
        <w:trPr>
          <w:trHeight w:val="608"/>
          <w:jc w:val="center"/>
        </w:trPr>
        <w:tc>
          <w:tcPr>
            <w:tcW w:w="429" w:type="pct"/>
            <w:shd w:val="clear" w:color="auto" w:fill="002060"/>
          </w:tcPr>
          <w:p w:rsidR="005F2B06" w:rsidRPr="00B56F84" w:rsidRDefault="005F2B06" w:rsidP="00CB0BDB">
            <w:pPr>
              <w:pStyle w:val="Text1"/>
              <w:ind w:left="0"/>
              <w:jc w:val="center"/>
              <w:rPr>
                <w:b/>
                <w:noProof/>
                <w:color w:val="FFFFFF" w:themeColor="background1"/>
                <w:sz w:val="18"/>
                <w:szCs w:val="18"/>
              </w:rPr>
            </w:pPr>
            <w:r w:rsidRPr="00B56F84">
              <w:rPr>
                <w:rFonts w:eastAsia="Times New Roman"/>
                <w:b/>
                <w:iCs/>
                <w:noProof/>
                <w:color w:val="FFFFFF" w:themeColor="background1"/>
                <w:sz w:val="18"/>
                <w:szCs w:val="18"/>
                <w:lang w:eastAsia="en-GB"/>
              </w:rPr>
              <w:t>Priorita</w:t>
            </w:r>
          </w:p>
        </w:tc>
        <w:tc>
          <w:tcPr>
            <w:tcW w:w="522" w:type="pct"/>
            <w:shd w:val="clear" w:color="auto" w:fill="002060"/>
          </w:tcPr>
          <w:p w:rsidR="005F2B06" w:rsidRPr="00B56F84" w:rsidRDefault="005F2B06" w:rsidP="00CB0BDB">
            <w:pPr>
              <w:pStyle w:val="Text1"/>
              <w:ind w:left="0"/>
              <w:jc w:val="center"/>
              <w:rPr>
                <w:b/>
                <w:noProof/>
                <w:color w:val="FFFFFF" w:themeColor="background1"/>
                <w:sz w:val="18"/>
                <w:szCs w:val="18"/>
              </w:rPr>
            </w:pPr>
            <w:r w:rsidRPr="00B56F84">
              <w:rPr>
                <w:rFonts w:eastAsia="Times New Roman"/>
                <w:b/>
                <w:iCs/>
                <w:noProof/>
                <w:color w:val="FFFFFF" w:themeColor="background1"/>
                <w:sz w:val="18"/>
                <w:szCs w:val="18"/>
                <w:lang w:eastAsia="en-GB"/>
              </w:rPr>
              <w:t xml:space="preserve">Specifický cíl </w:t>
            </w:r>
          </w:p>
        </w:tc>
        <w:tc>
          <w:tcPr>
            <w:tcW w:w="371" w:type="pct"/>
            <w:shd w:val="clear" w:color="auto" w:fill="002060"/>
          </w:tcPr>
          <w:p w:rsidR="005F2B06" w:rsidRPr="00B56F84" w:rsidRDefault="005F2B06" w:rsidP="00CB0BDB">
            <w:pPr>
              <w:pStyle w:val="Text1"/>
              <w:ind w:left="0"/>
              <w:jc w:val="center"/>
              <w:rPr>
                <w:b/>
                <w:noProof/>
                <w:color w:val="FFFFFF" w:themeColor="background1"/>
                <w:sz w:val="18"/>
                <w:szCs w:val="18"/>
              </w:rPr>
            </w:pPr>
            <w:r w:rsidRPr="00B56F84">
              <w:rPr>
                <w:b/>
                <w:noProof/>
                <w:color w:val="FFFFFF" w:themeColor="background1"/>
                <w:sz w:val="18"/>
                <w:szCs w:val="18"/>
              </w:rPr>
              <w:t>Fond</w:t>
            </w:r>
          </w:p>
        </w:tc>
        <w:tc>
          <w:tcPr>
            <w:tcW w:w="736" w:type="pct"/>
            <w:shd w:val="clear" w:color="auto" w:fill="002060"/>
          </w:tcPr>
          <w:p w:rsidR="005F2B06" w:rsidRPr="00B56F84" w:rsidRDefault="005F2B06" w:rsidP="00CB0BDB">
            <w:pPr>
              <w:pStyle w:val="Text1"/>
              <w:ind w:left="0"/>
              <w:jc w:val="center"/>
              <w:rPr>
                <w:b/>
                <w:noProof/>
                <w:color w:val="FFFFFF" w:themeColor="background1"/>
                <w:sz w:val="18"/>
                <w:szCs w:val="18"/>
              </w:rPr>
            </w:pPr>
            <w:r w:rsidRPr="00B56F84">
              <w:rPr>
                <w:b/>
                <w:noProof/>
                <w:color w:val="FFFFFF" w:themeColor="background1"/>
                <w:sz w:val="18"/>
                <w:szCs w:val="18"/>
              </w:rPr>
              <w:t>Kategorie regionu</w:t>
            </w:r>
          </w:p>
        </w:tc>
        <w:tc>
          <w:tcPr>
            <w:tcW w:w="474" w:type="pct"/>
            <w:shd w:val="clear" w:color="auto" w:fill="002060"/>
          </w:tcPr>
          <w:p w:rsidR="005F2B06" w:rsidRPr="00B56F84" w:rsidRDefault="005F2B06" w:rsidP="00CB0BDB">
            <w:pPr>
              <w:pStyle w:val="Text1"/>
              <w:ind w:left="0"/>
              <w:jc w:val="center"/>
              <w:rPr>
                <w:b/>
                <w:noProof/>
                <w:color w:val="FFFFFF" w:themeColor="background1"/>
                <w:sz w:val="18"/>
                <w:szCs w:val="18"/>
              </w:rPr>
            </w:pPr>
            <w:r w:rsidRPr="00B56F84">
              <w:rPr>
                <w:b/>
                <w:noProof/>
                <w:color w:val="FFFFFF" w:themeColor="background1"/>
                <w:sz w:val="18"/>
                <w:szCs w:val="18"/>
              </w:rPr>
              <w:t>ID</w:t>
            </w:r>
          </w:p>
        </w:tc>
        <w:tc>
          <w:tcPr>
            <w:tcW w:w="1077" w:type="pct"/>
            <w:shd w:val="clear" w:color="auto" w:fill="002060"/>
          </w:tcPr>
          <w:p w:rsidR="005F2B06" w:rsidRPr="00B56F84" w:rsidRDefault="005F2B06" w:rsidP="00CB0BDB">
            <w:pPr>
              <w:pStyle w:val="Text1"/>
              <w:ind w:left="0"/>
              <w:jc w:val="center"/>
              <w:rPr>
                <w:b/>
                <w:noProof/>
                <w:color w:val="FFFFFF" w:themeColor="background1"/>
                <w:sz w:val="18"/>
                <w:szCs w:val="18"/>
              </w:rPr>
            </w:pPr>
            <w:r w:rsidRPr="00B56F84">
              <w:rPr>
                <w:b/>
                <w:noProof/>
                <w:color w:val="FFFFFF" w:themeColor="background1"/>
                <w:sz w:val="18"/>
                <w:szCs w:val="18"/>
              </w:rPr>
              <w:t>Ukazatel</w:t>
            </w:r>
          </w:p>
        </w:tc>
        <w:tc>
          <w:tcPr>
            <w:tcW w:w="538" w:type="pct"/>
            <w:shd w:val="clear" w:color="auto" w:fill="002060"/>
          </w:tcPr>
          <w:p w:rsidR="005F2B06" w:rsidRPr="00B56F84" w:rsidRDefault="005F2B06" w:rsidP="00CB0BDB">
            <w:pPr>
              <w:pStyle w:val="Text1"/>
              <w:ind w:left="0"/>
              <w:jc w:val="center"/>
              <w:rPr>
                <w:b/>
                <w:noProof/>
                <w:color w:val="FFFFFF" w:themeColor="background1"/>
                <w:sz w:val="18"/>
                <w:szCs w:val="18"/>
              </w:rPr>
            </w:pPr>
            <w:r w:rsidRPr="00B56F84">
              <w:rPr>
                <w:b/>
                <w:noProof/>
                <w:color w:val="FFFFFF" w:themeColor="background1"/>
                <w:sz w:val="18"/>
                <w:szCs w:val="18"/>
              </w:rPr>
              <w:t>Jednotka měření</w:t>
            </w:r>
          </w:p>
        </w:tc>
        <w:tc>
          <w:tcPr>
            <w:tcW w:w="491" w:type="pct"/>
            <w:shd w:val="clear" w:color="auto" w:fill="002060"/>
          </w:tcPr>
          <w:p w:rsidR="005F2B06" w:rsidRPr="00B56F84" w:rsidRDefault="005F2B06" w:rsidP="00CB0BDB">
            <w:pPr>
              <w:pStyle w:val="Text1"/>
              <w:ind w:left="0"/>
              <w:jc w:val="center"/>
              <w:rPr>
                <w:b/>
                <w:noProof/>
                <w:color w:val="FFFFFF" w:themeColor="background1"/>
                <w:sz w:val="18"/>
                <w:szCs w:val="18"/>
              </w:rPr>
            </w:pPr>
            <w:r w:rsidRPr="00B56F84">
              <w:rPr>
                <w:b/>
                <w:noProof/>
                <w:color w:val="FFFFFF" w:themeColor="background1"/>
                <w:sz w:val="18"/>
                <w:szCs w:val="18"/>
              </w:rPr>
              <w:t>Milník (2024)</w:t>
            </w:r>
          </w:p>
        </w:tc>
        <w:tc>
          <w:tcPr>
            <w:tcW w:w="361" w:type="pct"/>
            <w:shd w:val="clear" w:color="auto" w:fill="002060"/>
          </w:tcPr>
          <w:p w:rsidR="005F2B06" w:rsidRPr="00B56F84" w:rsidRDefault="005F2B06" w:rsidP="00CB0BDB">
            <w:pPr>
              <w:pStyle w:val="Text1"/>
              <w:ind w:left="0"/>
              <w:jc w:val="center"/>
              <w:rPr>
                <w:b/>
                <w:noProof/>
                <w:color w:val="FFFFFF" w:themeColor="background1"/>
                <w:sz w:val="18"/>
                <w:szCs w:val="18"/>
              </w:rPr>
            </w:pPr>
            <w:r w:rsidRPr="00B56F84">
              <w:rPr>
                <w:b/>
                <w:noProof/>
                <w:color w:val="FFFFFF" w:themeColor="background1"/>
                <w:sz w:val="18"/>
                <w:szCs w:val="18"/>
              </w:rPr>
              <w:t>Cíl (2029)</w:t>
            </w:r>
          </w:p>
        </w:tc>
      </w:tr>
      <w:tr w:rsidR="00B631E7" w:rsidRPr="00193556" w:rsidTr="00416BD3">
        <w:trPr>
          <w:trHeight w:val="226"/>
          <w:jc w:val="center"/>
        </w:trPr>
        <w:tc>
          <w:tcPr>
            <w:tcW w:w="429" w:type="pct"/>
            <w:vMerge w:val="restart"/>
            <w:shd w:val="clear" w:color="auto" w:fill="DEEAF6" w:themeFill="accent5" w:themeFillTint="33"/>
          </w:tcPr>
          <w:p w:rsidR="005F2B06" w:rsidRPr="00C34E1E" w:rsidRDefault="005F2B06" w:rsidP="00401FA4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  <w:r w:rsidRPr="005F2B06"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  <w:t>P1</w:t>
            </w:r>
          </w:p>
        </w:tc>
        <w:tc>
          <w:tcPr>
            <w:tcW w:w="522" w:type="pct"/>
            <w:vMerge w:val="restart"/>
            <w:shd w:val="clear" w:color="auto" w:fill="DEEAF6" w:themeFill="accent5" w:themeFillTint="33"/>
          </w:tcPr>
          <w:p w:rsidR="005F2B06" w:rsidRPr="005F2B06" w:rsidRDefault="008F0B76" w:rsidP="00401FA4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  <w:t>1.1</w:t>
            </w:r>
          </w:p>
          <w:p w:rsidR="005F2B06" w:rsidRPr="005F2B06" w:rsidRDefault="005F2B06" w:rsidP="00401FA4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</w:p>
        </w:tc>
        <w:tc>
          <w:tcPr>
            <w:tcW w:w="371" w:type="pct"/>
            <w:vMerge w:val="restart"/>
            <w:shd w:val="clear" w:color="auto" w:fill="DEEAF6" w:themeFill="accent5" w:themeFillTint="33"/>
          </w:tcPr>
          <w:p w:rsidR="005F2B06" w:rsidRPr="005F2B06" w:rsidRDefault="005F2B06" w:rsidP="00401FA4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  <w:r w:rsidRPr="005F2B06"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  <w:t>ERDF</w:t>
            </w:r>
          </w:p>
        </w:tc>
        <w:tc>
          <w:tcPr>
            <w:tcW w:w="736" w:type="pct"/>
            <w:shd w:val="clear" w:color="auto" w:fill="DEEAF6" w:themeFill="accent5" w:themeFillTint="33"/>
          </w:tcPr>
          <w:p w:rsidR="005F2B06" w:rsidRPr="005F2B06" w:rsidRDefault="005F2B06" w:rsidP="00401FA4">
            <w:pPr>
              <w:spacing w:before="0" w:after="0" w:line="276" w:lineRule="auto"/>
              <w:rPr>
                <w:color w:val="000000"/>
                <w:sz w:val="18"/>
                <w:szCs w:val="18"/>
                <w:lang w:eastAsia="cs-CZ" w:bidi="cs-CZ"/>
              </w:rPr>
            </w:pPr>
            <w:r w:rsidRPr="005F2B06">
              <w:rPr>
                <w:color w:val="000000"/>
                <w:sz w:val="18"/>
                <w:szCs w:val="18"/>
                <w:lang w:eastAsia="cs-CZ" w:bidi="cs-CZ"/>
              </w:rPr>
              <w:t>Více rozvinuté</w:t>
            </w:r>
          </w:p>
        </w:tc>
        <w:tc>
          <w:tcPr>
            <w:tcW w:w="474" w:type="pct"/>
            <w:vMerge w:val="restart"/>
            <w:shd w:val="clear" w:color="auto" w:fill="DEEAF6" w:themeFill="accent5" w:themeFillTint="33"/>
          </w:tcPr>
          <w:p w:rsidR="005F2B06" w:rsidRPr="005F2B06" w:rsidRDefault="005F2B06" w:rsidP="00401FA4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  <w:r w:rsidRPr="005F2B06"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  <w:t xml:space="preserve">RCO 06 </w:t>
            </w:r>
          </w:p>
        </w:tc>
        <w:tc>
          <w:tcPr>
            <w:tcW w:w="1077" w:type="pct"/>
            <w:vMerge w:val="restart"/>
            <w:shd w:val="clear" w:color="auto" w:fill="DEEAF6" w:themeFill="accent5" w:themeFillTint="33"/>
            <w:vAlign w:val="center"/>
          </w:tcPr>
          <w:p w:rsidR="005F2B06" w:rsidRPr="005F2B06" w:rsidRDefault="005F2B06" w:rsidP="00401FA4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  <w:r w:rsidRPr="005F2B06"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  <w:t>Výzkumní pracovníci, kteří pracují v</w:t>
            </w:r>
            <w:r w:rsidR="00CB0BDB"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  <w:t> </w:t>
            </w:r>
            <w:r w:rsidRPr="005F2B06"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  <w:t>podporovaných výzkumných zařízeních</w:t>
            </w:r>
          </w:p>
        </w:tc>
        <w:tc>
          <w:tcPr>
            <w:tcW w:w="538" w:type="pct"/>
            <w:vMerge w:val="restart"/>
            <w:shd w:val="clear" w:color="auto" w:fill="DEEAF6" w:themeFill="accent5" w:themeFillTint="33"/>
            <w:vAlign w:val="center"/>
          </w:tcPr>
          <w:p w:rsidR="005F2B06" w:rsidRPr="005F2B06" w:rsidRDefault="00873BAA" w:rsidP="00401FA4">
            <w:pPr>
              <w:pStyle w:val="Text1"/>
              <w:spacing w:before="0" w:after="0" w:line="276" w:lineRule="auto"/>
              <w:ind w:left="0"/>
              <w:jc w:val="center"/>
              <w:rPr>
                <w:color w:val="000000"/>
                <w:sz w:val="18"/>
                <w:szCs w:val="18"/>
                <w:lang w:eastAsia="cs-CZ" w:bidi="cs-CZ"/>
              </w:rPr>
            </w:pPr>
            <w:r>
              <w:rPr>
                <w:color w:val="000000"/>
                <w:sz w:val="18"/>
                <w:szCs w:val="18"/>
                <w:lang w:eastAsia="cs-CZ" w:bidi="cs-CZ"/>
              </w:rPr>
              <w:t>Roční FTE</w:t>
            </w:r>
          </w:p>
        </w:tc>
        <w:tc>
          <w:tcPr>
            <w:tcW w:w="491" w:type="pct"/>
            <w:shd w:val="clear" w:color="auto" w:fill="DEEAF6" w:themeFill="accent5" w:themeFillTint="33"/>
            <w:vAlign w:val="center"/>
          </w:tcPr>
          <w:p w:rsidR="005F2B06" w:rsidRPr="000F592A" w:rsidRDefault="00BA3E84" w:rsidP="00401FA4">
            <w:pPr>
              <w:pStyle w:val="Text1"/>
              <w:spacing w:before="0" w:after="0" w:line="276" w:lineRule="auto"/>
              <w:ind w:left="0"/>
              <w:jc w:val="center"/>
              <w:rPr>
                <w:i/>
                <w:noProof/>
                <w:sz w:val="18"/>
                <w:szCs w:val="18"/>
              </w:rPr>
            </w:pPr>
            <w:r w:rsidRPr="000F592A">
              <w:rPr>
                <w:noProof/>
                <w:sz w:val="18"/>
                <w:szCs w:val="18"/>
              </w:rPr>
              <w:t>-</w:t>
            </w:r>
          </w:p>
        </w:tc>
        <w:tc>
          <w:tcPr>
            <w:tcW w:w="361" w:type="pct"/>
            <w:shd w:val="clear" w:color="auto" w:fill="DEEAF6" w:themeFill="accent5" w:themeFillTint="33"/>
            <w:vAlign w:val="center"/>
          </w:tcPr>
          <w:p w:rsidR="005F2B06" w:rsidRPr="000F592A" w:rsidRDefault="005F2B06" w:rsidP="00401FA4">
            <w:pPr>
              <w:pStyle w:val="Text1"/>
              <w:spacing w:before="0" w:after="0" w:line="276" w:lineRule="auto"/>
              <w:ind w:left="0"/>
              <w:jc w:val="right"/>
              <w:rPr>
                <w:noProof/>
                <w:sz w:val="18"/>
                <w:szCs w:val="18"/>
              </w:rPr>
            </w:pPr>
            <w:r w:rsidRPr="000F592A">
              <w:rPr>
                <w:noProof/>
                <w:sz w:val="18"/>
                <w:szCs w:val="18"/>
              </w:rPr>
              <w:t>195</w:t>
            </w:r>
          </w:p>
        </w:tc>
      </w:tr>
      <w:tr w:rsidR="00B631E7" w:rsidRPr="00193556" w:rsidTr="00416BD3">
        <w:trPr>
          <w:trHeight w:val="203"/>
          <w:jc w:val="center"/>
        </w:trPr>
        <w:tc>
          <w:tcPr>
            <w:tcW w:w="429" w:type="pct"/>
            <w:vMerge/>
            <w:shd w:val="clear" w:color="auto" w:fill="DEEAF6" w:themeFill="accent5" w:themeFillTint="33"/>
          </w:tcPr>
          <w:p w:rsidR="005F2B06" w:rsidRPr="005F2B06" w:rsidRDefault="005F2B06" w:rsidP="00401FA4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522" w:type="pct"/>
            <w:vMerge/>
            <w:shd w:val="clear" w:color="auto" w:fill="DEEAF6" w:themeFill="accent5" w:themeFillTint="33"/>
          </w:tcPr>
          <w:p w:rsidR="005F2B06" w:rsidRPr="005F2B06" w:rsidRDefault="005F2B06" w:rsidP="00401FA4">
            <w:pPr>
              <w:pStyle w:val="Text1"/>
              <w:spacing w:before="0" w:after="0" w:line="276" w:lineRule="auto"/>
              <w:ind w:left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371" w:type="pct"/>
            <w:vMerge/>
            <w:shd w:val="clear" w:color="auto" w:fill="DEEAF6" w:themeFill="accent5" w:themeFillTint="33"/>
          </w:tcPr>
          <w:p w:rsidR="005F2B06" w:rsidRPr="005F2B06" w:rsidRDefault="005F2B06" w:rsidP="00401FA4">
            <w:pPr>
              <w:pStyle w:val="Text1"/>
              <w:spacing w:before="0" w:after="0" w:line="276" w:lineRule="auto"/>
              <w:ind w:left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736" w:type="pct"/>
            <w:shd w:val="clear" w:color="auto" w:fill="DEEAF6" w:themeFill="accent5" w:themeFillTint="33"/>
          </w:tcPr>
          <w:p w:rsidR="005F2B06" w:rsidRPr="005F2B06" w:rsidRDefault="005F2B06" w:rsidP="00401FA4">
            <w:pPr>
              <w:spacing w:before="0" w:after="0" w:line="276" w:lineRule="auto"/>
              <w:rPr>
                <w:color w:val="000000"/>
                <w:sz w:val="18"/>
                <w:szCs w:val="18"/>
                <w:lang w:eastAsia="cs-CZ" w:bidi="cs-CZ"/>
              </w:rPr>
            </w:pPr>
            <w:r w:rsidRPr="005F2B06">
              <w:rPr>
                <w:color w:val="000000"/>
                <w:sz w:val="18"/>
                <w:szCs w:val="18"/>
                <w:lang w:eastAsia="cs-CZ" w:bidi="cs-CZ"/>
              </w:rPr>
              <w:t>Přechodové</w:t>
            </w:r>
          </w:p>
        </w:tc>
        <w:tc>
          <w:tcPr>
            <w:tcW w:w="474" w:type="pct"/>
            <w:vMerge/>
            <w:shd w:val="clear" w:color="auto" w:fill="DEEAF6" w:themeFill="accent5" w:themeFillTint="33"/>
          </w:tcPr>
          <w:p w:rsidR="005F2B06" w:rsidRPr="005F2B06" w:rsidRDefault="005F2B06" w:rsidP="00401FA4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</w:p>
        </w:tc>
        <w:tc>
          <w:tcPr>
            <w:tcW w:w="1077" w:type="pct"/>
            <w:vMerge/>
            <w:shd w:val="clear" w:color="auto" w:fill="DEEAF6" w:themeFill="accent5" w:themeFillTint="33"/>
            <w:vAlign w:val="center"/>
          </w:tcPr>
          <w:p w:rsidR="005F2B06" w:rsidRPr="005F2B06" w:rsidRDefault="005F2B06" w:rsidP="00401FA4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</w:p>
        </w:tc>
        <w:tc>
          <w:tcPr>
            <w:tcW w:w="538" w:type="pct"/>
            <w:vMerge/>
            <w:shd w:val="clear" w:color="auto" w:fill="DEEAF6" w:themeFill="accent5" w:themeFillTint="33"/>
            <w:vAlign w:val="center"/>
          </w:tcPr>
          <w:p w:rsidR="005F2B06" w:rsidRPr="005F2B06" w:rsidRDefault="005F2B06" w:rsidP="00401FA4">
            <w:pPr>
              <w:pStyle w:val="Text1"/>
              <w:spacing w:before="0" w:after="0" w:line="276" w:lineRule="auto"/>
              <w:ind w:left="0"/>
              <w:jc w:val="center"/>
              <w:rPr>
                <w:color w:val="000000"/>
                <w:sz w:val="18"/>
                <w:szCs w:val="18"/>
                <w:lang w:eastAsia="cs-CZ" w:bidi="cs-CZ"/>
              </w:rPr>
            </w:pPr>
          </w:p>
        </w:tc>
        <w:tc>
          <w:tcPr>
            <w:tcW w:w="491" w:type="pct"/>
            <w:shd w:val="clear" w:color="auto" w:fill="DEEAF6" w:themeFill="accent5" w:themeFillTint="33"/>
            <w:vAlign w:val="center"/>
          </w:tcPr>
          <w:p w:rsidR="005F2B06" w:rsidRPr="000F592A" w:rsidRDefault="00BA3E84" w:rsidP="00401FA4">
            <w:pPr>
              <w:pStyle w:val="Text1"/>
              <w:spacing w:before="0" w:after="0" w:line="276" w:lineRule="auto"/>
              <w:ind w:left="0"/>
              <w:jc w:val="center"/>
              <w:rPr>
                <w:i/>
                <w:noProof/>
                <w:sz w:val="18"/>
                <w:szCs w:val="18"/>
              </w:rPr>
            </w:pPr>
            <w:r w:rsidRPr="000F592A">
              <w:rPr>
                <w:noProof/>
                <w:sz w:val="18"/>
                <w:szCs w:val="18"/>
              </w:rPr>
              <w:t>-</w:t>
            </w:r>
          </w:p>
        </w:tc>
        <w:tc>
          <w:tcPr>
            <w:tcW w:w="361" w:type="pct"/>
            <w:shd w:val="clear" w:color="auto" w:fill="DEEAF6" w:themeFill="accent5" w:themeFillTint="33"/>
            <w:vAlign w:val="center"/>
          </w:tcPr>
          <w:p w:rsidR="005F2B06" w:rsidRPr="000F592A" w:rsidRDefault="005F2B06" w:rsidP="00401FA4">
            <w:pPr>
              <w:pStyle w:val="Text1"/>
              <w:spacing w:before="0" w:after="0" w:line="276" w:lineRule="auto"/>
              <w:ind w:left="0"/>
              <w:jc w:val="right"/>
              <w:rPr>
                <w:noProof/>
                <w:sz w:val="18"/>
                <w:szCs w:val="18"/>
              </w:rPr>
            </w:pPr>
            <w:r w:rsidRPr="000F592A">
              <w:rPr>
                <w:noProof/>
                <w:sz w:val="18"/>
                <w:szCs w:val="18"/>
              </w:rPr>
              <w:t>362</w:t>
            </w:r>
          </w:p>
        </w:tc>
      </w:tr>
      <w:tr w:rsidR="00B631E7" w:rsidRPr="00193556" w:rsidTr="00416BD3">
        <w:trPr>
          <w:trHeight w:val="358"/>
          <w:jc w:val="center"/>
        </w:trPr>
        <w:tc>
          <w:tcPr>
            <w:tcW w:w="429" w:type="pct"/>
            <w:vMerge/>
            <w:shd w:val="clear" w:color="auto" w:fill="DEEAF6" w:themeFill="accent5" w:themeFillTint="33"/>
          </w:tcPr>
          <w:p w:rsidR="005F2B06" w:rsidRPr="005F2B06" w:rsidRDefault="005F2B06" w:rsidP="00401FA4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522" w:type="pct"/>
            <w:vMerge/>
            <w:shd w:val="clear" w:color="auto" w:fill="DEEAF6" w:themeFill="accent5" w:themeFillTint="33"/>
          </w:tcPr>
          <w:p w:rsidR="005F2B06" w:rsidRPr="005F2B06" w:rsidRDefault="005F2B06" w:rsidP="00401FA4">
            <w:pPr>
              <w:pStyle w:val="Text1"/>
              <w:spacing w:before="0" w:after="0" w:line="276" w:lineRule="auto"/>
              <w:ind w:left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371" w:type="pct"/>
            <w:vMerge/>
            <w:shd w:val="clear" w:color="auto" w:fill="DEEAF6" w:themeFill="accent5" w:themeFillTint="33"/>
          </w:tcPr>
          <w:p w:rsidR="005F2B06" w:rsidRPr="005F2B06" w:rsidRDefault="005F2B06" w:rsidP="00401FA4">
            <w:pPr>
              <w:pStyle w:val="Text1"/>
              <w:spacing w:before="0" w:after="0" w:line="276" w:lineRule="auto"/>
              <w:ind w:left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736" w:type="pct"/>
            <w:shd w:val="clear" w:color="auto" w:fill="DEEAF6" w:themeFill="accent5" w:themeFillTint="33"/>
          </w:tcPr>
          <w:p w:rsidR="005F2B06" w:rsidRPr="005F2B06" w:rsidRDefault="005F2B06" w:rsidP="00401FA4">
            <w:pPr>
              <w:spacing w:before="0" w:after="0" w:line="276" w:lineRule="auto"/>
              <w:rPr>
                <w:color w:val="000000"/>
                <w:sz w:val="18"/>
                <w:szCs w:val="18"/>
                <w:lang w:eastAsia="cs-CZ" w:bidi="cs-CZ"/>
              </w:rPr>
            </w:pPr>
            <w:r w:rsidRPr="005F2B06">
              <w:rPr>
                <w:color w:val="000000"/>
                <w:sz w:val="18"/>
                <w:szCs w:val="18"/>
                <w:lang w:eastAsia="cs-CZ" w:bidi="cs-CZ"/>
              </w:rPr>
              <w:t>Méně rozvinuté</w:t>
            </w:r>
          </w:p>
        </w:tc>
        <w:tc>
          <w:tcPr>
            <w:tcW w:w="474" w:type="pct"/>
            <w:vMerge/>
            <w:shd w:val="clear" w:color="auto" w:fill="DEEAF6" w:themeFill="accent5" w:themeFillTint="33"/>
          </w:tcPr>
          <w:p w:rsidR="005F2B06" w:rsidRPr="005F2B06" w:rsidRDefault="005F2B06" w:rsidP="00401FA4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</w:p>
        </w:tc>
        <w:tc>
          <w:tcPr>
            <w:tcW w:w="1077" w:type="pct"/>
            <w:vMerge/>
            <w:shd w:val="clear" w:color="auto" w:fill="DEEAF6" w:themeFill="accent5" w:themeFillTint="33"/>
            <w:vAlign w:val="center"/>
          </w:tcPr>
          <w:p w:rsidR="005F2B06" w:rsidRPr="005F2B06" w:rsidRDefault="005F2B06" w:rsidP="00401FA4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</w:p>
        </w:tc>
        <w:tc>
          <w:tcPr>
            <w:tcW w:w="538" w:type="pct"/>
            <w:vMerge/>
            <w:shd w:val="clear" w:color="auto" w:fill="DEEAF6" w:themeFill="accent5" w:themeFillTint="33"/>
            <w:vAlign w:val="center"/>
          </w:tcPr>
          <w:p w:rsidR="005F2B06" w:rsidRPr="005F2B06" w:rsidRDefault="005F2B06" w:rsidP="00401FA4">
            <w:pPr>
              <w:pStyle w:val="Text1"/>
              <w:spacing w:before="0" w:after="0" w:line="276" w:lineRule="auto"/>
              <w:ind w:left="0"/>
              <w:jc w:val="center"/>
              <w:rPr>
                <w:color w:val="000000"/>
                <w:sz w:val="18"/>
                <w:szCs w:val="18"/>
                <w:lang w:eastAsia="cs-CZ" w:bidi="cs-CZ"/>
              </w:rPr>
            </w:pPr>
          </w:p>
        </w:tc>
        <w:tc>
          <w:tcPr>
            <w:tcW w:w="491" w:type="pct"/>
            <w:shd w:val="clear" w:color="auto" w:fill="DEEAF6" w:themeFill="accent5" w:themeFillTint="33"/>
            <w:vAlign w:val="center"/>
          </w:tcPr>
          <w:p w:rsidR="005F2B06" w:rsidRPr="000F592A" w:rsidRDefault="00BA3E84" w:rsidP="00401FA4">
            <w:pPr>
              <w:pStyle w:val="Text1"/>
              <w:spacing w:before="0" w:after="0" w:line="276" w:lineRule="auto"/>
              <w:ind w:left="0"/>
              <w:jc w:val="center"/>
              <w:rPr>
                <w:i/>
                <w:noProof/>
                <w:sz w:val="18"/>
                <w:szCs w:val="18"/>
              </w:rPr>
            </w:pPr>
            <w:r w:rsidRPr="000F592A">
              <w:rPr>
                <w:noProof/>
                <w:sz w:val="18"/>
                <w:szCs w:val="18"/>
              </w:rPr>
              <w:t>-</w:t>
            </w:r>
          </w:p>
        </w:tc>
        <w:tc>
          <w:tcPr>
            <w:tcW w:w="361" w:type="pct"/>
            <w:shd w:val="clear" w:color="auto" w:fill="DEEAF6" w:themeFill="accent5" w:themeFillTint="33"/>
            <w:vAlign w:val="center"/>
          </w:tcPr>
          <w:p w:rsidR="005F2B06" w:rsidRPr="000F592A" w:rsidRDefault="005F2B06" w:rsidP="00401FA4">
            <w:pPr>
              <w:pStyle w:val="Text1"/>
              <w:spacing w:before="0" w:after="0" w:line="276" w:lineRule="auto"/>
              <w:ind w:left="0"/>
              <w:jc w:val="right"/>
              <w:rPr>
                <w:noProof/>
                <w:sz w:val="18"/>
                <w:szCs w:val="18"/>
              </w:rPr>
            </w:pPr>
            <w:r w:rsidRPr="000F592A">
              <w:rPr>
                <w:noProof/>
                <w:sz w:val="18"/>
                <w:szCs w:val="18"/>
              </w:rPr>
              <w:t>372</w:t>
            </w:r>
          </w:p>
        </w:tc>
      </w:tr>
      <w:tr w:rsidR="00B631E7" w:rsidRPr="00193556" w:rsidTr="00416BD3">
        <w:trPr>
          <w:trHeight w:val="58"/>
          <w:jc w:val="center"/>
        </w:trPr>
        <w:tc>
          <w:tcPr>
            <w:tcW w:w="429" w:type="pct"/>
            <w:vMerge/>
            <w:shd w:val="clear" w:color="auto" w:fill="DEEAF6" w:themeFill="accent5" w:themeFillTint="33"/>
          </w:tcPr>
          <w:p w:rsidR="005F2B06" w:rsidRPr="005F2B06" w:rsidRDefault="005F2B06" w:rsidP="00401FA4">
            <w:pPr>
              <w:pStyle w:val="Text1"/>
              <w:spacing w:before="0" w:after="0" w:line="276" w:lineRule="auto"/>
              <w:ind w:left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522" w:type="pct"/>
            <w:vMerge/>
            <w:shd w:val="clear" w:color="auto" w:fill="DEEAF6" w:themeFill="accent5" w:themeFillTint="33"/>
          </w:tcPr>
          <w:p w:rsidR="005F2B06" w:rsidRPr="005F2B06" w:rsidRDefault="005F2B06" w:rsidP="00401FA4">
            <w:pPr>
              <w:pStyle w:val="Text1"/>
              <w:spacing w:before="0" w:after="0" w:line="276" w:lineRule="auto"/>
              <w:ind w:left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371" w:type="pct"/>
            <w:vMerge/>
            <w:shd w:val="clear" w:color="auto" w:fill="DEEAF6" w:themeFill="accent5" w:themeFillTint="33"/>
          </w:tcPr>
          <w:p w:rsidR="005F2B06" w:rsidRPr="005F2B06" w:rsidRDefault="005F2B06" w:rsidP="00401FA4">
            <w:pPr>
              <w:pStyle w:val="Text1"/>
              <w:spacing w:before="0" w:after="0" w:line="276" w:lineRule="auto"/>
              <w:ind w:left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736" w:type="pct"/>
            <w:shd w:val="clear" w:color="auto" w:fill="DEEAF6" w:themeFill="accent5" w:themeFillTint="33"/>
          </w:tcPr>
          <w:p w:rsidR="005F2B06" w:rsidRPr="005F2B06" w:rsidRDefault="005F2B06" w:rsidP="00401FA4">
            <w:pPr>
              <w:spacing w:before="0" w:after="0" w:line="276" w:lineRule="auto"/>
              <w:rPr>
                <w:color w:val="000000"/>
                <w:sz w:val="18"/>
                <w:szCs w:val="18"/>
                <w:lang w:eastAsia="cs-CZ" w:bidi="cs-CZ"/>
              </w:rPr>
            </w:pPr>
            <w:r w:rsidRPr="005F2B06">
              <w:rPr>
                <w:color w:val="000000"/>
                <w:sz w:val="18"/>
                <w:szCs w:val="18"/>
                <w:lang w:eastAsia="cs-CZ" w:bidi="cs-CZ"/>
              </w:rPr>
              <w:t>Více rozvinuté</w:t>
            </w:r>
          </w:p>
        </w:tc>
        <w:tc>
          <w:tcPr>
            <w:tcW w:w="474" w:type="pct"/>
            <w:vMerge w:val="restart"/>
            <w:shd w:val="clear" w:color="auto" w:fill="DEEAF6" w:themeFill="accent5" w:themeFillTint="33"/>
          </w:tcPr>
          <w:p w:rsidR="005F2B06" w:rsidRPr="005F2B06" w:rsidRDefault="005F2B06" w:rsidP="00401FA4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</w:p>
        </w:tc>
        <w:tc>
          <w:tcPr>
            <w:tcW w:w="1077" w:type="pct"/>
            <w:vMerge w:val="restart"/>
            <w:shd w:val="clear" w:color="auto" w:fill="DEEAF6" w:themeFill="accent5" w:themeFillTint="33"/>
            <w:vAlign w:val="center"/>
          </w:tcPr>
          <w:p w:rsidR="005F2B06" w:rsidRPr="005F2B06" w:rsidRDefault="005F2B06" w:rsidP="00401FA4">
            <w:pPr>
              <w:pStyle w:val="Default"/>
              <w:spacing w:line="276" w:lineRule="auto"/>
              <w:rPr>
                <w:rFonts w:ascii="Times New Roman" w:hAnsi="Times New Roman" w:cs="Times New Roman"/>
                <w:strike/>
                <w:sz w:val="18"/>
                <w:szCs w:val="18"/>
                <w:lang w:eastAsia="cs-CZ" w:bidi="cs-CZ"/>
              </w:rPr>
            </w:pPr>
            <w:r w:rsidRPr="005F2B06"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  <w:t>Počet podpořených výzkumných organizací</w:t>
            </w:r>
          </w:p>
        </w:tc>
        <w:tc>
          <w:tcPr>
            <w:tcW w:w="538" w:type="pct"/>
            <w:vMerge w:val="restart"/>
            <w:shd w:val="clear" w:color="auto" w:fill="DEEAF6" w:themeFill="accent5" w:themeFillTint="33"/>
            <w:vAlign w:val="center"/>
          </w:tcPr>
          <w:p w:rsidR="005F2B06" w:rsidRPr="005F2B06" w:rsidRDefault="005F2B06" w:rsidP="00401FA4">
            <w:pPr>
              <w:pStyle w:val="Text1"/>
              <w:spacing w:before="0" w:after="0" w:line="276" w:lineRule="auto"/>
              <w:ind w:left="0"/>
              <w:jc w:val="center"/>
              <w:rPr>
                <w:color w:val="000000"/>
                <w:sz w:val="18"/>
                <w:szCs w:val="18"/>
                <w:lang w:eastAsia="cs-CZ" w:bidi="cs-CZ"/>
              </w:rPr>
            </w:pPr>
            <w:r w:rsidRPr="005F2B06">
              <w:rPr>
                <w:color w:val="000000"/>
                <w:sz w:val="18"/>
                <w:szCs w:val="18"/>
                <w:lang w:eastAsia="cs-CZ" w:bidi="cs-CZ"/>
              </w:rPr>
              <w:t>Organizace</w:t>
            </w:r>
          </w:p>
        </w:tc>
        <w:tc>
          <w:tcPr>
            <w:tcW w:w="491" w:type="pct"/>
            <w:shd w:val="clear" w:color="auto" w:fill="DEEAF6" w:themeFill="accent5" w:themeFillTint="33"/>
            <w:vAlign w:val="center"/>
          </w:tcPr>
          <w:p w:rsidR="005F2B06" w:rsidRPr="000F592A" w:rsidRDefault="00DD18D8" w:rsidP="00401FA4">
            <w:pPr>
              <w:pStyle w:val="Text1"/>
              <w:spacing w:before="0" w:after="0" w:line="276" w:lineRule="auto"/>
              <w:ind w:left="0"/>
              <w:jc w:val="center"/>
              <w:rPr>
                <w:noProof/>
                <w:sz w:val="18"/>
                <w:szCs w:val="18"/>
              </w:rPr>
            </w:pPr>
            <w:r w:rsidRPr="000F592A">
              <w:rPr>
                <w:noProof/>
                <w:sz w:val="18"/>
                <w:szCs w:val="18"/>
              </w:rPr>
              <w:t>-</w:t>
            </w:r>
          </w:p>
        </w:tc>
        <w:tc>
          <w:tcPr>
            <w:tcW w:w="361" w:type="pct"/>
            <w:shd w:val="clear" w:color="auto" w:fill="DEEAF6" w:themeFill="accent5" w:themeFillTint="33"/>
            <w:vAlign w:val="center"/>
          </w:tcPr>
          <w:p w:rsidR="005F2B06" w:rsidRPr="000F592A" w:rsidRDefault="005F2B06" w:rsidP="00401FA4">
            <w:pPr>
              <w:pStyle w:val="Text1"/>
              <w:spacing w:before="0" w:after="0" w:line="276" w:lineRule="auto"/>
              <w:ind w:left="0"/>
              <w:jc w:val="right"/>
              <w:rPr>
                <w:noProof/>
                <w:sz w:val="18"/>
                <w:szCs w:val="18"/>
              </w:rPr>
            </w:pPr>
            <w:r w:rsidRPr="000F592A">
              <w:rPr>
                <w:noProof/>
                <w:sz w:val="18"/>
                <w:szCs w:val="18"/>
              </w:rPr>
              <w:t>77</w:t>
            </w:r>
          </w:p>
        </w:tc>
      </w:tr>
      <w:tr w:rsidR="00B631E7" w:rsidRPr="00193556" w:rsidTr="00416BD3">
        <w:trPr>
          <w:trHeight w:val="132"/>
          <w:jc w:val="center"/>
        </w:trPr>
        <w:tc>
          <w:tcPr>
            <w:tcW w:w="429" w:type="pct"/>
            <w:vMerge/>
            <w:shd w:val="clear" w:color="auto" w:fill="DEEAF6" w:themeFill="accent5" w:themeFillTint="33"/>
          </w:tcPr>
          <w:p w:rsidR="005F2B06" w:rsidRPr="005F2B06" w:rsidRDefault="005F2B06" w:rsidP="00401FA4">
            <w:pPr>
              <w:pStyle w:val="Text1"/>
              <w:spacing w:before="0" w:after="0" w:line="276" w:lineRule="auto"/>
              <w:ind w:left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522" w:type="pct"/>
            <w:vMerge/>
            <w:shd w:val="clear" w:color="auto" w:fill="DEEAF6" w:themeFill="accent5" w:themeFillTint="33"/>
          </w:tcPr>
          <w:p w:rsidR="005F2B06" w:rsidRPr="005F2B06" w:rsidRDefault="005F2B06" w:rsidP="00401FA4">
            <w:pPr>
              <w:pStyle w:val="Text1"/>
              <w:spacing w:before="0" w:after="0" w:line="276" w:lineRule="auto"/>
              <w:ind w:left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371" w:type="pct"/>
            <w:vMerge/>
            <w:shd w:val="clear" w:color="auto" w:fill="DEEAF6" w:themeFill="accent5" w:themeFillTint="33"/>
          </w:tcPr>
          <w:p w:rsidR="005F2B06" w:rsidRPr="005F2B06" w:rsidRDefault="005F2B06" w:rsidP="00401FA4">
            <w:pPr>
              <w:pStyle w:val="Text1"/>
              <w:spacing w:before="0" w:after="0" w:line="276" w:lineRule="auto"/>
              <w:ind w:left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736" w:type="pct"/>
            <w:shd w:val="clear" w:color="auto" w:fill="DEEAF6" w:themeFill="accent5" w:themeFillTint="33"/>
          </w:tcPr>
          <w:p w:rsidR="005F2B06" w:rsidRPr="005F2B06" w:rsidRDefault="005F2B06" w:rsidP="00401FA4">
            <w:pPr>
              <w:spacing w:before="0" w:after="0" w:line="276" w:lineRule="auto"/>
              <w:rPr>
                <w:color w:val="000000"/>
                <w:sz w:val="18"/>
                <w:szCs w:val="18"/>
                <w:lang w:eastAsia="cs-CZ" w:bidi="cs-CZ"/>
              </w:rPr>
            </w:pPr>
            <w:r w:rsidRPr="005F2B06">
              <w:rPr>
                <w:color w:val="000000"/>
                <w:sz w:val="18"/>
                <w:szCs w:val="18"/>
                <w:lang w:eastAsia="cs-CZ" w:bidi="cs-CZ"/>
              </w:rPr>
              <w:t>Přechodové</w:t>
            </w:r>
          </w:p>
        </w:tc>
        <w:tc>
          <w:tcPr>
            <w:tcW w:w="474" w:type="pct"/>
            <w:vMerge/>
            <w:shd w:val="clear" w:color="auto" w:fill="DEEAF6" w:themeFill="accent5" w:themeFillTint="33"/>
          </w:tcPr>
          <w:p w:rsidR="005F2B06" w:rsidRPr="005F2B06" w:rsidRDefault="005F2B06" w:rsidP="00401FA4">
            <w:pPr>
              <w:pStyle w:val="Default"/>
              <w:spacing w:line="276" w:lineRule="auto"/>
              <w:rPr>
                <w:rFonts w:ascii="Times New Roman" w:hAnsi="Times New Roman" w:cs="Times New Roman"/>
                <w:strike/>
                <w:sz w:val="18"/>
                <w:szCs w:val="18"/>
                <w:lang w:eastAsia="cs-CZ" w:bidi="cs-CZ"/>
              </w:rPr>
            </w:pPr>
          </w:p>
        </w:tc>
        <w:tc>
          <w:tcPr>
            <w:tcW w:w="1077" w:type="pct"/>
            <w:vMerge/>
            <w:shd w:val="clear" w:color="auto" w:fill="DEEAF6" w:themeFill="accent5" w:themeFillTint="33"/>
            <w:vAlign w:val="center"/>
          </w:tcPr>
          <w:p w:rsidR="005F2B06" w:rsidRPr="005F2B06" w:rsidRDefault="005F2B06" w:rsidP="00401FA4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trike/>
                <w:sz w:val="18"/>
                <w:szCs w:val="18"/>
                <w:lang w:eastAsia="cs-CZ" w:bidi="cs-CZ"/>
              </w:rPr>
            </w:pPr>
          </w:p>
        </w:tc>
        <w:tc>
          <w:tcPr>
            <w:tcW w:w="538" w:type="pct"/>
            <w:vMerge/>
            <w:shd w:val="clear" w:color="auto" w:fill="DEEAF6" w:themeFill="accent5" w:themeFillTint="33"/>
            <w:vAlign w:val="center"/>
          </w:tcPr>
          <w:p w:rsidR="005F2B06" w:rsidRPr="005F2B06" w:rsidRDefault="005F2B06" w:rsidP="00401FA4">
            <w:pPr>
              <w:pStyle w:val="Text1"/>
              <w:spacing w:before="0" w:after="0" w:line="276" w:lineRule="auto"/>
              <w:ind w:left="0"/>
              <w:jc w:val="center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491" w:type="pct"/>
            <w:shd w:val="clear" w:color="auto" w:fill="DEEAF6" w:themeFill="accent5" w:themeFillTint="33"/>
            <w:vAlign w:val="center"/>
          </w:tcPr>
          <w:p w:rsidR="005F2B06" w:rsidRPr="000F592A" w:rsidRDefault="00DD18D8" w:rsidP="00401FA4">
            <w:pPr>
              <w:pStyle w:val="Text1"/>
              <w:spacing w:before="0" w:after="0" w:line="276" w:lineRule="auto"/>
              <w:ind w:left="0"/>
              <w:jc w:val="center"/>
              <w:rPr>
                <w:noProof/>
                <w:sz w:val="18"/>
                <w:szCs w:val="18"/>
              </w:rPr>
            </w:pPr>
            <w:r w:rsidRPr="000F592A">
              <w:rPr>
                <w:noProof/>
                <w:sz w:val="18"/>
                <w:szCs w:val="18"/>
              </w:rPr>
              <w:t>-</w:t>
            </w:r>
          </w:p>
        </w:tc>
        <w:tc>
          <w:tcPr>
            <w:tcW w:w="361" w:type="pct"/>
            <w:shd w:val="clear" w:color="auto" w:fill="DEEAF6" w:themeFill="accent5" w:themeFillTint="33"/>
            <w:vAlign w:val="center"/>
          </w:tcPr>
          <w:p w:rsidR="005F2B06" w:rsidRPr="000F592A" w:rsidRDefault="005F2B06" w:rsidP="00401FA4">
            <w:pPr>
              <w:pStyle w:val="Text1"/>
              <w:spacing w:before="0" w:after="0" w:line="276" w:lineRule="auto"/>
              <w:ind w:left="0"/>
              <w:jc w:val="right"/>
              <w:rPr>
                <w:noProof/>
                <w:sz w:val="18"/>
                <w:szCs w:val="18"/>
              </w:rPr>
            </w:pPr>
            <w:r w:rsidRPr="000F592A">
              <w:rPr>
                <w:noProof/>
                <w:sz w:val="18"/>
                <w:szCs w:val="18"/>
              </w:rPr>
              <w:t>144</w:t>
            </w:r>
          </w:p>
        </w:tc>
      </w:tr>
      <w:tr w:rsidR="00B631E7" w:rsidRPr="00193556" w:rsidTr="00416BD3">
        <w:trPr>
          <w:trHeight w:val="77"/>
          <w:jc w:val="center"/>
        </w:trPr>
        <w:tc>
          <w:tcPr>
            <w:tcW w:w="429" w:type="pct"/>
            <w:vMerge/>
            <w:shd w:val="clear" w:color="auto" w:fill="DEEAF6" w:themeFill="accent5" w:themeFillTint="33"/>
          </w:tcPr>
          <w:p w:rsidR="005F2B06" w:rsidRPr="005F2B06" w:rsidRDefault="005F2B06" w:rsidP="00401FA4">
            <w:pPr>
              <w:pStyle w:val="Text1"/>
              <w:spacing w:before="0" w:after="0" w:line="276" w:lineRule="auto"/>
              <w:ind w:left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522" w:type="pct"/>
            <w:vMerge/>
            <w:shd w:val="clear" w:color="auto" w:fill="DEEAF6" w:themeFill="accent5" w:themeFillTint="33"/>
          </w:tcPr>
          <w:p w:rsidR="005F2B06" w:rsidRPr="005F2B06" w:rsidRDefault="005F2B06" w:rsidP="00401FA4">
            <w:pPr>
              <w:pStyle w:val="Text1"/>
              <w:spacing w:before="0" w:after="0" w:line="276" w:lineRule="auto"/>
              <w:ind w:left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371" w:type="pct"/>
            <w:vMerge/>
            <w:shd w:val="clear" w:color="auto" w:fill="DEEAF6" w:themeFill="accent5" w:themeFillTint="33"/>
          </w:tcPr>
          <w:p w:rsidR="005F2B06" w:rsidRPr="005F2B06" w:rsidRDefault="005F2B06" w:rsidP="00401FA4">
            <w:pPr>
              <w:pStyle w:val="Text1"/>
              <w:spacing w:before="0" w:after="0" w:line="276" w:lineRule="auto"/>
              <w:ind w:left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736" w:type="pct"/>
            <w:shd w:val="clear" w:color="auto" w:fill="DEEAF6" w:themeFill="accent5" w:themeFillTint="33"/>
          </w:tcPr>
          <w:p w:rsidR="005F2B06" w:rsidRPr="005F2B06" w:rsidRDefault="005F2B06" w:rsidP="00401FA4">
            <w:pPr>
              <w:spacing w:before="0" w:after="0" w:line="276" w:lineRule="auto"/>
              <w:rPr>
                <w:color w:val="000000"/>
                <w:sz w:val="18"/>
                <w:szCs w:val="18"/>
                <w:lang w:eastAsia="cs-CZ" w:bidi="cs-CZ"/>
              </w:rPr>
            </w:pPr>
            <w:r w:rsidRPr="005F2B06">
              <w:rPr>
                <w:color w:val="000000"/>
                <w:sz w:val="18"/>
                <w:szCs w:val="18"/>
                <w:lang w:eastAsia="cs-CZ" w:bidi="cs-CZ"/>
              </w:rPr>
              <w:t>Méně rozvinuté</w:t>
            </w:r>
          </w:p>
        </w:tc>
        <w:tc>
          <w:tcPr>
            <w:tcW w:w="474" w:type="pct"/>
            <w:vMerge/>
            <w:shd w:val="clear" w:color="auto" w:fill="DEEAF6" w:themeFill="accent5" w:themeFillTint="33"/>
          </w:tcPr>
          <w:p w:rsidR="005F2B06" w:rsidRPr="005F2B06" w:rsidRDefault="005F2B06" w:rsidP="00401FA4">
            <w:pPr>
              <w:pStyle w:val="Default"/>
              <w:spacing w:line="276" w:lineRule="auto"/>
              <w:rPr>
                <w:rFonts w:ascii="Times New Roman" w:hAnsi="Times New Roman" w:cs="Times New Roman"/>
                <w:strike/>
                <w:sz w:val="18"/>
                <w:szCs w:val="18"/>
                <w:lang w:eastAsia="cs-CZ" w:bidi="cs-CZ"/>
              </w:rPr>
            </w:pPr>
          </w:p>
        </w:tc>
        <w:tc>
          <w:tcPr>
            <w:tcW w:w="1077" w:type="pct"/>
            <w:vMerge/>
            <w:shd w:val="clear" w:color="auto" w:fill="DEEAF6" w:themeFill="accent5" w:themeFillTint="33"/>
            <w:vAlign w:val="center"/>
          </w:tcPr>
          <w:p w:rsidR="005F2B06" w:rsidRPr="005F2B06" w:rsidRDefault="005F2B06" w:rsidP="00401FA4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trike/>
                <w:sz w:val="18"/>
                <w:szCs w:val="18"/>
                <w:lang w:eastAsia="cs-CZ" w:bidi="cs-CZ"/>
              </w:rPr>
            </w:pPr>
          </w:p>
        </w:tc>
        <w:tc>
          <w:tcPr>
            <w:tcW w:w="538" w:type="pct"/>
            <w:vMerge/>
            <w:shd w:val="clear" w:color="auto" w:fill="DEEAF6" w:themeFill="accent5" w:themeFillTint="33"/>
            <w:vAlign w:val="center"/>
          </w:tcPr>
          <w:p w:rsidR="005F2B06" w:rsidRPr="005F2B06" w:rsidRDefault="005F2B06" w:rsidP="00401FA4">
            <w:pPr>
              <w:pStyle w:val="Text1"/>
              <w:spacing w:before="0" w:after="0" w:line="276" w:lineRule="auto"/>
              <w:ind w:left="0"/>
              <w:jc w:val="center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491" w:type="pct"/>
            <w:shd w:val="clear" w:color="auto" w:fill="DEEAF6" w:themeFill="accent5" w:themeFillTint="33"/>
            <w:vAlign w:val="center"/>
          </w:tcPr>
          <w:p w:rsidR="005F2B06" w:rsidRPr="000F592A" w:rsidRDefault="00DD18D8" w:rsidP="00401FA4">
            <w:pPr>
              <w:pStyle w:val="Text1"/>
              <w:spacing w:before="0" w:after="0" w:line="276" w:lineRule="auto"/>
              <w:ind w:left="0"/>
              <w:jc w:val="center"/>
              <w:rPr>
                <w:noProof/>
                <w:sz w:val="18"/>
                <w:szCs w:val="18"/>
              </w:rPr>
            </w:pPr>
            <w:r w:rsidRPr="000F592A">
              <w:rPr>
                <w:noProof/>
                <w:sz w:val="18"/>
                <w:szCs w:val="18"/>
              </w:rPr>
              <w:t>-</w:t>
            </w:r>
          </w:p>
        </w:tc>
        <w:tc>
          <w:tcPr>
            <w:tcW w:w="361" w:type="pct"/>
            <w:shd w:val="clear" w:color="auto" w:fill="DEEAF6" w:themeFill="accent5" w:themeFillTint="33"/>
            <w:vAlign w:val="center"/>
          </w:tcPr>
          <w:p w:rsidR="005F2B06" w:rsidRPr="000F592A" w:rsidRDefault="005F2B06" w:rsidP="00401FA4">
            <w:pPr>
              <w:pStyle w:val="Text1"/>
              <w:spacing w:before="0" w:after="0" w:line="276" w:lineRule="auto"/>
              <w:ind w:left="0"/>
              <w:jc w:val="right"/>
              <w:rPr>
                <w:noProof/>
                <w:sz w:val="18"/>
                <w:szCs w:val="18"/>
              </w:rPr>
            </w:pPr>
            <w:r w:rsidRPr="000F592A">
              <w:rPr>
                <w:noProof/>
                <w:sz w:val="18"/>
                <w:szCs w:val="18"/>
              </w:rPr>
              <w:t>148</w:t>
            </w:r>
          </w:p>
        </w:tc>
      </w:tr>
      <w:tr w:rsidR="00B631E7" w:rsidRPr="00193556" w:rsidTr="00416BD3">
        <w:trPr>
          <w:trHeight w:val="58"/>
          <w:jc w:val="center"/>
        </w:trPr>
        <w:tc>
          <w:tcPr>
            <w:tcW w:w="429" w:type="pct"/>
            <w:vMerge/>
            <w:shd w:val="clear" w:color="auto" w:fill="DEEAF6" w:themeFill="accent5" w:themeFillTint="33"/>
          </w:tcPr>
          <w:p w:rsidR="005F2B06" w:rsidRPr="005F2B06" w:rsidRDefault="005F2B06" w:rsidP="00401FA4">
            <w:pPr>
              <w:pStyle w:val="Text1"/>
              <w:spacing w:before="0" w:after="0" w:line="276" w:lineRule="auto"/>
              <w:ind w:left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522" w:type="pct"/>
            <w:vMerge/>
            <w:shd w:val="clear" w:color="auto" w:fill="DEEAF6" w:themeFill="accent5" w:themeFillTint="33"/>
          </w:tcPr>
          <w:p w:rsidR="005F2B06" w:rsidRPr="005F2B06" w:rsidRDefault="005F2B06" w:rsidP="00401FA4">
            <w:pPr>
              <w:pStyle w:val="Text1"/>
              <w:spacing w:before="0" w:after="0" w:line="276" w:lineRule="auto"/>
              <w:ind w:left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371" w:type="pct"/>
            <w:vMerge/>
            <w:shd w:val="clear" w:color="auto" w:fill="DEEAF6" w:themeFill="accent5" w:themeFillTint="33"/>
          </w:tcPr>
          <w:p w:rsidR="005F2B06" w:rsidRPr="005F2B06" w:rsidRDefault="005F2B06" w:rsidP="00401FA4">
            <w:pPr>
              <w:pStyle w:val="Text1"/>
              <w:spacing w:before="0" w:after="0" w:line="276" w:lineRule="auto"/>
              <w:ind w:left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736" w:type="pct"/>
            <w:shd w:val="clear" w:color="auto" w:fill="DEEAF6" w:themeFill="accent5" w:themeFillTint="33"/>
          </w:tcPr>
          <w:p w:rsidR="005F2B06" w:rsidRPr="005F2B06" w:rsidRDefault="005F2B06" w:rsidP="00401FA4">
            <w:pPr>
              <w:spacing w:before="0" w:after="0" w:line="276" w:lineRule="auto"/>
              <w:rPr>
                <w:color w:val="000000"/>
                <w:sz w:val="18"/>
                <w:szCs w:val="18"/>
                <w:lang w:eastAsia="cs-CZ" w:bidi="cs-CZ"/>
              </w:rPr>
            </w:pPr>
            <w:r w:rsidRPr="005F2B06">
              <w:rPr>
                <w:color w:val="000000"/>
                <w:sz w:val="18"/>
                <w:szCs w:val="18"/>
                <w:lang w:eastAsia="cs-CZ" w:bidi="cs-CZ"/>
              </w:rPr>
              <w:t>Více rozvinuté</w:t>
            </w:r>
          </w:p>
        </w:tc>
        <w:tc>
          <w:tcPr>
            <w:tcW w:w="474" w:type="pct"/>
            <w:vMerge w:val="restart"/>
            <w:shd w:val="clear" w:color="auto" w:fill="DEEAF6" w:themeFill="accent5" w:themeFillTint="33"/>
          </w:tcPr>
          <w:p w:rsidR="005F2B06" w:rsidRPr="005F2B06" w:rsidRDefault="005F2B06" w:rsidP="00401FA4">
            <w:pPr>
              <w:pStyle w:val="Default"/>
              <w:spacing w:line="276" w:lineRule="auto"/>
              <w:rPr>
                <w:rFonts w:ascii="Times New Roman" w:hAnsi="Times New Roman" w:cs="Times New Roman"/>
                <w:strike/>
                <w:sz w:val="18"/>
                <w:szCs w:val="18"/>
                <w:lang w:eastAsia="cs-CZ" w:bidi="cs-CZ"/>
              </w:rPr>
            </w:pPr>
          </w:p>
        </w:tc>
        <w:tc>
          <w:tcPr>
            <w:tcW w:w="1077" w:type="pct"/>
            <w:vMerge w:val="restart"/>
            <w:shd w:val="clear" w:color="auto" w:fill="DEEAF6" w:themeFill="accent5" w:themeFillTint="33"/>
            <w:vAlign w:val="center"/>
          </w:tcPr>
          <w:p w:rsidR="005F2B06" w:rsidRPr="005F2B06" w:rsidRDefault="005F2B06" w:rsidP="00401FA4">
            <w:pPr>
              <w:pStyle w:val="Textkomente"/>
              <w:spacing w:line="276" w:lineRule="auto"/>
              <w:rPr>
                <w:rFonts w:eastAsiaTheme="minorHAnsi" w:cs="Times New Roman"/>
                <w:color w:val="000000"/>
                <w:sz w:val="18"/>
                <w:szCs w:val="18"/>
                <w:lang w:val="cs-CZ" w:eastAsia="cs-CZ" w:bidi="cs-CZ"/>
              </w:rPr>
            </w:pPr>
            <w:r w:rsidRPr="005F2B06">
              <w:rPr>
                <w:rFonts w:eastAsiaTheme="minorHAnsi" w:cs="Times New Roman"/>
                <w:color w:val="000000"/>
                <w:sz w:val="18"/>
                <w:szCs w:val="18"/>
                <w:lang w:val="cs-CZ" w:eastAsia="cs-CZ" w:bidi="cs-CZ"/>
              </w:rPr>
              <w:t>Počet nově vytvořených produktů strategického řízení VaVaI</w:t>
            </w:r>
          </w:p>
        </w:tc>
        <w:tc>
          <w:tcPr>
            <w:tcW w:w="538" w:type="pct"/>
            <w:vMerge w:val="restart"/>
            <w:shd w:val="clear" w:color="auto" w:fill="DEEAF6" w:themeFill="accent5" w:themeFillTint="33"/>
            <w:vAlign w:val="center"/>
          </w:tcPr>
          <w:p w:rsidR="005F2B06" w:rsidRPr="005F2B06" w:rsidRDefault="005F2B06" w:rsidP="00401FA4">
            <w:pPr>
              <w:pStyle w:val="Text1"/>
              <w:spacing w:before="0" w:after="0" w:line="276" w:lineRule="auto"/>
              <w:ind w:left="0"/>
              <w:jc w:val="center"/>
              <w:rPr>
                <w:b/>
                <w:i/>
                <w:noProof/>
                <w:sz w:val="18"/>
                <w:szCs w:val="18"/>
                <w:highlight w:val="yellow"/>
              </w:rPr>
            </w:pPr>
            <w:r w:rsidRPr="005F2B06">
              <w:rPr>
                <w:color w:val="000000"/>
                <w:sz w:val="18"/>
                <w:szCs w:val="18"/>
                <w:lang w:eastAsia="cs-CZ" w:bidi="cs-CZ"/>
              </w:rPr>
              <w:t>Produkty</w:t>
            </w:r>
          </w:p>
        </w:tc>
        <w:tc>
          <w:tcPr>
            <w:tcW w:w="491" w:type="pct"/>
            <w:shd w:val="clear" w:color="auto" w:fill="DEEAF6" w:themeFill="accent5" w:themeFillTint="33"/>
            <w:vAlign w:val="center"/>
          </w:tcPr>
          <w:p w:rsidR="005F2B06" w:rsidRPr="000F592A" w:rsidRDefault="00DD18D8" w:rsidP="00401FA4">
            <w:pPr>
              <w:pStyle w:val="Text1"/>
              <w:spacing w:before="0" w:after="0" w:line="276" w:lineRule="auto"/>
              <w:ind w:left="0"/>
              <w:jc w:val="center"/>
              <w:rPr>
                <w:noProof/>
                <w:sz w:val="18"/>
                <w:szCs w:val="18"/>
              </w:rPr>
            </w:pPr>
            <w:r w:rsidRPr="000F592A">
              <w:rPr>
                <w:noProof/>
                <w:sz w:val="18"/>
                <w:szCs w:val="18"/>
              </w:rPr>
              <w:t>-</w:t>
            </w:r>
          </w:p>
        </w:tc>
        <w:tc>
          <w:tcPr>
            <w:tcW w:w="361" w:type="pct"/>
            <w:shd w:val="clear" w:color="auto" w:fill="DEEAF6" w:themeFill="accent5" w:themeFillTint="33"/>
            <w:vAlign w:val="center"/>
          </w:tcPr>
          <w:p w:rsidR="005F2B06" w:rsidRPr="000F592A" w:rsidRDefault="005F2B06" w:rsidP="00401FA4">
            <w:pPr>
              <w:pStyle w:val="Text1"/>
              <w:spacing w:before="0" w:after="0" w:line="276" w:lineRule="auto"/>
              <w:ind w:left="0"/>
              <w:jc w:val="right"/>
              <w:rPr>
                <w:noProof/>
                <w:sz w:val="18"/>
                <w:szCs w:val="18"/>
              </w:rPr>
            </w:pPr>
            <w:r w:rsidRPr="000F592A">
              <w:rPr>
                <w:noProof/>
                <w:sz w:val="18"/>
                <w:szCs w:val="18"/>
              </w:rPr>
              <w:t>49</w:t>
            </w:r>
          </w:p>
        </w:tc>
      </w:tr>
      <w:tr w:rsidR="00B631E7" w:rsidRPr="00193556" w:rsidTr="00416BD3">
        <w:trPr>
          <w:trHeight w:val="77"/>
          <w:jc w:val="center"/>
        </w:trPr>
        <w:tc>
          <w:tcPr>
            <w:tcW w:w="429" w:type="pct"/>
            <w:vMerge/>
            <w:shd w:val="clear" w:color="auto" w:fill="DEEAF6" w:themeFill="accent5" w:themeFillTint="33"/>
          </w:tcPr>
          <w:p w:rsidR="005F2B06" w:rsidRPr="005F2B06" w:rsidRDefault="005F2B06" w:rsidP="00401FA4">
            <w:pPr>
              <w:pStyle w:val="Text1"/>
              <w:spacing w:before="0" w:after="0" w:line="276" w:lineRule="auto"/>
              <w:ind w:left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522" w:type="pct"/>
            <w:vMerge/>
            <w:shd w:val="clear" w:color="auto" w:fill="DEEAF6" w:themeFill="accent5" w:themeFillTint="33"/>
          </w:tcPr>
          <w:p w:rsidR="005F2B06" w:rsidRPr="005F2B06" w:rsidRDefault="005F2B06" w:rsidP="00401FA4">
            <w:pPr>
              <w:pStyle w:val="Text1"/>
              <w:spacing w:before="0" w:after="0" w:line="276" w:lineRule="auto"/>
              <w:ind w:left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371" w:type="pct"/>
            <w:vMerge/>
            <w:shd w:val="clear" w:color="auto" w:fill="DEEAF6" w:themeFill="accent5" w:themeFillTint="33"/>
          </w:tcPr>
          <w:p w:rsidR="005F2B06" w:rsidRPr="005F2B06" w:rsidRDefault="005F2B06" w:rsidP="00401FA4">
            <w:pPr>
              <w:pStyle w:val="Text1"/>
              <w:spacing w:before="0" w:after="0" w:line="276" w:lineRule="auto"/>
              <w:ind w:left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736" w:type="pct"/>
            <w:shd w:val="clear" w:color="auto" w:fill="DEEAF6" w:themeFill="accent5" w:themeFillTint="33"/>
          </w:tcPr>
          <w:p w:rsidR="005F2B06" w:rsidRPr="005F2B06" w:rsidRDefault="005F2B06" w:rsidP="00401FA4">
            <w:pPr>
              <w:spacing w:before="0" w:after="0" w:line="276" w:lineRule="auto"/>
              <w:rPr>
                <w:color w:val="000000"/>
                <w:sz w:val="18"/>
                <w:szCs w:val="18"/>
                <w:lang w:eastAsia="cs-CZ" w:bidi="cs-CZ"/>
              </w:rPr>
            </w:pPr>
            <w:r w:rsidRPr="005F2B06">
              <w:rPr>
                <w:color w:val="000000"/>
                <w:sz w:val="18"/>
                <w:szCs w:val="18"/>
                <w:lang w:eastAsia="cs-CZ" w:bidi="cs-CZ"/>
              </w:rPr>
              <w:t>Přechodové</w:t>
            </w:r>
          </w:p>
        </w:tc>
        <w:tc>
          <w:tcPr>
            <w:tcW w:w="474" w:type="pct"/>
            <w:vMerge/>
            <w:shd w:val="clear" w:color="auto" w:fill="DEEAF6" w:themeFill="accent5" w:themeFillTint="33"/>
          </w:tcPr>
          <w:p w:rsidR="005F2B06" w:rsidRPr="005F2B06" w:rsidRDefault="005F2B06" w:rsidP="00401FA4">
            <w:pPr>
              <w:pStyle w:val="Default"/>
              <w:spacing w:line="276" w:lineRule="auto"/>
              <w:rPr>
                <w:rFonts w:ascii="Times New Roman" w:hAnsi="Times New Roman" w:cs="Times New Roman"/>
                <w:strike/>
                <w:sz w:val="18"/>
                <w:szCs w:val="18"/>
                <w:lang w:eastAsia="cs-CZ" w:bidi="cs-CZ"/>
              </w:rPr>
            </w:pPr>
          </w:p>
        </w:tc>
        <w:tc>
          <w:tcPr>
            <w:tcW w:w="1077" w:type="pct"/>
            <w:vMerge/>
            <w:shd w:val="clear" w:color="auto" w:fill="DEEAF6" w:themeFill="accent5" w:themeFillTint="33"/>
          </w:tcPr>
          <w:p w:rsidR="005F2B06" w:rsidRPr="005F2B06" w:rsidRDefault="005F2B06" w:rsidP="00401FA4">
            <w:pPr>
              <w:pStyle w:val="Default"/>
              <w:spacing w:line="276" w:lineRule="auto"/>
              <w:rPr>
                <w:rFonts w:ascii="Times New Roman" w:hAnsi="Times New Roman" w:cs="Times New Roman"/>
                <w:strike/>
                <w:sz w:val="18"/>
                <w:szCs w:val="18"/>
                <w:lang w:eastAsia="cs-CZ" w:bidi="cs-CZ"/>
              </w:rPr>
            </w:pPr>
          </w:p>
        </w:tc>
        <w:tc>
          <w:tcPr>
            <w:tcW w:w="538" w:type="pct"/>
            <w:vMerge/>
            <w:shd w:val="clear" w:color="auto" w:fill="DEEAF6" w:themeFill="accent5" w:themeFillTint="33"/>
            <w:vAlign w:val="center"/>
          </w:tcPr>
          <w:p w:rsidR="005F2B06" w:rsidRPr="005F2B06" w:rsidRDefault="005F2B06" w:rsidP="00401FA4">
            <w:pPr>
              <w:pStyle w:val="Text1"/>
              <w:spacing w:before="0" w:after="0" w:line="276" w:lineRule="auto"/>
              <w:ind w:left="0"/>
              <w:jc w:val="center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491" w:type="pct"/>
            <w:shd w:val="clear" w:color="auto" w:fill="DEEAF6" w:themeFill="accent5" w:themeFillTint="33"/>
            <w:vAlign w:val="center"/>
          </w:tcPr>
          <w:p w:rsidR="005F2B06" w:rsidRPr="000F592A" w:rsidRDefault="00DD18D8" w:rsidP="00401FA4">
            <w:pPr>
              <w:pStyle w:val="Text1"/>
              <w:spacing w:before="0" w:after="0" w:line="276" w:lineRule="auto"/>
              <w:ind w:left="0"/>
              <w:jc w:val="center"/>
              <w:rPr>
                <w:noProof/>
                <w:sz w:val="18"/>
                <w:szCs w:val="18"/>
              </w:rPr>
            </w:pPr>
            <w:r w:rsidRPr="000F592A">
              <w:rPr>
                <w:noProof/>
                <w:sz w:val="18"/>
                <w:szCs w:val="18"/>
              </w:rPr>
              <w:t>-</w:t>
            </w:r>
          </w:p>
        </w:tc>
        <w:tc>
          <w:tcPr>
            <w:tcW w:w="361" w:type="pct"/>
            <w:shd w:val="clear" w:color="auto" w:fill="DEEAF6" w:themeFill="accent5" w:themeFillTint="33"/>
            <w:vAlign w:val="center"/>
          </w:tcPr>
          <w:p w:rsidR="005F2B06" w:rsidRPr="000F592A" w:rsidRDefault="005F2B06" w:rsidP="00401FA4">
            <w:pPr>
              <w:pStyle w:val="Text1"/>
              <w:spacing w:before="0" w:after="0" w:line="276" w:lineRule="auto"/>
              <w:ind w:left="0"/>
              <w:jc w:val="right"/>
              <w:rPr>
                <w:noProof/>
                <w:sz w:val="18"/>
                <w:szCs w:val="18"/>
              </w:rPr>
            </w:pPr>
            <w:r w:rsidRPr="000F592A">
              <w:rPr>
                <w:noProof/>
                <w:sz w:val="18"/>
                <w:szCs w:val="18"/>
              </w:rPr>
              <w:t>91</w:t>
            </w:r>
          </w:p>
        </w:tc>
      </w:tr>
      <w:tr w:rsidR="00B631E7" w:rsidRPr="00193556" w:rsidTr="00416BD3">
        <w:trPr>
          <w:trHeight w:val="77"/>
          <w:jc w:val="center"/>
        </w:trPr>
        <w:tc>
          <w:tcPr>
            <w:tcW w:w="429" w:type="pct"/>
            <w:vMerge/>
            <w:shd w:val="clear" w:color="auto" w:fill="DEEAF6" w:themeFill="accent5" w:themeFillTint="33"/>
          </w:tcPr>
          <w:p w:rsidR="005F2B06" w:rsidRPr="005F2B06" w:rsidRDefault="005F2B06" w:rsidP="00401FA4">
            <w:pPr>
              <w:pStyle w:val="Text1"/>
              <w:spacing w:before="0" w:after="0" w:line="276" w:lineRule="auto"/>
              <w:ind w:left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522" w:type="pct"/>
            <w:vMerge/>
            <w:shd w:val="clear" w:color="auto" w:fill="DEEAF6" w:themeFill="accent5" w:themeFillTint="33"/>
          </w:tcPr>
          <w:p w:rsidR="005F2B06" w:rsidRPr="005F2B06" w:rsidRDefault="005F2B06" w:rsidP="00401FA4">
            <w:pPr>
              <w:pStyle w:val="Text1"/>
              <w:spacing w:before="0" w:after="0" w:line="276" w:lineRule="auto"/>
              <w:ind w:left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371" w:type="pct"/>
            <w:vMerge/>
            <w:shd w:val="clear" w:color="auto" w:fill="DEEAF6" w:themeFill="accent5" w:themeFillTint="33"/>
          </w:tcPr>
          <w:p w:rsidR="005F2B06" w:rsidRPr="005F2B06" w:rsidRDefault="005F2B06" w:rsidP="00401FA4">
            <w:pPr>
              <w:pStyle w:val="Text1"/>
              <w:spacing w:before="0" w:after="0" w:line="276" w:lineRule="auto"/>
              <w:ind w:left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736" w:type="pct"/>
            <w:shd w:val="clear" w:color="auto" w:fill="DEEAF6" w:themeFill="accent5" w:themeFillTint="33"/>
          </w:tcPr>
          <w:p w:rsidR="005F2B06" w:rsidRPr="005F2B06" w:rsidRDefault="005F2B06" w:rsidP="00401FA4">
            <w:pPr>
              <w:spacing w:before="0" w:after="0" w:line="276" w:lineRule="auto"/>
              <w:rPr>
                <w:color w:val="000000"/>
                <w:sz w:val="18"/>
                <w:szCs w:val="18"/>
                <w:lang w:eastAsia="cs-CZ" w:bidi="cs-CZ"/>
              </w:rPr>
            </w:pPr>
            <w:r w:rsidRPr="005F2B06">
              <w:rPr>
                <w:color w:val="000000"/>
                <w:sz w:val="18"/>
                <w:szCs w:val="18"/>
                <w:lang w:eastAsia="cs-CZ" w:bidi="cs-CZ"/>
              </w:rPr>
              <w:t>Méně rozvinuté</w:t>
            </w:r>
          </w:p>
        </w:tc>
        <w:tc>
          <w:tcPr>
            <w:tcW w:w="474" w:type="pct"/>
            <w:vMerge/>
            <w:shd w:val="clear" w:color="auto" w:fill="DEEAF6" w:themeFill="accent5" w:themeFillTint="33"/>
          </w:tcPr>
          <w:p w:rsidR="005F2B06" w:rsidRPr="005F2B06" w:rsidRDefault="005F2B06" w:rsidP="00401FA4">
            <w:pPr>
              <w:pStyle w:val="Default"/>
              <w:spacing w:line="276" w:lineRule="auto"/>
              <w:rPr>
                <w:rFonts w:ascii="Times New Roman" w:hAnsi="Times New Roman" w:cs="Times New Roman"/>
                <w:strike/>
                <w:sz w:val="18"/>
                <w:szCs w:val="18"/>
                <w:lang w:eastAsia="cs-CZ" w:bidi="cs-CZ"/>
              </w:rPr>
            </w:pPr>
          </w:p>
        </w:tc>
        <w:tc>
          <w:tcPr>
            <w:tcW w:w="1077" w:type="pct"/>
            <w:vMerge/>
            <w:shd w:val="clear" w:color="auto" w:fill="DEEAF6" w:themeFill="accent5" w:themeFillTint="33"/>
          </w:tcPr>
          <w:p w:rsidR="005F2B06" w:rsidRPr="005F2B06" w:rsidRDefault="005F2B06" w:rsidP="00401FA4">
            <w:pPr>
              <w:pStyle w:val="Default"/>
              <w:spacing w:line="276" w:lineRule="auto"/>
              <w:rPr>
                <w:rFonts w:ascii="Times New Roman" w:hAnsi="Times New Roman" w:cs="Times New Roman"/>
                <w:strike/>
                <w:sz w:val="18"/>
                <w:szCs w:val="18"/>
                <w:lang w:eastAsia="cs-CZ" w:bidi="cs-CZ"/>
              </w:rPr>
            </w:pPr>
          </w:p>
        </w:tc>
        <w:tc>
          <w:tcPr>
            <w:tcW w:w="538" w:type="pct"/>
            <w:vMerge/>
            <w:shd w:val="clear" w:color="auto" w:fill="DEEAF6" w:themeFill="accent5" w:themeFillTint="33"/>
            <w:vAlign w:val="center"/>
          </w:tcPr>
          <w:p w:rsidR="005F2B06" w:rsidRPr="005F2B06" w:rsidRDefault="005F2B06" w:rsidP="00401FA4">
            <w:pPr>
              <w:pStyle w:val="Text1"/>
              <w:spacing w:before="0" w:after="0" w:line="276" w:lineRule="auto"/>
              <w:ind w:left="0"/>
              <w:jc w:val="center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491" w:type="pct"/>
            <w:shd w:val="clear" w:color="auto" w:fill="DEEAF6" w:themeFill="accent5" w:themeFillTint="33"/>
            <w:vAlign w:val="center"/>
          </w:tcPr>
          <w:p w:rsidR="005F2B06" w:rsidRPr="000F592A" w:rsidRDefault="00DD18D8" w:rsidP="00401FA4">
            <w:pPr>
              <w:pStyle w:val="Text1"/>
              <w:spacing w:before="0" w:after="0" w:line="276" w:lineRule="auto"/>
              <w:ind w:left="0"/>
              <w:jc w:val="center"/>
              <w:rPr>
                <w:noProof/>
                <w:sz w:val="18"/>
                <w:szCs w:val="18"/>
              </w:rPr>
            </w:pPr>
            <w:r w:rsidRPr="000F592A">
              <w:rPr>
                <w:noProof/>
                <w:sz w:val="18"/>
                <w:szCs w:val="18"/>
              </w:rPr>
              <w:t>-</w:t>
            </w:r>
          </w:p>
        </w:tc>
        <w:tc>
          <w:tcPr>
            <w:tcW w:w="361" w:type="pct"/>
            <w:shd w:val="clear" w:color="auto" w:fill="DEEAF6" w:themeFill="accent5" w:themeFillTint="33"/>
            <w:vAlign w:val="center"/>
          </w:tcPr>
          <w:p w:rsidR="005F2B06" w:rsidRPr="000F592A" w:rsidRDefault="005F2B06" w:rsidP="00401FA4">
            <w:pPr>
              <w:pStyle w:val="Text1"/>
              <w:spacing w:before="0" w:after="0" w:line="276" w:lineRule="auto"/>
              <w:ind w:left="0"/>
              <w:jc w:val="right"/>
              <w:rPr>
                <w:noProof/>
                <w:sz w:val="18"/>
                <w:szCs w:val="18"/>
              </w:rPr>
            </w:pPr>
            <w:r w:rsidRPr="000F592A">
              <w:rPr>
                <w:noProof/>
                <w:sz w:val="18"/>
                <w:szCs w:val="18"/>
              </w:rPr>
              <w:t>94</w:t>
            </w:r>
          </w:p>
        </w:tc>
      </w:tr>
    </w:tbl>
    <w:p w:rsidR="00114426" w:rsidRPr="00F6239D" w:rsidRDefault="00764C0C" w:rsidP="00764C0C">
      <w:pPr>
        <w:pStyle w:val="Titulek"/>
        <w:rPr>
          <w:rFonts w:ascii="Times New Roman" w:hAnsi="Times New Roman" w:cs="Times New Roman"/>
        </w:rPr>
      </w:pPr>
      <w:bookmarkStart w:id="113" w:name="_Toc66346563"/>
      <w:r w:rsidRPr="00F6239D">
        <w:rPr>
          <w:rFonts w:ascii="Times New Roman" w:hAnsi="Times New Roman" w:cs="Times New Roman"/>
        </w:rPr>
        <w:t xml:space="preserve">Tabulka </w:t>
      </w:r>
      <w:r w:rsidRPr="00F6239D">
        <w:rPr>
          <w:rFonts w:ascii="Times New Roman" w:hAnsi="Times New Roman" w:cs="Times New Roman"/>
        </w:rPr>
        <w:fldChar w:fldCharType="begin"/>
      </w:r>
      <w:r w:rsidRPr="00F6239D">
        <w:rPr>
          <w:rFonts w:ascii="Times New Roman" w:hAnsi="Times New Roman" w:cs="Times New Roman"/>
        </w:rPr>
        <w:instrText xml:space="preserve"> SEQ Tabulka \* ARABIC </w:instrText>
      </w:r>
      <w:r w:rsidRPr="00F6239D">
        <w:rPr>
          <w:rFonts w:ascii="Times New Roman" w:hAnsi="Times New Roman" w:cs="Times New Roman"/>
        </w:rPr>
        <w:fldChar w:fldCharType="separate"/>
      </w:r>
      <w:r w:rsidR="0092092A">
        <w:rPr>
          <w:rFonts w:ascii="Times New Roman" w:hAnsi="Times New Roman" w:cs="Times New Roman"/>
          <w:noProof/>
        </w:rPr>
        <w:t>4</w:t>
      </w:r>
      <w:r w:rsidRPr="00F6239D">
        <w:rPr>
          <w:rFonts w:ascii="Times New Roman" w:hAnsi="Times New Roman" w:cs="Times New Roman"/>
        </w:rPr>
        <w:fldChar w:fldCharType="end"/>
      </w:r>
      <w:r w:rsidRPr="00F6239D">
        <w:rPr>
          <w:rFonts w:ascii="Times New Roman" w:hAnsi="Times New Roman" w:cs="Times New Roman"/>
        </w:rPr>
        <w:t>: Ukazatel</w:t>
      </w:r>
      <w:r w:rsidR="005B64A1">
        <w:rPr>
          <w:rFonts w:ascii="Times New Roman" w:hAnsi="Times New Roman" w:cs="Times New Roman"/>
        </w:rPr>
        <w:t>e</w:t>
      </w:r>
      <w:r w:rsidRPr="00F6239D">
        <w:rPr>
          <w:rFonts w:ascii="Times New Roman" w:hAnsi="Times New Roman" w:cs="Times New Roman"/>
        </w:rPr>
        <w:t xml:space="preserve"> výsledků</w:t>
      </w:r>
      <w:bookmarkEnd w:id="11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709"/>
        <w:gridCol w:w="709"/>
        <w:gridCol w:w="1700"/>
        <w:gridCol w:w="851"/>
        <w:gridCol w:w="1134"/>
        <w:gridCol w:w="992"/>
        <w:gridCol w:w="709"/>
        <w:gridCol w:w="424"/>
        <w:gridCol w:w="711"/>
        <w:gridCol w:w="849"/>
        <w:gridCol w:w="420"/>
      </w:tblGrid>
      <w:tr w:rsidR="00E66C22" w:rsidRPr="003B3D2F" w:rsidTr="00093CF6">
        <w:trPr>
          <w:cantSplit/>
          <w:trHeight w:val="2077"/>
        </w:trPr>
        <w:tc>
          <w:tcPr>
            <w:tcW w:w="219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textDirection w:val="btLr"/>
            <w:vAlign w:val="center"/>
          </w:tcPr>
          <w:p w:rsidR="00B62F1E" w:rsidRPr="00B62F1E" w:rsidRDefault="00B62F1E" w:rsidP="00E66C22">
            <w:pPr>
              <w:pStyle w:val="Text1"/>
              <w:spacing w:before="0" w:after="0"/>
              <w:ind w:left="113" w:right="113"/>
              <w:jc w:val="center"/>
              <w:rPr>
                <w:b/>
                <w:noProof/>
                <w:sz w:val="18"/>
                <w:szCs w:val="18"/>
              </w:rPr>
            </w:pPr>
            <w:r w:rsidRPr="00B62F1E">
              <w:rPr>
                <w:rFonts w:eastAsia="Times New Roman"/>
                <w:b/>
                <w:iCs/>
                <w:noProof/>
                <w:sz w:val="18"/>
                <w:szCs w:val="18"/>
                <w:lang w:eastAsia="en-GB"/>
              </w:rPr>
              <w:t>Priorita</w:t>
            </w:r>
          </w:p>
        </w:tc>
        <w:tc>
          <w:tcPr>
            <w:tcW w:w="368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textDirection w:val="btLr"/>
            <w:vAlign w:val="center"/>
          </w:tcPr>
          <w:p w:rsidR="00B62F1E" w:rsidRPr="00B62F1E" w:rsidRDefault="00B62F1E" w:rsidP="00E66C22">
            <w:pPr>
              <w:pStyle w:val="Text1"/>
              <w:spacing w:before="0" w:after="0"/>
              <w:ind w:left="113" w:right="113"/>
              <w:jc w:val="center"/>
              <w:rPr>
                <w:b/>
                <w:noProof/>
                <w:sz w:val="18"/>
                <w:szCs w:val="18"/>
              </w:rPr>
            </w:pPr>
            <w:r w:rsidRPr="00B62F1E">
              <w:rPr>
                <w:rFonts w:eastAsia="Times New Roman"/>
                <w:b/>
                <w:iCs/>
                <w:noProof/>
                <w:sz w:val="18"/>
                <w:szCs w:val="18"/>
                <w:lang w:eastAsia="en-GB"/>
              </w:rPr>
              <w:t>Specifický cíl</w:t>
            </w:r>
          </w:p>
        </w:tc>
        <w:tc>
          <w:tcPr>
            <w:tcW w:w="368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textDirection w:val="btLr"/>
            <w:vAlign w:val="center"/>
          </w:tcPr>
          <w:p w:rsidR="00B62F1E" w:rsidRPr="00B62F1E" w:rsidRDefault="00B62F1E" w:rsidP="00E66C22">
            <w:pPr>
              <w:pStyle w:val="Text1"/>
              <w:spacing w:before="0" w:after="0"/>
              <w:ind w:left="113" w:right="113"/>
              <w:jc w:val="center"/>
              <w:rPr>
                <w:b/>
                <w:noProof/>
                <w:sz w:val="18"/>
                <w:szCs w:val="18"/>
              </w:rPr>
            </w:pPr>
            <w:r w:rsidRPr="00B62F1E">
              <w:rPr>
                <w:b/>
                <w:noProof/>
                <w:sz w:val="18"/>
                <w:szCs w:val="18"/>
              </w:rPr>
              <w:t>Fond</w:t>
            </w:r>
          </w:p>
        </w:tc>
        <w:tc>
          <w:tcPr>
            <w:tcW w:w="88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textDirection w:val="btLr"/>
            <w:vAlign w:val="center"/>
          </w:tcPr>
          <w:p w:rsidR="00B62F1E" w:rsidRPr="00B62F1E" w:rsidRDefault="00B62F1E" w:rsidP="00E66C22">
            <w:pPr>
              <w:pStyle w:val="Text1"/>
              <w:spacing w:before="0" w:after="0"/>
              <w:ind w:left="113" w:right="113"/>
              <w:jc w:val="center"/>
              <w:rPr>
                <w:b/>
                <w:noProof/>
                <w:sz w:val="18"/>
                <w:szCs w:val="18"/>
              </w:rPr>
            </w:pPr>
            <w:r w:rsidRPr="00B62F1E">
              <w:rPr>
                <w:b/>
                <w:noProof/>
                <w:sz w:val="18"/>
                <w:szCs w:val="18"/>
              </w:rPr>
              <w:t>Kategorie regionu</w:t>
            </w:r>
          </w:p>
        </w:tc>
        <w:tc>
          <w:tcPr>
            <w:tcW w:w="442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textDirection w:val="btLr"/>
            <w:vAlign w:val="center"/>
          </w:tcPr>
          <w:p w:rsidR="00B62F1E" w:rsidRPr="00B62F1E" w:rsidRDefault="00B62F1E" w:rsidP="00E66C22">
            <w:pPr>
              <w:pStyle w:val="Text1"/>
              <w:spacing w:before="0" w:after="0"/>
              <w:ind w:left="113" w:right="113"/>
              <w:jc w:val="center"/>
              <w:rPr>
                <w:b/>
                <w:noProof/>
                <w:sz w:val="18"/>
                <w:szCs w:val="18"/>
              </w:rPr>
            </w:pPr>
            <w:r w:rsidRPr="00B62F1E">
              <w:rPr>
                <w:b/>
                <w:noProof/>
                <w:sz w:val="18"/>
                <w:szCs w:val="18"/>
              </w:rPr>
              <w:t>ID</w:t>
            </w:r>
          </w:p>
        </w:tc>
        <w:tc>
          <w:tcPr>
            <w:tcW w:w="589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textDirection w:val="btLr"/>
            <w:vAlign w:val="center"/>
          </w:tcPr>
          <w:p w:rsidR="00B62F1E" w:rsidRPr="00B62F1E" w:rsidRDefault="00B62F1E" w:rsidP="00E66C22">
            <w:pPr>
              <w:pStyle w:val="Text1"/>
              <w:spacing w:before="0" w:after="0"/>
              <w:ind w:left="113" w:right="113"/>
              <w:jc w:val="center"/>
              <w:rPr>
                <w:b/>
                <w:noProof/>
                <w:sz w:val="18"/>
                <w:szCs w:val="18"/>
              </w:rPr>
            </w:pPr>
            <w:r w:rsidRPr="00B62F1E">
              <w:rPr>
                <w:b/>
                <w:noProof/>
                <w:sz w:val="18"/>
                <w:szCs w:val="18"/>
              </w:rPr>
              <w:t>Ukazatel</w:t>
            </w:r>
          </w:p>
        </w:tc>
        <w:tc>
          <w:tcPr>
            <w:tcW w:w="515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textDirection w:val="btLr"/>
            <w:vAlign w:val="center"/>
          </w:tcPr>
          <w:p w:rsidR="00B62F1E" w:rsidRPr="00B62F1E" w:rsidRDefault="00B62F1E" w:rsidP="00E66C22">
            <w:pPr>
              <w:pStyle w:val="Text1"/>
              <w:spacing w:before="0" w:after="0"/>
              <w:ind w:left="113" w:right="113"/>
              <w:jc w:val="center"/>
              <w:rPr>
                <w:b/>
                <w:noProof/>
                <w:sz w:val="18"/>
                <w:szCs w:val="18"/>
              </w:rPr>
            </w:pPr>
            <w:r w:rsidRPr="00B62F1E">
              <w:rPr>
                <w:b/>
                <w:noProof/>
                <w:sz w:val="18"/>
                <w:szCs w:val="18"/>
              </w:rPr>
              <w:t>Jednotka měření</w:t>
            </w:r>
          </w:p>
        </w:tc>
        <w:tc>
          <w:tcPr>
            <w:tcW w:w="368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textDirection w:val="btLr"/>
            <w:vAlign w:val="center"/>
          </w:tcPr>
          <w:p w:rsidR="00B62F1E" w:rsidRPr="00B62F1E" w:rsidRDefault="00B62F1E" w:rsidP="00E66C22">
            <w:pPr>
              <w:pStyle w:val="Text1"/>
              <w:spacing w:before="0" w:after="0"/>
              <w:ind w:left="113" w:right="113"/>
              <w:jc w:val="center"/>
              <w:rPr>
                <w:b/>
                <w:noProof/>
                <w:sz w:val="18"/>
                <w:szCs w:val="18"/>
              </w:rPr>
            </w:pPr>
            <w:r w:rsidRPr="00B62F1E">
              <w:rPr>
                <w:b/>
                <w:noProof/>
                <w:sz w:val="18"/>
                <w:szCs w:val="18"/>
              </w:rPr>
              <w:t>Základní nebo referenční hodnota</w:t>
            </w:r>
          </w:p>
        </w:tc>
        <w:tc>
          <w:tcPr>
            <w:tcW w:w="220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textDirection w:val="btLr"/>
            <w:vAlign w:val="center"/>
          </w:tcPr>
          <w:p w:rsidR="00B62F1E" w:rsidRPr="00B62F1E" w:rsidRDefault="00B62F1E" w:rsidP="00E66C22">
            <w:pPr>
              <w:pStyle w:val="Text1"/>
              <w:spacing w:before="0" w:after="0"/>
              <w:ind w:left="113" w:right="113"/>
              <w:jc w:val="center"/>
              <w:rPr>
                <w:b/>
                <w:noProof/>
                <w:sz w:val="18"/>
                <w:szCs w:val="18"/>
              </w:rPr>
            </w:pPr>
            <w:r w:rsidRPr="00B62F1E">
              <w:rPr>
                <w:b/>
                <w:noProof/>
                <w:sz w:val="18"/>
                <w:szCs w:val="18"/>
              </w:rPr>
              <w:t>Referenční rok</w:t>
            </w:r>
          </w:p>
        </w:tc>
        <w:tc>
          <w:tcPr>
            <w:tcW w:w="369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textDirection w:val="btLr"/>
            <w:vAlign w:val="center"/>
          </w:tcPr>
          <w:p w:rsidR="00B62F1E" w:rsidRPr="00B62F1E" w:rsidRDefault="00B62F1E" w:rsidP="00E66C22">
            <w:pPr>
              <w:pStyle w:val="Text1"/>
              <w:spacing w:before="0" w:after="0"/>
              <w:ind w:left="113" w:right="113"/>
              <w:jc w:val="center"/>
              <w:rPr>
                <w:b/>
                <w:noProof/>
                <w:sz w:val="18"/>
                <w:szCs w:val="18"/>
              </w:rPr>
            </w:pPr>
            <w:r w:rsidRPr="00B62F1E">
              <w:rPr>
                <w:b/>
                <w:noProof/>
                <w:sz w:val="18"/>
                <w:szCs w:val="18"/>
              </w:rPr>
              <w:t>Cíl (2029)</w:t>
            </w:r>
          </w:p>
        </w:tc>
        <w:tc>
          <w:tcPr>
            <w:tcW w:w="441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textDirection w:val="btLr"/>
            <w:vAlign w:val="center"/>
          </w:tcPr>
          <w:p w:rsidR="00B62F1E" w:rsidRPr="00B62F1E" w:rsidRDefault="00B62F1E" w:rsidP="00E66C22">
            <w:pPr>
              <w:pStyle w:val="Text1"/>
              <w:spacing w:before="0" w:after="0" w:line="480" w:lineRule="auto"/>
              <w:ind w:left="113" w:right="113"/>
              <w:jc w:val="center"/>
              <w:rPr>
                <w:b/>
                <w:noProof/>
                <w:sz w:val="18"/>
                <w:szCs w:val="18"/>
              </w:rPr>
            </w:pPr>
            <w:r w:rsidRPr="00B62F1E">
              <w:rPr>
                <w:b/>
                <w:noProof/>
                <w:sz w:val="18"/>
                <w:szCs w:val="18"/>
              </w:rPr>
              <w:t>Zdroj údajů</w:t>
            </w:r>
          </w:p>
        </w:tc>
        <w:tc>
          <w:tcPr>
            <w:tcW w:w="218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textDirection w:val="btLr"/>
            <w:vAlign w:val="center"/>
          </w:tcPr>
          <w:p w:rsidR="00B62F1E" w:rsidRPr="00B62F1E" w:rsidRDefault="00B62F1E" w:rsidP="00E66C22">
            <w:pPr>
              <w:pStyle w:val="Text1"/>
              <w:spacing w:before="0" w:after="0" w:line="480" w:lineRule="auto"/>
              <w:ind w:left="113" w:right="113"/>
              <w:jc w:val="center"/>
              <w:rPr>
                <w:b/>
                <w:noProof/>
                <w:sz w:val="18"/>
                <w:szCs w:val="18"/>
              </w:rPr>
            </w:pPr>
            <w:r w:rsidRPr="00B62F1E">
              <w:rPr>
                <w:b/>
                <w:noProof/>
                <w:sz w:val="18"/>
                <w:szCs w:val="18"/>
              </w:rPr>
              <w:t>Komentář</w:t>
            </w:r>
          </w:p>
        </w:tc>
      </w:tr>
      <w:tr w:rsidR="00E66C22" w:rsidRPr="003B3D2F" w:rsidTr="00093CF6">
        <w:trPr>
          <w:trHeight w:val="171"/>
        </w:trPr>
        <w:tc>
          <w:tcPr>
            <w:tcW w:w="219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EC72A3" w:rsidRPr="00B62F1E" w:rsidRDefault="00EC72A3" w:rsidP="00EF42C4">
            <w:pPr>
              <w:pStyle w:val="Default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  <w:t>P</w:t>
            </w:r>
            <w:r w:rsidRPr="00B62F1E">
              <w:rPr>
                <w:rFonts w:ascii="Times New Roman" w:hAnsi="Times New Roman" w:cs="Times New Roman"/>
                <w:sz w:val="18"/>
                <w:szCs w:val="18"/>
                <w:lang w:val="cs-CZ" w:eastAsia="cs-CZ" w:bidi="cs-CZ"/>
              </w:rPr>
              <w:t>1</w:t>
            </w:r>
          </w:p>
        </w:tc>
        <w:tc>
          <w:tcPr>
            <w:tcW w:w="368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FB7C7F" w:rsidRPr="00B62F1E" w:rsidRDefault="00DF156C" w:rsidP="00FB7C7F">
            <w:pPr>
              <w:pStyle w:val="Default"/>
              <w:rPr>
                <w:i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  <w:t>1.1</w:t>
            </w:r>
          </w:p>
          <w:p w:rsidR="00EC72A3" w:rsidRPr="00B62F1E" w:rsidRDefault="00EC72A3" w:rsidP="00BA036D">
            <w:pPr>
              <w:pStyle w:val="Text1"/>
              <w:spacing w:before="0" w:after="0" w:line="240" w:lineRule="auto"/>
              <w:ind w:left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368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EC72A3" w:rsidRPr="00B62F1E" w:rsidRDefault="00EC72A3" w:rsidP="00EF42C4">
            <w:pPr>
              <w:pStyle w:val="Text1"/>
              <w:spacing w:before="0" w:after="0"/>
              <w:ind w:left="0"/>
              <w:jc w:val="center"/>
              <w:rPr>
                <w:i/>
                <w:noProof/>
                <w:sz w:val="18"/>
                <w:szCs w:val="18"/>
              </w:rPr>
            </w:pPr>
            <w:r w:rsidRPr="00B62F1E">
              <w:rPr>
                <w:color w:val="000000"/>
                <w:sz w:val="18"/>
                <w:szCs w:val="18"/>
                <w:lang w:eastAsia="cs-CZ" w:bidi="cs-CZ"/>
              </w:rPr>
              <w:t>ERDF</w:t>
            </w:r>
          </w:p>
        </w:tc>
        <w:tc>
          <w:tcPr>
            <w:tcW w:w="88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EC72A3" w:rsidRPr="00B62F1E" w:rsidRDefault="00EC72A3" w:rsidP="005061CB">
            <w:pPr>
              <w:spacing w:before="0" w:after="0" w:line="240" w:lineRule="auto"/>
              <w:rPr>
                <w:color w:val="000000"/>
                <w:sz w:val="18"/>
                <w:szCs w:val="18"/>
                <w:lang w:eastAsia="cs-CZ" w:bidi="cs-CZ"/>
              </w:rPr>
            </w:pPr>
            <w:r w:rsidRPr="00B62F1E">
              <w:rPr>
                <w:color w:val="000000"/>
                <w:sz w:val="18"/>
                <w:szCs w:val="18"/>
                <w:lang w:eastAsia="cs-CZ" w:bidi="cs-CZ"/>
              </w:rPr>
              <w:t>Více rozvinuté</w:t>
            </w:r>
          </w:p>
        </w:tc>
        <w:tc>
          <w:tcPr>
            <w:tcW w:w="442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EC72A3" w:rsidRPr="00B62F1E" w:rsidRDefault="00EC72A3" w:rsidP="00EF42C4">
            <w:pPr>
              <w:pStyle w:val="Text1"/>
              <w:spacing w:before="0" w:after="0"/>
              <w:ind w:left="0"/>
              <w:jc w:val="center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589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EC72A3" w:rsidRPr="00B62F1E" w:rsidRDefault="00EC72A3" w:rsidP="00D91096">
            <w:pPr>
              <w:spacing w:before="0" w:after="0" w:line="240" w:lineRule="auto"/>
              <w:rPr>
                <w:color w:val="000000"/>
                <w:sz w:val="18"/>
                <w:szCs w:val="18"/>
                <w:lang w:eastAsia="cs-CZ" w:bidi="cs-CZ"/>
              </w:rPr>
            </w:pPr>
            <w:r w:rsidRPr="00B62F1E">
              <w:rPr>
                <w:color w:val="000000"/>
                <w:sz w:val="18"/>
                <w:szCs w:val="18"/>
                <w:lang w:eastAsia="cs-CZ" w:bidi="cs-CZ"/>
              </w:rPr>
              <w:t>Počet institucí ovlivněných intervencí</w:t>
            </w:r>
          </w:p>
        </w:tc>
        <w:tc>
          <w:tcPr>
            <w:tcW w:w="515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EC72A3" w:rsidRPr="00B62F1E" w:rsidRDefault="00D65F17" w:rsidP="00EF42C4">
            <w:pPr>
              <w:spacing w:before="0" w:after="0" w:line="240" w:lineRule="auto"/>
              <w:jc w:val="center"/>
              <w:rPr>
                <w:color w:val="000000"/>
                <w:sz w:val="18"/>
                <w:szCs w:val="18"/>
                <w:lang w:eastAsia="cs-CZ" w:bidi="cs-CZ"/>
              </w:rPr>
            </w:pPr>
            <w:r w:rsidRPr="00B62F1E">
              <w:rPr>
                <w:color w:val="000000"/>
                <w:sz w:val="18"/>
                <w:szCs w:val="18"/>
                <w:lang w:eastAsia="cs-CZ" w:bidi="cs-CZ"/>
              </w:rPr>
              <w:t>I</w:t>
            </w:r>
            <w:r w:rsidR="00EC72A3" w:rsidRPr="00B62F1E">
              <w:rPr>
                <w:color w:val="000000"/>
                <w:sz w:val="18"/>
                <w:szCs w:val="18"/>
                <w:lang w:eastAsia="cs-CZ" w:bidi="cs-CZ"/>
              </w:rPr>
              <w:t>nstituce</w:t>
            </w:r>
          </w:p>
        </w:tc>
        <w:tc>
          <w:tcPr>
            <w:tcW w:w="368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EC72A3" w:rsidRPr="00EC72A3" w:rsidRDefault="00EC72A3" w:rsidP="00EF42C4">
            <w:pPr>
              <w:pStyle w:val="Text1"/>
              <w:spacing w:before="0" w:after="0"/>
              <w:ind w:left="0"/>
              <w:jc w:val="center"/>
              <w:rPr>
                <w:noProof/>
                <w:sz w:val="18"/>
                <w:szCs w:val="18"/>
              </w:rPr>
            </w:pPr>
            <w:r w:rsidRPr="00EC72A3">
              <w:rPr>
                <w:noProof/>
                <w:sz w:val="18"/>
                <w:szCs w:val="18"/>
              </w:rPr>
              <w:t>-</w:t>
            </w:r>
          </w:p>
        </w:tc>
        <w:tc>
          <w:tcPr>
            <w:tcW w:w="220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EC72A3" w:rsidRPr="00B62F1E" w:rsidRDefault="00EC72A3" w:rsidP="00EF42C4">
            <w:pPr>
              <w:pStyle w:val="Text1"/>
              <w:spacing w:before="0" w:after="0"/>
              <w:ind w:left="0"/>
              <w:jc w:val="center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EC72A3" w:rsidRPr="00B62F1E" w:rsidRDefault="00EC72A3" w:rsidP="005061CB">
            <w:pPr>
              <w:pStyle w:val="Text1"/>
              <w:spacing w:before="0" w:after="0"/>
              <w:ind w:left="0"/>
              <w:jc w:val="right"/>
              <w:rPr>
                <w:noProof/>
                <w:sz w:val="18"/>
                <w:szCs w:val="18"/>
              </w:rPr>
            </w:pPr>
            <w:r w:rsidRPr="00B62F1E">
              <w:rPr>
                <w:noProof/>
                <w:sz w:val="18"/>
                <w:szCs w:val="18"/>
              </w:rPr>
              <w:t>188</w:t>
            </w:r>
          </w:p>
        </w:tc>
        <w:tc>
          <w:tcPr>
            <w:tcW w:w="441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EC72A3" w:rsidRPr="00B62F1E" w:rsidRDefault="00EC72A3" w:rsidP="0016107B">
            <w:pPr>
              <w:pStyle w:val="Text1"/>
              <w:spacing w:before="0" w:after="0" w:line="240" w:lineRule="auto"/>
              <w:ind w:left="0"/>
              <w:rPr>
                <w:i/>
                <w:noProof/>
                <w:sz w:val="18"/>
                <w:szCs w:val="18"/>
              </w:rPr>
            </w:pPr>
            <w:r w:rsidRPr="00B62F1E">
              <w:rPr>
                <w:color w:val="000000"/>
                <w:sz w:val="18"/>
                <w:szCs w:val="18"/>
              </w:rPr>
              <w:t>Zpráva o realizaci projektu</w:t>
            </w:r>
          </w:p>
        </w:tc>
        <w:tc>
          <w:tcPr>
            <w:tcW w:w="218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EC72A3" w:rsidRPr="00B62F1E" w:rsidRDefault="00EC72A3" w:rsidP="00EF42C4">
            <w:pPr>
              <w:spacing w:before="0" w:after="0"/>
              <w:jc w:val="center"/>
              <w:rPr>
                <w:i/>
                <w:noProof/>
                <w:sz w:val="18"/>
                <w:szCs w:val="18"/>
              </w:rPr>
            </w:pPr>
          </w:p>
        </w:tc>
      </w:tr>
      <w:tr w:rsidR="00E66C22" w:rsidRPr="003B3D2F" w:rsidTr="00093CF6">
        <w:trPr>
          <w:trHeight w:val="286"/>
        </w:trPr>
        <w:tc>
          <w:tcPr>
            <w:tcW w:w="219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EC72A3" w:rsidRPr="00B62F1E" w:rsidRDefault="00EC72A3" w:rsidP="00EF42C4">
            <w:pPr>
              <w:pStyle w:val="Text1"/>
              <w:spacing w:before="0" w:after="0"/>
              <w:ind w:left="0"/>
              <w:jc w:val="center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368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EC72A3" w:rsidRPr="00B62F1E" w:rsidRDefault="00EC72A3" w:rsidP="00EF42C4">
            <w:pPr>
              <w:pStyle w:val="Text1"/>
              <w:spacing w:before="0" w:after="0"/>
              <w:ind w:left="0"/>
              <w:jc w:val="center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368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EC72A3" w:rsidRPr="00B62F1E" w:rsidRDefault="00EC72A3" w:rsidP="00EF42C4">
            <w:pPr>
              <w:pStyle w:val="Text1"/>
              <w:spacing w:before="0" w:after="0"/>
              <w:ind w:left="0"/>
              <w:jc w:val="center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88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EC72A3" w:rsidRPr="00B62F1E" w:rsidRDefault="00EC72A3" w:rsidP="005061CB">
            <w:pPr>
              <w:spacing w:before="0" w:after="0" w:line="240" w:lineRule="auto"/>
              <w:rPr>
                <w:color w:val="000000"/>
                <w:sz w:val="18"/>
                <w:szCs w:val="18"/>
                <w:lang w:eastAsia="cs-CZ" w:bidi="cs-CZ"/>
              </w:rPr>
            </w:pPr>
            <w:r w:rsidRPr="00B62F1E">
              <w:rPr>
                <w:color w:val="000000"/>
                <w:sz w:val="18"/>
                <w:szCs w:val="18"/>
                <w:lang w:eastAsia="cs-CZ" w:bidi="cs-CZ"/>
              </w:rPr>
              <w:t>Přechodové</w:t>
            </w:r>
          </w:p>
        </w:tc>
        <w:tc>
          <w:tcPr>
            <w:tcW w:w="442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EC72A3" w:rsidRPr="00B62F1E" w:rsidRDefault="00EC72A3" w:rsidP="00EF42C4">
            <w:pPr>
              <w:pStyle w:val="Text1"/>
              <w:spacing w:before="0" w:after="0"/>
              <w:ind w:left="0"/>
              <w:jc w:val="center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589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EC72A3" w:rsidRPr="00B62F1E" w:rsidRDefault="00EC72A3" w:rsidP="00D91096">
            <w:pPr>
              <w:pStyle w:val="Text1"/>
              <w:spacing w:before="0" w:after="0"/>
              <w:ind w:left="0"/>
              <w:rPr>
                <w:sz w:val="18"/>
                <w:szCs w:val="18"/>
              </w:rPr>
            </w:pPr>
          </w:p>
        </w:tc>
        <w:tc>
          <w:tcPr>
            <w:tcW w:w="515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EC72A3" w:rsidRPr="00B62F1E" w:rsidRDefault="00EC72A3" w:rsidP="00EF42C4">
            <w:pPr>
              <w:pStyle w:val="Text1"/>
              <w:spacing w:before="0" w:after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68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EC72A3" w:rsidRPr="00EC72A3" w:rsidRDefault="00EC72A3" w:rsidP="00EF42C4">
            <w:pPr>
              <w:pStyle w:val="Text1"/>
              <w:spacing w:before="0" w:after="0"/>
              <w:ind w:left="0"/>
              <w:jc w:val="center"/>
              <w:rPr>
                <w:noProof/>
                <w:sz w:val="18"/>
                <w:szCs w:val="18"/>
              </w:rPr>
            </w:pPr>
            <w:r w:rsidRPr="00EC72A3">
              <w:rPr>
                <w:noProof/>
                <w:sz w:val="18"/>
                <w:szCs w:val="18"/>
              </w:rPr>
              <w:t>-</w:t>
            </w:r>
          </w:p>
        </w:tc>
        <w:tc>
          <w:tcPr>
            <w:tcW w:w="220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EC72A3" w:rsidRPr="00B62F1E" w:rsidRDefault="00EC72A3" w:rsidP="00EF42C4">
            <w:pPr>
              <w:pStyle w:val="Text1"/>
              <w:spacing w:before="0" w:after="0"/>
              <w:ind w:left="0"/>
              <w:jc w:val="center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EC72A3" w:rsidRPr="00B62F1E" w:rsidRDefault="00EC72A3" w:rsidP="005061CB">
            <w:pPr>
              <w:pStyle w:val="Text1"/>
              <w:spacing w:before="0" w:after="0"/>
              <w:ind w:left="0"/>
              <w:jc w:val="right"/>
              <w:rPr>
                <w:noProof/>
                <w:sz w:val="18"/>
                <w:szCs w:val="18"/>
              </w:rPr>
            </w:pPr>
            <w:r w:rsidRPr="00B62F1E">
              <w:rPr>
                <w:noProof/>
                <w:sz w:val="18"/>
                <w:szCs w:val="18"/>
              </w:rPr>
              <w:t>219</w:t>
            </w:r>
          </w:p>
        </w:tc>
        <w:tc>
          <w:tcPr>
            <w:tcW w:w="441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EC72A3" w:rsidRPr="00B62F1E" w:rsidRDefault="00EC72A3" w:rsidP="0016107B">
            <w:pPr>
              <w:pStyle w:val="Text1"/>
              <w:spacing w:before="0" w:after="0" w:line="480" w:lineRule="auto"/>
              <w:ind w:left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218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EC72A3" w:rsidRPr="00B62F1E" w:rsidRDefault="00EC72A3" w:rsidP="00EF42C4">
            <w:pPr>
              <w:spacing w:before="0" w:after="0"/>
              <w:jc w:val="center"/>
              <w:rPr>
                <w:i/>
                <w:noProof/>
                <w:sz w:val="18"/>
                <w:szCs w:val="18"/>
              </w:rPr>
            </w:pPr>
          </w:p>
        </w:tc>
      </w:tr>
      <w:tr w:rsidR="00E66C22" w:rsidRPr="003B3D2F" w:rsidTr="00093CF6">
        <w:trPr>
          <w:trHeight w:val="250"/>
        </w:trPr>
        <w:tc>
          <w:tcPr>
            <w:tcW w:w="219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EC72A3" w:rsidRPr="00B62F1E" w:rsidRDefault="00EC72A3" w:rsidP="00EF42C4">
            <w:pPr>
              <w:pStyle w:val="Text1"/>
              <w:spacing w:before="0" w:after="0"/>
              <w:ind w:left="0"/>
              <w:jc w:val="center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368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EC72A3" w:rsidRPr="00B62F1E" w:rsidRDefault="00EC72A3" w:rsidP="00EF42C4">
            <w:pPr>
              <w:pStyle w:val="Text1"/>
              <w:spacing w:before="0" w:after="0"/>
              <w:ind w:left="0"/>
              <w:jc w:val="center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368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EC72A3" w:rsidRPr="00B62F1E" w:rsidRDefault="00EC72A3" w:rsidP="00EF42C4">
            <w:pPr>
              <w:pStyle w:val="Text1"/>
              <w:spacing w:before="0" w:after="0"/>
              <w:ind w:left="0"/>
              <w:jc w:val="center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88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EC72A3" w:rsidRPr="00B62F1E" w:rsidRDefault="00EC72A3" w:rsidP="005061CB">
            <w:pPr>
              <w:spacing w:before="0" w:after="0" w:line="240" w:lineRule="auto"/>
              <w:rPr>
                <w:color w:val="000000"/>
                <w:sz w:val="18"/>
                <w:szCs w:val="18"/>
                <w:lang w:eastAsia="cs-CZ" w:bidi="cs-CZ"/>
              </w:rPr>
            </w:pPr>
            <w:r w:rsidRPr="00B62F1E">
              <w:rPr>
                <w:color w:val="000000"/>
                <w:sz w:val="18"/>
                <w:szCs w:val="18"/>
                <w:lang w:eastAsia="cs-CZ" w:bidi="cs-CZ"/>
              </w:rPr>
              <w:t>Méně rozvinuté</w:t>
            </w:r>
          </w:p>
        </w:tc>
        <w:tc>
          <w:tcPr>
            <w:tcW w:w="442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EC72A3" w:rsidRPr="00B62F1E" w:rsidRDefault="00EC72A3" w:rsidP="00EF42C4">
            <w:pPr>
              <w:pStyle w:val="Text1"/>
              <w:spacing w:before="0" w:after="0"/>
              <w:ind w:left="0"/>
              <w:jc w:val="center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589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EC72A3" w:rsidRPr="00B62F1E" w:rsidRDefault="00EC72A3" w:rsidP="00D91096">
            <w:pPr>
              <w:pStyle w:val="Text1"/>
              <w:spacing w:before="0" w:after="0"/>
              <w:ind w:left="0"/>
              <w:rPr>
                <w:sz w:val="18"/>
                <w:szCs w:val="18"/>
              </w:rPr>
            </w:pPr>
          </w:p>
        </w:tc>
        <w:tc>
          <w:tcPr>
            <w:tcW w:w="515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EC72A3" w:rsidRPr="00B62F1E" w:rsidRDefault="00EC72A3" w:rsidP="00EF42C4">
            <w:pPr>
              <w:pStyle w:val="Text1"/>
              <w:spacing w:before="0" w:after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68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EC72A3" w:rsidRPr="00EC72A3" w:rsidRDefault="00EC72A3" w:rsidP="00EF42C4">
            <w:pPr>
              <w:pStyle w:val="Text1"/>
              <w:spacing w:before="0" w:after="0"/>
              <w:ind w:left="0"/>
              <w:jc w:val="center"/>
              <w:rPr>
                <w:noProof/>
                <w:sz w:val="18"/>
                <w:szCs w:val="18"/>
              </w:rPr>
            </w:pPr>
            <w:r w:rsidRPr="00EC72A3">
              <w:rPr>
                <w:noProof/>
                <w:sz w:val="18"/>
                <w:szCs w:val="18"/>
              </w:rPr>
              <w:t>-</w:t>
            </w:r>
          </w:p>
        </w:tc>
        <w:tc>
          <w:tcPr>
            <w:tcW w:w="220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EC72A3" w:rsidRPr="00B62F1E" w:rsidRDefault="00EC72A3" w:rsidP="00EF42C4">
            <w:pPr>
              <w:pStyle w:val="Text1"/>
              <w:spacing w:before="0" w:after="0"/>
              <w:ind w:left="0"/>
              <w:jc w:val="center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EC72A3" w:rsidRPr="00B62F1E" w:rsidRDefault="00EC72A3" w:rsidP="005061CB">
            <w:pPr>
              <w:pStyle w:val="Text1"/>
              <w:spacing w:before="0" w:after="0"/>
              <w:ind w:left="0"/>
              <w:jc w:val="right"/>
              <w:rPr>
                <w:noProof/>
                <w:sz w:val="18"/>
                <w:szCs w:val="18"/>
              </w:rPr>
            </w:pPr>
            <w:r w:rsidRPr="00B62F1E">
              <w:rPr>
                <w:noProof/>
                <w:sz w:val="18"/>
                <w:szCs w:val="18"/>
              </w:rPr>
              <w:t>225</w:t>
            </w:r>
          </w:p>
        </w:tc>
        <w:tc>
          <w:tcPr>
            <w:tcW w:w="441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EC72A3" w:rsidRPr="00B62F1E" w:rsidRDefault="00EC72A3" w:rsidP="0016107B">
            <w:pPr>
              <w:pStyle w:val="Text1"/>
              <w:spacing w:before="0" w:after="0" w:line="480" w:lineRule="auto"/>
              <w:ind w:left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218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EC72A3" w:rsidRPr="00B62F1E" w:rsidRDefault="00EC72A3" w:rsidP="00EF42C4">
            <w:pPr>
              <w:spacing w:before="0" w:after="0"/>
              <w:jc w:val="center"/>
              <w:rPr>
                <w:i/>
                <w:noProof/>
                <w:sz w:val="18"/>
                <w:szCs w:val="18"/>
              </w:rPr>
            </w:pPr>
          </w:p>
        </w:tc>
      </w:tr>
      <w:tr w:rsidR="00E66C22" w:rsidRPr="0066256F" w:rsidTr="00093CF6">
        <w:trPr>
          <w:trHeight w:val="286"/>
        </w:trPr>
        <w:tc>
          <w:tcPr>
            <w:tcW w:w="219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D1433" w:rsidRPr="00B62F1E" w:rsidRDefault="000D1433" w:rsidP="000D1433">
            <w:pPr>
              <w:pStyle w:val="Text1"/>
              <w:spacing w:before="0" w:after="0"/>
              <w:ind w:left="0"/>
              <w:jc w:val="center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368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D1433" w:rsidRPr="00B62F1E" w:rsidRDefault="000D1433" w:rsidP="000D1433">
            <w:pPr>
              <w:pStyle w:val="Text1"/>
              <w:spacing w:before="0" w:after="0"/>
              <w:ind w:left="0"/>
              <w:jc w:val="center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368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D1433" w:rsidRPr="00B62F1E" w:rsidRDefault="000D1433" w:rsidP="000D1433">
            <w:pPr>
              <w:pStyle w:val="Text1"/>
              <w:spacing w:before="0" w:after="0"/>
              <w:ind w:left="0"/>
              <w:jc w:val="center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88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D1433" w:rsidRPr="00B62F1E" w:rsidRDefault="000D1433" w:rsidP="005061CB">
            <w:pPr>
              <w:spacing w:before="0" w:after="0" w:line="240" w:lineRule="auto"/>
              <w:rPr>
                <w:color w:val="000000"/>
                <w:sz w:val="18"/>
                <w:szCs w:val="18"/>
                <w:lang w:eastAsia="cs-CZ" w:bidi="cs-CZ"/>
              </w:rPr>
            </w:pPr>
            <w:r w:rsidRPr="00B62F1E">
              <w:rPr>
                <w:color w:val="000000"/>
                <w:sz w:val="18"/>
                <w:szCs w:val="18"/>
                <w:lang w:eastAsia="cs-CZ" w:bidi="cs-CZ"/>
              </w:rPr>
              <w:t>Více rozvinuté</w:t>
            </w:r>
          </w:p>
        </w:tc>
        <w:tc>
          <w:tcPr>
            <w:tcW w:w="442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D1433" w:rsidRPr="00B62F1E" w:rsidRDefault="000D1433" w:rsidP="000D1433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2F1E">
              <w:rPr>
                <w:rFonts w:ascii="Times New Roman" w:hAnsi="Times New Roman" w:cs="Times New Roman"/>
                <w:sz w:val="18"/>
                <w:szCs w:val="18"/>
              </w:rPr>
              <w:t>RCR 08</w:t>
            </w:r>
          </w:p>
          <w:p w:rsidR="000D1433" w:rsidRPr="00B62F1E" w:rsidRDefault="000D1433" w:rsidP="000D1433">
            <w:pPr>
              <w:pStyle w:val="Text1"/>
              <w:spacing w:before="0" w:after="0"/>
              <w:ind w:left="0"/>
              <w:jc w:val="center"/>
              <w:rPr>
                <w:i/>
                <w:strike/>
                <w:noProof/>
                <w:sz w:val="18"/>
                <w:szCs w:val="18"/>
              </w:rPr>
            </w:pPr>
          </w:p>
        </w:tc>
        <w:tc>
          <w:tcPr>
            <w:tcW w:w="589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D1433" w:rsidRPr="00B62F1E" w:rsidRDefault="000D1433" w:rsidP="000D1433">
            <w:pPr>
              <w:spacing w:before="0" w:after="0" w:line="240" w:lineRule="auto"/>
              <w:rPr>
                <w:strike/>
                <w:sz w:val="18"/>
                <w:szCs w:val="18"/>
              </w:rPr>
            </w:pPr>
            <w:r w:rsidRPr="00B62F1E">
              <w:rPr>
                <w:bCs/>
                <w:sz w:val="18"/>
                <w:szCs w:val="18"/>
                <w:lang w:eastAsia="en-GB"/>
              </w:rPr>
              <w:t>Publikace z</w:t>
            </w:r>
            <w:r w:rsidR="006B1EC4">
              <w:rPr>
                <w:bCs/>
                <w:sz w:val="18"/>
                <w:szCs w:val="18"/>
                <w:lang w:eastAsia="en-GB"/>
              </w:rPr>
              <w:t> </w:t>
            </w:r>
            <w:r w:rsidRPr="00B62F1E">
              <w:rPr>
                <w:bCs/>
                <w:sz w:val="18"/>
                <w:szCs w:val="18"/>
                <w:lang w:eastAsia="en-GB"/>
              </w:rPr>
              <w:t>podpořených projektů</w:t>
            </w:r>
          </w:p>
        </w:tc>
        <w:tc>
          <w:tcPr>
            <w:tcW w:w="515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D1433" w:rsidRPr="00B62F1E" w:rsidRDefault="000D1433" w:rsidP="000D1433">
            <w:pPr>
              <w:pStyle w:val="Text1"/>
              <w:spacing w:before="0" w:after="0"/>
              <w:ind w:left="0"/>
              <w:jc w:val="center"/>
              <w:rPr>
                <w:strike/>
                <w:sz w:val="18"/>
                <w:szCs w:val="18"/>
              </w:rPr>
            </w:pPr>
            <w:r w:rsidRPr="00B62F1E">
              <w:rPr>
                <w:bCs/>
                <w:sz w:val="18"/>
                <w:szCs w:val="18"/>
                <w:lang w:eastAsia="en-GB"/>
              </w:rPr>
              <w:t>Publikace</w:t>
            </w:r>
          </w:p>
        </w:tc>
        <w:tc>
          <w:tcPr>
            <w:tcW w:w="368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D1433" w:rsidRPr="00EC72A3" w:rsidRDefault="000D1433" w:rsidP="000D1433">
            <w:pPr>
              <w:pStyle w:val="Text1"/>
              <w:spacing w:before="0" w:after="0"/>
              <w:ind w:left="0"/>
              <w:jc w:val="center"/>
              <w:rPr>
                <w:strike/>
                <w:noProof/>
                <w:sz w:val="18"/>
                <w:szCs w:val="18"/>
              </w:rPr>
            </w:pPr>
            <w:r w:rsidRPr="00EC72A3">
              <w:rPr>
                <w:noProof/>
                <w:sz w:val="18"/>
                <w:szCs w:val="18"/>
              </w:rPr>
              <w:t>-</w:t>
            </w:r>
          </w:p>
        </w:tc>
        <w:tc>
          <w:tcPr>
            <w:tcW w:w="220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D1433" w:rsidRPr="00B62F1E" w:rsidRDefault="000D1433" w:rsidP="000D1433">
            <w:pPr>
              <w:pStyle w:val="Text1"/>
              <w:spacing w:before="0" w:after="0"/>
              <w:ind w:left="0"/>
              <w:jc w:val="center"/>
              <w:rPr>
                <w:b/>
                <w:strike/>
                <w:noProof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D1433" w:rsidRPr="00B62F1E" w:rsidRDefault="000D1433" w:rsidP="005061CB">
            <w:pPr>
              <w:pStyle w:val="Text1"/>
              <w:spacing w:before="0" w:after="0"/>
              <w:ind w:left="0"/>
              <w:jc w:val="right"/>
              <w:rPr>
                <w:b/>
                <w:strike/>
                <w:noProof/>
                <w:sz w:val="18"/>
                <w:szCs w:val="18"/>
              </w:rPr>
            </w:pPr>
            <w:r w:rsidRPr="00EC72A3">
              <w:rPr>
                <w:noProof/>
                <w:sz w:val="18"/>
                <w:szCs w:val="18"/>
              </w:rPr>
              <w:t>1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EC72A3">
              <w:rPr>
                <w:noProof/>
                <w:sz w:val="18"/>
                <w:szCs w:val="18"/>
              </w:rPr>
              <w:t>145</w:t>
            </w:r>
          </w:p>
        </w:tc>
        <w:tc>
          <w:tcPr>
            <w:tcW w:w="441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D1433" w:rsidRPr="00B62F1E" w:rsidRDefault="000D1433" w:rsidP="000D1433">
            <w:pPr>
              <w:pStyle w:val="Text1"/>
              <w:spacing w:before="0" w:after="0" w:line="240" w:lineRule="auto"/>
              <w:ind w:left="0"/>
              <w:rPr>
                <w:i/>
                <w:noProof/>
                <w:sz w:val="18"/>
                <w:szCs w:val="18"/>
              </w:rPr>
            </w:pPr>
            <w:r w:rsidRPr="00B62F1E">
              <w:rPr>
                <w:color w:val="000000"/>
                <w:sz w:val="18"/>
                <w:szCs w:val="18"/>
              </w:rPr>
              <w:t>Zpráva o realizaci projektu</w:t>
            </w:r>
          </w:p>
          <w:p w:rsidR="000D1433" w:rsidRPr="00B62F1E" w:rsidRDefault="000D1433" w:rsidP="000D1433">
            <w:pPr>
              <w:pStyle w:val="Text1"/>
              <w:spacing w:before="0" w:after="0" w:line="240" w:lineRule="auto"/>
              <w:ind w:left="0"/>
              <w:rPr>
                <w:i/>
                <w:strike/>
                <w:noProof/>
                <w:sz w:val="18"/>
                <w:szCs w:val="18"/>
              </w:rPr>
            </w:pPr>
          </w:p>
        </w:tc>
        <w:tc>
          <w:tcPr>
            <w:tcW w:w="218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D1433" w:rsidRPr="00B62F1E" w:rsidRDefault="000D1433" w:rsidP="000D1433">
            <w:pPr>
              <w:spacing w:before="0" w:after="0"/>
              <w:jc w:val="center"/>
              <w:rPr>
                <w:i/>
                <w:strike/>
                <w:noProof/>
                <w:sz w:val="18"/>
                <w:szCs w:val="18"/>
              </w:rPr>
            </w:pPr>
          </w:p>
        </w:tc>
      </w:tr>
      <w:tr w:rsidR="00E66C22" w:rsidRPr="003B3D2F" w:rsidTr="00093CF6">
        <w:trPr>
          <w:trHeight w:val="286"/>
        </w:trPr>
        <w:tc>
          <w:tcPr>
            <w:tcW w:w="219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D1433" w:rsidRPr="00B62F1E" w:rsidRDefault="000D1433" w:rsidP="000D1433">
            <w:pPr>
              <w:pStyle w:val="Text1"/>
              <w:spacing w:before="0" w:after="0"/>
              <w:ind w:left="0"/>
              <w:jc w:val="center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368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D1433" w:rsidRPr="00B62F1E" w:rsidRDefault="000D1433" w:rsidP="000D1433">
            <w:pPr>
              <w:pStyle w:val="Text1"/>
              <w:spacing w:before="0" w:after="0"/>
              <w:ind w:left="0"/>
              <w:jc w:val="center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368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D1433" w:rsidRPr="00B62F1E" w:rsidRDefault="000D1433" w:rsidP="000D1433">
            <w:pPr>
              <w:pStyle w:val="Text1"/>
              <w:spacing w:before="0" w:after="0"/>
              <w:ind w:left="0"/>
              <w:jc w:val="center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88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D1433" w:rsidRPr="00B62F1E" w:rsidRDefault="000D1433" w:rsidP="005061CB">
            <w:pPr>
              <w:spacing w:before="0" w:after="0" w:line="240" w:lineRule="auto"/>
              <w:rPr>
                <w:color w:val="000000"/>
                <w:sz w:val="18"/>
                <w:szCs w:val="18"/>
                <w:lang w:eastAsia="cs-CZ" w:bidi="cs-CZ"/>
              </w:rPr>
            </w:pPr>
            <w:r w:rsidRPr="00B62F1E">
              <w:rPr>
                <w:color w:val="000000"/>
                <w:sz w:val="18"/>
                <w:szCs w:val="18"/>
                <w:lang w:eastAsia="cs-CZ" w:bidi="cs-CZ"/>
              </w:rPr>
              <w:t>Přechodové</w:t>
            </w:r>
          </w:p>
        </w:tc>
        <w:tc>
          <w:tcPr>
            <w:tcW w:w="442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D1433" w:rsidRPr="00B62F1E" w:rsidRDefault="000D1433" w:rsidP="000D1433">
            <w:pPr>
              <w:pStyle w:val="Text1"/>
              <w:spacing w:before="0" w:after="0"/>
              <w:ind w:left="0"/>
              <w:jc w:val="center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589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D1433" w:rsidRPr="00B62F1E" w:rsidRDefault="000D1433" w:rsidP="000D1433">
            <w:pPr>
              <w:pStyle w:val="Text1"/>
              <w:spacing w:before="0" w:after="0"/>
              <w:ind w:left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515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D1433" w:rsidRPr="00B62F1E" w:rsidRDefault="000D1433" w:rsidP="000D1433">
            <w:pPr>
              <w:pStyle w:val="Text1"/>
              <w:spacing w:before="0" w:after="0"/>
              <w:ind w:left="0"/>
              <w:jc w:val="center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368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D1433" w:rsidRPr="00EC72A3" w:rsidRDefault="000D1433" w:rsidP="000D1433">
            <w:pPr>
              <w:pStyle w:val="Text1"/>
              <w:spacing w:before="0" w:after="0"/>
              <w:ind w:left="0"/>
              <w:jc w:val="center"/>
              <w:rPr>
                <w:noProof/>
                <w:sz w:val="18"/>
                <w:szCs w:val="18"/>
              </w:rPr>
            </w:pPr>
            <w:r w:rsidRPr="00EC72A3">
              <w:rPr>
                <w:noProof/>
                <w:sz w:val="18"/>
                <w:szCs w:val="18"/>
              </w:rPr>
              <w:t>-</w:t>
            </w:r>
          </w:p>
        </w:tc>
        <w:tc>
          <w:tcPr>
            <w:tcW w:w="220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D1433" w:rsidRPr="00B62F1E" w:rsidRDefault="000D1433" w:rsidP="000D1433">
            <w:pPr>
              <w:pStyle w:val="Text1"/>
              <w:spacing w:before="0" w:after="0"/>
              <w:ind w:left="0"/>
              <w:jc w:val="center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D1433" w:rsidRPr="00B62F1E" w:rsidRDefault="000D1433" w:rsidP="005061CB">
            <w:pPr>
              <w:pStyle w:val="Text1"/>
              <w:spacing w:before="0" w:after="0"/>
              <w:ind w:left="0"/>
              <w:jc w:val="right"/>
              <w:rPr>
                <w:b/>
                <w:noProof/>
                <w:sz w:val="18"/>
                <w:szCs w:val="18"/>
              </w:rPr>
            </w:pPr>
            <w:r w:rsidRPr="00EC72A3">
              <w:rPr>
                <w:noProof/>
                <w:sz w:val="18"/>
                <w:szCs w:val="18"/>
              </w:rPr>
              <w:t>2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EC72A3">
              <w:rPr>
                <w:noProof/>
                <w:sz w:val="18"/>
                <w:szCs w:val="18"/>
              </w:rPr>
              <w:t>127</w:t>
            </w:r>
          </w:p>
        </w:tc>
        <w:tc>
          <w:tcPr>
            <w:tcW w:w="441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D1433" w:rsidRPr="00B62F1E" w:rsidRDefault="000D1433" w:rsidP="000D1433">
            <w:pPr>
              <w:pStyle w:val="Text1"/>
              <w:spacing w:before="0" w:after="0" w:line="480" w:lineRule="auto"/>
              <w:ind w:left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218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D1433" w:rsidRPr="00B62F1E" w:rsidRDefault="000D1433" w:rsidP="000D1433">
            <w:pPr>
              <w:spacing w:before="0" w:after="0"/>
              <w:jc w:val="center"/>
              <w:rPr>
                <w:i/>
                <w:noProof/>
                <w:sz w:val="18"/>
                <w:szCs w:val="18"/>
              </w:rPr>
            </w:pPr>
          </w:p>
        </w:tc>
      </w:tr>
      <w:tr w:rsidR="00E66C22" w:rsidRPr="003B3D2F" w:rsidTr="00093CF6">
        <w:trPr>
          <w:trHeight w:val="286"/>
        </w:trPr>
        <w:tc>
          <w:tcPr>
            <w:tcW w:w="219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D1433" w:rsidRPr="00B62F1E" w:rsidRDefault="000D1433" w:rsidP="000D1433">
            <w:pPr>
              <w:pStyle w:val="Text1"/>
              <w:spacing w:before="0" w:after="0"/>
              <w:ind w:left="0"/>
              <w:jc w:val="center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368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D1433" w:rsidRPr="00B62F1E" w:rsidRDefault="000D1433" w:rsidP="000D1433">
            <w:pPr>
              <w:pStyle w:val="Text1"/>
              <w:spacing w:before="0" w:after="0"/>
              <w:ind w:left="0"/>
              <w:jc w:val="center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368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D1433" w:rsidRPr="00B62F1E" w:rsidRDefault="000D1433" w:rsidP="000D1433">
            <w:pPr>
              <w:pStyle w:val="Text1"/>
              <w:spacing w:before="0" w:after="0"/>
              <w:ind w:left="0"/>
              <w:jc w:val="center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88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D1433" w:rsidRPr="00B62F1E" w:rsidRDefault="000D1433" w:rsidP="005061CB">
            <w:pPr>
              <w:spacing w:before="0" w:after="0" w:line="240" w:lineRule="auto"/>
              <w:rPr>
                <w:color w:val="000000"/>
                <w:sz w:val="18"/>
                <w:szCs w:val="18"/>
                <w:lang w:eastAsia="cs-CZ" w:bidi="cs-CZ"/>
              </w:rPr>
            </w:pPr>
            <w:r w:rsidRPr="00B62F1E">
              <w:rPr>
                <w:color w:val="000000"/>
                <w:sz w:val="18"/>
                <w:szCs w:val="18"/>
                <w:lang w:eastAsia="cs-CZ" w:bidi="cs-CZ"/>
              </w:rPr>
              <w:t>Méně rozvinuté</w:t>
            </w:r>
          </w:p>
        </w:tc>
        <w:tc>
          <w:tcPr>
            <w:tcW w:w="442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D1433" w:rsidRPr="00B62F1E" w:rsidRDefault="000D1433" w:rsidP="000D1433">
            <w:pPr>
              <w:pStyle w:val="Default"/>
              <w:jc w:val="center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</w:p>
        </w:tc>
        <w:tc>
          <w:tcPr>
            <w:tcW w:w="589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D1433" w:rsidRPr="00B62F1E" w:rsidRDefault="000D1433" w:rsidP="000D1433">
            <w:pPr>
              <w:pStyle w:val="Default"/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</w:pPr>
          </w:p>
        </w:tc>
        <w:tc>
          <w:tcPr>
            <w:tcW w:w="515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D1433" w:rsidRPr="00B62F1E" w:rsidRDefault="000D1433" w:rsidP="000D1433">
            <w:pPr>
              <w:pStyle w:val="Text1"/>
              <w:spacing w:before="0" w:after="0"/>
              <w:ind w:left="0"/>
              <w:jc w:val="center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368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D1433" w:rsidRPr="00EC72A3" w:rsidRDefault="000D1433" w:rsidP="000D1433">
            <w:pPr>
              <w:pStyle w:val="Text1"/>
              <w:spacing w:before="0" w:after="0"/>
              <w:ind w:left="0"/>
              <w:jc w:val="center"/>
              <w:rPr>
                <w:noProof/>
                <w:sz w:val="18"/>
                <w:szCs w:val="18"/>
              </w:rPr>
            </w:pPr>
            <w:r w:rsidRPr="00EC72A3">
              <w:rPr>
                <w:noProof/>
                <w:sz w:val="18"/>
                <w:szCs w:val="18"/>
              </w:rPr>
              <w:t>-</w:t>
            </w:r>
          </w:p>
        </w:tc>
        <w:tc>
          <w:tcPr>
            <w:tcW w:w="220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D1433" w:rsidRPr="00B62F1E" w:rsidRDefault="000D1433" w:rsidP="000D1433">
            <w:pPr>
              <w:pStyle w:val="Text1"/>
              <w:spacing w:before="0" w:after="0"/>
              <w:ind w:left="0"/>
              <w:jc w:val="center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D1433" w:rsidRPr="00B62F1E" w:rsidRDefault="000D1433" w:rsidP="005061CB">
            <w:pPr>
              <w:pStyle w:val="Text1"/>
              <w:spacing w:before="0" w:after="0"/>
              <w:ind w:left="0"/>
              <w:jc w:val="right"/>
              <w:rPr>
                <w:b/>
                <w:noProof/>
                <w:sz w:val="18"/>
                <w:szCs w:val="18"/>
              </w:rPr>
            </w:pPr>
            <w:r w:rsidRPr="00EC72A3">
              <w:rPr>
                <w:noProof/>
                <w:sz w:val="18"/>
                <w:szCs w:val="18"/>
              </w:rPr>
              <w:t>2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EC72A3">
              <w:rPr>
                <w:noProof/>
                <w:sz w:val="18"/>
                <w:szCs w:val="18"/>
              </w:rPr>
              <w:t>182</w:t>
            </w:r>
          </w:p>
        </w:tc>
        <w:tc>
          <w:tcPr>
            <w:tcW w:w="441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D1433" w:rsidRPr="00B62F1E" w:rsidRDefault="000D1433" w:rsidP="000D1433">
            <w:pPr>
              <w:pStyle w:val="Text1"/>
              <w:spacing w:before="0" w:after="0" w:line="480" w:lineRule="auto"/>
              <w:ind w:left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218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D1433" w:rsidRPr="00B62F1E" w:rsidRDefault="000D1433" w:rsidP="000D1433">
            <w:pPr>
              <w:spacing w:before="0" w:after="0"/>
              <w:jc w:val="center"/>
              <w:rPr>
                <w:i/>
                <w:noProof/>
                <w:sz w:val="18"/>
                <w:szCs w:val="18"/>
              </w:rPr>
            </w:pPr>
          </w:p>
        </w:tc>
      </w:tr>
    </w:tbl>
    <w:p w:rsidR="00C17573" w:rsidRPr="000F592A" w:rsidRDefault="00C17573" w:rsidP="000F592A">
      <w:pPr>
        <w:pStyle w:val="Nadpis4"/>
        <w:rPr>
          <w:b/>
          <w:color w:val="1F4E79" w:themeColor="accent5" w:themeShade="80"/>
          <w:lang w:val="cs-CZ" w:eastAsia="cs-CZ" w:bidi="cs-CZ"/>
        </w:rPr>
      </w:pPr>
      <w:bookmarkStart w:id="114" w:name="_Toc66476043"/>
      <w:bookmarkStart w:id="115" w:name="_Toc68611001"/>
      <w:r w:rsidRPr="000F592A">
        <w:rPr>
          <w:b/>
          <w:color w:val="1F4E79" w:themeColor="accent5" w:themeShade="80"/>
          <w:lang w:val="cs-CZ" w:eastAsia="cs-CZ" w:bidi="cs-CZ"/>
        </w:rPr>
        <w:t>Orientační rozdělení programových zdrojů (EU) podle typu intervence</w:t>
      </w:r>
      <w:bookmarkEnd w:id="114"/>
      <w:bookmarkEnd w:id="115"/>
      <w:r w:rsidRPr="000F592A">
        <w:rPr>
          <w:b/>
          <w:color w:val="1F4E79" w:themeColor="accent5" w:themeShade="80"/>
          <w:lang w:val="cs-CZ" w:eastAsia="cs-CZ" w:bidi="cs-CZ"/>
        </w:rPr>
        <w:t xml:space="preserve"> </w:t>
      </w:r>
    </w:p>
    <w:p w:rsidR="00C17573" w:rsidRPr="00F6239D" w:rsidRDefault="00C17573" w:rsidP="00C17573">
      <w:pPr>
        <w:pStyle w:val="Titulek"/>
        <w:rPr>
          <w:rFonts w:ascii="Times New Roman" w:hAnsi="Times New Roman" w:cs="Times New Roman"/>
          <w:color w:val="FF0000"/>
        </w:rPr>
      </w:pPr>
      <w:bookmarkStart w:id="116" w:name="_Toc66346564"/>
      <w:r w:rsidRPr="004F765B">
        <w:rPr>
          <w:rFonts w:ascii="Times New Roman" w:hAnsi="Times New Roman" w:cs="Times New Roman"/>
        </w:rPr>
        <w:t xml:space="preserve"> </w:t>
      </w:r>
      <w:r w:rsidRPr="00F6239D">
        <w:rPr>
          <w:rFonts w:ascii="Times New Roman" w:hAnsi="Times New Roman" w:cs="Times New Roman"/>
        </w:rPr>
        <w:t xml:space="preserve">Tabulka </w:t>
      </w:r>
      <w:r w:rsidR="004F765B" w:rsidRPr="00F6239D">
        <w:rPr>
          <w:rFonts w:ascii="Times New Roman" w:hAnsi="Times New Roman" w:cs="Times New Roman"/>
        </w:rPr>
        <w:fldChar w:fldCharType="begin"/>
      </w:r>
      <w:r w:rsidR="004F765B" w:rsidRPr="00F6239D">
        <w:rPr>
          <w:rFonts w:ascii="Times New Roman" w:hAnsi="Times New Roman" w:cs="Times New Roman"/>
        </w:rPr>
        <w:instrText xml:space="preserve"> SEQ Tabulka \* ARABIC </w:instrText>
      </w:r>
      <w:r w:rsidR="004F765B" w:rsidRPr="00F6239D">
        <w:rPr>
          <w:rFonts w:ascii="Times New Roman" w:hAnsi="Times New Roman" w:cs="Times New Roman"/>
        </w:rPr>
        <w:fldChar w:fldCharType="separate"/>
      </w:r>
      <w:r w:rsidR="00457064">
        <w:rPr>
          <w:rFonts w:ascii="Times New Roman" w:hAnsi="Times New Roman" w:cs="Times New Roman"/>
          <w:noProof/>
        </w:rPr>
        <w:t>5</w:t>
      </w:r>
      <w:r w:rsidR="004F765B" w:rsidRPr="00F6239D">
        <w:rPr>
          <w:rFonts w:ascii="Times New Roman" w:hAnsi="Times New Roman" w:cs="Times New Roman"/>
        </w:rPr>
        <w:fldChar w:fldCharType="end"/>
      </w:r>
      <w:r w:rsidR="004F765B" w:rsidRPr="00F6239D">
        <w:rPr>
          <w:rFonts w:ascii="Times New Roman" w:hAnsi="Times New Roman" w:cs="Times New Roman"/>
        </w:rPr>
        <w:t>:</w:t>
      </w:r>
      <w:r w:rsidRPr="00F6239D">
        <w:rPr>
          <w:rFonts w:ascii="Times New Roman" w:hAnsi="Times New Roman" w:cs="Times New Roman"/>
        </w:rPr>
        <w:t xml:space="preserve"> </w:t>
      </w:r>
      <w:r w:rsidRPr="009B0D79">
        <w:rPr>
          <w:rFonts w:ascii="Times New Roman" w:hAnsi="Times New Roman" w:cs="Times New Roman"/>
        </w:rPr>
        <w:t>SC 1.1: Dimenze 1 – oblast intervence</w:t>
      </w:r>
      <w:bookmarkEnd w:id="116"/>
    </w:p>
    <w:tbl>
      <w:tblPr>
        <w:tblStyle w:val="Tabulkasmkou4zvraznn1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6"/>
        <w:gridCol w:w="1047"/>
        <w:gridCol w:w="2125"/>
        <w:gridCol w:w="1961"/>
        <w:gridCol w:w="1462"/>
        <w:gridCol w:w="1958"/>
      </w:tblGrid>
      <w:tr w:rsidR="00716902" w:rsidRPr="00C07F73" w:rsidTr="00A315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716902" w:rsidRPr="00EC6162" w:rsidRDefault="00716902" w:rsidP="00B234AC">
            <w:pPr>
              <w:spacing w:before="0" w:after="0" w:line="276" w:lineRule="auto"/>
              <w:jc w:val="center"/>
              <w:rPr>
                <w:rFonts w:eastAsia="Times New Roman"/>
                <w:sz w:val="18"/>
                <w:szCs w:val="18"/>
              </w:rPr>
            </w:pPr>
            <w:bookmarkStart w:id="117" w:name="_Toc66271483"/>
            <w:bookmarkStart w:id="118" w:name="_Toc66274252"/>
            <w:bookmarkEnd w:id="117"/>
            <w:bookmarkEnd w:id="118"/>
            <w:r w:rsidRPr="00EC6162">
              <w:rPr>
                <w:rFonts w:eastAsia="Times New Roman"/>
                <w:sz w:val="18"/>
                <w:szCs w:val="18"/>
              </w:rPr>
              <w:t>Číslo priority</w:t>
            </w:r>
          </w:p>
        </w:tc>
        <w:tc>
          <w:tcPr>
            <w:tcW w:w="104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716902" w:rsidRPr="00EC6162" w:rsidRDefault="00716902" w:rsidP="00B234AC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EC6162">
              <w:rPr>
                <w:rFonts w:eastAsia="Times New Roman"/>
                <w:sz w:val="18"/>
                <w:szCs w:val="18"/>
              </w:rPr>
              <w:t>Fond</w:t>
            </w:r>
          </w:p>
        </w:tc>
        <w:tc>
          <w:tcPr>
            <w:tcW w:w="212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716902" w:rsidRPr="00EC6162" w:rsidRDefault="00716902" w:rsidP="00B234AC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EC6162">
              <w:rPr>
                <w:rFonts w:eastAsia="Times New Roman"/>
                <w:sz w:val="18"/>
                <w:szCs w:val="18"/>
              </w:rPr>
              <w:t>Kategorie regionu</w:t>
            </w:r>
          </w:p>
        </w:tc>
        <w:tc>
          <w:tcPr>
            <w:tcW w:w="19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</w:tcPr>
          <w:p w:rsidR="00716902" w:rsidRPr="00EC6162" w:rsidRDefault="00716902" w:rsidP="00B234AC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EC6162">
              <w:rPr>
                <w:rFonts w:eastAsia="Times New Roman"/>
                <w:sz w:val="18"/>
                <w:szCs w:val="18"/>
              </w:rPr>
              <w:t>Specifický cíl</w:t>
            </w:r>
          </w:p>
        </w:tc>
        <w:tc>
          <w:tcPr>
            <w:tcW w:w="14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716902" w:rsidRPr="00EC6162" w:rsidRDefault="00716902" w:rsidP="00B234AC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EC6162">
              <w:rPr>
                <w:rFonts w:eastAsia="Times New Roman"/>
                <w:sz w:val="18"/>
                <w:szCs w:val="18"/>
              </w:rPr>
              <w:t>Kód</w:t>
            </w:r>
          </w:p>
        </w:tc>
        <w:tc>
          <w:tcPr>
            <w:tcW w:w="19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716902" w:rsidRPr="00EC6162" w:rsidRDefault="00716902" w:rsidP="00B234AC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EC6162">
              <w:rPr>
                <w:rFonts w:eastAsia="Times New Roman"/>
                <w:sz w:val="18"/>
                <w:szCs w:val="18"/>
              </w:rPr>
              <w:t>Částka (v EUR)</w:t>
            </w:r>
          </w:p>
        </w:tc>
      </w:tr>
      <w:tr w:rsidR="00716902" w:rsidRPr="00C07F73" w:rsidTr="002E19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 w:val="restart"/>
            <w:shd w:val="clear" w:color="auto" w:fill="DEEAF6" w:themeFill="accent5" w:themeFillTint="33"/>
          </w:tcPr>
          <w:p w:rsidR="00716902" w:rsidRPr="003A1F40" w:rsidRDefault="00716902" w:rsidP="00B234AC">
            <w:pPr>
              <w:spacing w:before="0" w:after="0" w:line="276" w:lineRule="auto"/>
              <w:rPr>
                <w:rFonts w:eastAsia="Times New Roman"/>
                <w:b w:val="0"/>
                <w:sz w:val="18"/>
                <w:szCs w:val="18"/>
              </w:rPr>
            </w:pPr>
            <w:r w:rsidRPr="003A1F40">
              <w:rPr>
                <w:rFonts w:eastAsia="Times New Roman"/>
                <w:b w:val="0"/>
                <w:sz w:val="18"/>
                <w:szCs w:val="18"/>
              </w:rPr>
              <w:t>P1</w:t>
            </w:r>
          </w:p>
        </w:tc>
        <w:tc>
          <w:tcPr>
            <w:tcW w:w="1047" w:type="dxa"/>
            <w:vMerge w:val="restart"/>
            <w:shd w:val="clear" w:color="auto" w:fill="DEEAF6" w:themeFill="accent5" w:themeFillTint="33"/>
          </w:tcPr>
          <w:p w:rsidR="00716902" w:rsidRPr="0013141D" w:rsidRDefault="00716902" w:rsidP="00B234AC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3A1F40">
              <w:rPr>
                <w:rFonts w:eastAsia="Times New Roman"/>
                <w:sz w:val="18"/>
                <w:szCs w:val="18"/>
              </w:rPr>
              <w:t>ERDF</w:t>
            </w:r>
          </w:p>
        </w:tc>
        <w:tc>
          <w:tcPr>
            <w:tcW w:w="2125" w:type="dxa"/>
            <w:shd w:val="clear" w:color="auto" w:fill="DEEAF6" w:themeFill="accent5" w:themeFillTint="33"/>
          </w:tcPr>
          <w:p w:rsidR="00716902" w:rsidRPr="0013141D" w:rsidRDefault="00716902" w:rsidP="00E228A5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3A1F40">
              <w:rPr>
                <w:rFonts w:eastAsia="Times New Roman"/>
                <w:sz w:val="18"/>
                <w:szCs w:val="18"/>
              </w:rPr>
              <w:t>Více rozvinuté</w:t>
            </w:r>
          </w:p>
        </w:tc>
        <w:tc>
          <w:tcPr>
            <w:tcW w:w="1961" w:type="dxa"/>
            <w:vMerge w:val="restart"/>
            <w:shd w:val="clear" w:color="auto" w:fill="DEEAF6" w:themeFill="accent5" w:themeFillTint="33"/>
            <w:vAlign w:val="center"/>
          </w:tcPr>
          <w:p w:rsidR="00716902" w:rsidRPr="003A1F40" w:rsidRDefault="00716902" w:rsidP="00B234AC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3A1F40">
              <w:rPr>
                <w:sz w:val="18"/>
                <w:szCs w:val="18"/>
              </w:rPr>
              <w:t>1.</w:t>
            </w:r>
            <w:r w:rsidR="00E227B5" w:rsidRPr="003A1F40">
              <w:rPr>
                <w:sz w:val="18"/>
                <w:szCs w:val="18"/>
              </w:rPr>
              <w:t>1</w:t>
            </w:r>
          </w:p>
        </w:tc>
        <w:tc>
          <w:tcPr>
            <w:tcW w:w="1462" w:type="dxa"/>
            <w:vMerge w:val="restart"/>
            <w:shd w:val="clear" w:color="auto" w:fill="DEEAF6" w:themeFill="accent5" w:themeFillTint="33"/>
            <w:vAlign w:val="center"/>
          </w:tcPr>
          <w:p w:rsidR="00716902" w:rsidRPr="003A1F40" w:rsidRDefault="003A1F40" w:rsidP="00B234AC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13141D">
              <w:rPr>
                <w:sz w:val="18"/>
                <w:szCs w:val="18"/>
              </w:rPr>
              <w:t>3</w:t>
            </w: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716902" w:rsidRPr="003A1F40" w:rsidRDefault="00716902" w:rsidP="00B234AC">
            <w:pPr>
              <w:spacing w:before="0" w:after="0"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13141D">
              <w:rPr>
                <w:sz w:val="18"/>
                <w:szCs w:val="18"/>
              </w:rPr>
              <w:t xml:space="preserve">            </w:t>
            </w:r>
            <w:r w:rsidR="003A1F40" w:rsidRPr="0013141D">
              <w:rPr>
                <w:sz w:val="18"/>
                <w:szCs w:val="18"/>
              </w:rPr>
              <w:t xml:space="preserve">     76 383 415</w:t>
            </w:r>
            <w:r w:rsidRPr="0013141D">
              <w:rPr>
                <w:sz w:val="18"/>
                <w:szCs w:val="18"/>
              </w:rPr>
              <w:t xml:space="preserve">    </w:t>
            </w:r>
          </w:p>
        </w:tc>
      </w:tr>
      <w:tr w:rsidR="00716902" w:rsidRPr="00C07F73" w:rsidTr="00B234AC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716902" w:rsidRPr="0013141D" w:rsidRDefault="00716902" w:rsidP="00B234AC">
            <w:pPr>
              <w:spacing w:before="0" w:after="0" w:line="276" w:lineRule="auto"/>
              <w:rPr>
                <w:rFonts w:eastAsia="Times New Roman"/>
                <w:b w:val="0"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716902" w:rsidRPr="0013141D" w:rsidRDefault="00716902" w:rsidP="00B234AC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716902" w:rsidRPr="0013141D" w:rsidRDefault="00716902" w:rsidP="00E228A5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3A1F40">
              <w:rPr>
                <w:rFonts w:eastAsia="Times New Roman"/>
                <w:sz w:val="18"/>
                <w:szCs w:val="18"/>
              </w:rPr>
              <w:t>Přechodové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716902" w:rsidRPr="0013141D" w:rsidRDefault="00716902" w:rsidP="00B234AC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716902" w:rsidRPr="0013141D" w:rsidRDefault="00716902" w:rsidP="002E1924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716902" w:rsidRPr="003A1F40" w:rsidRDefault="00716902" w:rsidP="00B234AC">
            <w:pPr>
              <w:spacing w:before="0" w:after="0"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13141D">
              <w:rPr>
                <w:sz w:val="18"/>
                <w:szCs w:val="18"/>
              </w:rPr>
              <w:t xml:space="preserve">            </w:t>
            </w:r>
            <w:r w:rsidR="003A1F40" w:rsidRPr="0013141D">
              <w:rPr>
                <w:sz w:val="18"/>
                <w:szCs w:val="18"/>
              </w:rPr>
              <w:t xml:space="preserve">   281 490 816</w:t>
            </w:r>
            <w:r w:rsidRPr="0013141D">
              <w:rPr>
                <w:sz w:val="18"/>
                <w:szCs w:val="18"/>
              </w:rPr>
              <w:t xml:space="preserve">    </w:t>
            </w:r>
          </w:p>
        </w:tc>
      </w:tr>
      <w:tr w:rsidR="00716902" w:rsidRPr="00C07F73" w:rsidTr="00B234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716902" w:rsidRPr="0013141D" w:rsidRDefault="00716902" w:rsidP="00B234AC">
            <w:pPr>
              <w:spacing w:before="0" w:after="0" w:line="276" w:lineRule="auto"/>
              <w:rPr>
                <w:rFonts w:eastAsia="Times New Roman"/>
                <w:b w:val="0"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716902" w:rsidRPr="0013141D" w:rsidRDefault="00716902" w:rsidP="00B234AC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716902" w:rsidRPr="0013141D" w:rsidRDefault="00716902" w:rsidP="00E228A5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3A1F40">
              <w:rPr>
                <w:rFonts w:eastAsia="Times New Roman"/>
                <w:sz w:val="18"/>
                <w:szCs w:val="18"/>
              </w:rPr>
              <w:t>Méně rozvinuté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716902" w:rsidRPr="0013141D" w:rsidRDefault="00716902" w:rsidP="00B234AC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716902" w:rsidRPr="0013141D" w:rsidRDefault="00716902" w:rsidP="002E1924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716902" w:rsidRPr="003A1F40" w:rsidRDefault="00716902" w:rsidP="00B234AC">
            <w:pPr>
              <w:spacing w:before="0" w:after="0"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13141D">
              <w:rPr>
                <w:sz w:val="18"/>
                <w:szCs w:val="18"/>
              </w:rPr>
              <w:t xml:space="preserve">            </w:t>
            </w:r>
            <w:r w:rsidR="003A1F40" w:rsidRPr="0013141D">
              <w:rPr>
                <w:sz w:val="18"/>
                <w:szCs w:val="18"/>
              </w:rPr>
              <w:t xml:space="preserve">   196 117 648</w:t>
            </w:r>
            <w:r w:rsidRPr="0013141D">
              <w:rPr>
                <w:sz w:val="18"/>
                <w:szCs w:val="18"/>
              </w:rPr>
              <w:t xml:space="preserve">    </w:t>
            </w:r>
          </w:p>
        </w:tc>
      </w:tr>
      <w:tr w:rsidR="002C2FE3" w:rsidRPr="00C07F73" w:rsidTr="00B234AC">
        <w:trPr>
          <w:trHeight w:val="1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2C2FE3" w:rsidRPr="0013141D" w:rsidRDefault="002C2FE3" w:rsidP="00B234AC">
            <w:pPr>
              <w:spacing w:before="0" w:after="0" w:line="276" w:lineRule="auto"/>
              <w:rPr>
                <w:rFonts w:eastAsia="Times New Roman"/>
                <w:b w:val="0"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2C2FE3" w:rsidRPr="0013141D" w:rsidRDefault="002C2FE3" w:rsidP="00B234AC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2C2FE3" w:rsidRPr="003A1F40" w:rsidRDefault="002C2FE3" w:rsidP="00E228A5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3A1F40">
              <w:rPr>
                <w:rFonts w:eastAsia="Times New Roman"/>
                <w:sz w:val="18"/>
                <w:szCs w:val="18"/>
              </w:rPr>
              <w:t>Více rozvinuté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2C2FE3" w:rsidRPr="0013141D" w:rsidRDefault="002C2FE3" w:rsidP="00B234AC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62" w:type="dxa"/>
            <w:vMerge w:val="restart"/>
            <w:shd w:val="clear" w:color="auto" w:fill="DEEAF6" w:themeFill="accent5" w:themeFillTint="33"/>
            <w:vAlign w:val="center"/>
          </w:tcPr>
          <w:p w:rsidR="002C2FE3" w:rsidRPr="0013141D" w:rsidRDefault="003A1F40" w:rsidP="002E1924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13141D">
              <w:rPr>
                <w:sz w:val="18"/>
                <w:szCs w:val="18"/>
              </w:rPr>
              <w:t>9</w:t>
            </w: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2C2FE3" w:rsidRPr="003A1F40" w:rsidRDefault="003A1F40" w:rsidP="00B234AC">
            <w:pPr>
              <w:spacing w:before="0" w:after="0"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141D">
              <w:rPr>
                <w:sz w:val="18"/>
                <w:szCs w:val="18"/>
              </w:rPr>
              <w:t xml:space="preserve">                 38 053 332    </w:t>
            </w:r>
          </w:p>
        </w:tc>
      </w:tr>
      <w:tr w:rsidR="002C2FE3" w:rsidRPr="00C07F73" w:rsidTr="00B234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2C2FE3" w:rsidRPr="0013141D" w:rsidRDefault="002C2FE3" w:rsidP="00B234AC">
            <w:pPr>
              <w:spacing w:before="0" w:after="0" w:line="276" w:lineRule="auto"/>
              <w:rPr>
                <w:rFonts w:eastAsia="Times New Roman"/>
                <w:b w:val="0"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2C2FE3" w:rsidRPr="0013141D" w:rsidRDefault="002C2FE3" w:rsidP="00B234AC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2C2FE3" w:rsidRPr="003A1F40" w:rsidRDefault="002C2FE3" w:rsidP="00E228A5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3A1F40">
              <w:rPr>
                <w:rFonts w:eastAsia="Times New Roman"/>
                <w:sz w:val="18"/>
                <w:szCs w:val="18"/>
              </w:rPr>
              <w:t>Přechodové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2C2FE3" w:rsidRPr="0013141D" w:rsidRDefault="002C2FE3" w:rsidP="00B234AC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2C2FE3" w:rsidRPr="0013141D" w:rsidRDefault="002C2FE3" w:rsidP="002E1924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2C2FE3" w:rsidRPr="003A1F40" w:rsidRDefault="003A1F40" w:rsidP="00B234AC">
            <w:pPr>
              <w:spacing w:before="0" w:after="0"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141D">
              <w:rPr>
                <w:sz w:val="18"/>
                <w:szCs w:val="18"/>
              </w:rPr>
              <w:t xml:space="preserve">               140 235 461    </w:t>
            </w:r>
          </w:p>
        </w:tc>
      </w:tr>
      <w:tr w:rsidR="002C2FE3" w:rsidRPr="00C07F73" w:rsidTr="00B234AC">
        <w:trPr>
          <w:trHeight w:val="1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2C2FE3" w:rsidRPr="0013141D" w:rsidRDefault="002C2FE3" w:rsidP="00B234AC">
            <w:pPr>
              <w:spacing w:before="0" w:after="0" w:line="276" w:lineRule="auto"/>
              <w:rPr>
                <w:rFonts w:eastAsia="Times New Roman"/>
                <w:b w:val="0"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2C2FE3" w:rsidRPr="0013141D" w:rsidRDefault="002C2FE3" w:rsidP="00B234AC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2C2FE3" w:rsidRPr="003A1F40" w:rsidRDefault="002C2FE3" w:rsidP="00E228A5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3A1F40">
              <w:rPr>
                <w:rFonts w:eastAsia="Times New Roman"/>
                <w:sz w:val="18"/>
                <w:szCs w:val="18"/>
              </w:rPr>
              <w:t>Méně rozvinuté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2C2FE3" w:rsidRPr="0013141D" w:rsidRDefault="002C2FE3" w:rsidP="00B234AC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2C2FE3" w:rsidRPr="0013141D" w:rsidRDefault="002C2FE3" w:rsidP="002E1924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2C2FE3" w:rsidRPr="003A1F40" w:rsidRDefault="003A1F40" w:rsidP="00B234AC">
            <w:pPr>
              <w:spacing w:before="0" w:after="0"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141D">
              <w:rPr>
                <w:sz w:val="18"/>
                <w:szCs w:val="18"/>
              </w:rPr>
              <w:t xml:space="preserve">                 97 703 539    </w:t>
            </w:r>
          </w:p>
        </w:tc>
      </w:tr>
      <w:tr w:rsidR="002C2FE3" w:rsidRPr="00C07F73" w:rsidTr="00B234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2C2FE3" w:rsidRPr="0013141D" w:rsidRDefault="002C2FE3" w:rsidP="00B234AC">
            <w:pPr>
              <w:spacing w:before="0" w:after="0" w:line="276" w:lineRule="auto"/>
              <w:rPr>
                <w:rFonts w:eastAsia="Times New Roman"/>
                <w:b w:val="0"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2C2FE3" w:rsidRPr="0013141D" w:rsidRDefault="002C2FE3" w:rsidP="00B234AC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2C2FE3" w:rsidRPr="003A1F40" w:rsidRDefault="002C2FE3" w:rsidP="00E228A5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3A1F40">
              <w:rPr>
                <w:rFonts w:eastAsia="Times New Roman"/>
                <w:sz w:val="18"/>
                <w:szCs w:val="18"/>
              </w:rPr>
              <w:t>Více rozvinuté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2C2FE3" w:rsidRPr="0013141D" w:rsidRDefault="002C2FE3" w:rsidP="00B234AC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62" w:type="dxa"/>
            <w:vMerge w:val="restart"/>
            <w:shd w:val="clear" w:color="auto" w:fill="DEEAF6" w:themeFill="accent5" w:themeFillTint="33"/>
            <w:vAlign w:val="center"/>
          </w:tcPr>
          <w:p w:rsidR="002C2FE3" w:rsidRPr="0013141D" w:rsidRDefault="003A1F40" w:rsidP="002E1924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13141D">
              <w:rPr>
                <w:sz w:val="18"/>
                <w:szCs w:val="18"/>
              </w:rPr>
              <w:t>21</w:t>
            </w: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2C2FE3" w:rsidRPr="003A1F40" w:rsidRDefault="003A1F40" w:rsidP="00B234AC">
            <w:pPr>
              <w:spacing w:before="0" w:after="0"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141D">
              <w:rPr>
                <w:sz w:val="18"/>
                <w:szCs w:val="18"/>
              </w:rPr>
              <w:t xml:space="preserve">                 21 801 868    </w:t>
            </w:r>
          </w:p>
        </w:tc>
      </w:tr>
      <w:tr w:rsidR="002C2FE3" w:rsidRPr="00C07F73" w:rsidTr="00B234AC">
        <w:trPr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2C2FE3" w:rsidRPr="0013141D" w:rsidRDefault="002C2FE3" w:rsidP="00B234AC">
            <w:pPr>
              <w:spacing w:before="0" w:after="0" w:line="276" w:lineRule="auto"/>
              <w:rPr>
                <w:rFonts w:eastAsia="Times New Roman"/>
                <w:b w:val="0"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2C2FE3" w:rsidRPr="0013141D" w:rsidRDefault="002C2FE3" w:rsidP="00B234AC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2C2FE3" w:rsidRPr="003A1F40" w:rsidRDefault="002C2FE3" w:rsidP="00E228A5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3A1F40">
              <w:rPr>
                <w:rFonts w:eastAsia="Times New Roman"/>
                <w:sz w:val="18"/>
                <w:szCs w:val="18"/>
              </w:rPr>
              <w:t>Přechodové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2C2FE3" w:rsidRPr="0013141D" w:rsidRDefault="002C2FE3" w:rsidP="00B234AC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2C2FE3" w:rsidRPr="0013141D" w:rsidRDefault="002C2FE3" w:rsidP="002E1924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2C2FE3" w:rsidRPr="003A1F40" w:rsidRDefault="003A1F40" w:rsidP="00B234AC">
            <w:pPr>
              <w:spacing w:before="0" w:after="0"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141D">
              <w:rPr>
                <w:sz w:val="18"/>
                <w:szCs w:val="18"/>
              </w:rPr>
              <w:t xml:space="preserve">                 80 345 003    </w:t>
            </w:r>
          </w:p>
        </w:tc>
      </w:tr>
      <w:tr w:rsidR="002C2FE3" w:rsidRPr="00C07F73" w:rsidTr="00B234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2C2FE3" w:rsidRPr="0013141D" w:rsidRDefault="002C2FE3" w:rsidP="00B234AC">
            <w:pPr>
              <w:spacing w:before="0" w:after="0" w:line="276" w:lineRule="auto"/>
              <w:rPr>
                <w:rFonts w:eastAsia="Times New Roman"/>
                <w:b w:val="0"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2C2FE3" w:rsidRPr="0013141D" w:rsidRDefault="002C2FE3" w:rsidP="00B234AC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2C2FE3" w:rsidRPr="003A1F40" w:rsidRDefault="002C2FE3" w:rsidP="00E228A5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3A1F40">
              <w:rPr>
                <w:rFonts w:eastAsia="Times New Roman"/>
                <w:sz w:val="18"/>
                <w:szCs w:val="18"/>
              </w:rPr>
              <w:t>Méně rozvinuté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2C2FE3" w:rsidRPr="0013141D" w:rsidRDefault="002C2FE3" w:rsidP="00B234AC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2C2FE3" w:rsidRPr="0013141D" w:rsidRDefault="002C2FE3" w:rsidP="002E1924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2C2FE3" w:rsidRPr="003A1F40" w:rsidRDefault="003A1F40" w:rsidP="00B234AC">
            <w:pPr>
              <w:spacing w:before="0" w:after="0"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141D">
              <w:rPr>
                <w:sz w:val="18"/>
                <w:szCs w:val="18"/>
              </w:rPr>
              <w:t xml:space="preserve">                 55 977 219    </w:t>
            </w:r>
          </w:p>
        </w:tc>
      </w:tr>
      <w:tr w:rsidR="002C2FE3" w:rsidRPr="00C07F73" w:rsidTr="00B234AC">
        <w:trPr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2C2FE3" w:rsidRPr="0013141D" w:rsidRDefault="002C2FE3" w:rsidP="00B234AC">
            <w:pPr>
              <w:spacing w:before="0" w:after="0" w:line="276" w:lineRule="auto"/>
              <w:rPr>
                <w:rFonts w:eastAsia="Times New Roman"/>
                <w:b w:val="0"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2C2FE3" w:rsidRPr="0013141D" w:rsidRDefault="002C2FE3" w:rsidP="00B234AC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2C2FE3" w:rsidRPr="003A1F40" w:rsidRDefault="002C2FE3" w:rsidP="00E228A5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3A1F40">
              <w:rPr>
                <w:rFonts w:eastAsia="Times New Roman"/>
                <w:sz w:val="18"/>
                <w:szCs w:val="18"/>
              </w:rPr>
              <w:t>Více rozvinuté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2C2FE3" w:rsidRPr="0013141D" w:rsidRDefault="002C2FE3" w:rsidP="00B234AC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62" w:type="dxa"/>
            <w:vMerge w:val="restart"/>
            <w:shd w:val="clear" w:color="auto" w:fill="DEEAF6" w:themeFill="accent5" w:themeFillTint="33"/>
            <w:vAlign w:val="center"/>
          </w:tcPr>
          <w:p w:rsidR="002C2FE3" w:rsidRPr="0013141D" w:rsidRDefault="00351CF5" w:rsidP="002E1924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</w:t>
            </w:r>
            <w:r w:rsidR="001A4E20">
              <w:rPr>
                <w:rFonts w:eastAsia="Times New Roman"/>
                <w:sz w:val="18"/>
                <w:szCs w:val="18"/>
              </w:rPr>
              <w:t>9</w:t>
            </w: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2C2FE3" w:rsidRPr="003A1F40" w:rsidRDefault="003A1F40" w:rsidP="00B234AC">
            <w:pPr>
              <w:spacing w:before="0" w:after="0"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141D">
              <w:rPr>
                <w:sz w:val="18"/>
                <w:szCs w:val="18"/>
              </w:rPr>
              <w:t xml:space="preserve">                   5 381 279    </w:t>
            </w:r>
          </w:p>
        </w:tc>
      </w:tr>
      <w:tr w:rsidR="002C2FE3" w:rsidRPr="00C07F73" w:rsidTr="00B234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2C2FE3" w:rsidRPr="0013141D" w:rsidRDefault="002C2FE3" w:rsidP="00B234AC">
            <w:pPr>
              <w:spacing w:before="0" w:after="0" w:line="276" w:lineRule="auto"/>
              <w:rPr>
                <w:rFonts w:eastAsia="Times New Roman"/>
                <w:b w:val="0"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2C2FE3" w:rsidRPr="0013141D" w:rsidRDefault="002C2FE3" w:rsidP="00B234AC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2C2FE3" w:rsidRPr="003A1F40" w:rsidRDefault="002C2FE3" w:rsidP="00E228A5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3A1F40">
              <w:rPr>
                <w:rFonts w:eastAsia="Times New Roman"/>
                <w:sz w:val="18"/>
                <w:szCs w:val="18"/>
              </w:rPr>
              <w:t>Přechodové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2C2FE3" w:rsidRPr="0013141D" w:rsidRDefault="002C2FE3" w:rsidP="00B234AC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2C2FE3" w:rsidRPr="0013141D" w:rsidRDefault="002C2FE3" w:rsidP="002E1924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2C2FE3" w:rsidRPr="003A1F40" w:rsidRDefault="003A1F40" w:rsidP="00B234AC">
            <w:pPr>
              <w:spacing w:before="0" w:after="0"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141D">
              <w:rPr>
                <w:sz w:val="18"/>
                <w:szCs w:val="18"/>
              </w:rPr>
              <w:t xml:space="preserve">                 19 831 277    </w:t>
            </w:r>
          </w:p>
        </w:tc>
      </w:tr>
      <w:tr w:rsidR="002C2FE3" w:rsidRPr="00C07F73" w:rsidTr="00B234AC">
        <w:trPr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2C2FE3" w:rsidRPr="0013141D" w:rsidRDefault="002C2FE3" w:rsidP="00B234AC">
            <w:pPr>
              <w:spacing w:before="0" w:after="0" w:line="276" w:lineRule="auto"/>
              <w:rPr>
                <w:rFonts w:eastAsia="Times New Roman"/>
                <w:b w:val="0"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2C2FE3" w:rsidRPr="0013141D" w:rsidRDefault="002C2FE3" w:rsidP="00B234AC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2C2FE3" w:rsidRPr="003A1F40" w:rsidRDefault="002C2FE3" w:rsidP="00E228A5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3A1F40">
              <w:rPr>
                <w:rFonts w:eastAsia="Times New Roman"/>
                <w:sz w:val="18"/>
                <w:szCs w:val="18"/>
              </w:rPr>
              <w:t>Méně rozvinuté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2C2FE3" w:rsidRPr="0013141D" w:rsidRDefault="002C2FE3" w:rsidP="00B234AC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2C2FE3" w:rsidRPr="0013141D" w:rsidRDefault="002C2FE3" w:rsidP="002E1924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2C2FE3" w:rsidRPr="003A1F40" w:rsidRDefault="003A1F40" w:rsidP="00B234AC">
            <w:pPr>
              <w:spacing w:before="0" w:after="0"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141D">
              <w:rPr>
                <w:sz w:val="18"/>
                <w:szCs w:val="18"/>
              </w:rPr>
              <w:t xml:space="preserve">                 13 816 662    </w:t>
            </w:r>
          </w:p>
        </w:tc>
      </w:tr>
    </w:tbl>
    <w:p w:rsidR="00716902" w:rsidRPr="00205C95" w:rsidRDefault="00716902" w:rsidP="00716902">
      <w:pPr>
        <w:pStyle w:val="Titulek"/>
        <w:rPr>
          <w:rFonts w:ascii="Times New Roman" w:hAnsi="Times New Roman" w:cs="Times New Roman"/>
          <w:szCs w:val="22"/>
        </w:rPr>
      </w:pPr>
      <w:bookmarkStart w:id="119" w:name="_Toc66346565"/>
      <w:r w:rsidRPr="00F6239D">
        <w:rPr>
          <w:rFonts w:ascii="Times New Roman" w:hAnsi="Times New Roman" w:cs="Times New Roman"/>
        </w:rPr>
        <w:t xml:space="preserve">Tabulka </w:t>
      </w:r>
      <w:r w:rsidR="0013141D" w:rsidRPr="00F6239D">
        <w:rPr>
          <w:rFonts w:ascii="Times New Roman" w:hAnsi="Times New Roman" w:cs="Times New Roman"/>
        </w:rPr>
        <w:fldChar w:fldCharType="begin"/>
      </w:r>
      <w:r w:rsidR="0013141D" w:rsidRPr="00F6239D">
        <w:rPr>
          <w:rFonts w:ascii="Times New Roman" w:hAnsi="Times New Roman" w:cs="Times New Roman"/>
        </w:rPr>
        <w:instrText xml:space="preserve"> SEQ Tabulka \* ARABIC </w:instrText>
      </w:r>
      <w:r w:rsidR="0013141D" w:rsidRPr="00F6239D">
        <w:rPr>
          <w:rFonts w:ascii="Times New Roman" w:hAnsi="Times New Roman" w:cs="Times New Roman"/>
        </w:rPr>
        <w:fldChar w:fldCharType="separate"/>
      </w:r>
      <w:r w:rsidR="00CB326E">
        <w:rPr>
          <w:rFonts w:ascii="Times New Roman" w:hAnsi="Times New Roman" w:cs="Times New Roman"/>
          <w:noProof/>
        </w:rPr>
        <w:t>6</w:t>
      </w:r>
      <w:r w:rsidR="0013141D" w:rsidRPr="00F6239D">
        <w:rPr>
          <w:rFonts w:ascii="Times New Roman" w:hAnsi="Times New Roman" w:cs="Times New Roman"/>
        </w:rPr>
        <w:fldChar w:fldCharType="end"/>
      </w:r>
      <w:r w:rsidR="0013141D" w:rsidRPr="00F6239D">
        <w:rPr>
          <w:rFonts w:ascii="Times New Roman" w:hAnsi="Times New Roman" w:cs="Times New Roman"/>
        </w:rPr>
        <w:t>:</w:t>
      </w:r>
      <w:r w:rsidRPr="00F6239D">
        <w:rPr>
          <w:rFonts w:ascii="Times New Roman" w:hAnsi="Times New Roman" w:cs="Times New Roman"/>
        </w:rPr>
        <w:t xml:space="preserve"> </w:t>
      </w:r>
      <w:r w:rsidRPr="00205C95">
        <w:rPr>
          <w:rFonts w:ascii="Times New Roman" w:hAnsi="Times New Roman" w:cs="Times New Roman"/>
          <w:szCs w:val="22"/>
        </w:rPr>
        <w:t>SC 1.</w:t>
      </w:r>
      <w:r w:rsidR="00205C95" w:rsidRPr="00205C95">
        <w:rPr>
          <w:rFonts w:ascii="Times New Roman" w:hAnsi="Times New Roman" w:cs="Times New Roman"/>
          <w:szCs w:val="22"/>
        </w:rPr>
        <w:t>1</w:t>
      </w:r>
      <w:r w:rsidRPr="00205C95">
        <w:rPr>
          <w:rFonts w:ascii="Times New Roman" w:hAnsi="Times New Roman" w:cs="Times New Roman"/>
          <w:szCs w:val="22"/>
        </w:rPr>
        <w:t>: Dimenze 2 – forma financování</w:t>
      </w:r>
      <w:bookmarkEnd w:id="119"/>
    </w:p>
    <w:tbl>
      <w:tblPr>
        <w:tblStyle w:val="Tabulkasmkou4zvraznn1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6"/>
        <w:gridCol w:w="1047"/>
        <w:gridCol w:w="2125"/>
        <w:gridCol w:w="1961"/>
        <w:gridCol w:w="1462"/>
        <w:gridCol w:w="1958"/>
      </w:tblGrid>
      <w:tr w:rsidR="004F2EE3" w:rsidRPr="00EC6162" w:rsidTr="00A315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4F2EE3" w:rsidRPr="00EC6162" w:rsidRDefault="004F2EE3" w:rsidP="00831E2D">
            <w:pPr>
              <w:spacing w:before="0" w:after="0" w:line="276" w:lineRule="auto"/>
              <w:jc w:val="center"/>
              <w:rPr>
                <w:rFonts w:eastAsia="Times New Roman"/>
                <w:iCs/>
                <w:noProof/>
                <w:sz w:val="18"/>
                <w:szCs w:val="18"/>
              </w:rPr>
            </w:pPr>
            <w:bookmarkStart w:id="120" w:name="_Toc66346566"/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Číslo priority</w:t>
            </w:r>
          </w:p>
        </w:tc>
        <w:tc>
          <w:tcPr>
            <w:tcW w:w="104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4F2EE3" w:rsidRPr="00EC6162" w:rsidRDefault="004F2EE3" w:rsidP="00831E2D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Fond</w:t>
            </w:r>
          </w:p>
        </w:tc>
        <w:tc>
          <w:tcPr>
            <w:tcW w:w="212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4F2EE3" w:rsidRPr="00EC6162" w:rsidRDefault="004F2EE3" w:rsidP="00831E2D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Kategorie regionu</w:t>
            </w:r>
          </w:p>
        </w:tc>
        <w:tc>
          <w:tcPr>
            <w:tcW w:w="19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</w:tcPr>
          <w:p w:rsidR="004F2EE3" w:rsidRPr="00EC6162" w:rsidRDefault="004F2EE3" w:rsidP="00831E2D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Specifický cíl</w:t>
            </w:r>
          </w:p>
        </w:tc>
        <w:tc>
          <w:tcPr>
            <w:tcW w:w="14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4F2EE3" w:rsidRPr="00EC6162" w:rsidRDefault="004F2EE3" w:rsidP="00831E2D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Kód</w:t>
            </w:r>
          </w:p>
        </w:tc>
        <w:tc>
          <w:tcPr>
            <w:tcW w:w="19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4F2EE3" w:rsidRPr="00EC6162" w:rsidRDefault="004F2EE3" w:rsidP="00831E2D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Částka (v EUR)</w:t>
            </w:r>
          </w:p>
        </w:tc>
      </w:tr>
      <w:tr w:rsidR="004F2EE3" w:rsidRPr="0013141D" w:rsidTr="002E79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 w:val="restart"/>
            <w:shd w:val="clear" w:color="auto" w:fill="DEEAF6" w:themeFill="accent5" w:themeFillTint="33"/>
          </w:tcPr>
          <w:p w:rsidR="004F2EE3" w:rsidRPr="0013141D" w:rsidRDefault="004F2EE3" w:rsidP="004F2EE3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b w:val="0"/>
                <w:iCs/>
                <w:noProof/>
                <w:sz w:val="18"/>
                <w:szCs w:val="18"/>
              </w:rPr>
              <w:t>P1</w:t>
            </w:r>
          </w:p>
        </w:tc>
        <w:tc>
          <w:tcPr>
            <w:tcW w:w="1047" w:type="dxa"/>
            <w:vMerge w:val="restart"/>
            <w:shd w:val="clear" w:color="auto" w:fill="DEEAF6" w:themeFill="accent5" w:themeFillTint="33"/>
          </w:tcPr>
          <w:p w:rsidR="004F2EE3" w:rsidRPr="0013141D" w:rsidRDefault="004F2EE3" w:rsidP="004F2EE3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ERDF</w:t>
            </w:r>
          </w:p>
        </w:tc>
        <w:tc>
          <w:tcPr>
            <w:tcW w:w="2125" w:type="dxa"/>
            <w:shd w:val="clear" w:color="auto" w:fill="DEEAF6" w:themeFill="accent5" w:themeFillTint="33"/>
          </w:tcPr>
          <w:p w:rsidR="004F2EE3" w:rsidRPr="0013141D" w:rsidRDefault="004F2EE3" w:rsidP="00E228A5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Více rozvinuté</w:t>
            </w:r>
          </w:p>
        </w:tc>
        <w:tc>
          <w:tcPr>
            <w:tcW w:w="1961" w:type="dxa"/>
            <w:vMerge w:val="restart"/>
            <w:shd w:val="clear" w:color="auto" w:fill="DEEAF6" w:themeFill="accent5" w:themeFillTint="33"/>
            <w:vAlign w:val="center"/>
          </w:tcPr>
          <w:p w:rsidR="004F2EE3" w:rsidRPr="0013141D" w:rsidRDefault="004F2EE3" w:rsidP="004F2EE3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bCs/>
                <w:sz w:val="18"/>
                <w:szCs w:val="18"/>
              </w:rPr>
              <w:t>1.1</w:t>
            </w:r>
          </w:p>
        </w:tc>
        <w:tc>
          <w:tcPr>
            <w:tcW w:w="1462" w:type="dxa"/>
            <w:vMerge w:val="restart"/>
            <w:shd w:val="clear" w:color="auto" w:fill="DEEAF6" w:themeFill="accent5" w:themeFillTint="33"/>
            <w:vAlign w:val="center"/>
          </w:tcPr>
          <w:p w:rsidR="004F2EE3" w:rsidRPr="0013141D" w:rsidRDefault="004F2EE3" w:rsidP="004F2EE3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4F2EE3" w:rsidRPr="004F2EE3" w:rsidRDefault="004F2EE3" w:rsidP="004F2EE3">
            <w:pPr>
              <w:spacing w:before="0" w:after="0"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4F2EE3">
              <w:rPr>
                <w:bCs/>
                <w:sz w:val="18"/>
                <w:szCs w:val="18"/>
              </w:rPr>
              <w:t xml:space="preserve">               138 035 060    </w:t>
            </w:r>
          </w:p>
        </w:tc>
      </w:tr>
      <w:tr w:rsidR="004F2EE3" w:rsidRPr="0013141D" w:rsidTr="002E79E2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4F2EE3" w:rsidRPr="0013141D" w:rsidRDefault="004F2EE3" w:rsidP="004F2EE3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4F2EE3" w:rsidRPr="0013141D" w:rsidRDefault="004F2EE3" w:rsidP="004F2EE3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4F2EE3" w:rsidRPr="0013141D" w:rsidRDefault="004F2EE3" w:rsidP="00E228A5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Přechodové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4F2EE3" w:rsidRPr="0013141D" w:rsidRDefault="004F2EE3" w:rsidP="004F2EE3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4F2EE3" w:rsidRPr="0013141D" w:rsidRDefault="004F2EE3" w:rsidP="004F2EE3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4F2EE3" w:rsidRPr="004F2EE3" w:rsidRDefault="004F2EE3" w:rsidP="004F2EE3">
            <w:pPr>
              <w:spacing w:before="0" w:after="0"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4F2EE3">
              <w:rPr>
                <w:bCs/>
                <w:sz w:val="18"/>
                <w:szCs w:val="18"/>
              </w:rPr>
              <w:t xml:space="preserve">               508 691 603    </w:t>
            </w:r>
          </w:p>
        </w:tc>
      </w:tr>
      <w:tr w:rsidR="004F2EE3" w:rsidRPr="0013141D" w:rsidTr="002E79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4F2EE3" w:rsidRPr="0013141D" w:rsidRDefault="004F2EE3" w:rsidP="004F2EE3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4F2EE3" w:rsidRPr="0013141D" w:rsidRDefault="004F2EE3" w:rsidP="004F2EE3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4F2EE3" w:rsidRPr="0013141D" w:rsidRDefault="004F2EE3" w:rsidP="00E228A5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Méně rozvinuté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4F2EE3" w:rsidRPr="0013141D" w:rsidRDefault="004F2EE3" w:rsidP="004F2EE3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4F2EE3" w:rsidRPr="0013141D" w:rsidRDefault="004F2EE3" w:rsidP="004F2EE3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4F2EE3" w:rsidRPr="004F2EE3" w:rsidRDefault="004F2EE3" w:rsidP="004F2EE3">
            <w:pPr>
              <w:spacing w:before="0" w:after="0"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4F2EE3">
              <w:rPr>
                <w:bCs/>
                <w:sz w:val="18"/>
                <w:szCs w:val="18"/>
              </w:rPr>
              <w:t xml:space="preserve">               354 410 856    </w:t>
            </w:r>
          </w:p>
        </w:tc>
      </w:tr>
      <w:tr w:rsidR="004F2EE3" w:rsidRPr="0013141D" w:rsidTr="002E79E2">
        <w:trPr>
          <w:trHeight w:val="1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4F2EE3" w:rsidRPr="0013141D" w:rsidRDefault="004F2EE3" w:rsidP="004F2EE3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4F2EE3" w:rsidRPr="0013141D" w:rsidRDefault="004F2EE3" w:rsidP="004F2EE3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4F2EE3" w:rsidRPr="0013141D" w:rsidRDefault="004F2EE3" w:rsidP="00E228A5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Více rozvinuté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4F2EE3" w:rsidRPr="0013141D" w:rsidRDefault="004F2EE3" w:rsidP="004F2EE3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 w:val="restart"/>
            <w:shd w:val="clear" w:color="auto" w:fill="DEEAF6" w:themeFill="accent5" w:themeFillTint="33"/>
            <w:vAlign w:val="center"/>
          </w:tcPr>
          <w:p w:rsidR="004F2EE3" w:rsidRPr="0013141D" w:rsidRDefault="004F2EE3" w:rsidP="004F2EE3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bCs/>
                <w:iCs/>
                <w:noProof/>
                <w:sz w:val="18"/>
                <w:szCs w:val="18"/>
              </w:rPr>
              <w:t>0</w:t>
            </w:r>
            <w:r w:rsidR="001A4E20">
              <w:rPr>
                <w:rFonts w:eastAsia="Times New Roman"/>
                <w:bCs/>
                <w:iCs/>
                <w:noProof/>
                <w:sz w:val="18"/>
                <w:szCs w:val="18"/>
              </w:rPr>
              <w:t>3</w:t>
            </w: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4F2EE3" w:rsidRPr="0013141D" w:rsidRDefault="004F2EE3" w:rsidP="004F2EE3">
            <w:pPr>
              <w:spacing w:before="0" w:after="0"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4F2EE3">
              <w:rPr>
                <w:bCs/>
                <w:sz w:val="18"/>
                <w:szCs w:val="18"/>
              </w:rPr>
              <w:t xml:space="preserve">                   3 584 834    </w:t>
            </w:r>
          </w:p>
        </w:tc>
      </w:tr>
      <w:tr w:rsidR="004F2EE3" w:rsidRPr="0013141D" w:rsidTr="002E79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4F2EE3" w:rsidRPr="0013141D" w:rsidRDefault="004F2EE3" w:rsidP="004F2EE3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4F2EE3" w:rsidRPr="0013141D" w:rsidRDefault="004F2EE3" w:rsidP="004F2EE3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4F2EE3" w:rsidRPr="0013141D" w:rsidRDefault="004F2EE3" w:rsidP="00E228A5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Přechodové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4F2EE3" w:rsidRPr="0013141D" w:rsidRDefault="004F2EE3" w:rsidP="004F2EE3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4F2EE3" w:rsidRPr="0013141D" w:rsidRDefault="004F2EE3" w:rsidP="004F2EE3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4F2EE3" w:rsidRPr="0013141D" w:rsidRDefault="004F2EE3" w:rsidP="004F2EE3">
            <w:pPr>
              <w:spacing w:before="0" w:after="0"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4F2EE3">
              <w:rPr>
                <w:bCs/>
                <w:sz w:val="18"/>
                <w:szCs w:val="18"/>
              </w:rPr>
              <w:t xml:space="preserve">                 13 210 954    </w:t>
            </w:r>
          </w:p>
        </w:tc>
      </w:tr>
      <w:tr w:rsidR="004F2EE3" w:rsidRPr="0013141D" w:rsidTr="002E79E2">
        <w:trPr>
          <w:trHeight w:val="1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4F2EE3" w:rsidRPr="0013141D" w:rsidRDefault="004F2EE3" w:rsidP="004F2EE3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4F2EE3" w:rsidRPr="0013141D" w:rsidRDefault="004F2EE3" w:rsidP="004F2EE3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4F2EE3" w:rsidRPr="0013141D" w:rsidRDefault="004F2EE3" w:rsidP="00E228A5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Méně rozvinuté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4F2EE3" w:rsidRPr="0013141D" w:rsidRDefault="004F2EE3" w:rsidP="004F2EE3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4F2EE3" w:rsidRPr="0013141D" w:rsidRDefault="004F2EE3" w:rsidP="004F2EE3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4F2EE3" w:rsidRPr="0013141D" w:rsidRDefault="004F2EE3" w:rsidP="004F2EE3">
            <w:pPr>
              <w:spacing w:before="0" w:after="0"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4F2EE3">
              <w:rPr>
                <w:bCs/>
                <w:sz w:val="18"/>
                <w:szCs w:val="18"/>
              </w:rPr>
              <w:t xml:space="preserve">                   9 204 212    </w:t>
            </w:r>
          </w:p>
        </w:tc>
      </w:tr>
    </w:tbl>
    <w:p w:rsidR="00716902" w:rsidRPr="00205C95" w:rsidRDefault="00716902" w:rsidP="00716902">
      <w:pPr>
        <w:pStyle w:val="Titulek"/>
        <w:rPr>
          <w:rFonts w:ascii="Times New Roman" w:hAnsi="Times New Roman" w:cs="Times New Roman"/>
          <w:szCs w:val="22"/>
        </w:rPr>
      </w:pPr>
      <w:r w:rsidRPr="00F6239D">
        <w:rPr>
          <w:rFonts w:ascii="Times New Roman" w:hAnsi="Times New Roman" w:cs="Times New Roman"/>
        </w:rPr>
        <w:t xml:space="preserve">Tabulka </w:t>
      </w:r>
      <w:r w:rsidR="0013141D" w:rsidRPr="00F6239D">
        <w:rPr>
          <w:rFonts w:ascii="Times New Roman" w:hAnsi="Times New Roman" w:cs="Times New Roman"/>
        </w:rPr>
        <w:fldChar w:fldCharType="begin"/>
      </w:r>
      <w:r w:rsidR="0013141D" w:rsidRPr="00F6239D">
        <w:rPr>
          <w:rFonts w:ascii="Times New Roman" w:hAnsi="Times New Roman" w:cs="Times New Roman"/>
        </w:rPr>
        <w:instrText xml:space="preserve"> SEQ Tabulka \* ARABIC </w:instrText>
      </w:r>
      <w:r w:rsidR="0013141D" w:rsidRPr="00F6239D">
        <w:rPr>
          <w:rFonts w:ascii="Times New Roman" w:hAnsi="Times New Roman" w:cs="Times New Roman"/>
        </w:rPr>
        <w:fldChar w:fldCharType="separate"/>
      </w:r>
      <w:r w:rsidR="00B168BA">
        <w:rPr>
          <w:rFonts w:ascii="Times New Roman" w:hAnsi="Times New Roman" w:cs="Times New Roman"/>
          <w:noProof/>
        </w:rPr>
        <w:t>7</w:t>
      </w:r>
      <w:r w:rsidR="0013141D" w:rsidRPr="00F6239D">
        <w:rPr>
          <w:rFonts w:ascii="Times New Roman" w:hAnsi="Times New Roman" w:cs="Times New Roman"/>
        </w:rPr>
        <w:fldChar w:fldCharType="end"/>
      </w:r>
      <w:r w:rsidR="0013141D" w:rsidRPr="00F6239D">
        <w:rPr>
          <w:rFonts w:ascii="Times New Roman" w:hAnsi="Times New Roman" w:cs="Times New Roman"/>
        </w:rPr>
        <w:t>:</w:t>
      </w:r>
      <w:r w:rsidRPr="00F6239D">
        <w:rPr>
          <w:rFonts w:ascii="Times New Roman" w:hAnsi="Times New Roman" w:cs="Times New Roman"/>
        </w:rPr>
        <w:t xml:space="preserve"> </w:t>
      </w:r>
      <w:r w:rsidRPr="00205C95">
        <w:rPr>
          <w:rFonts w:ascii="Times New Roman" w:hAnsi="Times New Roman" w:cs="Times New Roman"/>
          <w:szCs w:val="22"/>
        </w:rPr>
        <w:t>SC 1.</w:t>
      </w:r>
      <w:r w:rsidR="00205C95" w:rsidRPr="00205C95">
        <w:rPr>
          <w:rFonts w:ascii="Times New Roman" w:hAnsi="Times New Roman" w:cs="Times New Roman"/>
          <w:szCs w:val="22"/>
        </w:rPr>
        <w:t>1</w:t>
      </w:r>
      <w:r w:rsidRPr="00205C95">
        <w:rPr>
          <w:rFonts w:ascii="Times New Roman" w:hAnsi="Times New Roman" w:cs="Times New Roman"/>
          <w:szCs w:val="22"/>
        </w:rPr>
        <w:t>: Dimenze 3 – mechanismus územního plnění a územní zaměření</w:t>
      </w:r>
      <w:bookmarkEnd w:id="120"/>
    </w:p>
    <w:tbl>
      <w:tblPr>
        <w:tblStyle w:val="Tabulkasmkou4zvraznn1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6"/>
        <w:gridCol w:w="1047"/>
        <w:gridCol w:w="2125"/>
        <w:gridCol w:w="1961"/>
        <w:gridCol w:w="1462"/>
        <w:gridCol w:w="1958"/>
      </w:tblGrid>
      <w:tr w:rsidR="00F61950" w:rsidRPr="00EC6162" w:rsidTr="005748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vAlign w:val="center"/>
            <w:hideMark/>
          </w:tcPr>
          <w:p w:rsidR="00F61950" w:rsidRPr="00EC6162" w:rsidRDefault="00F61950" w:rsidP="00D82F4C">
            <w:pPr>
              <w:spacing w:before="0" w:after="0" w:line="276" w:lineRule="auto"/>
              <w:jc w:val="center"/>
              <w:rPr>
                <w:rFonts w:eastAsia="Times New Roman"/>
                <w:iCs/>
                <w:noProof/>
                <w:sz w:val="18"/>
                <w:szCs w:val="18"/>
              </w:rPr>
            </w:pPr>
            <w:bookmarkStart w:id="121" w:name="_Toc66346567"/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Číslo priority</w:t>
            </w:r>
          </w:p>
        </w:tc>
        <w:tc>
          <w:tcPr>
            <w:tcW w:w="104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vAlign w:val="center"/>
            <w:hideMark/>
          </w:tcPr>
          <w:p w:rsidR="00F61950" w:rsidRPr="00EC6162" w:rsidRDefault="00F61950" w:rsidP="00D82F4C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Fond</w:t>
            </w:r>
          </w:p>
        </w:tc>
        <w:tc>
          <w:tcPr>
            <w:tcW w:w="212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vAlign w:val="center"/>
            <w:hideMark/>
          </w:tcPr>
          <w:p w:rsidR="00F61950" w:rsidRPr="00EC6162" w:rsidRDefault="00F61950" w:rsidP="00D82F4C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Kategorie regionu</w:t>
            </w:r>
          </w:p>
        </w:tc>
        <w:tc>
          <w:tcPr>
            <w:tcW w:w="19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vAlign w:val="center"/>
          </w:tcPr>
          <w:p w:rsidR="00F61950" w:rsidRPr="00EC6162" w:rsidRDefault="00F61950" w:rsidP="00D82F4C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Specifický cíl</w:t>
            </w:r>
          </w:p>
        </w:tc>
        <w:tc>
          <w:tcPr>
            <w:tcW w:w="14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vAlign w:val="center"/>
            <w:hideMark/>
          </w:tcPr>
          <w:p w:rsidR="00F61950" w:rsidRPr="00EC6162" w:rsidRDefault="00F61950" w:rsidP="00D82F4C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Kód</w:t>
            </w:r>
          </w:p>
        </w:tc>
        <w:tc>
          <w:tcPr>
            <w:tcW w:w="19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vAlign w:val="center"/>
            <w:hideMark/>
          </w:tcPr>
          <w:p w:rsidR="00F61950" w:rsidRPr="00EC6162" w:rsidRDefault="00F61950" w:rsidP="00D82F4C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Částka (v EUR)</w:t>
            </w:r>
          </w:p>
        </w:tc>
      </w:tr>
      <w:tr w:rsidR="00F61950" w:rsidRPr="004F2EE3" w:rsidTr="00AA57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 w:val="restart"/>
            <w:shd w:val="clear" w:color="auto" w:fill="DEEAF6" w:themeFill="accent5" w:themeFillTint="33"/>
          </w:tcPr>
          <w:p w:rsidR="00F61950" w:rsidRPr="0013141D" w:rsidRDefault="00F61950" w:rsidP="00F61950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b w:val="0"/>
                <w:iCs/>
                <w:noProof/>
                <w:sz w:val="18"/>
                <w:szCs w:val="18"/>
              </w:rPr>
              <w:t>P1</w:t>
            </w:r>
          </w:p>
        </w:tc>
        <w:tc>
          <w:tcPr>
            <w:tcW w:w="1047" w:type="dxa"/>
            <w:vMerge w:val="restart"/>
            <w:shd w:val="clear" w:color="auto" w:fill="DEEAF6" w:themeFill="accent5" w:themeFillTint="33"/>
          </w:tcPr>
          <w:p w:rsidR="00F61950" w:rsidRPr="0013141D" w:rsidRDefault="00F61950" w:rsidP="00F61950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ERDF</w:t>
            </w:r>
          </w:p>
        </w:tc>
        <w:tc>
          <w:tcPr>
            <w:tcW w:w="2125" w:type="dxa"/>
            <w:shd w:val="clear" w:color="auto" w:fill="DEEAF6" w:themeFill="accent5" w:themeFillTint="33"/>
          </w:tcPr>
          <w:p w:rsidR="00F61950" w:rsidRPr="0013141D" w:rsidRDefault="00F61950" w:rsidP="00B375FC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Více rozvinuté</w:t>
            </w:r>
          </w:p>
        </w:tc>
        <w:tc>
          <w:tcPr>
            <w:tcW w:w="1961" w:type="dxa"/>
            <w:vMerge w:val="restart"/>
            <w:shd w:val="clear" w:color="auto" w:fill="DEEAF6" w:themeFill="accent5" w:themeFillTint="33"/>
            <w:vAlign w:val="center"/>
          </w:tcPr>
          <w:p w:rsidR="00F61950" w:rsidRPr="0013141D" w:rsidRDefault="00F61950" w:rsidP="00F61950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bCs/>
                <w:sz w:val="18"/>
                <w:szCs w:val="18"/>
              </w:rPr>
              <w:t>1.1</w:t>
            </w:r>
          </w:p>
        </w:tc>
        <w:tc>
          <w:tcPr>
            <w:tcW w:w="1462" w:type="dxa"/>
            <w:vMerge w:val="restart"/>
            <w:shd w:val="clear" w:color="auto" w:fill="DEEAF6" w:themeFill="accent5" w:themeFillTint="33"/>
            <w:vAlign w:val="center"/>
          </w:tcPr>
          <w:p w:rsidR="00F61950" w:rsidRPr="0013141D" w:rsidRDefault="00F61950" w:rsidP="00F61950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bCs/>
                <w:iCs/>
                <w:noProof/>
                <w:sz w:val="18"/>
                <w:szCs w:val="18"/>
              </w:rPr>
              <w:t>13</w:t>
            </w: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F61950" w:rsidRPr="00F61950" w:rsidRDefault="00F61950" w:rsidP="00F61950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 w:rsidRPr="00F61950">
              <w:rPr>
                <w:rFonts w:eastAsia="Times New Roman"/>
                <w:bCs/>
                <w:iCs/>
                <w:noProof/>
                <w:sz w:val="18"/>
                <w:szCs w:val="18"/>
              </w:rPr>
              <w:t xml:space="preserve">                   6 426 785    </w:t>
            </w:r>
          </w:p>
        </w:tc>
      </w:tr>
      <w:tr w:rsidR="00F61950" w:rsidRPr="004F2EE3" w:rsidTr="00AA5728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F61950" w:rsidRPr="0013141D" w:rsidRDefault="00F61950" w:rsidP="00F61950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F61950" w:rsidRPr="0013141D" w:rsidRDefault="00F61950" w:rsidP="00F61950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F61950" w:rsidRPr="0013141D" w:rsidRDefault="00F61950" w:rsidP="00B375FC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Přechodové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F61950" w:rsidRPr="0013141D" w:rsidRDefault="00F61950" w:rsidP="00F61950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F61950" w:rsidRPr="0013141D" w:rsidRDefault="00F61950" w:rsidP="00F61950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F61950" w:rsidRPr="00F61950" w:rsidRDefault="00F61950" w:rsidP="00F61950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 w:rsidRPr="00F61950">
              <w:rPr>
                <w:rFonts w:eastAsia="Times New Roman"/>
                <w:bCs/>
                <w:iCs/>
                <w:noProof/>
                <w:sz w:val="18"/>
                <w:szCs w:val="18"/>
              </w:rPr>
              <w:t xml:space="preserve">                 23 684 211    </w:t>
            </w:r>
          </w:p>
        </w:tc>
      </w:tr>
      <w:tr w:rsidR="00F61950" w:rsidRPr="004F2EE3" w:rsidTr="00AA57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F61950" w:rsidRPr="0013141D" w:rsidRDefault="00F61950" w:rsidP="00F61950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F61950" w:rsidRPr="0013141D" w:rsidRDefault="00F61950" w:rsidP="00F61950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F61950" w:rsidRPr="0013141D" w:rsidRDefault="00F61950" w:rsidP="00B375FC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Méně rozvinuté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F61950" w:rsidRPr="0013141D" w:rsidRDefault="00F61950" w:rsidP="00F61950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F61950" w:rsidRPr="0013141D" w:rsidRDefault="00F61950" w:rsidP="00F61950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F61950" w:rsidRPr="00F61950" w:rsidRDefault="00F61950" w:rsidP="00F61950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 w:rsidRPr="00F61950">
              <w:rPr>
                <w:rFonts w:eastAsia="Times New Roman"/>
                <w:bCs/>
                <w:iCs/>
                <w:noProof/>
                <w:sz w:val="18"/>
                <w:szCs w:val="18"/>
              </w:rPr>
              <w:t xml:space="preserve">                 16 501 042    </w:t>
            </w:r>
          </w:p>
        </w:tc>
      </w:tr>
      <w:tr w:rsidR="00F61950" w:rsidRPr="0013141D" w:rsidTr="00AA5728">
        <w:trPr>
          <w:trHeight w:val="1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F61950" w:rsidRPr="0013141D" w:rsidRDefault="00F61950" w:rsidP="00F61950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F61950" w:rsidRPr="0013141D" w:rsidRDefault="00F61950" w:rsidP="00F61950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F61950" w:rsidRPr="0013141D" w:rsidRDefault="00F61950" w:rsidP="00B375FC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Více rozvinuté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F61950" w:rsidRPr="0013141D" w:rsidRDefault="00F61950" w:rsidP="00F61950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 w:val="restart"/>
            <w:shd w:val="clear" w:color="auto" w:fill="DEEAF6" w:themeFill="accent5" w:themeFillTint="33"/>
            <w:vAlign w:val="center"/>
          </w:tcPr>
          <w:p w:rsidR="00F61950" w:rsidRPr="0013141D" w:rsidRDefault="00F61950" w:rsidP="00F61950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bCs/>
                <w:iCs/>
                <w:noProof/>
                <w:sz w:val="18"/>
                <w:szCs w:val="18"/>
              </w:rPr>
              <w:t>48</w:t>
            </w: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F61950" w:rsidRPr="00F61950" w:rsidRDefault="00F61950" w:rsidP="00F61950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 w:rsidRPr="00F61950">
              <w:rPr>
                <w:rFonts w:eastAsia="Times New Roman"/>
                <w:bCs/>
                <w:iCs/>
                <w:noProof/>
                <w:sz w:val="18"/>
                <w:szCs w:val="18"/>
              </w:rPr>
              <w:t xml:space="preserve">               135 193 109    </w:t>
            </w:r>
          </w:p>
        </w:tc>
      </w:tr>
      <w:tr w:rsidR="00F61950" w:rsidRPr="0013141D" w:rsidTr="00AA57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F61950" w:rsidRPr="0013141D" w:rsidRDefault="00F61950" w:rsidP="00F61950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F61950" w:rsidRPr="0013141D" w:rsidRDefault="00F61950" w:rsidP="00F61950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F61950" w:rsidRPr="0013141D" w:rsidRDefault="00F61950" w:rsidP="00B375FC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Přechodové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F61950" w:rsidRPr="0013141D" w:rsidRDefault="00F61950" w:rsidP="00F61950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F61950" w:rsidRPr="0013141D" w:rsidRDefault="00F61950" w:rsidP="00F61950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F61950" w:rsidRPr="00F61950" w:rsidRDefault="00F61950" w:rsidP="00F61950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 w:rsidRPr="00F61950">
              <w:rPr>
                <w:rFonts w:eastAsia="Times New Roman"/>
                <w:bCs/>
                <w:iCs/>
                <w:noProof/>
                <w:sz w:val="18"/>
                <w:szCs w:val="18"/>
              </w:rPr>
              <w:t xml:space="preserve">               498 218 346    </w:t>
            </w:r>
          </w:p>
        </w:tc>
      </w:tr>
      <w:tr w:rsidR="00F61950" w:rsidRPr="0013141D" w:rsidTr="00AA5728">
        <w:trPr>
          <w:trHeight w:val="1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F61950" w:rsidRPr="0013141D" w:rsidRDefault="00F61950" w:rsidP="00F61950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F61950" w:rsidRPr="0013141D" w:rsidRDefault="00F61950" w:rsidP="00F61950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F61950" w:rsidRPr="0013141D" w:rsidRDefault="00F61950" w:rsidP="00B375FC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Méně rozvinuté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F61950" w:rsidRPr="0013141D" w:rsidRDefault="00F61950" w:rsidP="00F61950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F61950" w:rsidRPr="0013141D" w:rsidRDefault="00F61950" w:rsidP="00F61950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F61950" w:rsidRPr="00F61950" w:rsidRDefault="00F61950" w:rsidP="00F61950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 w:rsidRPr="00F61950">
              <w:rPr>
                <w:rFonts w:eastAsia="Times New Roman"/>
                <w:bCs/>
                <w:iCs/>
                <w:noProof/>
                <w:sz w:val="18"/>
                <w:szCs w:val="18"/>
              </w:rPr>
              <w:t xml:space="preserve">               347 114 026    </w:t>
            </w:r>
          </w:p>
        </w:tc>
      </w:tr>
    </w:tbl>
    <w:p w:rsidR="00716902" w:rsidRPr="00205C95" w:rsidRDefault="00716902" w:rsidP="00716902">
      <w:pPr>
        <w:pStyle w:val="Titulek"/>
        <w:rPr>
          <w:rFonts w:ascii="Times New Roman" w:hAnsi="Times New Roman" w:cs="Times New Roman"/>
          <w:szCs w:val="22"/>
        </w:rPr>
      </w:pPr>
      <w:bookmarkStart w:id="122" w:name="_Toc66346568"/>
      <w:bookmarkEnd w:id="121"/>
      <w:r w:rsidRPr="00F6239D">
        <w:rPr>
          <w:rFonts w:ascii="Times New Roman" w:hAnsi="Times New Roman" w:cs="Times New Roman"/>
        </w:rPr>
        <w:t xml:space="preserve">Tabulka </w:t>
      </w:r>
      <w:r w:rsidR="0013141D" w:rsidRPr="00F6239D">
        <w:rPr>
          <w:rFonts w:ascii="Times New Roman" w:hAnsi="Times New Roman" w:cs="Times New Roman"/>
        </w:rPr>
        <w:fldChar w:fldCharType="begin"/>
      </w:r>
      <w:r w:rsidR="0013141D" w:rsidRPr="00F6239D">
        <w:rPr>
          <w:rFonts w:ascii="Times New Roman" w:hAnsi="Times New Roman" w:cs="Times New Roman"/>
        </w:rPr>
        <w:instrText xml:space="preserve"> SEQ Tabulka \* ARABIC </w:instrText>
      </w:r>
      <w:r w:rsidR="0013141D" w:rsidRPr="00F6239D">
        <w:rPr>
          <w:rFonts w:ascii="Times New Roman" w:hAnsi="Times New Roman" w:cs="Times New Roman"/>
        </w:rPr>
        <w:fldChar w:fldCharType="separate"/>
      </w:r>
      <w:r w:rsidR="00262230">
        <w:rPr>
          <w:rFonts w:ascii="Times New Roman" w:hAnsi="Times New Roman" w:cs="Times New Roman"/>
          <w:noProof/>
        </w:rPr>
        <w:t>8</w:t>
      </w:r>
      <w:r w:rsidR="0013141D" w:rsidRPr="00F6239D">
        <w:rPr>
          <w:rFonts w:ascii="Times New Roman" w:hAnsi="Times New Roman" w:cs="Times New Roman"/>
        </w:rPr>
        <w:fldChar w:fldCharType="end"/>
      </w:r>
      <w:r w:rsidR="0013141D" w:rsidRPr="00F6239D">
        <w:rPr>
          <w:rFonts w:ascii="Times New Roman" w:hAnsi="Times New Roman" w:cs="Times New Roman"/>
        </w:rPr>
        <w:t>:</w:t>
      </w:r>
      <w:r w:rsidRPr="00F6239D">
        <w:rPr>
          <w:rFonts w:ascii="Times New Roman" w:hAnsi="Times New Roman" w:cs="Times New Roman"/>
        </w:rPr>
        <w:t xml:space="preserve"> </w:t>
      </w:r>
      <w:r w:rsidRPr="00205C95">
        <w:rPr>
          <w:rFonts w:ascii="Times New Roman" w:hAnsi="Times New Roman" w:cs="Times New Roman"/>
          <w:szCs w:val="22"/>
        </w:rPr>
        <w:t>SC 1.</w:t>
      </w:r>
      <w:r w:rsidR="00205C95" w:rsidRPr="00205C95">
        <w:rPr>
          <w:rFonts w:ascii="Times New Roman" w:hAnsi="Times New Roman" w:cs="Times New Roman"/>
          <w:szCs w:val="22"/>
        </w:rPr>
        <w:t>1</w:t>
      </w:r>
      <w:r w:rsidRPr="00205C95">
        <w:rPr>
          <w:rFonts w:ascii="Times New Roman" w:hAnsi="Times New Roman" w:cs="Times New Roman"/>
          <w:szCs w:val="22"/>
        </w:rPr>
        <w:t>: Dimenze 7 – ESF+</w:t>
      </w:r>
      <w:r w:rsidR="00B77430" w:rsidRPr="00205C95">
        <w:rPr>
          <w:rFonts w:ascii="Times New Roman" w:hAnsi="Times New Roman" w:cs="Times New Roman"/>
          <w:szCs w:val="22"/>
        </w:rPr>
        <w:t>,</w:t>
      </w:r>
      <w:r w:rsidRPr="00205C95">
        <w:rPr>
          <w:rFonts w:ascii="Times New Roman" w:hAnsi="Times New Roman" w:cs="Times New Roman"/>
          <w:szCs w:val="22"/>
        </w:rPr>
        <w:t xml:space="preserve"> ERDF, CF a JTF a dimenze rovnosti žen a mužů</w:t>
      </w:r>
      <w:bookmarkEnd w:id="122"/>
    </w:p>
    <w:tbl>
      <w:tblPr>
        <w:tblStyle w:val="Tabulkasmkou4zvraznn1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6"/>
        <w:gridCol w:w="1047"/>
        <w:gridCol w:w="2125"/>
        <w:gridCol w:w="1961"/>
        <w:gridCol w:w="1462"/>
        <w:gridCol w:w="1958"/>
      </w:tblGrid>
      <w:tr w:rsidR="00A560D8" w:rsidRPr="00EC6162" w:rsidTr="00A315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A560D8" w:rsidRPr="00EC6162" w:rsidRDefault="00A560D8" w:rsidP="00A07D4B">
            <w:pPr>
              <w:spacing w:before="0" w:after="0" w:line="276" w:lineRule="auto"/>
              <w:jc w:val="center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Číslo priority</w:t>
            </w:r>
          </w:p>
        </w:tc>
        <w:tc>
          <w:tcPr>
            <w:tcW w:w="104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A560D8" w:rsidRPr="00EC6162" w:rsidRDefault="00A560D8" w:rsidP="00A07D4B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Fond</w:t>
            </w:r>
          </w:p>
        </w:tc>
        <w:tc>
          <w:tcPr>
            <w:tcW w:w="212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A560D8" w:rsidRPr="00EC6162" w:rsidRDefault="00A560D8" w:rsidP="00A07D4B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Kategorie regionu</w:t>
            </w:r>
          </w:p>
        </w:tc>
        <w:tc>
          <w:tcPr>
            <w:tcW w:w="19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</w:tcPr>
          <w:p w:rsidR="00A560D8" w:rsidRPr="00EC6162" w:rsidRDefault="00A560D8" w:rsidP="00A07D4B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Specifický cíl</w:t>
            </w:r>
          </w:p>
        </w:tc>
        <w:tc>
          <w:tcPr>
            <w:tcW w:w="14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A560D8" w:rsidRPr="00EC6162" w:rsidRDefault="00A560D8" w:rsidP="00A07D4B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Kód</w:t>
            </w:r>
          </w:p>
        </w:tc>
        <w:tc>
          <w:tcPr>
            <w:tcW w:w="19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A560D8" w:rsidRPr="00EC6162" w:rsidRDefault="00A560D8" w:rsidP="00A07D4B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Částka (v EUR)</w:t>
            </w:r>
          </w:p>
        </w:tc>
      </w:tr>
      <w:tr w:rsidR="00A560D8" w:rsidRPr="00F61950" w:rsidTr="00A07D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 w:val="restart"/>
            <w:shd w:val="clear" w:color="auto" w:fill="DEEAF6" w:themeFill="accent5" w:themeFillTint="33"/>
          </w:tcPr>
          <w:p w:rsidR="00A560D8" w:rsidRPr="0013141D" w:rsidRDefault="00A560D8" w:rsidP="00A07D4B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b w:val="0"/>
                <w:iCs/>
                <w:noProof/>
                <w:sz w:val="18"/>
                <w:szCs w:val="18"/>
              </w:rPr>
              <w:t>P1</w:t>
            </w:r>
          </w:p>
        </w:tc>
        <w:tc>
          <w:tcPr>
            <w:tcW w:w="1047" w:type="dxa"/>
            <w:vMerge w:val="restart"/>
            <w:shd w:val="clear" w:color="auto" w:fill="DEEAF6" w:themeFill="accent5" w:themeFillTint="33"/>
          </w:tcPr>
          <w:p w:rsidR="00A560D8" w:rsidRPr="0013141D" w:rsidRDefault="00A560D8" w:rsidP="00A07D4B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ERDF</w:t>
            </w:r>
          </w:p>
        </w:tc>
        <w:tc>
          <w:tcPr>
            <w:tcW w:w="2125" w:type="dxa"/>
            <w:shd w:val="clear" w:color="auto" w:fill="DEEAF6" w:themeFill="accent5" w:themeFillTint="33"/>
          </w:tcPr>
          <w:p w:rsidR="00A560D8" w:rsidRPr="0013141D" w:rsidRDefault="00A560D8" w:rsidP="00711812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Více rozvinuté</w:t>
            </w:r>
          </w:p>
        </w:tc>
        <w:tc>
          <w:tcPr>
            <w:tcW w:w="1961" w:type="dxa"/>
            <w:vMerge w:val="restart"/>
            <w:shd w:val="clear" w:color="auto" w:fill="DEEAF6" w:themeFill="accent5" w:themeFillTint="33"/>
            <w:vAlign w:val="center"/>
          </w:tcPr>
          <w:p w:rsidR="00A560D8" w:rsidRPr="0013141D" w:rsidRDefault="00A560D8" w:rsidP="00A07D4B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bCs/>
                <w:sz w:val="18"/>
                <w:szCs w:val="18"/>
              </w:rPr>
              <w:t>1.1</w:t>
            </w:r>
          </w:p>
        </w:tc>
        <w:tc>
          <w:tcPr>
            <w:tcW w:w="1462" w:type="dxa"/>
            <w:vMerge w:val="restart"/>
            <w:shd w:val="clear" w:color="auto" w:fill="DEEAF6" w:themeFill="accent5" w:themeFillTint="33"/>
            <w:vAlign w:val="center"/>
          </w:tcPr>
          <w:p w:rsidR="00A560D8" w:rsidRPr="0013141D" w:rsidRDefault="00C61CF0" w:rsidP="00A07D4B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bCs/>
                <w:iCs/>
                <w:noProof/>
                <w:sz w:val="18"/>
                <w:szCs w:val="18"/>
              </w:rPr>
              <w:t>1</w:t>
            </w: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A560D8" w:rsidRPr="00F61950" w:rsidRDefault="00A560D8" w:rsidP="00A07D4B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 w:rsidRPr="00F61950">
              <w:rPr>
                <w:rFonts w:eastAsia="Times New Roman"/>
                <w:bCs/>
                <w:iCs/>
                <w:noProof/>
                <w:sz w:val="18"/>
                <w:szCs w:val="18"/>
              </w:rPr>
              <w:t xml:space="preserve">                   </w:t>
            </w:r>
            <w:r w:rsidR="00C61CF0" w:rsidRPr="00C61CF0">
              <w:rPr>
                <w:rFonts w:eastAsia="Times New Roman"/>
                <w:bCs/>
                <w:iCs/>
                <w:noProof/>
                <w:sz w:val="18"/>
                <w:szCs w:val="18"/>
              </w:rPr>
              <w:t>5 642 656</w:t>
            </w:r>
            <w:r w:rsidRPr="00F61950">
              <w:rPr>
                <w:rFonts w:eastAsia="Times New Roman"/>
                <w:bCs/>
                <w:iCs/>
                <w:noProof/>
                <w:sz w:val="18"/>
                <w:szCs w:val="18"/>
              </w:rPr>
              <w:t xml:space="preserve">    </w:t>
            </w:r>
          </w:p>
        </w:tc>
      </w:tr>
      <w:tr w:rsidR="00A560D8" w:rsidRPr="00F61950" w:rsidTr="00A07D4B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A560D8" w:rsidRPr="0013141D" w:rsidRDefault="00A560D8" w:rsidP="00A07D4B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A560D8" w:rsidRPr="0013141D" w:rsidRDefault="00A560D8" w:rsidP="00A07D4B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A560D8" w:rsidRPr="0013141D" w:rsidRDefault="00A560D8" w:rsidP="00711812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Přechodové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A560D8" w:rsidRPr="0013141D" w:rsidRDefault="00A560D8" w:rsidP="00A07D4B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A560D8" w:rsidRPr="0013141D" w:rsidRDefault="00A560D8" w:rsidP="00A07D4B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A560D8" w:rsidRPr="00F61950" w:rsidRDefault="00A560D8" w:rsidP="00A07D4B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 w:rsidRPr="00F61950">
              <w:rPr>
                <w:rFonts w:eastAsia="Times New Roman"/>
                <w:bCs/>
                <w:iCs/>
                <w:noProof/>
                <w:sz w:val="18"/>
                <w:szCs w:val="18"/>
              </w:rPr>
              <w:t xml:space="preserve">                 </w:t>
            </w:r>
            <w:r w:rsidR="00C61CF0" w:rsidRPr="00C61CF0">
              <w:rPr>
                <w:rFonts w:eastAsia="Times New Roman"/>
                <w:bCs/>
                <w:iCs/>
                <w:noProof/>
                <w:sz w:val="18"/>
                <w:szCs w:val="18"/>
              </w:rPr>
              <w:t>20 794 511</w:t>
            </w:r>
            <w:r w:rsidRPr="00F61950">
              <w:rPr>
                <w:rFonts w:eastAsia="Times New Roman"/>
                <w:bCs/>
                <w:iCs/>
                <w:noProof/>
                <w:sz w:val="18"/>
                <w:szCs w:val="18"/>
              </w:rPr>
              <w:t xml:space="preserve">    </w:t>
            </w:r>
          </w:p>
        </w:tc>
      </w:tr>
      <w:tr w:rsidR="00A560D8" w:rsidRPr="00F61950" w:rsidTr="00A07D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A560D8" w:rsidRPr="0013141D" w:rsidRDefault="00A560D8" w:rsidP="00A07D4B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A560D8" w:rsidRPr="0013141D" w:rsidRDefault="00A560D8" w:rsidP="00A07D4B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A560D8" w:rsidRPr="0013141D" w:rsidRDefault="00A560D8" w:rsidP="00711812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Méně rozvinuté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A560D8" w:rsidRPr="0013141D" w:rsidRDefault="00A560D8" w:rsidP="00A07D4B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A560D8" w:rsidRPr="0013141D" w:rsidRDefault="00A560D8" w:rsidP="00A07D4B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A560D8" w:rsidRPr="00F61950" w:rsidRDefault="00A560D8" w:rsidP="00A07D4B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 w:rsidRPr="00F61950">
              <w:rPr>
                <w:rFonts w:eastAsia="Times New Roman"/>
                <w:bCs/>
                <w:iCs/>
                <w:noProof/>
                <w:sz w:val="18"/>
                <w:szCs w:val="18"/>
              </w:rPr>
              <w:t xml:space="preserve">                 </w:t>
            </w:r>
            <w:r w:rsidR="00C61CF0" w:rsidRPr="00C61CF0">
              <w:rPr>
                <w:rFonts w:eastAsia="Times New Roman"/>
                <w:bCs/>
                <w:iCs/>
                <w:noProof/>
                <w:sz w:val="18"/>
                <w:szCs w:val="18"/>
              </w:rPr>
              <w:t>14 487 757</w:t>
            </w:r>
            <w:r w:rsidRPr="00F61950">
              <w:rPr>
                <w:rFonts w:eastAsia="Times New Roman"/>
                <w:bCs/>
                <w:iCs/>
                <w:noProof/>
                <w:sz w:val="18"/>
                <w:szCs w:val="18"/>
              </w:rPr>
              <w:t xml:space="preserve">    </w:t>
            </w:r>
          </w:p>
        </w:tc>
      </w:tr>
      <w:tr w:rsidR="00A560D8" w:rsidRPr="00F61950" w:rsidTr="00A07D4B">
        <w:trPr>
          <w:trHeight w:val="1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A560D8" w:rsidRPr="0013141D" w:rsidRDefault="00A560D8" w:rsidP="00A07D4B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A560D8" w:rsidRPr="0013141D" w:rsidRDefault="00A560D8" w:rsidP="00A07D4B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A560D8" w:rsidRPr="0013141D" w:rsidRDefault="00A560D8" w:rsidP="00711812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Více rozvinuté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A560D8" w:rsidRPr="0013141D" w:rsidRDefault="00A560D8" w:rsidP="00A07D4B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 w:val="restart"/>
            <w:shd w:val="clear" w:color="auto" w:fill="DEEAF6" w:themeFill="accent5" w:themeFillTint="33"/>
            <w:vAlign w:val="center"/>
          </w:tcPr>
          <w:p w:rsidR="00A560D8" w:rsidRPr="0013141D" w:rsidRDefault="00C61CF0" w:rsidP="00A07D4B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bCs/>
                <w:iCs/>
                <w:noProof/>
                <w:sz w:val="18"/>
                <w:szCs w:val="18"/>
              </w:rPr>
              <w:t>3</w:t>
            </w: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A560D8" w:rsidRPr="00F61950" w:rsidRDefault="00A560D8" w:rsidP="00A07D4B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 w:rsidRPr="00F61950">
              <w:rPr>
                <w:rFonts w:eastAsia="Times New Roman"/>
                <w:bCs/>
                <w:iCs/>
                <w:noProof/>
                <w:sz w:val="18"/>
                <w:szCs w:val="18"/>
              </w:rPr>
              <w:t xml:space="preserve">               135 </w:t>
            </w:r>
            <w:r w:rsidR="00C61CF0" w:rsidRPr="00C61CF0">
              <w:rPr>
                <w:rFonts w:eastAsia="Times New Roman"/>
                <w:bCs/>
                <w:iCs/>
                <w:noProof/>
                <w:sz w:val="18"/>
                <w:szCs w:val="18"/>
              </w:rPr>
              <w:t>977 238</w:t>
            </w:r>
            <w:r w:rsidRPr="00F61950">
              <w:rPr>
                <w:rFonts w:eastAsia="Times New Roman"/>
                <w:bCs/>
                <w:iCs/>
                <w:noProof/>
                <w:sz w:val="18"/>
                <w:szCs w:val="18"/>
              </w:rPr>
              <w:t xml:space="preserve">    </w:t>
            </w:r>
          </w:p>
        </w:tc>
      </w:tr>
      <w:tr w:rsidR="00A560D8" w:rsidRPr="00F61950" w:rsidTr="00A07D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A560D8" w:rsidRPr="0013141D" w:rsidRDefault="00A560D8" w:rsidP="00A07D4B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A560D8" w:rsidRPr="0013141D" w:rsidRDefault="00A560D8" w:rsidP="00A07D4B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A560D8" w:rsidRPr="0013141D" w:rsidRDefault="00A560D8" w:rsidP="00711812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Přechodové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A560D8" w:rsidRPr="0013141D" w:rsidRDefault="00A560D8" w:rsidP="00A07D4B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A560D8" w:rsidRPr="0013141D" w:rsidRDefault="00A560D8" w:rsidP="00A07D4B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A560D8" w:rsidRPr="00F61950" w:rsidRDefault="00A560D8" w:rsidP="00A07D4B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 w:rsidRPr="00F61950">
              <w:rPr>
                <w:rFonts w:eastAsia="Times New Roman"/>
                <w:bCs/>
                <w:iCs/>
                <w:noProof/>
                <w:sz w:val="18"/>
                <w:szCs w:val="18"/>
              </w:rPr>
              <w:t xml:space="preserve">               </w:t>
            </w:r>
            <w:r w:rsidR="00C61CF0" w:rsidRPr="00C61CF0">
              <w:rPr>
                <w:rFonts w:eastAsia="Times New Roman"/>
                <w:bCs/>
                <w:iCs/>
                <w:noProof/>
                <w:sz w:val="18"/>
                <w:szCs w:val="18"/>
              </w:rPr>
              <w:t>501 108 046</w:t>
            </w:r>
            <w:r w:rsidRPr="00F61950">
              <w:rPr>
                <w:rFonts w:eastAsia="Times New Roman"/>
                <w:bCs/>
                <w:iCs/>
                <w:noProof/>
                <w:sz w:val="18"/>
                <w:szCs w:val="18"/>
              </w:rPr>
              <w:t xml:space="preserve">    </w:t>
            </w:r>
          </w:p>
        </w:tc>
      </w:tr>
      <w:tr w:rsidR="00A560D8" w:rsidRPr="00F61950" w:rsidTr="00A07D4B">
        <w:trPr>
          <w:trHeight w:val="1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A560D8" w:rsidRPr="0013141D" w:rsidRDefault="00A560D8" w:rsidP="00A07D4B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A560D8" w:rsidRPr="0013141D" w:rsidRDefault="00A560D8" w:rsidP="00A07D4B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A560D8" w:rsidRPr="0013141D" w:rsidRDefault="00A560D8" w:rsidP="00711812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Méně rozvinuté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A560D8" w:rsidRPr="0013141D" w:rsidRDefault="00A560D8" w:rsidP="00A07D4B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A560D8" w:rsidRPr="0013141D" w:rsidRDefault="00A560D8" w:rsidP="00A07D4B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A560D8" w:rsidRPr="00F61950" w:rsidRDefault="00A560D8" w:rsidP="00A07D4B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 w:rsidRPr="00F61950">
              <w:rPr>
                <w:rFonts w:eastAsia="Times New Roman"/>
                <w:bCs/>
                <w:iCs/>
                <w:noProof/>
                <w:sz w:val="18"/>
                <w:szCs w:val="18"/>
              </w:rPr>
              <w:t xml:space="preserve">               </w:t>
            </w:r>
            <w:r w:rsidR="00C61CF0" w:rsidRPr="00C61CF0">
              <w:rPr>
                <w:rFonts w:eastAsia="Times New Roman"/>
                <w:bCs/>
                <w:iCs/>
                <w:noProof/>
                <w:sz w:val="18"/>
                <w:szCs w:val="18"/>
              </w:rPr>
              <w:t>349 127 311</w:t>
            </w:r>
            <w:r w:rsidRPr="00F61950">
              <w:rPr>
                <w:rFonts w:eastAsia="Times New Roman"/>
                <w:bCs/>
                <w:iCs/>
                <w:noProof/>
                <w:sz w:val="18"/>
                <w:szCs w:val="18"/>
              </w:rPr>
              <w:t xml:space="preserve">    </w:t>
            </w:r>
          </w:p>
        </w:tc>
      </w:tr>
    </w:tbl>
    <w:p w:rsidR="00C17573" w:rsidRPr="00F6239D" w:rsidRDefault="00C17573" w:rsidP="00F6239D">
      <w:pPr>
        <w:rPr>
          <w:lang w:val="en-US"/>
        </w:rPr>
      </w:pPr>
    </w:p>
    <w:p w:rsidR="00DB5068" w:rsidRPr="00B175FB" w:rsidRDefault="00EB5476" w:rsidP="00636242">
      <w:pPr>
        <w:pStyle w:val="Nadpis3"/>
        <w:rPr>
          <w:b/>
          <w:color w:val="1F4E79" w:themeColor="accent5" w:themeShade="80"/>
          <w:lang w:val="cs-CZ" w:eastAsia="cs-CZ" w:bidi="cs-CZ"/>
        </w:rPr>
      </w:pPr>
      <w:bookmarkStart w:id="123" w:name="_Toc33000815"/>
      <w:bookmarkStart w:id="124" w:name="_Toc66476044"/>
      <w:bookmarkStart w:id="125" w:name="_Toc68611002"/>
      <w:bookmarkStart w:id="126" w:name="_Hlk20818601"/>
      <w:r w:rsidRPr="00B175FB">
        <w:rPr>
          <w:b/>
          <w:color w:val="1F4E79" w:themeColor="accent5" w:themeShade="80"/>
          <w:lang w:val="cs-CZ" w:eastAsia="cs-CZ" w:bidi="cs-CZ"/>
        </w:rPr>
        <w:t xml:space="preserve">SC </w:t>
      </w:r>
      <w:r w:rsidR="00C97096" w:rsidRPr="00B175FB">
        <w:rPr>
          <w:b/>
          <w:color w:val="1F4E79" w:themeColor="accent5" w:themeShade="80"/>
          <w:lang w:val="cs-CZ" w:eastAsia="cs-CZ" w:bidi="cs-CZ"/>
        </w:rPr>
        <w:t>1.</w:t>
      </w:r>
      <w:r w:rsidRPr="00B175FB">
        <w:rPr>
          <w:b/>
          <w:color w:val="1F4E79" w:themeColor="accent5" w:themeShade="80"/>
          <w:lang w:val="cs-CZ" w:eastAsia="cs-CZ" w:bidi="cs-CZ"/>
        </w:rPr>
        <w:t xml:space="preserve">2 </w:t>
      </w:r>
      <w:r w:rsidR="005A1DD9">
        <w:rPr>
          <w:b/>
          <w:color w:val="1F4E79" w:themeColor="accent5" w:themeShade="80"/>
          <w:lang w:val="cs-CZ" w:eastAsia="cs-CZ" w:bidi="cs-CZ"/>
        </w:rPr>
        <w:t>R</w:t>
      </w:r>
      <w:r w:rsidR="005A1DD9" w:rsidRPr="005A1DD9">
        <w:rPr>
          <w:b/>
          <w:color w:val="1F4E79" w:themeColor="accent5" w:themeShade="80"/>
          <w:lang w:val="cs-CZ" w:eastAsia="cs-CZ" w:bidi="cs-CZ"/>
        </w:rPr>
        <w:t>ozvoj dovedností pro inteligentní specializaci, průmyslovou transformaci a</w:t>
      </w:r>
      <w:r w:rsidR="009905D5">
        <w:rPr>
          <w:b/>
          <w:color w:val="1F4E79" w:themeColor="accent5" w:themeShade="80"/>
          <w:lang w:val="cs-CZ" w:eastAsia="cs-CZ" w:bidi="cs-CZ"/>
        </w:rPr>
        <w:t> </w:t>
      </w:r>
      <w:r w:rsidR="005A1DD9" w:rsidRPr="005A1DD9">
        <w:rPr>
          <w:b/>
          <w:color w:val="1F4E79" w:themeColor="accent5" w:themeShade="80"/>
          <w:lang w:val="cs-CZ" w:eastAsia="cs-CZ" w:bidi="cs-CZ"/>
        </w:rPr>
        <w:t>podnikání</w:t>
      </w:r>
      <w:bookmarkEnd w:id="123"/>
      <w:bookmarkEnd w:id="124"/>
      <w:bookmarkEnd w:id="125"/>
    </w:p>
    <w:p w:rsidR="00DB5068" w:rsidRPr="00C17573" w:rsidRDefault="000774D7" w:rsidP="00C17573">
      <w:pPr>
        <w:pStyle w:val="Nadpis4"/>
        <w:rPr>
          <w:b/>
          <w:color w:val="1F4E79" w:themeColor="accent5" w:themeShade="80"/>
          <w:lang w:val="cs-CZ" w:eastAsia="cs-CZ" w:bidi="cs-CZ"/>
        </w:rPr>
      </w:pPr>
      <w:bookmarkStart w:id="127" w:name="_Toc66476045"/>
      <w:bookmarkStart w:id="128" w:name="_Toc68611003"/>
      <w:r w:rsidRPr="00C17573">
        <w:rPr>
          <w:b/>
          <w:color w:val="1F4E79" w:themeColor="accent5" w:themeShade="80"/>
          <w:lang w:val="cs-CZ" w:eastAsia="cs-CZ" w:bidi="cs-CZ"/>
        </w:rPr>
        <w:t>Intervence fondů</w:t>
      </w:r>
      <w:bookmarkEnd w:id="127"/>
      <w:bookmarkEnd w:id="128"/>
    </w:p>
    <w:p w:rsidR="004005FF" w:rsidRPr="00B175FB" w:rsidRDefault="004005FF" w:rsidP="001C52B9">
      <w:pPr>
        <w:spacing w:before="0" w:line="276" w:lineRule="auto"/>
        <w:rPr>
          <w:rFonts w:eastAsia="Times New Roman"/>
          <w:b/>
          <w:bCs/>
          <w:i/>
          <w:iCs/>
          <w:noProof/>
          <w:szCs w:val="24"/>
          <w:u w:val="single"/>
        </w:rPr>
      </w:pPr>
      <w:r w:rsidRPr="00B175FB">
        <w:rPr>
          <w:rFonts w:eastAsia="Times New Roman"/>
          <w:b/>
          <w:i/>
          <w:noProof/>
          <w:szCs w:val="24"/>
        </w:rPr>
        <w:t>Související druhy č</w:t>
      </w:r>
      <w:r w:rsidR="00595F28" w:rsidRPr="00B175FB">
        <w:rPr>
          <w:rFonts w:eastAsia="Times New Roman"/>
          <w:b/>
          <w:i/>
          <w:noProof/>
          <w:szCs w:val="24"/>
        </w:rPr>
        <w:t>i</w:t>
      </w:r>
      <w:r w:rsidRPr="00B175FB">
        <w:rPr>
          <w:rFonts w:eastAsia="Times New Roman"/>
          <w:b/>
          <w:i/>
          <w:noProof/>
          <w:szCs w:val="24"/>
        </w:rPr>
        <w:t xml:space="preserve">nností </w:t>
      </w:r>
      <w:r w:rsidRPr="00B175FB">
        <w:rPr>
          <w:rFonts w:eastAsia="Times New Roman"/>
          <w:i/>
          <w:noProof/>
          <w:szCs w:val="24"/>
        </w:rPr>
        <w:t xml:space="preserve"> </w:t>
      </w: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DB5068" w:rsidRPr="00B175FB" w:rsidTr="00DB5068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8E" w:rsidRPr="00B175FB" w:rsidRDefault="00122E66">
            <w:pPr>
              <w:spacing w:line="276" w:lineRule="auto"/>
              <w:jc w:val="both"/>
              <w:rPr>
                <w:sz w:val="22"/>
              </w:rPr>
            </w:pPr>
            <w:bookmarkStart w:id="129" w:name="_Hlk21360451"/>
            <w:r w:rsidRPr="00B175FB">
              <w:rPr>
                <w:sz w:val="22"/>
              </w:rPr>
              <w:t>SC</w:t>
            </w:r>
            <w:r w:rsidR="00280176" w:rsidRPr="00B175FB">
              <w:rPr>
                <w:sz w:val="22"/>
              </w:rPr>
              <w:t xml:space="preserve"> </w:t>
            </w:r>
            <w:r w:rsidR="000774D7" w:rsidRPr="00B175FB">
              <w:rPr>
                <w:sz w:val="22"/>
              </w:rPr>
              <w:t>1.2</w:t>
            </w:r>
            <w:r w:rsidR="00600A95" w:rsidRPr="00B175FB">
              <w:rPr>
                <w:sz w:val="22"/>
              </w:rPr>
              <w:t xml:space="preserve"> </w:t>
            </w:r>
            <w:r w:rsidRPr="00B175FB">
              <w:rPr>
                <w:sz w:val="22"/>
              </w:rPr>
              <w:t>je zaměřen na podporu strateg</w:t>
            </w:r>
            <w:r w:rsidR="006342B8" w:rsidRPr="00B175FB">
              <w:rPr>
                <w:sz w:val="22"/>
              </w:rPr>
              <w:t xml:space="preserve">ického řízení </w:t>
            </w:r>
            <w:r w:rsidR="009E3DB4" w:rsidRPr="00B175FB">
              <w:rPr>
                <w:sz w:val="22"/>
              </w:rPr>
              <w:t xml:space="preserve">oblasti VaVaI </w:t>
            </w:r>
            <w:r w:rsidR="006342B8" w:rsidRPr="00B175FB">
              <w:rPr>
                <w:sz w:val="22"/>
              </w:rPr>
              <w:t xml:space="preserve">na </w:t>
            </w:r>
            <w:r w:rsidR="004324CA" w:rsidRPr="00B175FB">
              <w:rPr>
                <w:sz w:val="22"/>
              </w:rPr>
              <w:t xml:space="preserve">národní </w:t>
            </w:r>
            <w:r w:rsidR="00716A59">
              <w:rPr>
                <w:sz w:val="22"/>
              </w:rPr>
              <w:t xml:space="preserve">a regionální </w:t>
            </w:r>
            <w:r w:rsidR="006342B8" w:rsidRPr="00B175FB">
              <w:rPr>
                <w:sz w:val="22"/>
              </w:rPr>
              <w:t xml:space="preserve">úrovni </w:t>
            </w:r>
            <w:r w:rsidR="00716A59">
              <w:rPr>
                <w:sz w:val="22"/>
              </w:rPr>
              <w:t>a jejich</w:t>
            </w:r>
            <w:r w:rsidR="00716A59" w:rsidRPr="00B175FB">
              <w:rPr>
                <w:sz w:val="22"/>
              </w:rPr>
              <w:t xml:space="preserve"> </w:t>
            </w:r>
            <w:r w:rsidR="006342B8" w:rsidRPr="00B175FB">
              <w:rPr>
                <w:sz w:val="22"/>
              </w:rPr>
              <w:t xml:space="preserve">funkčního propojení. </w:t>
            </w:r>
          </w:p>
          <w:p w:rsidR="00F6708E" w:rsidRPr="00B175FB" w:rsidRDefault="00652CDD">
            <w:pPr>
              <w:spacing w:line="276" w:lineRule="auto"/>
              <w:jc w:val="both"/>
              <w:rPr>
                <w:sz w:val="22"/>
              </w:rPr>
            </w:pPr>
            <w:r w:rsidRPr="00B175FB">
              <w:rPr>
                <w:sz w:val="22"/>
              </w:rPr>
              <w:t>P</w:t>
            </w:r>
            <w:r w:rsidR="0031320B" w:rsidRPr="00B175FB">
              <w:rPr>
                <w:sz w:val="22"/>
              </w:rPr>
              <w:t xml:space="preserve">odpora v rámci tohoto specifického cíle </w:t>
            </w:r>
            <w:r w:rsidRPr="00B175FB">
              <w:rPr>
                <w:sz w:val="22"/>
              </w:rPr>
              <w:t xml:space="preserve">se </w:t>
            </w:r>
            <w:r w:rsidR="0031320B" w:rsidRPr="00B175FB">
              <w:rPr>
                <w:sz w:val="22"/>
              </w:rPr>
              <w:t xml:space="preserve">bude orientovat na </w:t>
            </w:r>
            <w:r w:rsidR="00F04D6F" w:rsidRPr="00B175FB">
              <w:rPr>
                <w:sz w:val="22"/>
              </w:rPr>
              <w:t>posilování kapacit a kompetencí pro realizaci efektivního a koordinovaného řízení systému VaVaI na národní úrovni a jeho propojení s úrovní regionální. Na</w:t>
            </w:r>
            <w:r w:rsidR="00BA372A" w:rsidRPr="00B175FB">
              <w:rPr>
                <w:sz w:val="22"/>
              </w:rPr>
              <w:t> </w:t>
            </w:r>
            <w:r w:rsidR="00F04D6F" w:rsidRPr="00B175FB">
              <w:rPr>
                <w:sz w:val="22"/>
              </w:rPr>
              <w:t xml:space="preserve">regionální úrovni se podpora zaměří </w:t>
            </w:r>
            <w:r w:rsidR="00F6708E" w:rsidRPr="00B175FB">
              <w:rPr>
                <w:sz w:val="22"/>
                <w:lang w:eastAsia="cs-CZ"/>
              </w:rPr>
              <w:t xml:space="preserve">na </w:t>
            </w:r>
            <w:r w:rsidR="003A284E" w:rsidRPr="00B175FB">
              <w:rPr>
                <w:sz w:val="22"/>
                <w:lang w:eastAsia="cs-CZ"/>
              </w:rPr>
              <w:t xml:space="preserve">podporu tzv. </w:t>
            </w:r>
            <w:r w:rsidR="00F00036" w:rsidRPr="00B175FB">
              <w:rPr>
                <w:sz w:val="22"/>
                <w:lang w:eastAsia="cs-CZ"/>
              </w:rPr>
              <w:t>měkkých</w:t>
            </w:r>
            <w:r w:rsidR="003A284E" w:rsidRPr="00B175FB">
              <w:rPr>
                <w:sz w:val="22"/>
                <w:lang w:eastAsia="cs-CZ"/>
              </w:rPr>
              <w:t xml:space="preserve"> infrastruktur typu Smart Akcelerátor, které</w:t>
            </w:r>
            <w:r w:rsidR="007427D5" w:rsidRPr="00B175FB">
              <w:rPr>
                <w:sz w:val="22"/>
                <w:lang w:eastAsia="cs-CZ"/>
              </w:rPr>
              <w:t> </w:t>
            </w:r>
            <w:r w:rsidR="003A284E" w:rsidRPr="00B175FB">
              <w:rPr>
                <w:sz w:val="22"/>
              </w:rPr>
              <w:t>přispívají k vytváření podmínek pro posilování inteligentní specializace, rozvoj inovačních ekosystémů a</w:t>
            </w:r>
            <w:r w:rsidR="00B41D91" w:rsidRPr="00B175FB">
              <w:rPr>
                <w:sz w:val="22"/>
              </w:rPr>
              <w:t> </w:t>
            </w:r>
            <w:r w:rsidR="003A284E" w:rsidRPr="00B175FB">
              <w:rPr>
                <w:sz w:val="22"/>
              </w:rPr>
              <w:t>rozvoj spolupráce mezi aktéry</w:t>
            </w:r>
            <w:r w:rsidR="00600A95" w:rsidRPr="00B175FB">
              <w:rPr>
                <w:sz w:val="22"/>
              </w:rPr>
              <w:t xml:space="preserve"> tzv.</w:t>
            </w:r>
            <w:r w:rsidR="003A284E" w:rsidRPr="00B175FB">
              <w:rPr>
                <w:sz w:val="22"/>
              </w:rPr>
              <w:t xml:space="preserve"> triple</w:t>
            </w:r>
            <w:r w:rsidR="007D7C25" w:rsidRPr="00B175FB">
              <w:rPr>
                <w:sz w:val="22"/>
              </w:rPr>
              <w:t>/quadruple</w:t>
            </w:r>
            <w:r w:rsidR="003A284E" w:rsidRPr="00B175FB">
              <w:rPr>
                <w:sz w:val="22"/>
              </w:rPr>
              <w:t xml:space="preserve"> helix </w:t>
            </w:r>
            <w:r w:rsidR="00A12F03">
              <w:rPr>
                <w:sz w:val="22"/>
              </w:rPr>
              <w:t>(zejm</w:t>
            </w:r>
            <w:r w:rsidR="00524D6C">
              <w:rPr>
                <w:sz w:val="22"/>
              </w:rPr>
              <w:t>éna</w:t>
            </w:r>
            <w:r w:rsidR="00A12F03">
              <w:rPr>
                <w:sz w:val="22"/>
              </w:rPr>
              <w:t xml:space="preserve"> výzkumných institucí, vzdělávacích institucí, firemní sféry a veřejného sektoru)</w:t>
            </w:r>
            <w:r w:rsidR="003A284E" w:rsidRPr="00B175FB">
              <w:rPr>
                <w:sz w:val="22"/>
              </w:rPr>
              <w:t xml:space="preserve"> na úrovni jednotlivých krajů. </w:t>
            </w:r>
          </w:p>
          <w:p w:rsidR="00F93D60" w:rsidRPr="00B175FB" w:rsidRDefault="00F93D60" w:rsidP="00F93D60">
            <w:pPr>
              <w:spacing w:line="276" w:lineRule="auto"/>
              <w:jc w:val="both"/>
              <w:rPr>
                <w:rFonts w:eastAsia="Times New Roman"/>
                <w:sz w:val="22"/>
              </w:rPr>
            </w:pPr>
            <w:r w:rsidRPr="00B175FB">
              <w:rPr>
                <w:rFonts w:eastAsia="Times New Roman"/>
                <w:sz w:val="22"/>
              </w:rPr>
              <w:t>Veškeré intervence budou realizovány v návaznosti na priority definované v</w:t>
            </w:r>
            <w:r w:rsidRPr="00B175FB" w:rsidDel="00483E70">
              <w:rPr>
                <w:rFonts w:eastAsia="Times New Roman"/>
                <w:sz w:val="22"/>
              </w:rPr>
              <w:t> </w:t>
            </w:r>
            <w:r w:rsidRPr="00B175FB">
              <w:rPr>
                <w:rFonts w:eastAsia="Times New Roman"/>
                <w:sz w:val="22"/>
              </w:rPr>
              <w:t>Národní RIS3 strategii.</w:t>
            </w:r>
          </w:p>
          <w:p w:rsidR="006809D4" w:rsidRPr="00B175FB" w:rsidRDefault="006809D4" w:rsidP="00C94250">
            <w:pPr>
              <w:spacing w:line="276" w:lineRule="auto"/>
              <w:rPr>
                <w:rFonts w:eastAsia="Calibri"/>
                <w:b/>
                <w:sz w:val="22"/>
              </w:rPr>
            </w:pPr>
            <w:r w:rsidRPr="00B175FB">
              <w:rPr>
                <w:rFonts w:eastAsia="Calibri"/>
                <w:b/>
                <w:sz w:val="22"/>
              </w:rPr>
              <w:t>Výsledkem intervencí bude:</w:t>
            </w:r>
          </w:p>
          <w:p w:rsidR="00DF12E5" w:rsidRPr="00B175FB" w:rsidRDefault="007C4CB5" w:rsidP="006A2F6A">
            <w:pPr>
              <w:pStyle w:val="Odstavecseseznamem"/>
              <w:numPr>
                <w:ilvl w:val="0"/>
                <w:numId w:val="70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v</w:t>
            </w:r>
            <w:r w:rsidR="00DF12E5" w:rsidRPr="00B175FB">
              <w:rPr>
                <w:rFonts w:eastAsia="Times New Roman" w:cs="Times New Roman"/>
                <w:sz w:val="22"/>
              </w:rPr>
              <w:t xml:space="preserve">ytvoření funkčního koordinovaného systému řízení VaVaI na </w:t>
            </w:r>
            <w:r w:rsidR="004324CA" w:rsidRPr="00B175FB">
              <w:rPr>
                <w:rFonts w:eastAsia="Times New Roman" w:cs="Times New Roman"/>
                <w:sz w:val="22"/>
              </w:rPr>
              <w:t>národní úrovni</w:t>
            </w:r>
            <w:r w:rsidR="00AA6A95" w:rsidRPr="00B175FB">
              <w:rPr>
                <w:rFonts w:eastAsia="Times New Roman" w:cs="Times New Roman"/>
                <w:sz w:val="22"/>
              </w:rPr>
              <w:t xml:space="preserve"> </w:t>
            </w:r>
            <w:r w:rsidR="008B19D9" w:rsidRPr="00B175FB">
              <w:rPr>
                <w:rFonts w:eastAsia="Times New Roman" w:cs="Times New Roman"/>
                <w:sz w:val="22"/>
              </w:rPr>
              <w:t>včetně</w:t>
            </w:r>
            <w:r w:rsidR="00AA6A95" w:rsidRPr="00B175FB">
              <w:rPr>
                <w:rFonts w:eastAsia="Times New Roman" w:cs="Times New Roman"/>
                <w:sz w:val="22"/>
              </w:rPr>
              <w:t xml:space="preserve"> je</w:t>
            </w:r>
            <w:r w:rsidR="00FD2423" w:rsidRPr="00B175FB">
              <w:rPr>
                <w:rFonts w:eastAsia="Times New Roman" w:cs="Times New Roman"/>
                <w:sz w:val="22"/>
              </w:rPr>
              <w:t>ho</w:t>
            </w:r>
            <w:r w:rsidR="00AA6A95" w:rsidRPr="00B175FB">
              <w:rPr>
                <w:rFonts w:eastAsia="Times New Roman" w:cs="Times New Roman"/>
                <w:sz w:val="22"/>
              </w:rPr>
              <w:t xml:space="preserve"> </w:t>
            </w:r>
            <w:r w:rsidR="004324CA" w:rsidRPr="00B175FB">
              <w:rPr>
                <w:rFonts w:eastAsia="Times New Roman" w:cs="Times New Roman"/>
                <w:sz w:val="22"/>
              </w:rPr>
              <w:t xml:space="preserve">funkčního </w:t>
            </w:r>
            <w:r w:rsidR="00AA6A95" w:rsidRPr="00B175FB">
              <w:rPr>
                <w:rFonts w:eastAsia="Times New Roman" w:cs="Times New Roman"/>
                <w:sz w:val="22"/>
              </w:rPr>
              <w:t>propojení</w:t>
            </w:r>
            <w:r w:rsidR="000931C6" w:rsidRPr="00B175FB">
              <w:rPr>
                <w:rFonts w:eastAsia="Times New Roman" w:cs="Times New Roman"/>
                <w:sz w:val="22"/>
              </w:rPr>
              <w:t xml:space="preserve"> s úrovní </w:t>
            </w:r>
            <w:r w:rsidR="004324CA" w:rsidRPr="00B175FB">
              <w:rPr>
                <w:rFonts w:eastAsia="Times New Roman" w:cs="Times New Roman"/>
                <w:sz w:val="22"/>
              </w:rPr>
              <w:t>regionální</w:t>
            </w:r>
            <w:r w:rsidRPr="00B175FB">
              <w:rPr>
                <w:rFonts w:eastAsia="Times New Roman" w:cs="Times New Roman"/>
                <w:sz w:val="22"/>
              </w:rPr>
              <w:t>;</w:t>
            </w:r>
          </w:p>
          <w:p w:rsidR="00AA6A95" w:rsidRPr="00B175FB" w:rsidRDefault="007C4CB5" w:rsidP="006A2F6A">
            <w:pPr>
              <w:pStyle w:val="Odstavecseseznamem"/>
              <w:numPr>
                <w:ilvl w:val="0"/>
                <w:numId w:val="70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p</w:t>
            </w:r>
            <w:r w:rsidR="00AA6A95" w:rsidRPr="00B175FB">
              <w:rPr>
                <w:rFonts w:eastAsia="Times New Roman" w:cs="Times New Roman"/>
                <w:sz w:val="22"/>
              </w:rPr>
              <w:t xml:space="preserve">řenos best practice ze zahraničí v oblasti řízení politiky VaVaI a implementace moderních nástrojů podpory </w:t>
            </w:r>
            <w:r w:rsidR="00700724" w:rsidRPr="00B175FB">
              <w:rPr>
                <w:rFonts w:eastAsia="Times New Roman" w:cs="Times New Roman"/>
                <w:sz w:val="22"/>
              </w:rPr>
              <w:t>VaVaI</w:t>
            </w:r>
            <w:r w:rsidRPr="00B175FB">
              <w:rPr>
                <w:rFonts w:eastAsia="Times New Roman" w:cs="Times New Roman"/>
                <w:sz w:val="22"/>
              </w:rPr>
              <w:t>;</w:t>
            </w:r>
          </w:p>
          <w:p w:rsidR="006E4EE8" w:rsidRPr="00B175FB" w:rsidRDefault="007C4CB5" w:rsidP="006A2F6A">
            <w:pPr>
              <w:pStyle w:val="Odstavecseseznamem"/>
              <w:numPr>
                <w:ilvl w:val="0"/>
                <w:numId w:val="70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p</w:t>
            </w:r>
            <w:r w:rsidR="00DF12E5" w:rsidRPr="00B175FB">
              <w:rPr>
                <w:rFonts w:eastAsia="Times New Roman" w:cs="Times New Roman"/>
                <w:sz w:val="22"/>
              </w:rPr>
              <w:t>osílení spolupráce podnikatelské, akademické a veřejné sféry na procesu objevování a realizace podnikatelských příležitostí („entr</w:t>
            </w:r>
            <w:r w:rsidR="00600A95" w:rsidRPr="00B175FB">
              <w:rPr>
                <w:rFonts w:eastAsia="Times New Roman" w:cs="Times New Roman"/>
                <w:sz w:val="22"/>
              </w:rPr>
              <w:t>e</w:t>
            </w:r>
            <w:r w:rsidR="00DF12E5" w:rsidRPr="00B175FB">
              <w:rPr>
                <w:rFonts w:eastAsia="Times New Roman" w:cs="Times New Roman"/>
                <w:sz w:val="22"/>
              </w:rPr>
              <w:t>preneurial discovery“)</w:t>
            </w:r>
            <w:r w:rsidRPr="00B175FB">
              <w:rPr>
                <w:rFonts w:eastAsia="Times New Roman" w:cs="Times New Roman"/>
                <w:sz w:val="22"/>
              </w:rPr>
              <w:t>;</w:t>
            </w:r>
          </w:p>
          <w:p w:rsidR="00DF12E5" w:rsidRDefault="00625F64" w:rsidP="006A2F6A">
            <w:pPr>
              <w:pStyle w:val="Odstavecseseznamem"/>
              <w:numPr>
                <w:ilvl w:val="0"/>
                <w:numId w:val="70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rozvoj</w:t>
            </w:r>
            <w:r w:rsidRPr="00B175FB">
              <w:rPr>
                <w:rFonts w:eastAsia="Times New Roman" w:cs="Times New Roman"/>
                <w:sz w:val="22"/>
              </w:rPr>
              <w:t xml:space="preserve"> </w:t>
            </w:r>
            <w:r w:rsidR="00DF12E5" w:rsidRPr="00B175FB">
              <w:rPr>
                <w:rFonts w:eastAsia="Times New Roman" w:cs="Times New Roman"/>
                <w:sz w:val="22"/>
              </w:rPr>
              <w:t xml:space="preserve">místních inovačních ekosystémů </w:t>
            </w:r>
            <w:r w:rsidR="00C12584" w:rsidRPr="00B175FB">
              <w:rPr>
                <w:rFonts w:eastAsia="Times New Roman" w:cs="Times New Roman"/>
                <w:sz w:val="22"/>
              </w:rPr>
              <w:t xml:space="preserve">a posilování inteligentní specializace </w:t>
            </w:r>
            <w:r w:rsidR="00DF12E5" w:rsidRPr="00B175FB">
              <w:rPr>
                <w:rFonts w:eastAsia="Times New Roman" w:cs="Times New Roman"/>
                <w:sz w:val="22"/>
              </w:rPr>
              <w:t xml:space="preserve">prostřednictvím cílených </w:t>
            </w:r>
            <w:r w:rsidR="007C4CB5" w:rsidRPr="00B175FB">
              <w:rPr>
                <w:rFonts w:eastAsia="Times New Roman" w:cs="Times New Roman"/>
                <w:sz w:val="22"/>
              </w:rPr>
              <w:t>(„</w:t>
            </w:r>
            <w:r w:rsidR="001C354F" w:rsidRPr="00B175FB">
              <w:rPr>
                <w:rFonts w:eastAsia="Times New Roman" w:cs="Times New Roman"/>
                <w:sz w:val="22"/>
              </w:rPr>
              <w:t>na míru šitých</w:t>
            </w:r>
            <w:r w:rsidR="007C4CB5" w:rsidRPr="00B175FB">
              <w:rPr>
                <w:rFonts w:eastAsia="Times New Roman" w:cs="Times New Roman"/>
                <w:sz w:val="22"/>
              </w:rPr>
              <w:t>“)</w:t>
            </w:r>
            <w:r w:rsidR="001C354F" w:rsidRPr="00B175FB">
              <w:rPr>
                <w:rFonts w:eastAsia="Times New Roman" w:cs="Times New Roman"/>
                <w:sz w:val="22"/>
              </w:rPr>
              <w:t xml:space="preserve"> </w:t>
            </w:r>
            <w:r w:rsidR="00DF12E5" w:rsidRPr="00B175FB">
              <w:rPr>
                <w:rFonts w:eastAsia="Times New Roman" w:cs="Times New Roman"/>
                <w:sz w:val="22"/>
              </w:rPr>
              <w:t>intervencí</w:t>
            </w:r>
            <w:r w:rsidR="000931C6" w:rsidRPr="00B175FB">
              <w:rPr>
                <w:rFonts w:eastAsia="Times New Roman" w:cs="Times New Roman"/>
                <w:sz w:val="22"/>
              </w:rPr>
              <w:t>/nástrojů</w:t>
            </w:r>
            <w:r w:rsidR="00DF12E5" w:rsidRPr="00B175FB">
              <w:rPr>
                <w:rFonts w:eastAsia="Times New Roman" w:cs="Times New Roman"/>
                <w:sz w:val="22"/>
              </w:rPr>
              <w:t xml:space="preserve"> na regionální úrovni</w:t>
            </w:r>
            <w:r w:rsidR="006E3D10">
              <w:rPr>
                <w:rFonts w:eastAsia="Times New Roman" w:cs="Times New Roman"/>
                <w:sz w:val="22"/>
              </w:rPr>
              <w:t>;</w:t>
            </w:r>
            <w:r w:rsidR="00DF12E5" w:rsidRPr="00B175FB">
              <w:rPr>
                <w:rFonts w:eastAsia="Times New Roman" w:cs="Times New Roman"/>
                <w:sz w:val="22"/>
              </w:rPr>
              <w:t xml:space="preserve"> </w:t>
            </w:r>
          </w:p>
          <w:p w:rsidR="00D75773" w:rsidRPr="00B175FB" w:rsidRDefault="006E3D10" w:rsidP="00D75773">
            <w:pPr>
              <w:pStyle w:val="Odstavecseseznamem"/>
              <w:numPr>
                <w:ilvl w:val="0"/>
                <w:numId w:val="70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22"/>
              </w:rPr>
              <w:t>silnější</w:t>
            </w:r>
            <w:r w:rsidR="00D75773">
              <w:rPr>
                <w:rFonts w:cs="Times New Roman"/>
                <w:sz w:val="22"/>
              </w:rPr>
              <w:t xml:space="preserve"> propojení a spolupráce aktérů napříč sférami </w:t>
            </w:r>
            <w:r w:rsidR="006F40A5">
              <w:rPr>
                <w:rFonts w:cs="Times New Roman"/>
                <w:sz w:val="22"/>
              </w:rPr>
              <w:t xml:space="preserve">tzv. </w:t>
            </w:r>
            <w:r w:rsidR="00D75773">
              <w:rPr>
                <w:rFonts w:cs="Times New Roman"/>
                <w:sz w:val="22"/>
              </w:rPr>
              <w:t>triple/quadruple helix</w:t>
            </w:r>
            <w:r>
              <w:rPr>
                <w:rFonts w:cs="Times New Roman"/>
                <w:sz w:val="22"/>
              </w:rPr>
              <w:t>;</w:t>
            </w:r>
          </w:p>
          <w:p w:rsidR="00625F64" w:rsidRPr="00451DF0" w:rsidRDefault="00625F64" w:rsidP="006A2F6A">
            <w:pPr>
              <w:pStyle w:val="Odstavecseseznamem"/>
              <w:numPr>
                <w:ilvl w:val="0"/>
                <w:numId w:val="70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22"/>
              </w:rPr>
              <w:t>zvýšení</w:t>
            </w:r>
            <w:r w:rsidRPr="00B175FB" w:rsidDel="00776777">
              <w:rPr>
                <w:rFonts w:cs="Times New Roman"/>
                <w:sz w:val="22"/>
              </w:rPr>
              <w:t xml:space="preserve"> relevance veřejného výzkumu</w:t>
            </w:r>
            <w:r w:rsidRPr="00B175FB">
              <w:rPr>
                <w:rFonts w:cs="Times New Roman"/>
                <w:sz w:val="22"/>
              </w:rPr>
              <w:t xml:space="preserve"> vůči potřebám a potenciálu aplikační sféry</w:t>
            </w:r>
            <w:r>
              <w:rPr>
                <w:rFonts w:cs="Times New Roman"/>
                <w:sz w:val="22"/>
              </w:rPr>
              <w:t xml:space="preserve"> a </w:t>
            </w:r>
            <w:r w:rsidR="00D75773">
              <w:rPr>
                <w:rFonts w:cs="Times New Roman"/>
                <w:sz w:val="22"/>
              </w:rPr>
              <w:t>maximalizace jeho</w:t>
            </w:r>
            <w:r>
              <w:rPr>
                <w:rFonts w:cs="Times New Roman"/>
                <w:sz w:val="22"/>
              </w:rPr>
              <w:t xml:space="preserve"> ekonomických a celospolečenských přínosů</w:t>
            </w:r>
            <w:r w:rsidR="006E3D10">
              <w:rPr>
                <w:rFonts w:cs="Times New Roman"/>
                <w:sz w:val="22"/>
              </w:rPr>
              <w:t>.</w:t>
            </w:r>
          </w:p>
          <w:p w:rsidR="0089762F" w:rsidRPr="00B175FB" w:rsidRDefault="0089762F" w:rsidP="00C94250">
            <w:pPr>
              <w:spacing w:line="276" w:lineRule="auto"/>
              <w:rPr>
                <w:rFonts w:eastAsia="Calibri"/>
                <w:b/>
                <w:sz w:val="22"/>
              </w:rPr>
            </w:pPr>
            <w:r w:rsidRPr="00B175FB">
              <w:rPr>
                <w:rFonts w:eastAsia="Calibri"/>
                <w:b/>
                <w:sz w:val="22"/>
              </w:rPr>
              <w:t xml:space="preserve">Příklady typových podporovaných aktivit: </w:t>
            </w:r>
          </w:p>
          <w:p w:rsidR="00AB12B6" w:rsidRPr="00B175FB" w:rsidRDefault="00AB12B6" w:rsidP="00C94250">
            <w:pPr>
              <w:spacing w:before="60" w:after="60" w:line="276" w:lineRule="auto"/>
              <w:jc w:val="both"/>
              <w:rPr>
                <w:sz w:val="22"/>
                <w:lang w:eastAsia="cs-CZ"/>
              </w:rPr>
            </w:pPr>
            <w:r w:rsidRPr="00B175FB">
              <w:rPr>
                <w:sz w:val="22"/>
                <w:lang w:eastAsia="cs-CZ"/>
              </w:rPr>
              <w:t xml:space="preserve">Posilování strategické inteligence, kvalifikace a kompetencí pro zajištění strategického a koordinovaného řízení systému výzkumu, vývoje a inovací na národní </w:t>
            </w:r>
            <w:r w:rsidR="007F57ED" w:rsidRPr="00B175FB">
              <w:rPr>
                <w:sz w:val="22"/>
                <w:lang w:eastAsia="cs-CZ"/>
              </w:rPr>
              <w:t>úrovni včetně podpory řízení a realizace Národní RIS3 strategie a jejího funkčního propojení s úrovní regionální</w:t>
            </w:r>
            <w:r w:rsidR="007C4CB5" w:rsidRPr="00B175FB">
              <w:rPr>
                <w:sz w:val="22"/>
                <w:lang w:eastAsia="cs-CZ"/>
              </w:rPr>
              <w:t xml:space="preserve"> prostřednictvím</w:t>
            </w:r>
            <w:r w:rsidRPr="00B175FB">
              <w:rPr>
                <w:sz w:val="22"/>
                <w:lang w:eastAsia="cs-CZ"/>
              </w:rPr>
              <w:t xml:space="preserve">: </w:t>
            </w:r>
          </w:p>
          <w:p w:rsidR="00AB12B6" w:rsidRPr="00B175FB" w:rsidRDefault="00AB12B6" w:rsidP="006A2F6A">
            <w:pPr>
              <w:pStyle w:val="Odstavecseseznamem"/>
              <w:numPr>
                <w:ilvl w:val="0"/>
                <w:numId w:val="70"/>
              </w:numPr>
              <w:spacing w:line="276" w:lineRule="auto"/>
              <w:jc w:val="both"/>
              <w:rPr>
                <w:rFonts w:eastAsia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zapojení aktérů/stakeholderů tzv. triple/quadruple helix do procesů účinné a perspektivní prioritizace politiky VaVaI a identifikace bariér v inovačním systému v souladu s principy inteligentní specializace a procesu „entrepreneurial discovery“</w:t>
            </w:r>
            <w:r w:rsidR="0030704C" w:rsidRPr="00B175FB">
              <w:rPr>
                <w:rFonts w:eastAsia="Times New Roman" w:cs="Times New Roman"/>
                <w:sz w:val="22"/>
              </w:rPr>
              <w:t>;</w:t>
            </w:r>
          </w:p>
          <w:p w:rsidR="00AB12B6" w:rsidRPr="00B175FB" w:rsidRDefault="00AB12B6" w:rsidP="006A2F6A">
            <w:pPr>
              <w:pStyle w:val="Odstavecseseznamem"/>
              <w:numPr>
                <w:ilvl w:val="0"/>
                <w:numId w:val="70"/>
              </w:numPr>
              <w:spacing w:line="276" w:lineRule="auto"/>
              <w:jc w:val="both"/>
              <w:rPr>
                <w:rFonts w:eastAsia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 xml:space="preserve">rozvoj spolupráce mezi institucemi (včetně specializovaných národních i regionálních agentur apod.) odpovědnými za strategické řízení </w:t>
            </w:r>
            <w:r w:rsidR="00600A95" w:rsidRPr="00B175FB">
              <w:rPr>
                <w:rFonts w:eastAsia="Times New Roman" w:cs="Times New Roman"/>
                <w:sz w:val="22"/>
              </w:rPr>
              <w:t>VaVaI</w:t>
            </w:r>
            <w:r w:rsidRPr="00B175FB">
              <w:rPr>
                <w:rFonts w:eastAsia="Times New Roman" w:cs="Times New Roman"/>
                <w:sz w:val="22"/>
              </w:rPr>
              <w:t xml:space="preserve"> a za přípravu a realizaci nástrojů podpory VaVaI na národní i regionální úrovni, včetně spolupráce se zkušenými zahraničními institucemi tohoto typu</w:t>
            </w:r>
            <w:r w:rsidR="0030704C" w:rsidRPr="00B175FB">
              <w:rPr>
                <w:rFonts w:eastAsia="Times New Roman" w:cs="Times New Roman"/>
                <w:sz w:val="22"/>
              </w:rPr>
              <w:t>;</w:t>
            </w:r>
          </w:p>
          <w:p w:rsidR="00AB12B6" w:rsidRPr="00B175FB" w:rsidRDefault="00AB12B6" w:rsidP="006A2F6A">
            <w:pPr>
              <w:pStyle w:val="Odstavecseseznamem"/>
              <w:numPr>
                <w:ilvl w:val="0"/>
                <w:numId w:val="70"/>
              </w:numPr>
              <w:spacing w:line="276" w:lineRule="auto"/>
              <w:jc w:val="both"/>
              <w:rPr>
                <w:rFonts w:eastAsia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osvojování zahraničních zkušeností a dobrých praxí</w:t>
            </w:r>
            <w:r w:rsidR="0030704C" w:rsidRPr="00B175FB">
              <w:rPr>
                <w:rFonts w:eastAsia="Times New Roman" w:cs="Times New Roman"/>
                <w:sz w:val="22"/>
              </w:rPr>
              <w:t>;</w:t>
            </w:r>
          </w:p>
          <w:p w:rsidR="00AB12B6" w:rsidRPr="00B175FB" w:rsidRDefault="00AB12B6" w:rsidP="006A2F6A">
            <w:pPr>
              <w:pStyle w:val="Odstavecseseznamem"/>
              <w:numPr>
                <w:ilvl w:val="0"/>
                <w:numId w:val="70"/>
              </w:numPr>
              <w:spacing w:line="276" w:lineRule="auto"/>
              <w:jc w:val="both"/>
              <w:rPr>
                <w:rFonts w:eastAsia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 xml:space="preserve">mapování a </w:t>
            </w:r>
            <w:r w:rsidR="00296DC8">
              <w:rPr>
                <w:rFonts w:eastAsia="Times New Roman" w:cs="Times New Roman"/>
                <w:sz w:val="22"/>
              </w:rPr>
              <w:t>analýza výzkumného a inovačního prostředí</w:t>
            </w:r>
            <w:r w:rsidR="00361845">
              <w:rPr>
                <w:rFonts w:eastAsia="Times New Roman" w:cs="Times New Roman"/>
                <w:sz w:val="22"/>
              </w:rPr>
              <w:t>,</w:t>
            </w:r>
            <w:r w:rsidR="00296DC8">
              <w:rPr>
                <w:rFonts w:eastAsia="Times New Roman" w:cs="Times New Roman"/>
                <w:sz w:val="22"/>
              </w:rPr>
              <w:t xml:space="preserve"> </w:t>
            </w:r>
            <w:r w:rsidRPr="00B175FB">
              <w:rPr>
                <w:rFonts w:eastAsia="Times New Roman" w:cs="Times New Roman"/>
                <w:sz w:val="22"/>
              </w:rPr>
              <w:t xml:space="preserve">vyhodnocování aktuálních i budoucích potřeb </w:t>
            </w:r>
            <w:r w:rsidR="00296DC8">
              <w:rPr>
                <w:rFonts w:eastAsia="Times New Roman" w:cs="Times New Roman"/>
                <w:sz w:val="22"/>
              </w:rPr>
              <w:t xml:space="preserve">ekonomiky a </w:t>
            </w:r>
            <w:r w:rsidRPr="00B175FB">
              <w:rPr>
                <w:rFonts w:eastAsia="Times New Roman" w:cs="Times New Roman"/>
                <w:sz w:val="22"/>
              </w:rPr>
              <w:t xml:space="preserve">společnosti, identifikace příležitostí a hrozeb (s využitím foresightu a dalších moderních metod a za využití propojování různých informačních/datových zdrojů a analytických nástrojů), využívání výsledků pro tvorbu a implementaci politik VaVaI </w:t>
            </w:r>
            <w:r w:rsidR="00D010D4">
              <w:rPr>
                <w:rFonts w:eastAsia="Times New Roman" w:cs="Times New Roman"/>
                <w:sz w:val="22"/>
              </w:rPr>
              <w:t>i</w:t>
            </w:r>
            <w:r w:rsidRPr="00B175FB">
              <w:rPr>
                <w:rFonts w:eastAsia="Times New Roman" w:cs="Times New Roman"/>
                <w:sz w:val="22"/>
              </w:rPr>
              <w:t> jejich nástrojů a jejich efektivní zacílení</w:t>
            </w:r>
            <w:r w:rsidR="0030704C" w:rsidRPr="00B175FB">
              <w:rPr>
                <w:rFonts w:eastAsia="Times New Roman" w:cs="Times New Roman"/>
                <w:sz w:val="22"/>
              </w:rPr>
              <w:t>;</w:t>
            </w:r>
          </w:p>
          <w:p w:rsidR="00AB12B6" w:rsidRPr="00B175FB" w:rsidRDefault="00AB12B6" w:rsidP="006A2F6A">
            <w:pPr>
              <w:pStyle w:val="Odstavecseseznamem"/>
              <w:numPr>
                <w:ilvl w:val="0"/>
                <w:numId w:val="70"/>
              </w:numPr>
              <w:spacing w:line="276" w:lineRule="auto"/>
              <w:jc w:val="both"/>
              <w:rPr>
                <w:rFonts w:eastAsia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vyhodnocování politik a strategií zaměřených na oblast VaVaI a technologií a jejich nástrojů, využívání těchto výsledků hodnocení pro strategické řízení VaVaI</w:t>
            </w:r>
            <w:r w:rsidR="0030704C" w:rsidRPr="00B175FB">
              <w:rPr>
                <w:rFonts w:eastAsia="Times New Roman" w:cs="Times New Roman"/>
                <w:sz w:val="22"/>
              </w:rPr>
              <w:t>;</w:t>
            </w:r>
          </w:p>
          <w:p w:rsidR="00AB12B6" w:rsidRPr="003920CA" w:rsidRDefault="00AB12B6" w:rsidP="006A2F6A">
            <w:pPr>
              <w:pStyle w:val="Odstavecseseznamem"/>
              <w:numPr>
                <w:ilvl w:val="0"/>
                <w:numId w:val="70"/>
              </w:numPr>
              <w:spacing w:line="276" w:lineRule="auto"/>
              <w:jc w:val="both"/>
              <w:rPr>
                <w:rFonts w:eastAsia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vyhodnocování dopadů nových technologií na společnost v souladu s principy odpovědného výzkumu a inovací</w:t>
            </w:r>
            <w:r w:rsidR="0030704C" w:rsidRPr="00B175FB">
              <w:rPr>
                <w:rFonts w:eastAsia="Times New Roman" w:cs="Times New Roman"/>
                <w:sz w:val="22"/>
              </w:rPr>
              <w:t>;</w:t>
            </w:r>
          </w:p>
          <w:p w:rsidR="003920CA" w:rsidRPr="00B175FB" w:rsidRDefault="00D75773" w:rsidP="006A2F6A">
            <w:pPr>
              <w:pStyle w:val="Odstavecseseznamem"/>
              <w:numPr>
                <w:ilvl w:val="0"/>
                <w:numId w:val="70"/>
              </w:numPr>
              <w:spacing w:line="276" w:lineRule="auto"/>
              <w:jc w:val="both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 xml:space="preserve">podpora síťování aktérů výzkumného a inovačního prostředí, odstraňování identifikovaných bariér </w:t>
            </w:r>
            <w:r w:rsidR="00D272CE">
              <w:rPr>
                <w:rFonts w:eastAsia="Times New Roman"/>
                <w:sz w:val="22"/>
              </w:rPr>
              <w:t>a</w:t>
            </w:r>
            <w:r w:rsidR="006E3D10">
              <w:rPr>
                <w:rFonts w:eastAsia="Times New Roman"/>
                <w:sz w:val="22"/>
              </w:rPr>
              <w:t> </w:t>
            </w:r>
            <w:r w:rsidR="00D272CE">
              <w:rPr>
                <w:rFonts w:eastAsia="Times New Roman"/>
                <w:sz w:val="22"/>
              </w:rPr>
              <w:t>zvyšování relevance výzkumu vůči potřebám ekonomiky a společnosti</w:t>
            </w:r>
            <w:r w:rsidR="002C1B0E" w:rsidRPr="00B175FB">
              <w:rPr>
                <w:rFonts w:eastAsia="Times New Roman" w:cs="Times New Roman"/>
                <w:sz w:val="22"/>
              </w:rPr>
              <w:t>;</w:t>
            </w:r>
          </w:p>
          <w:p w:rsidR="000F012B" w:rsidRPr="00B175FB" w:rsidRDefault="0030704C" w:rsidP="006A2F6A">
            <w:pPr>
              <w:pStyle w:val="Odstavecseseznamem"/>
              <w:numPr>
                <w:ilvl w:val="0"/>
                <w:numId w:val="70"/>
              </w:numPr>
              <w:spacing w:line="276" w:lineRule="auto"/>
              <w:jc w:val="both"/>
              <w:rPr>
                <w:rFonts w:eastAsia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p</w:t>
            </w:r>
            <w:r w:rsidR="000F012B" w:rsidRPr="00B175FB">
              <w:rPr>
                <w:rFonts w:eastAsia="Times New Roman" w:cs="Times New Roman"/>
                <w:sz w:val="22"/>
              </w:rPr>
              <w:t xml:space="preserve">odpora designu/přípravy a realizace konkrétních </w:t>
            </w:r>
            <w:r w:rsidR="003F579D" w:rsidRPr="00B175FB">
              <w:rPr>
                <w:rFonts w:eastAsia="Times New Roman" w:cs="Times New Roman"/>
                <w:sz w:val="22"/>
              </w:rPr>
              <w:t>nových</w:t>
            </w:r>
            <w:r w:rsidR="000127B0" w:rsidRPr="00B175FB">
              <w:rPr>
                <w:rFonts w:eastAsia="Times New Roman" w:cs="Times New Roman"/>
                <w:sz w:val="22"/>
              </w:rPr>
              <w:t>/inovovaných</w:t>
            </w:r>
            <w:r w:rsidR="003F579D" w:rsidRPr="00B175FB">
              <w:rPr>
                <w:rFonts w:eastAsia="Times New Roman" w:cs="Times New Roman"/>
                <w:sz w:val="22"/>
              </w:rPr>
              <w:t xml:space="preserve"> </w:t>
            </w:r>
            <w:r w:rsidR="000F012B" w:rsidRPr="00B175FB">
              <w:rPr>
                <w:rFonts w:eastAsia="Times New Roman" w:cs="Times New Roman"/>
                <w:sz w:val="22"/>
              </w:rPr>
              <w:t xml:space="preserve">regionálních strategických nástrojů/intervencí na podporu regionálních inovačních systémů </w:t>
            </w:r>
            <w:r w:rsidR="003357FE" w:rsidRPr="00B175FB">
              <w:rPr>
                <w:rFonts w:eastAsia="Times New Roman" w:cs="Times New Roman"/>
                <w:sz w:val="22"/>
              </w:rPr>
              <w:t>a</w:t>
            </w:r>
            <w:r w:rsidR="00B41D91" w:rsidRPr="00B175FB">
              <w:rPr>
                <w:rFonts w:eastAsia="Times New Roman" w:cs="Times New Roman"/>
                <w:sz w:val="22"/>
              </w:rPr>
              <w:t> </w:t>
            </w:r>
            <w:r w:rsidR="003357FE" w:rsidRPr="00B175FB">
              <w:rPr>
                <w:rFonts w:eastAsia="Times New Roman" w:cs="Times New Roman"/>
                <w:sz w:val="22"/>
              </w:rPr>
              <w:t>posilování</w:t>
            </w:r>
            <w:r w:rsidR="00743D77" w:rsidRPr="00B175FB">
              <w:rPr>
                <w:rFonts w:eastAsia="Times New Roman" w:cs="Times New Roman"/>
                <w:sz w:val="22"/>
              </w:rPr>
              <w:t xml:space="preserve"> inteligentní </w:t>
            </w:r>
            <w:r w:rsidR="003357FE" w:rsidRPr="00B175FB">
              <w:rPr>
                <w:rFonts w:eastAsia="Times New Roman" w:cs="Times New Roman"/>
                <w:sz w:val="22"/>
              </w:rPr>
              <w:t>specializace</w:t>
            </w:r>
            <w:r w:rsidR="00743D77" w:rsidRPr="00B175FB">
              <w:rPr>
                <w:rFonts w:eastAsia="Times New Roman" w:cs="Times New Roman"/>
                <w:sz w:val="22"/>
              </w:rPr>
              <w:t xml:space="preserve"> regionů </w:t>
            </w:r>
            <w:r w:rsidR="00E22442" w:rsidRPr="00B175FB">
              <w:rPr>
                <w:rFonts w:eastAsia="Times New Roman" w:cs="Times New Roman"/>
                <w:sz w:val="22"/>
              </w:rPr>
              <w:t>např</w:t>
            </w:r>
            <w:r w:rsidR="007E5A01">
              <w:rPr>
                <w:rFonts w:eastAsia="Times New Roman" w:cs="Times New Roman"/>
                <w:sz w:val="22"/>
              </w:rPr>
              <w:t>.</w:t>
            </w:r>
            <w:r w:rsidR="00E22442" w:rsidRPr="00B175FB">
              <w:rPr>
                <w:rFonts w:eastAsia="Times New Roman" w:cs="Times New Roman"/>
                <w:sz w:val="22"/>
              </w:rPr>
              <w:t xml:space="preserve"> </w:t>
            </w:r>
            <w:r w:rsidR="000F012B" w:rsidRPr="00B175FB">
              <w:rPr>
                <w:rFonts w:eastAsia="Times New Roman" w:cs="Times New Roman"/>
                <w:sz w:val="22"/>
              </w:rPr>
              <w:t>v těchto oblastech:</w:t>
            </w:r>
          </w:p>
          <w:p w:rsidR="004324CA" w:rsidRPr="00B175FB" w:rsidRDefault="004324CA" w:rsidP="006A2F6A">
            <w:pPr>
              <w:pStyle w:val="Odstavecseseznamem"/>
              <w:numPr>
                <w:ilvl w:val="1"/>
                <w:numId w:val="74"/>
              </w:numPr>
              <w:spacing w:before="60" w:after="60" w:line="276" w:lineRule="auto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 xml:space="preserve">facilitace překonávání bariér mezi různými sférami </w:t>
            </w:r>
            <w:r w:rsidR="00600A95" w:rsidRPr="00B175FB">
              <w:rPr>
                <w:rFonts w:cs="Times New Roman"/>
                <w:sz w:val="22"/>
              </w:rPr>
              <w:t xml:space="preserve">tzv. </w:t>
            </w:r>
            <w:r w:rsidRPr="00B175FB">
              <w:rPr>
                <w:rFonts w:cs="Times New Roman"/>
                <w:sz w:val="22"/>
              </w:rPr>
              <w:t xml:space="preserve">triple/quadruple helix, síťování aktérů inovačního prostředí, posilování těchto vazeb a podpora/facilitace vzniku nových projektů </w:t>
            </w:r>
            <w:r w:rsidR="00E91209" w:rsidRPr="006B5658">
              <w:rPr>
                <w:rFonts w:cs="Times New Roman"/>
                <w:sz w:val="22"/>
              </w:rPr>
              <w:t>či</w:t>
            </w:r>
            <w:r w:rsidR="006B5658" w:rsidRPr="006B5658">
              <w:rPr>
                <w:rFonts w:cs="Times New Roman"/>
                <w:sz w:val="22"/>
              </w:rPr>
              <w:t> </w:t>
            </w:r>
            <w:r w:rsidR="00E91209" w:rsidRPr="006B5658">
              <w:rPr>
                <w:rFonts w:cs="Times New Roman"/>
                <w:sz w:val="22"/>
              </w:rPr>
              <w:t>jiných</w:t>
            </w:r>
            <w:r w:rsidR="00E91209">
              <w:rPr>
                <w:rFonts w:cs="Times New Roman"/>
                <w:sz w:val="22"/>
              </w:rPr>
              <w:t xml:space="preserve"> forem</w:t>
            </w:r>
            <w:r w:rsidRPr="00B175FB">
              <w:rPr>
                <w:rFonts w:cs="Times New Roman"/>
                <w:sz w:val="22"/>
              </w:rPr>
              <w:t xml:space="preserve"> spolupráce uvnitř kraje i mimo něj (včetně zahraničí);</w:t>
            </w:r>
          </w:p>
          <w:p w:rsidR="004324CA" w:rsidRPr="00B175FB" w:rsidRDefault="004324CA" w:rsidP="006A2F6A">
            <w:pPr>
              <w:pStyle w:val="Odstavecseseznamem"/>
              <w:numPr>
                <w:ilvl w:val="1"/>
                <w:numId w:val="74"/>
              </w:numPr>
              <w:spacing w:before="60" w:after="60" w:line="276" w:lineRule="auto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 xml:space="preserve">propagace krajů jako prostředí s inovativním </w:t>
            </w:r>
            <w:r w:rsidR="0081310B" w:rsidRPr="00B175FB">
              <w:rPr>
                <w:rFonts w:cs="Times New Roman"/>
                <w:sz w:val="22"/>
              </w:rPr>
              <w:t>potenciálem</w:t>
            </w:r>
            <w:r w:rsidR="0081310B">
              <w:rPr>
                <w:rFonts w:cs="Times New Roman"/>
                <w:sz w:val="22"/>
              </w:rPr>
              <w:t xml:space="preserve"> – atraktivního</w:t>
            </w:r>
            <w:r w:rsidRPr="00B175FB">
              <w:rPr>
                <w:rFonts w:cs="Times New Roman"/>
                <w:sz w:val="22"/>
              </w:rPr>
              <w:t xml:space="preserve"> pro kvalifikované lidské zdroje a pro inovační podnikání</w:t>
            </w:r>
            <w:r w:rsidR="007121CC">
              <w:rPr>
                <w:rFonts w:cs="Times New Roman"/>
                <w:sz w:val="22"/>
              </w:rPr>
              <w:t>, provazba na marketing/propagaci VaVaI na národní úrovni</w:t>
            </w:r>
            <w:r w:rsidRPr="00B175FB">
              <w:rPr>
                <w:rFonts w:cs="Times New Roman"/>
                <w:sz w:val="22"/>
              </w:rPr>
              <w:t>;</w:t>
            </w:r>
          </w:p>
          <w:p w:rsidR="004324CA" w:rsidRPr="00B175FB" w:rsidDel="00776777" w:rsidRDefault="004324CA" w:rsidP="006A2F6A">
            <w:pPr>
              <w:pStyle w:val="Odstavecseseznamem"/>
              <w:numPr>
                <w:ilvl w:val="1"/>
                <w:numId w:val="74"/>
              </w:numPr>
              <w:spacing w:before="60" w:after="60" w:line="276" w:lineRule="auto"/>
              <w:jc w:val="both"/>
              <w:rPr>
                <w:rFonts w:cs="Times New Roman"/>
                <w:sz w:val="22"/>
              </w:rPr>
            </w:pPr>
            <w:r w:rsidRPr="00B175FB" w:rsidDel="00776777">
              <w:rPr>
                <w:rFonts w:cs="Times New Roman"/>
                <w:sz w:val="22"/>
              </w:rPr>
              <w:t>podpora podnikavosti a zvyšování inovační</w:t>
            </w:r>
            <w:r w:rsidRPr="00B175FB">
              <w:rPr>
                <w:rFonts w:cs="Times New Roman"/>
                <w:sz w:val="22"/>
              </w:rPr>
              <w:t xml:space="preserve">ho potenciálu </w:t>
            </w:r>
            <w:r w:rsidR="00184407">
              <w:rPr>
                <w:rFonts w:cs="Times New Roman"/>
                <w:sz w:val="22"/>
              </w:rPr>
              <w:t xml:space="preserve">různých </w:t>
            </w:r>
            <w:r w:rsidRPr="00B175FB">
              <w:rPr>
                <w:rFonts w:cs="Times New Roman"/>
                <w:sz w:val="22"/>
              </w:rPr>
              <w:t>aktérů inovačního ekosystému</w:t>
            </w:r>
            <w:r w:rsidR="007B5FB1">
              <w:rPr>
                <w:rFonts w:cs="Times New Roman"/>
                <w:sz w:val="22"/>
              </w:rPr>
              <w:t xml:space="preserve"> (včetně VO</w:t>
            </w:r>
            <w:r w:rsidR="00AC6468">
              <w:rPr>
                <w:rFonts w:cs="Times New Roman"/>
                <w:sz w:val="22"/>
              </w:rPr>
              <w:t xml:space="preserve">, </w:t>
            </w:r>
            <w:r w:rsidR="007B5FB1">
              <w:rPr>
                <w:rFonts w:cs="Times New Roman"/>
                <w:sz w:val="22"/>
              </w:rPr>
              <w:t>firem</w:t>
            </w:r>
            <w:r w:rsidR="007D5198">
              <w:rPr>
                <w:rFonts w:cs="Times New Roman"/>
                <w:sz w:val="22"/>
              </w:rPr>
              <w:t xml:space="preserve">, </w:t>
            </w:r>
            <w:r w:rsidR="00AC6468">
              <w:rPr>
                <w:rFonts w:cs="Times New Roman"/>
                <w:sz w:val="22"/>
              </w:rPr>
              <w:t>škol</w:t>
            </w:r>
            <w:r w:rsidR="007D5198">
              <w:rPr>
                <w:rFonts w:cs="Times New Roman"/>
                <w:sz w:val="22"/>
              </w:rPr>
              <w:t>, veřejné správy aj.</w:t>
            </w:r>
            <w:r w:rsidR="007B5FB1">
              <w:rPr>
                <w:rFonts w:cs="Times New Roman"/>
                <w:sz w:val="22"/>
              </w:rPr>
              <w:t>)</w:t>
            </w:r>
            <w:r w:rsidRPr="00B175FB">
              <w:rPr>
                <w:rFonts w:cs="Times New Roman"/>
                <w:sz w:val="22"/>
              </w:rPr>
              <w:t>;</w:t>
            </w:r>
          </w:p>
          <w:p w:rsidR="00B41D91" w:rsidRPr="00B175FB" w:rsidRDefault="004324CA" w:rsidP="006A2F6A">
            <w:pPr>
              <w:pStyle w:val="Odstavecseseznamem"/>
              <w:numPr>
                <w:ilvl w:val="1"/>
                <w:numId w:val="74"/>
              </w:numPr>
              <w:spacing w:before="60" w:after="60" w:line="276" w:lineRule="auto"/>
              <w:jc w:val="both"/>
              <w:rPr>
                <w:rFonts w:cs="Times New Roman"/>
                <w:sz w:val="22"/>
              </w:rPr>
            </w:pPr>
            <w:r w:rsidRPr="00B175FB" w:rsidDel="00776777">
              <w:rPr>
                <w:rFonts w:cs="Times New Roman"/>
                <w:sz w:val="22"/>
              </w:rPr>
              <w:t>podpora zvyšování kvality, otevřenosti</w:t>
            </w:r>
            <w:r w:rsidRPr="00B175FB">
              <w:rPr>
                <w:rFonts w:cs="Times New Roman"/>
                <w:sz w:val="22"/>
              </w:rPr>
              <w:t xml:space="preserve"> a</w:t>
            </w:r>
            <w:r w:rsidRPr="00B175FB" w:rsidDel="00776777">
              <w:rPr>
                <w:rFonts w:cs="Times New Roman"/>
                <w:sz w:val="22"/>
              </w:rPr>
              <w:t xml:space="preserve"> relevance veřejného výzkumu</w:t>
            </w:r>
            <w:r w:rsidRPr="00B175FB">
              <w:rPr>
                <w:rFonts w:cs="Times New Roman"/>
                <w:sz w:val="22"/>
              </w:rPr>
              <w:t xml:space="preserve"> vůči potřebám a potenciálu aplikační sféry;</w:t>
            </w:r>
          </w:p>
          <w:p w:rsidR="00B364B9" w:rsidRPr="00DC0063" w:rsidRDefault="004324CA" w:rsidP="006A2F6A">
            <w:pPr>
              <w:pStyle w:val="Odstavecseseznamem"/>
              <w:numPr>
                <w:ilvl w:val="1"/>
                <w:numId w:val="74"/>
              </w:numPr>
              <w:spacing w:before="60" w:after="60" w:line="276" w:lineRule="auto"/>
              <w:jc w:val="both"/>
            </w:pPr>
            <w:r w:rsidRPr="00B175FB">
              <w:rPr>
                <w:rFonts w:cs="Times New Roman"/>
                <w:sz w:val="22"/>
              </w:rPr>
              <w:t xml:space="preserve">podpora lidských zdrojů a </w:t>
            </w:r>
            <w:r w:rsidR="00B364B9">
              <w:rPr>
                <w:rFonts w:cs="Times New Roman"/>
                <w:sz w:val="22"/>
              </w:rPr>
              <w:t>kompetencí/</w:t>
            </w:r>
            <w:r w:rsidRPr="00B175FB">
              <w:rPr>
                <w:rFonts w:cs="Times New Roman"/>
                <w:sz w:val="22"/>
              </w:rPr>
              <w:t xml:space="preserve">dovedností pro </w:t>
            </w:r>
            <w:r w:rsidR="00B364B9">
              <w:rPr>
                <w:rFonts w:cs="Times New Roman"/>
                <w:sz w:val="22"/>
              </w:rPr>
              <w:t xml:space="preserve">potřeby </w:t>
            </w:r>
            <w:r w:rsidRPr="00B175FB">
              <w:rPr>
                <w:rFonts w:cs="Times New Roman"/>
                <w:sz w:val="22"/>
              </w:rPr>
              <w:t>VaVaI</w:t>
            </w:r>
            <w:r w:rsidR="00B364B9">
              <w:rPr>
                <w:rFonts w:cs="Times New Roman"/>
                <w:sz w:val="22"/>
              </w:rPr>
              <w:t>, inteligentní specializace, průmyslové transformace a podnikání</w:t>
            </w:r>
            <w:r w:rsidR="00524D6C">
              <w:rPr>
                <w:rFonts w:cs="Times New Roman"/>
                <w:sz w:val="22"/>
              </w:rPr>
              <w:t>;</w:t>
            </w:r>
          </w:p>
          <w:p w:rsidR="00B364B9" w:rsidRPr="00DC0063" w:rsidRDefault="004324CA" w:rsidP="006A2F6A">
            <w:pPr>
              <w:pStyle w:val="Odstavecseseznamem"/>
              <w:numPr>
                <w:ilvl w:val="1"/>
                <w:numId w:val="74"/>
              </w:numPr>
              <w:spacing w:before="60" w:after="60" w:line="276" w:lineRule="auto"/>
              <w:jc w:val="both"/>
            </w:pPr>
            <w:r w:rsidRPr="00B175FB">
              <w:rPr>
                <w:rFonts w:cs="Times New Roman"/>
                <w:sz w:val="22"/>
              </w:rPr>
              <w:t xml:space="preserve">podpora asistenčních služeb pro příchod kvalifikovaných </w:t>
            </w:r>
            <w:r w:rsidR="00E91209">
              <w:rPr>
                <w:rFonts w:cs="Times New Roman"/>
                <w:sz w:val="22"/>
              </w:rPr>
              <w:t>(zejm</w:t>
            </w:r>
            <w:r w:rsidR="00524D6C">
              <w:rPr>
                <w:rFonts w:cs="Times New Roman"/>
                <w:sz w:val="22"/>
              </w:rPr>
              <w:t>éna</w:t>
            </w:r>
            <w:r w:rsidR="00E91209">
              <w:rPr>
                <w:rFonts w:cs="Times New Roman"/>
                <w:sz w:val="22"/>
              </w:rPr>
              <w:t xml:space="preserve"> </w:t>
            </w:r>
            <w:r w:rsidRPr="00B175FB">
              <w:rPr>
                <w:rFonts w:cs="Times New Roman"/>
                <w:sz w:val="22"/>
              </w:rPr>
              <w:t>zahraničních</w:t>
            </w:r>
            <w:r w:rsidR="00E91209">
              <w:rPr>
                <w:rFonts w:cs="Times New Roman"/>
                <w:sz w:val="22"/>
              </w:rPr>
              <w:t>)</w:t>
            </w:r>
            <w:r w:rsidRPr="00B175FB">
              <w:rPr>
                <w:rFonts w:cs="Times New Roman"/>
                <w:sz w:val="22"/>
              </w:rPr>
              <w:t xml:space="preserve"> pracovníků do regionu</w:t>
            </w:r>
            <w:r w:rsidR="00524D6C">
              <w:rPr>
                <w:rFonts w:cs="Times New Roman"/>
                <w:sz w:val="22"/>
              </w:rPr>
              <w:t>;</w:t>
            </w:r>
          </w:p>
          <w:p w:rsidR="00DB5068" w:rsidRPr="00B175FB" w:rsidRDefault="00B364B9" w:rsidP="006A2F6A">
            <w:pPr>
              <w:pStyle w:val="Odstavecseseznamem"/>
              <w:numPr>
                <w:ilvl w:val="1"/>
                <w:numId w:val="74"/>
              </w:numPr>
              <w:spacing w:before="60" w:after="60" w:line="276" w:lineRule="auto"/>
              <w:jc w:val="both"/>
            </w:pPr>
            <w:r>
              <w:rPr>
                <w:rFonts w:cs="Times New Roman"/>
                <w:sz w:val="22"/>
              </w:rPr>
              <w:t xml:space="preserve">podpora popularizace </w:t>
            </w:r>
            <w:r w:rsidR="002813BB">
              <w:rPr>
                <w:rFonts w:cs="Times New Roman"/>
                <w:sz w:val="22"/>
              </w:rPr>
              <w:t>výzkumu</w:t>
            </w:r>
            <w:r>
              <w:rPr>
                <w:rFonts w:cs="Times New Roman"/>
                <w:sz w:val="22"/>
              </w:rPr>
              <w:t xml:space="preserve"> a inovačního podnikání</w:t>
            </w:r>
            <w:r w:rsidR="00E20FC5" w:rsidRPr="00B175FB">
              <w:rPr>
                <w:rFonts w:cs="Times New Roman"/>
                <w:sz w:val="22"/>
              </w:rPr>
              <w:t>.</w:t>
            </w:r>
            <w:bookmarkEnd w:id="129"/>
          </w:p>
        </w:tc>
      </w:tr>
    </w:tbl>
    <w:p w:rsidR="004005FF" w:rsidRPr="00B175FB" w:rsidRDefault="004005FF" w:rsidP="004005FF">
      <w:pPr>
        <w:rPr>
          <w:rFonts w:eastAsia="Times New Roman"/>
          <w:i/>
          <w:iCs/>
          <w:noProof/>
          <w:szCs w:val="24"/>
        </w:rPr>
      </w:pPr>
      <w:r w:rsidRPr="00B175FB">
        <w:rPr>
          <w:rFonts w:eastAsia="Times New Roman"/>
          <w:b/>
          <w:i/>
          <w:noProof/>
          <w:szCs w:val="24"/>
        </w:rPr>
        <w:t>Hlavní cílové skupiny</w:t>
      </w:r>
      <w:r w:rsidRPr="00B175FB">
        <w:rPr>
          <w:rFonts w:eastAsia="Times New Roman"/>
          <w:i/>
          <w:noProof/>
          <w:szCs w:val="24"/>
        </w:rPr>
        <w:t xml:space="preserve"> </w:t>
      </w:r>
    </w:p>
    <w:p w:rsidR="000F012B" w:rsidRPr="00B175FB" w:rsidRDefault="00B6666C" w:rsidP="001501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/>
          <w:b/>
          <w:sz w:val="22"/>
        </w:rPr>
      </w:pPr>
      <w:r w:rsidRPr="00B175FB">
        <w:rPr>
          <w:rFonts w:eastAsia="Times New Roman"/>
          <w:b/>
          <w:sz w:val="22"/>
        </w:rPr>
        <w:t>Hlavními cílovými skupinami jsou:</w:t>
      </w:r>
    </w:p>
    <w:p w:rsidR="008D151E" w:rsidRPr="00B175FB" w:rsidRDefault="00B6666C" w:rsidP="00C94250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/>
          <w:sz w:val="22"/>
        </w:rPr>
      </w:pPr>
      <w:r w:rsidRPr="00B175FB">
        <w:rPr>
          <w:rFonts w:eastAsia="Times New Roman" w:cs="Times New Roman"/>
          <w:sz w:val="22"/>
        </w:rPr>
        <w:t>p</w:t>
      </w:r>
      <w:r w:rsidR="000F012B" w:rsidRPr="00B175FB">
        <w:rPr>
          <w:rFonts w:eastAsia="Times New Roman" w:cs="Times New Roman"/>
          <w:sz w:val="22"/>
        </w:rPr>
        <w:t xml:space="preserve">racovníci veřejné správy (státní správy a samosprávy včetně specializovaných </w:t>
      </w:r>
      <w:r w:rsidR="00DE2D60" w:rsidRPr="00B175FB">
        <w:rPr>
          <w:rFonts w:eastAsia="Times New Roman" w:cs="Times New Roman"/>
          <w:sz w:val="22"/>
        </w:rPr>
        <w:t xml:space="preserve">subjektů </w:t>
      </w:r>
      <w:r w:rsidR="000F012B" w:rsidRPr="00B175FB">
        <w:rPr>
          <w:rFonts w:eastAsia="Times New Roman" w:cs="Times New Roman"/>
          <w:sz w:val="22"/>
        </w:rPr>
        <w:t xml:space="preserve">zřizovaných státní správou a samosprávou) v oblasti řízení a implementace podpory VaVaI na </w:t>
      </w:r>
      <w:r w:rsidR="001A47DF" w:rsidRPr="00B175FB">
        <w:rPr>
          <w:rFonts w:eastAsia="Times New Roman" w:cs="Times New Roman"/>
          <w:sz w:val="22"/>
        </w:rPr>
        <w:t xml:space="preserve">národní a </w:t>
      </w:r>
      <w:r w:rsidR="000F012B" w:rsidRPr="00B175FB">
        <w:rPr>
          <w:rFonts w:eastAsia="Times New Roman" w:cs="Times New Roman"/>
          <w:sz w:val="22"/>
        </w:rPr>
        <w:t>regionální úrovni</w:t>
      </w:r>
      <w:r w:rsidR="008D151E" w:rsidRPr="00B175FB">
        <w:rPr>
          <w:rFonts w:eastAsia="Times New Roman" w:cs="Times New Roman"/>
          <w:sz w:val="22"/>
        </w:rPr>
        <w:t>;</w:t>
      </w:r>
    </w:p>
    <w:p w:rsidR="000F012B" w:rsidRPr="00B175FB" w:rsidRDefault="00B6666C" w:rsidP="00C94250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/>
          <w:sz w:val="22"/>
        </w:rPr>
      </w:pPr>
      <w:r w:rsidRPr="00B175FB">
        <w:rPr>
          <w:rFonts w:eastAsia="Times New Roman" w:cs="Times New Roman"/>
          <w:sz w:val="22"/>
        </w:rPr>
        <w:t>a</w:t>
      </w:r>
      <w:r w:rsidR="000F012B" w:rsidRPr="00B175FB">
        <w:rPr>
          <w:rFonts w:eastAsia="Times New Roman" w:cs="Times New Roman"/>
          <w:sz w:val="22"/>
        </w:rPr>
        <w:t>ktéři výzkumného a inovačního ekosystému zapojení do řízení a</w:t>
      </w:r>
      <w:r w:rsidR="00F50574">
        <w:rPr>
          <w:rFonts w:eastAsia="Times New Roman" w:cs="Times New Roman"/>
          <w:sz w:val="22"/>
        </w:rPr>
        <w:t>/nebo</w:t>
      </w:r>
      <w:r w:rsidR="000F012B" w:rsidRPr="00B175FB">
        <w:rPr>
          <w:rFonts w:eastAsia="Times New Roman" w:cs="Times New Roman"/>
          <w:sz w:val="22"/>
        </w:rPr>
        <w:t xml:space="preserve"> implementace politiky VaVaI na </w:t>
      </w:r>
      <w:r w:rsidR="001A47DF" w:rsidRPr="00B175FB">
        <w:rPr>
          <w:rFonts w:eastAsia="Times New Roman" w:cs="Times New Roman"/>
          <w:sz w:val="22"/>
        </w:rPr>
        <w:t xml:space="preserve">národní a </w:t>
      </w:r>
      <w:r w:rsidR="000F012B" w:rsidRPr="00B175FB">
        <w:rPr>
          <w:rFonts w:eastAsia="Times New Roman" w:cs="Times New Roman"/>
          <w:sz w:val="22"/>
        </w:rPr>
        <w:t>regionální úrovni</w:t>
      </w:r>
      <w:r w:rsidR="00FA5E2A" w:rsidRPr="00B175FB">
        <w:rPr>
          <w:rFonts w:eastAsia="Times New Roman" w:cs="Times New Roman"/>
          <w:sz w:val="22"/>
        </w:rPr>
        <w:t>.</w:t>
      </w:r>
    </w:p>
    <w:p w:rsidR="000F012B" w:rsidRPr="00B175FB" w:rsidRDefault="00B6666C" w:rsidP="00470F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/>
          <w:sz w:val="22"/>
        </w:rPr>
      </w:pPr>
      <w:r w:rsidRPr="00B175FB">
        <w:rPr>
          <w:rFonts w:eastAsia="Times New Roman"/>
          <w:sz w:val="22"/>
        </w:rPr>
        <w:t>V</w:t>
      </w:r>
      <w:r w:rsidR="000F012B" w:rsidRPr="00B175FB">
        <w:rPr>
          <w:rFonts w:eastAsia="Times New Roman"/>
          <w:sz w:val="22"/>
        </w:rPr>
        <w:t>e smyslu koncových cílových skupin benefitujících z realizovaných intervencí</w:t>
      </w:r>
      <w:r w:rsidRPr="00B175FB">
        <w:rPr>
          <w:rFonts w:eastAsia="Times New Roman"/>
          <w:sz w:val="22"/>
        </w:rPr>
        <w:t xml:space="preserve"> pak dále</w:t>
      </w:r>
      <w:r w:rsidR="000F012B" w:rsidRPr="00B175FB">
        <w:rPr>
          <w:rFonts w:eastAsia="Times New Roman"/>
          <w:sz w:val="22"/>
        </w:rPr>
        <w:t>:</w:t>
      </w:r>
    </w:p>
    <w:p w:rsidR="000F012B" w:rsidRPr="00B175FB" w:rsidRDefault="000F012B" w:rsidP="00C94250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/>
          <w:sz w:val="22"/>
        </w:rPr>
      </w:pPr>
      <w:r w:rsidRPr="00B175FB">
        <w:rPr>
          <w:rFonts w:eastAsia="Times New Roman" w:cs="Times New Roman"/>
          <w:sz w:val="22"/>
        </w:rPr>
        <w:t xml:space="preserve">pracovníci </w:t>
      </w:r>
      <w:r w:rsidR="00600A95" w:rsidRPr="00B175FB">
        <w:rPr>
          <w:rFonts w:eastAsia="Times New Roman" w:cs="Times New Roman"/>
          <w:sz w:val="22"/>
        </w:rPr>
        <w:t>VO</w:t>
      </w:r>
      <w:r w:rsidRPr="00B175FB">
        <w:rPr>
          <w:rFonts w:eastAsia="Times New Roman" w:cs="Times New Roman"/>
          <w:sz w:val="22"/>
        </w:rPr>
        <w:t xml:space="preserve"> zabývající se VaVaI a</w:t>
      </w:r>
      <w:r w:rsidR="00CB2829">
        <w:rPr>
          <w:rFonts w:eastAsia="Times New Roman" w:cs="Times New Roman"/>
          <w:sz w:val="22"/>
        </w:rPr>
        <w:t>/nebo</w:t>
      </w:r>
      <w:r w:rsidRPr="00B175FB">
        <w:rPr>
          <w:rFonts w:eastAsia="Times New Roman" w:cs="Times New Roman"/>
          <w:sz w:val="22"/>
        </w:rPr>
        <w:t xml:space="preserve"> jeho řízením</w:t>
      </w:r>
      <w:r w:rsidR="008D151E" w:rsidRPr="00B175FB">
        <w:rPr>
          <w:rFonts w:eastAsia="Times New Roman" w:cs="Times New Roman"/>
          <w:sz w:val="22"/>
        </w:rPr>
        <w:t>;</w:t>
      </w:r>
    </w:p>
    <w:p w:rsidR="000F012B" w:rsidRPr="00B175FB" w:rsidRDefault="00D815B4" w:rsidP="00C94250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/>
          <w:sz w:val="22"/>
        </w:rPr>
      </w:pPr>
      <w:r>
        <w:rPr>
          <w:rFonts w:eastAsia="Times New Roman" w:cs="Times New Roman"/>
          <w:sz w:val="22"/>
        </w:rPr>
        <w:t>osoby</w:t>
      </w:r>
      <w:r w:rsidRPr="00B175FB">
        <w:rPr>
          <w:rFonts w:eastAsia="Times New Roman" w:cs="Times New Roman"/>
          <w:sz w:val="22"/>
        </w:rPr>
        <w:t xml:space="preserve"> </w:t>
      </w:r>
      <w:r w:rsidR="000F012B" w:rsidRPr="00B175FB">
        <w:rPr>
          <w:rFonts w:eastAsia="Times New Roman" w:cs="Times New Roman"/>
          <w:sz w:val="22"/>
        </w:rPr>
        <w:t>zabývající se VaVaI a</w:t>
      </w:r>
      <w:r w:rsidR="00CB2829">
        <w:rPr>
          <w:rFonts w:eastAsia="Times New Roman" w:cs="Times New Roman"/>
          <w:sz w:val="22"/>
        </w:rPr>
        <w:t>/nebo</w:t>
      </w:r>
      <w:r w:rsidR="000F012B" w:rsidRPr="00B175FB">
        <w:rPr>
          <w:rFonts w:eastAsia="Times New Roman" w:cs="Times New Roman"/>
          <w:sz w:val="22"/>
        </w:rPr>
        <w:t xml:space="preserve"> jeho řízením v soukromém (</w:t>
      </w:r>
      <w:r>
        <w:rPr>
          <w:rFonts w:eastAsia="Times New Roman" w:cs="Times New Roman"/>
          <w:sz w:val="22"/>
        </w:rPr>
        <w:t>podnikovém</w:t>
      </w:r>
      <w:r w:rsidR="000F012B" w:rsidRPr="00B175FB">
        <w:rPr>
          <w:rFonts w:eastAsia="Times New Roman" w:cs="Times New Roman"/>
          <w:sz w:val="22"/>
        </w:rPr>
        <w:t>) sektoru</w:t>
      </w:r>
      <w:r w:rsidR="001D5E74" w:rsidRPr="00B175FB">
        <w:rPr>
          <w:rFonts w:eastAsia="Times New Roman" w:cs="Times New Roman"/>
          <w:sz w:val="22"/>
        </w:rPr>
        <w:t xml:space="preserve"> </w:t>
      </w:r>
      <w:r w:rsidR="003C0FDC">
        <w:rPr>
          <w:rFonts w:eastAsia="Times New Roman" w:cs="Times New Roman"/>
          <w:sz w:val="22"/>
        </w:rPr>
        <w:t>či širší aplikační sféře</w:t>
      </w:r>
      <w:r w:rsidR="001D5E74" w:rsidRPr="00B175FB">
        <w:rPr>
          <w:rFonts w:eastAsia="Times New Roman" w:cs="Times New Roman"/>
          <w:sz w:val="22"/>
        </w:rPr>
        <w:t xml:space="preserve"> a potenciální zájemci</w:t>
      </w:r>
      <w:r w:rsidR="007C4CB5" w:rsidRPr="00B175FB">
        <w:rPr>
          <w:rFonts w:eastAsia="Times New Roman" w:cs="Times New Roman"/>
          <w:sz w:val="22"/>
        </w:rPr>
        <w:t xml:space="preserve"> o </w:t>
      </w:r>
      <w:r w:rsidR="001A47DF" w:rsidRPr="00B175FB">
        <w:rPr>
          <w:rFonts w:eastAsia="Times New Roman" w:cs="Times New Roman"/>
          <w:sz w:val="22"/>
        </w:rPr>
        <w:t>tyto aktivity</w:t>
      </w:r>
      <w:r w:rsidR="008D151E" w:rsidRPr="00B175FB">
        <w:rPr>
          <w:rFonts w:eastAsia="Times New Roman" w:cs="Times New Roman"/>
          <w:sz w:val="22"/>
        </w:rPr>
        <w:t>;</w:t>
      </w:r>
    </w:p>
    <w:p w:rsidR="00D815B4" w:rsidRPr="00B175FB" w:rsidRDefault="00D815B4" w:rsidP="00C94250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/>
          <w:sz w:val="22"/>
        </w:rPr>
      </w:pPr>
      <w:r>
        <w:rPr>
          <w:rFonts w:eastAsia="Times New Roman" w:cs="Times New Roman"/>
          <w:sz w:val="22"/>
        </w:rPr>
        <w:t>pracovníci veřejné správy</w:t>
      </w:r>
      <w:r w:rsidR="00524D6C">
        <w:rPr>
          <w:rFonts w:eastAsia="Times New Roman" w:cs="Times New Roman"/>
          <w:sz w:val="22"/>
        </w:rPr>
        <w:t>;</w:t>
      </w:r>
      <w:r>
        <w:rPr>
          <w:rFonts w:eastAsia="Times New Roman" w:cs="Times New Roman"/>
          <w:sz w:val="22"/>
        </w:rPr>
        <w:t xml:space="preserve"> </w:t>
      </w:r>
    </w:p>
    <w:p w:rsidR="000F012B" w:rsidRPr="00B175FB" w:rsidRDefault="005E3F19" w:rsidP="00C94250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/>
          <w:sz w:val="22"/>
        </w:rPr>
      </w:pPr>
      <w:r w:rsidRPr="00B175FB">
        <w:rPr>
          <w:rFonts w:eastAsia="Times New Roman" w:cs="Times New Roman"/>
          <w:sz w:val="22"/>
        </w:rPr>
        <w:t>děti</w:t>
      </w:r>
      <w:r w:rsidR="000F012B" w:rsidRPr="00B175FB">
        <w:rPr>
          <w:rFonts w:eastAsia="Times New Roman" w:cs="Times New Roman"/>
          <w:sz w:val="22"/>
        </w:rPr>
        <w:t>,</w:t>
      </w:r>
      <w:r w:rsidRPr="00B175FB">
        <w:rPr>
          <w:rFonts w:eastAsia="Times New Roman" w:cs="Times New Roman"/>
          <w:sz w:val="22"/>
        </w:rPr>
        <w:t xml:space="preserve"> žáci</w:t>
      </w:r>
      <w:r w:rsidR="000F012B" w:rsidRPr="00B175FB">
        <w:rPr>
          <w:rFonts w:eastAsia="Times New Roman" w:cs="Times New Roman"/>
          <w:sz w:val="22"/>
        </w:rPr>
        <w:t xml:space="preserve"> ZŠ, </w:t>
      </w:r>
      <w:r w:rsidR="00637B74" w:rsidRPr="00B175FB">
        <w:rPr>
          <w:rFonts w:eastAsia="Times New Roman" w:cs="Times New Roman"/>
          <w:sz w:val="22"/>
        </w:rPr>
        <w:t>středních škol (dále jen „SŠ“)</w:t>
      </w:r>
      <w:r w:rsidR="000F012B" w:rsidRPr="00B175FB">
        <w:rPr>
          <w:rFonts w:eastAsia="Times New Roman" w:cs="Times New Roman"/>
          <w:sz w:val="22"/>
        </w:rPr>
        <w:t xml:space="preserve"> včetně jejich rodičů/rodinných příslušníků</w:t>
      </w:r>
      <w:r w:rsidR="008D151E" w:rsidRPr="00B175FB">
        <w:rPr>
          <w:rFonts w:eastAsia="Times New Roman" w:cs="Times New Roman"/>
          <w:sz w:val="22"/>
        </w:rPr>
        <w:t>;</w:t>
      </w:r>
    </w:p>
    <w:p w:rsidR="000F012B" w:rsidRPr="00B175FB" w:rsidRDefault="000F012B" w:rsidP="00C94250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/>
          <w:sz w:val="22"/>
        </w:rPr>
      </w:pPr>
      <w:r w:rsidRPr="00B175FB">
        <w:rPr>
          <w:rFonts w:eastAsia="Times New Roman" w:cs="Times New Roman"/>
          <w:sz w:val="22"/>
        </w:rPr>
        <w:t xml:space="preserve">studenti VŠ a </w:t>
      </w:r>
      <w:r w:rsidR="00637B74" w:rsidRPr="00B175FB">
        <w:rPr>
          <w:rFonts w:eastAsia="Times New Roman" w:cs="Times New Roman"/>
          <w:sz w:val="22"/>
        </w:rPr>
        <w:t>vyšších odborných škol (dále jen „</w:t>
      </w:r>
      <w:r w:rsidRPr="00B175FB">
        <w:rPr>
          <w:rFonts w:eastAsia="Times New Roman" w:cs="Times New Roman"/>
          <w:sz w:val="22"/>
        </w:rPr>
        <w:t>VOŠ</w:t>
      </w:r>
      <w:r w:rsidR="00637B74" w:rsidRPr="00B175FB">
        <w:rPr>
          <w:rFonts w:eastAsia="Times New Roman" w:cs="Times New Roman"/>
          <w:sz w:val="22"/>
        </w:rPr>
        <w:t>“)</w:t>
      </w:r>
      <w:r w:rsidR="008D151E" w:rsidRPr="00B175FB">
        <w:rPr>
          <w:rFonts w:eastAsia="Times New Roman" w:cs="Times New Roman"/>
          <w:sz w:val="22"/>
        </w:rPr>
        <w:t>;</w:t>
      </w:r>
    </w:p>
    <w:p w:rsidR="00DB5068" w:rsidRPr="00B175FB" w:rsidRDefault="000F012B" w:rsidP="00C94250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/>
          <w:sz w:val="22"/>
        </w:rPr>
      </w:pPr>
      <w:r w:rsidRPr="00B175FB">
        <w:rPr>
          <w:rFonts w:eastAsia="Times New Roman" w:cs="Times New Roman"/>
          <w:sz w:val="22"/>
        </w:rPr>
        <w:t xml:space="preserve">pracovníci </w:t>
      </w:r>
      <w:r w:rsidR="00637B74" w:rsidRPr="00B175FB">
        <w:rPr>
          <w:rFonts w:eastAsia="Times New Roman" w:cs="Times New Roman"/>
          <w:sz w:val="22"/>
        </w:rPr>
        <w:t>mateřských škol (dále jen „</w:t>
      </w:r>
      <w:r w:rsidRPr="00B175FB">
        <w:rPr>
          <w:rFonts w:eastAsia="Times New Roman" w:cs="Times New Roman"/>
          <w:sz w:val="22"/>
        </w:rPr>
        <w:t>MŠ</w:t>
      </w:r>
      <w:r w:rsidR="00637B74" w:rsidRPr="00B175FB">
        <w:rPr>
          <w:rFonts w:eastAsia="Times New Roman" w:cs="Times New Roman"/>
          <w:sz w:val="22"/>
        </w:rPr>
        <w:t>“)</w:t>
      </w:r>
      <w:r w:rsidRPr="00B175FB">
        <w:rPr>
          <w:rFonts w:eastAsia="Times New Roman" w:cs="Times New Roman"/>
          <w:sz w:val="22"/>
        </w:rPr>
        <w:t>, ZŠ, SŠ, VŠ a VOŠ</w:t>
      </w:r>
      <w:r w:rsidR="009729C9" w:rsidRPr="00B175FB">
        <w:rPr>
          <w:rFonts w:eastAsia="Times New Roman" w:cs="Times New Roman"/>
          <w:sz w:val="22"/>
        </w:rPr>
        <w:t>;</w:t>
      </w:r>
    </w:p>
    <w:p w:rsidR="001D5E74" w:rsidRPr="00B175FB" w:rsidRDefault="001D5E74" w:rsidP="00C94250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/>
          <w:sz w:val="22"/>
        </w:rPr>
      </w:pPr>
      <w:r w:rsidRPr="00B175FB">
        <w:rPr>
          <w:rFonts w:eastAsia="Times New Roman" w:cs="Times New Roman"/>
          <w:sz w:val="22"/>
        </w:rPr>
        <w:t>zájemci o studium na VŠ</w:t>
      </w:r>
      <w:r w:rsidR="003C0FDC">
        <w:rPr>
          <w:rFonts w:eastAsia="Times New Roman" w:cs="Times New Roman"/>
          <w:sz w:val="22"/>
        </w:rPr>
        <w:t>/SŠ</w:t>
      </w:r>
      <w:r w:rsidR="006A30DC" w:rsidRPr="00B175FB">
        <w:rPr>
          <w:rFonts w:eastAsia="Times New Roman" w:cs="Times New Roman"/>
          <w:sz w:val="22"/>
        </w:rPr>
        <w:t xml:space="preserve"> a </w:t>
      </w:r>
      <w:r w:rsidR="00751E0E" w:rsidRPr="00B175FB">
        <w:rPr>
          <w:rFonts w:eastAsia="Times New Roman" w:cs="Times New Roman"/>
          <w:sz w:val="22"/>
        </w:rPr>
        <w:t>CŽV</w:t>
      </w:r>
      <w:r w:rsidR="00FA5E2A" w:rsidRPr="00B175FB">
        <w:rPr>
          <w:rFonts w:eastAsia="Times New Roman" w:cs="Times New Roman"/>
          <w:sz w:val="22"/>
        </w:rPr>
        <w:t>;</w:t>
      </w:r>
    </w:p>
    <w:p w:rsidR="000F012B" w:rsidRPr="00B175FB" w:rsidRDefault="00A00AEB" w:rsidP="00C94250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/>
          <w:sz w:val="22"/>
        </w:rPr>
      </w:pPr>
      <w:r w:rsidRPr="00B175FB">
        <w:rPr>
          <w:rFonts w:eastAsia="Times New Roman" w:cs="Times New Roman"/>
          <w:sz w:val="22"/>
        </w:rPr>
        <w:t xml:space="preserve">veřejnost </w:t>
      </w:r>
      <w:r w:rsidR="00AD2485">
        <w:rPr>
          <w:rFonts w:eastAsia="Times New Roman" w:cs="Times New Roman"/>
          <w:sz w:val="22"/>
        </w:rPr>
        <w:t xml:space="preserve">– odborná i široká </w:t>
      </w:r>
      <w:r w:rsidRPr="00B175FB">
        <w:rPr>
          <w:rFonts w:eastAsia="Times New Roman" w:cs="Times New Roman"/>
          <w:sz w:val="22"/>
        </w:rPr>
        <w:t>(zájemci o vědu a techniku a inovační podnikání)</w:t>
      </w:r>
      <w:r w:rsidR="00E302DE" w:rsidRPr="00B175FB">
        <w:rPr>
          <w:rFonts w:eastAsia="Times New Roman" w:cs="Times New Roman"/>
          <w:sz w:val="22"/>
        </w:rPr>
        <w:t>.</w:t>
      </w:r>
    </w:p>
    <w:p w:rsidR="00331F49" w:rsidRPr="00B175FB" w:rsidRDefault="001C52B9" w:rsidP="00331F49">
      <w:pPr>
        <w:rPr>
          <w:rFonts w:eastAsia="Times New Roman"/>
          <w:b/>
          <w:i/>
          <w:noProof/>
          <w:szCs w:val="24"/>
        </w:rPr>
      </w:pPr>
      <w:r w:rsidRPr="00B175FB">
        <w:rPr>
          <w:rFonts w:eastAsia="Times New Roman"/>
          <w:b/>
          <w:i/>
          <w:noProof/>
          <w:szCs w:val="24"/>
        </w:rPr>
        <w:t>Akce zajišťující rovnost, začlenění a nediskriminaci</w:t>
      </w:r>
      <w:r w:rsidR="00331F49" w:rsidRPr="00B175FB">
        <w:rPr>
          <w:rFonts w:eastAsia="Times New Roman"/>
          <w:b/>
          <w:i/>
          <w:noProof/>
          <w:szCs w:val="24"/>
        </w:rPr>
        <w:t xml:space="preserve"> </w:t>
      </w:r>
      <w:r w:rsidR="00331F49" w:rsidRPr="00B175FB">
        <w:rPr>
          <w:rFonts w:eastAsia="Times New Roman"/>
          <w:i/>
          <w:noProof/>
          <w:szCs w:val="24"/>
        </w:rPr>
        <w:t xml:space="preserve"> </w:t>
      </w:r>
      <w:r w:rsidR="00331F49" w:rsidRPr="00B175FB">
        <w:rPr>
          <w:rFonts w:eastAsia="Times New Roman"/>
          <w:i/>
          <w:iCs/>
          <w:noProof/>
          <w:szCs w:val="24"/>
        </w:rPr>
        <w:t> </w:t>
      </w:r>
    </w:p>
    <w:p w:rsidR="00331F49" w:rsidRPr="00B175FB" w:rsidRDefault="00551672" w:rsidP="00331F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rFonts w:eastAsia="Times New Roman"/>
          <w:noProof/>
          <w:sz w:val="22"/>
        </w:rPr>
      </w:pPr>
      <w:r>
        <w:rPr>
          <w:rFonts w:eastAsia="Times New Roman"/>
          <w:sz w:val="22"/>
        </w:rPr>
        <w:t>V obecné rovině bude u každého projektu posuzován soulad s horizontálními principy.</w:t>
      </w:r>
    </w:p>
    <w:p w:rsidR="002412DC" w:rsidRPr="00B175FB" w:rsidRDefault="004005FF" w:rsidP="007475A6">
      <w:pPr>
        <w:rPr>
          <w:rFonts w:eastAsia="Times New Roman"/>
          <w:i/>
          <w:noProof/>
          <w:szCs w:val="24"/>
        </w:rPr>
      </w:pPr>
      <w:r w:rsidRPr="00B175FB">
        <w:rPr>
          <w:rFonts w:eastAsia="Times New Roman"/>
          <w:b/>
          <w:i/>
          <w:noProof/>
          <w:szCs w:val="24"/>
        </w:rPr>
        <w:t>Konkrétní cílová území včetně plánovaného použití územních nástrojů</w:t>
      </w:r>
      <w:r w:rsidRPr="00B175FB">
        <w:rPr>
          <w:rFonts w:eastAsia="Times New Roman"/>
          <w:i/>
          <w:noProof/>
          <w:szCs w:val="24"/>
        </w:rPr>
        <w:t xml:space="preserve">   </w:t>
      </w:r>
    </w:p>
    <w:p w:rsidR="00FF1695" w:rsidRPr="00B175FB" w:rsidRDefault="00FF1695" w:rsidP="00F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eastAsia="Batang" w:hAnsi="Arial" w:cstheme="minorBidi"/>
          <w:sz w:val="22"/>
          <w:lang w:eastAsia="cs-CZ"/>
        </w:rPr>
      </w:pPr>
      <w:r w:rsidRPr="00B175FB">
        <w:rPr>
          <w:rFonts w:eastAsia="Times New Roman"/>
          <w:i/>
          <w:sz w:val="22"/>
        </w:rPr>
        <w:t>Popis zapojení územních nástrojů a zohlednění územní dimenze plánovaných intervencí – bude doplněno v další fázi, ve vazbě na přípravu Národního dokumentu k územní dimenzi a integrovaným nástrojům</w:t>
      </w:r>
      <w:r w:rsidRPr="00B175FB">
        <w:rPr>
          <w:rFonts w:ascii="Arial" w:eastAsia="Batang" w:hAnsi="Arial" w:cstheme="minorBidi"/>
          <w:sz w:val="22"/>
          <w:lang w:eastAsia="cs-CZ"/>
        </w:rPr>
        <w:t xml:space="preserve"> </w:t>
      </w:r>
    </w:p>
    <w:p w:rsidR="00EE5800" w:rsidRPr="00B175FB" w:rsidRDefault="00FF1695" w:rsidP="00394E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/>
          <w:i/>
          <w:noProof/>
        </w:rPr>
      </w:pPr>
      <w:r w:rsidRPr="00B175FB">
        <w:rPr>
          <w:rFonts w:eastAsia="Times New Roman"/>
          <w:sz w:val="22"/>
        </w:rPr>
        <w:t xml:space="preserve">Aktivity podporované ve specifickém cíli budou realizovány ve všech regionech České republiky včetně </w:t>
      </w:r>
      <w:r w:rsidR="00047E65" w:rsidRPr="00B175FB">
        <w:rPr>
          <w:rFonts w:eastAsia="Times New Roman"/>
          <w:sz w:val="22"/>
        </w:rPr>
        <w:t>hlavního</w:t>
      </w:r>
      <w:r w:rsidR="00886513" w:rsidRPr="00B175FB">
        <w:rPr>
          <w:rFonts w:eastAsia="Times New Roman"/>
          <w:sz w:val="22"/>
        </w:rPr>
        <w:t> </w:t>
      </w:r>
      <w:r w:rsidRPr="00B175FB">
        <w:rPr>
          <w:rFonts w:eastAsia="Times New Roman"/>
          <w:sz w:val="22"/>
        </w:rPr>
        <w:t>města Prahy, tj. ve více rozvinutých, méně rozvinutých a přechodových regionech ČR.</w:t>
      </w:r>
    </w:p>
    <w:p w:rsidR="00900204" w:rsidRPr="00B175FB" w:rsidRDefault="00900204" w:rsidP="00900204">
      <w:pPr>
        <w:rPr>
          <w:rFonts w:eastAsia="Times New Roman"/>
          <w:b/>
          <w:i/>
          <w:szCs w:val="24"/>
        </w:rPr>
      </w:pPr>
      <w:r w:rsidRPr="00B175FB">
        <w:rPr>
          <w:rFonts w:eastAsia="Times New Roman"/>
          <w:b/>
          <w:i/>
          <w:szCs w:val="24"/>
        </w:rPr>
        <w:t>Meziregionální a nadnárodní činnosti</w:t>
      </w:r>
      <w:r w:rsidRPr="00B175FB">
        <w:rPr>
          <w:rFonts w:eastAsia="Times New Roman"/>
          <w:b/>
          <w:noProof/>
          <w:color w:val="D0CECE" w:themeColor="background2" w:themeShade="E6"/>
          <w:szCs w:val="24"/>
        </w:rPr>
        <w:t xml:space="preserve"> </w:t>
      </w:r>
      <w:r w:rsidRPr="00B175FB">
        <w:rPr>
          <w:rFonts w:eastAsia="Times New Roman"/>
          <w:i/>
          <w:noProof/>
          <w:szCs w:val="24"/>
        </w:rPr>
        <w:t xml:space="preserve"> </w:t>
      </w:r>
      <w:r w:rsidRPr="00B175FB">
        <w:rPr>
          <w:rFonts w:eastAsia="Times New Roman"/>
          <w:i/>
          <w:iCs/>
          <w:noProof/>
          <w:szCs w:val="24"/>
        </w:rPr>
        <w:t> </w:t>
      </w:r>
    </w:p>
    <w:p w:rsidR="00B41D91" w:rsidRPr="00B175FB" w:rsidRDefault="00066391" w:rsidP="00394E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/>
          <w:i/>
          <w:noProof/>
          <w:sz w:val="22"/>
        </w:rPr>
      </w:pPr>
      <w:r w:rsidRPr="00B175FB">
        <w:rPr>
          <w:rFonts w:eastAsia="Times New Roman"/>
          <w:noProof/>
          <w:sz w:val="22"/>
        </w:rPr>
        <w:t>Plánované aktivity ve specifickém cíli nepředpokládají zapojení příjemců z dalších členských států</w:t>
      </w:r>
      <w:r w:rsidR="001C3A12" w:rsidRPr="00B175FB">
        <w:rPr>
          <w:rFonts w:eastAsia="Times New Roman"/>
          <w:noProof/>
          <w:sz w:val="22"/>
        </w:rPr>
        <w:t xml:space="preserve"> EU</w:t>
      </w:r>
      <w:r w:rsidRPr="00B175FB">
        <w:rPr>
          <w:rFonts w:eastAsia="Times New Roman"/>
          <w:noProof/>
          <w:sz w:val="22"/>
        </w:rPr>
        <w:t xml:space="preserve"> nebo států mimo EU</w:t>
      </w:r>
      <w:r w:rsidRPr="00B175FB">
        <w:rPr>
          <w:rFonts w:eastAsia="Times New Roman"/>
          <w:i/>
          <w:noProof/>
          <w:sz w:val="22"/>
        </w:rPr>
        <w:t>.</w:t>
      </w:r>
      <w:r w:rsidR="00B41D91" w:rsidRPr="00B175FB">
        <w:rPr>
          <w:rFonts w:eastAsia="Times New Roman"/>
          <w:i/>
          <w:noProof/>
          <w:sz w:val="22"/>
        </w:rPr>
        <w:t xml:space="preserve"> </w:t>
      </w:r>
    </w:p>
    <w:p w:rsidR="00900204" w:rsidRPr="00B175FB" w:rsidRDefault="00900204" w:rsidP="00900204">
      <w:pPr>
        <w:rPr>
          <w:rFonts w:eastAsia="Times New Roman"/>
          <w:b/>
          <w:i/>
          <w:iCs/>
          <w:noProof/>
          <w:szCs w:val="24"/>
        </w:rPr>
      </w:pPr>
      <w:r w:rsidRPr="00B175FB">
        <w:rPr>
          <w:rFonts w:eastAsia="Times New Roman"/>
          <w:b/>
          <w:i/>
          <w:noProof/>
          <w:szCs w:val="24"/>
        </w:rPr>
        <w:t>Plánované využití finančních nástrojů</w:t>
      </w:r>
      <w:r w:rsidRPr="00B175FB">
        <w:rPr>
          <w:rFonts w:eastAsia="Times New Roman"/>
          <w:i/>
          <w:noProof/>
          <w:szCs w:val="24"/>
        </w:rPr>
        <w:t xml:space="preserve">  </w:t>
      </w:r>
      <w:r w:rsidRPr="00B175FB">
        <w:rPr>
          <w:rFonts w:eastAsia="Times New Roman"/>
          <w:i/>
          <w:iCs/>
          <w:noProof/>
          <w:szCs w:val="24"/>
        </w:rPr>
        <w:t> </w:t>
      </w:r>
      <w:r w:rsidRPr="00B175FB">
        <w:rPr>
          <w:rFonts w:eastAsia="Times New Roman"/>
          <w:i/>
          <w:noProof/>
          <w:szCs w:val="24"/>
        </w:rPr>
        <w:t xml:space="preserve"> </w:t>
      </w:r>
    </w:p>
    <w:p w:rsidR="009346DC" w:rsidRPr="00B175FB" w:rsidRDefault="009346DC" w:rsidP="00934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/>
          <w:sz w:val="22"/>
        </w:rPr>
      </w:pPr>
      <w:r w:rsidRPr="00B175FB">
        <w:rPr>
          <w:rFonts w:eastAsia="Times New Roman"/>
          <w:sz w:val="22"/>
        </w:rPr>
        <w:t>Možnosti vy</w:t>
      </w:r>
      <w:r w:rsidR="00D45AC1">
        <w:rPr>
          <w:rFonts w:eastAsia="Times New Roman"/>
          <w:sz w:val="22"/>
        </w:rPr>
        <w:t>u</w:t>
      </w:r>
      <w:r w:rsidRPr="00B175FB">
        <w:rPr>
          <w:rFonts w:eastAsia="Times New Roman"/>
          <w:sz w:val="22"/>
        </w:rPr>
        <w:t>žití FN jsou v tomto SC omezené. V roce 2018 provedl ŘO</w:t>
      </w:r>
      <w:r w:rsidR="002941A1" w:rsidRPr="00B175FB">
        <w:rPr>
          <w:rFonts w:eastAsia="Times New Roman"/>
          <w:sz w:val="22"/>
        </w:rPr>
        <w:t xml:space="preserve"> </w:t>
      </w:r>
      <w:r w:rsidRPr="00B175FB">
        <w:rPr>
          <w:rFonts w:eastAsia="Times New Roman"/>
          <w:sz w:val="22"/>
        </w:rPr>
        <w:t>předběžné posouzení pilotního využití FN v OP VVV</w:t>
      </w:r>
      <w:r w:rsidRPr="00B175FB">
        <w:rPr>
          <w:rStyle w:val="Znakapoznpodarou"/>
          <w:rFonts w:eastAsia="Times New Roman"/>
          <w:b w:val="0"/>
          <w:sz w:val="22"/>
        </w:rPr>
        <w:footnoteReference w:id="72"/>
      </w:r>
      <w:r w:rsidR="00793988" w:rsidRPr="00B175FB">
        <w:rPr>
          <w:rFonts w:eastAsia="Times New Roman"/>
          <w:sz w:val="22"/>
        </w:rPr>
        <w:t xml:space="preserve"> (</w:t>
      </w:r>
      <w:r w:rsidRPr="00B175FB">
        <w:rPr>
          <w:rFonts w:eastAsia="Times New Roman"/>
          <w:sz w:val="22"/>
        </w:rPr>
        <w:t>v souladu s nařízením Evropského parlamentu a Rady (EU) č.</w:t>
      </w:r>
      <w:r w:rsidR="007E01C5" w:rsidRPr="00B175FB">
        <w:rPr>
          <w:rFonts w:eastAsia="Times New Roman"/>
          <w:sz w:val="22"/>
        </w:rPr>
        <w:t> </w:t>
      </w:r>
      <w:r w:rsidRPr="00B175FB">
        <w:rPr>
          <w:rFonts w:eastAsia="Times New Roman"/>
          <w:sz w:val="22"/>
        </w:rPr>
        <w:t>1303/2013</w:t>
      </w:r>
      <w:r w:rsidR="00793988" w:rsidRPr="00B175FB">
        <w:rPr>
          <w:rFonts w:eastAsia="Times New Roman"/>
          <w:sz w:val="22"/>
        </w:rPr>
        <w:t>)</w:t>
      </w:r>
      <w:r w:rsidRPr="00B175FB">
        <w:rPr>
          <w:rFonts w:eastAsia="Times New Roman"/>
          <w:sz w:val="22"/>
        </w:rPr>
        <w:t xml:space="preserve">. </w:t>
      </w:r>
    </w:p>
    <w:p w:rsidR="0031124F" w:rsidRPr="00B175FB" w:rsidRDefault="0031124F" w:rsidP="003112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/>
          <w:sz w:val="22"/>
        </w:rPr>
      </w:pPr>
      <w:r w:rsidRPr="00B175FB">
        <w:rPr>
          <w:rFonts w:eastAsia="Times New Roman"/>
          <w:sz w:val="22"/>
        </w:rPr>
        <w:t xml:space="preserve">Z předběžného posouzení vyplynulo, že v oblasti vzdělávání a podpory VaV jsou vhodné pro pilotní ověření FN pouze </w:t>
      </w:r>
      <w:r>
        <w:rPr>
          <w:rFonts w:eastAsia="Times New Roman"/>
          <w:sz w:val="22"/>
        </w:rPr>
        <w:t>dvě oblasti</w:t>
      </w:r>
      <w:r w:rsidRPr="00B175FB">
        <w:rPr>
          <w:rFonts w:eastAsia="Times New Roman"/>
          <w:sz w:val="22"/>
        </w:rPr>
        <w:t>, a to podpor</w:t>
      </w:r>
      <w:r>
        <w:rPr>
          <w:rFonts w:eastAsia="Times New Roman"/>
          <w:sz w:val="22"/>
        </w:rPr>
        <w:t>a</w:t>
      </w:r>
      <w:r w:rsidRPr="00B175FB">
        <w:rPr>
          <w:rFonts w:eastAsia="Times New Roman"/>
          <w:sz w:val="22"/>
        </w:rPr>
        <w:t xml:space="preserve"> mobilit a získání pracovních zkušeností v zahraničí.</w:t>
      </w:r>
    </w:p>
    <w:p w:rsidR="009346DC" w:rsidRPr="00B175FB" w:rsidRDefault="009346DC" w:rsidP="00934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/>
          <w:sz w:val="22"/>
        </w:rPr>
      </w:pPr>
      <w:r w:rsidRPr="00B175FB">
        <w:rPr>
          <w:rFonts w:eastAsia="Times New Roman"/>
          <w:sz w:val="22"/>
        </w:rPr>
        <w:t xml:space="preserve">Na základě analýzy a po pečlivém zvážení všech souvisejících rizik (právní rizika, nezájem potenciálních </w:t>
      </w:r>
      <w:r w:rsidR="00F77DF8">
        <w:rPr>
          <w:rFonts w:eastAsia="Times New Roman"/>
          <w:sz w:val="22"/>
        </w:rPr>
        <w:t>správců FN</w:t>
      </w:r>
      <w:r w:rsidRPr="00B175FB">
        <w:rPr>
          <w:rFonts w:eastAsia="Times New Roman"/>
          <w:sz w:val="22"/>
        </w:rPr>
        <w:t xml:space="preserve"> a nedostatečná absorpční kapacita) a současného stavu implementace OP VVV se ŘO rozhodl nepokračovat v implementaci FN. </w:t>
      </w:r>
    </w:p>
    <w:p w:rsidR="00EE5800" w:rsidRPr="00B175FB" w:rsidRDefault="009346DC" w:rsidP="007961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/>
          <w:i/>
          <w:noProof/>
        </w:rPr>
      </w:pPr>
      <w:r w:rsidRPr="00B175FB">
        <w:rPr>
          <w:rFonts w:eastAsia="Times New Roman"/>
          <w:sz w:val="22"/>
        </w:rPr>
        <w:t>Pro programové období 2021</w:t>
      </w:r>
      <w:r w:rsidR="00D34041">
        <w:rPr>
          <w:rFonts w:eastAsia="Times New Roman"/>
          <w:noProof/>
          <w:sz w:val="22"/>
        </w:rPr>
        <w:t>-</w:t>
      </w:r>
      <w:r w:rsidRPr="00B175FB">
        <w:rPr>
          <w:rFonts w:eastAsia="Times New Roman"/>
          <w:sz w:val="22"/>
        </w:rPr>
        <w:t>2027 ŘO předpokládá zajištění aktualizace ex-ante posouzení v průběhu roku</w:t>
      </w:r>
      <w:r w:rsidR="00EB11DB" w:rsidRPr="00B175FB">
        <w:rPr>
          <w:rFonts w:eastAsia="Times New Roman"/>
          <w:sz w:val="22"/>
        </w:rPr>
        <w:t> </w:t>
      </w:r>
      <w:r w:rsidRPr="00B175FB">
        <w:rPr>
          <w:rFonts w:eastAsia="Times New Roman"/>
          <w:sz w:val="22"/>
        </w:rPr>
        <w:t>202</w:t>
      </w:r>
      <w:r w:rsidR="0031124F">
        <w:rPr>
          <w:rFonts w:eastAsia="Times New Roman"/>
          <w:sz w:val="22"/>
        </w:rPr>
        <w:t>1</w:t>
      </w:r>
      <w:r w:rsidRPr="00B175FB">
        <w:rPr>
          <w:rFonts w:eastAsia="Times New Roman"/>
          <w:sz w:val="22"/>
        </w:rPr>
        <w:t xml:space="preserve">. Na základě tohoto posouzení mohou být identifikovány relevantní oblasti vhodné pro využití FN. </w:t>
      </w:r>
    </w:p>
    <w:bookmarkEnd w:id="126"/>
    <w:p w:rsidR="00DB5068" w:rsidRPr="00B175FB" w:rsidRDefault="00DB5068" w:rsidP="00DB5068">
      <w:pPr>
        <w:spacing w:line="240" w:lineRule="auto"/>
        <w:rPr>
          <w:rFonts w:eastAsia="Times New Roman"/>
          <w:b/>
          <w:iCs/>
          <w:noProof/>
          <w:szCs w:val="24"/>
        </w:rPr>
      </w:pPr>
    </w:p>
    <w:p w:rsidR="00900204" w:rsidRPr="007671B1" w:rsidRDefault="00900204" w:rsidP="007671B1">
      <w:pPr>
        <w:pStyle w:val="Nadpis4"/>
        <w:rPr>
          <w:b/>
          <w:color w:val="1F4E79" w:themeColor="accent5" w:themeShade="80"/>
          <w:lang w:val="cs-CZ" w:eastAsia="cs-CZ" w:bidi="cs-CZ"/>
        </w:rPr>
      </w:pPr>
      <w:bookmarkStart w:id="130" w:name="_Toc66476046"/>
      <w:bookmarkStart w:id="131" w:name="_Toc68611004"/>
      <w:r w:rsidRPr="007671B1">
        <w:rPr>
          <w:b/>
          <w:color w:val="1F4E79" w:themeColor="accent5" w:themeShade="80"/>
          <w:lang w:val="cs-CZ" w:eastAsia="cs-CZ" w:bidi="cs-CZ"/>
        </w:rPr>
        <w:t>Ukazatel</w:t>
      </w:r>
      <w:r w:rsidR="005B64A1">
        <w:rPr>
          <w:b/>
          <w:color w:val="1F4E79" w:themeColor="accent5" w:themeShade="80"/>
          <w:lang w:val="cs-CZ" w:eastAsia="cs-CZ" w:bidi="cs-CZ"/>
        </w:rPr>
        <w:t>e</w:t>
      </w:r>
      <w:bookmarkEnd w:id="130"/>
      <w:bookmarkEnd w:id="131"/>
    </w:p>
    <w:p w:rsidR="005E6622" w:rsidRPr="00B169F0" w:rsidRDefault="005E6622" w:rsidP="005E6622">
      <w:pPr>
        <w:pStyle w:val="Titulek"/>
        <w:rPr>
          <w:rFonts w:ascii="Times New Roman" w:hAnsi="Times New Roman" w:cs="Times New Roman"/>
          <w:szCs w:val="22"/>
        </w:rPr>
      </w:pPr>
      <w:bookmarkStart w:id="132" w:name="_Toc66346569"/>
      <w:r w:rsidRPr="00B169F0">
        <w:rPr>
          <w:rFonts w:ascii="Times New Roman" w:hAnsi="Times New Roman" w:cs="Times New Roman"/>
          <w:szCs w:val="22"/>
        </w:rPr>
        <w:t xml:space="preserve">Tabulka </w:t>
      </w:r>
      <w:r w:rsidRPr="00B169F0">
        <w:rPr>
          <w:rFonts w:ascii="Times New Roman" w:hAnsi="Times New Roman" w:cs="Times New Roman"/>
          <w:szCs w:val="22"/>
        </w:rPr>
        <w:fldChar w:fldCharType="begin"/>
      </w:r>
      <w:r w:rsidRPr="00B169F0">
        <w:rPr>
          <w:rFonts w:ascii="Times New Roman" w:hAnsi="Times New Roman" w:cs="Times New Roman"/>
          <w:szCs w:val="22"/>
        </w:rPr>
        <w:instrText xml:space="preserve"> SEQ Tabulka \* ARABIC </w:instrText>
      </w:r>
      <w:r w:rsidRPr="00B169F0">
        <w:rPr>
          <w:rFonts w:ascii="Times New Roman" w:hAnsi="Times New Roman" w:cs="Times New Roman"/>
          <w:szCs w:val="22"/>
        </w:rPr>
        <w:fldChar w:fldCharType="separate"/>
      </w:r>
      <w:r w:rsidR="007B73BC">
        <w:rPr>
          <w:rFonts w:ascii="Times New Roman" w:hAnsi="Times New Roman" w:cs="Times New Roman"/>
          <w:noProof/>
          <w:szCs w:val="22"/>
        </w:rPr>
        <w:t>9</w:t>
      </w:r>
      <w:r w:rsidRPr="00B169F0">
        <w:rPr>
          <w:rFonts w:ascii="Times New Roman" w:hAnsi="Times New Roman" w:cs="Times New Roman"/>
          <w:szCs w:val="22"/>
        </w:rPr>
        <w:fldChar w:fldCharType="end"/>
      </w:r>
      <w:r w:rsidRPr="00B169F0">
        <w:rPr>
          <w:rFonts w:ascii="Times New Roman" w:hAnsi="Times New Roman" w:cs="Times New Roman"/>
          <w:szCs w:val="22"/>
        </w:rPr>
        <w:t>: Ukazatel</w:t>
      </w:r>
      <w:r w:rsidR="005B64A1">
        <w:rPr>
          <w:rFonts w:ascii="Times New Roman" w:hAnsi="Times New Roman" w:cs="Times New Roman"/>
          <w:szCs w:val="22"/>
        </w:rPr>
        <w:t>e</w:t>
      </w:r>
      <w:r w:rsidRPr="00B169F0">
        <w:rPr>
          <w:rFonts w:ascii="Times New Roman" w:hAnsi="Times New Roman" w:cs="Times New Roman"/>
          <w:szCs w:val="22"/>
        </w:rPr>
        <w:t xml:space="preserve"> výstupů</w:t>
      </w:r>
      <w:bookmarkEnd w:id="132"/>
    </w:p>
    <w:tbl>
      <w:tblPr>
        <w:tblW w:w="5000" w:type="pct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1E0" w:firstRow="1" w:lastRow="1" w:firstColumn="1" w:lastColumn="1" w:noHBand="0" w:noVBand="0"/>
      </w:tblPr>
      <w:tblGrid>
        <w:gridCol w:w="906"/>
        <w:gridCol w:w="1371"/>
        <w:gridCol w:w="761"/>
        <w:gridCol w:w="1161"/>
        <w:gridCol w:w="661"/>
        <w:gridCol w:w="1826"/>
        <w:gridCol w:w="1250"/>
        <w:gridCol w:w="859"/>
        <w:gridCol w:w="834"/>
      </w:tblGrid>
      <w:tr w:rsidR="00571949" w:rsidRPr="00E73BB6" w:rsidTr="00553DD3">
        <w:trPr>
          <w:trHeight w:val="690"/>
        </w:trPr>
        <w:tc>
          <w:tcPr>
            <w:tcW w:w="470" w:type="pct"/>
            <w:shd w:val="clear" w:color="auto" w:fill="002060"/>
          </w:tcPr>
          <w:p w:rsidR="009543DA" w:rsidRPr="005056F8" w:rsidRDefault="009543DA" w:rsidP="005C4229">
            <w:pPr>
              <w:pStyle w:val="Text1"/>
              <w:ind w:left="0"/>
              <w:jc w:val="center"/>
              <w:rPr>
                <w:b/>
                <w:noProof/>
                <w:sz w:val="18"/>
                <w:szCs w:val="18"/>
              </w:rPr>
            </w:pPr>
            <w:r w:rsidRPr="005056F8">
              <w:rPr>
                <w:rFonts w:eastAsia="Times New Roman"/>
                <w:b/>
                <w:iCs/>
                <w:noProof/>
                <w:sz w:val="18"/>
                <w:szCs w:val="18"/>
                <w:lang w:eastAsia="en-GB"/>
              </w:rPr>
              <w:t>Priorita</w:t>
            </w:r>
          </w:p>
        </w:tc>
        <w:tc>
          <w:tcPr>
            <w:tcW w:w="712" w:type="pct"/>
            <w:shd w:val="clear" w:color="auto" w:fill="002060"/>
          </w:tcPr>
          <w:p w:rsidR="009543DA" w:rsidRPr="005056F8" w:rsidRDefault="009543DA" w:rsidP="005C4229">
            <w:pPr>
              <w:pStyle w:val="Text1"/>
              <w:ind w:left="0"/>
              <w:jc w:val="center"/>
              <w:rPr>
                <w:b/>
                <w:noProof/>
                <w:sz w:val="18"/>
                <w:szCs w:val="18"/>
              </w:rPr>
            </w:pPr>
            <w:r w:rsidRPr="005056F8">
              <w:rPr>
                <w:rFonts w:eastAsia="Times New Roman"/>
                <w:b/>
                <w:iCs/>
                <w:noProof/>
                <w:sz w:val="18"/>
                <w:szCs w:val="18"/>
                <w:lang w:eastAsia="en-GB"/>
              </w:rPr>
              <w:t xml:space="preserve">Specifický cíl </w:t>
            </w:r>
          </w:p>
        </w:tc>
        <w:tc>
          <w:tcPr>
            <w:tcW w:w="395" w:type="pct"/>
            <w:shd w:val="clear" w:color="auto" w:fill="002060"/>
          </w:tcPr>
          <w:p w:rsidR="009543DA" w:rsidRPr="005056F8" w:rsidRDefault="009543DA" w:rsidP="005C4229">
            <w:pPr>
              <w:pStyle w:val="Text1"/>
              <w:ind w:left="0"/>
              <w:jc w:val="center"/>
              <w:rPr>
                <w:b/>
                <w:noProof/>
                <w:sz w:val="18"/>
                <w:szCs w:val="18"/>
              </w:rPr>
            </w:pPr>
            <w:r w:rsidRPr="005056F8">
              <w:rPr>
                <w:b/>
                <w:noProof/>
                <w:sz w:val="18"/>
                <w:szCs w:val="18"/>
              </w:rPr>
              <w:t>Fond</w:t>
            </w:r>
          </w:p>
        </w:tc>
        <w:tc>
          <w:tcPr>
            <w:tcW w:w="603" w:type="pct"/>
            <w:shd w:val="clear" w:color="auto" w:fill="002060"/>
          </w:tcPr>
          <w:p w:rsidR="009543DA" w:rsidRPr="005056F8" w:rsidRDefault="009543DA" w:rsidP="005C4229">
            <w:pPr>
              <w:pStyle w:val="Text1"/>
              <w:ind w:left="0"/>
              <w:jc w:val="center"/>
              <w:rPr>
                <w:b/>
                <w:noProof/>
                <w:sz w:val="18"/>
                <w:szCs w:val="18"/>
              </w:rPr>
            </w:pPr>
            <w:r w:rsidRPr="005056F8">
              <w:rPr>
                <w:b/>
                <w:noProof/>
                <w:sz w:val="18"/>
                <w:szCs w:val="18"/>
              </w:rPr>
              <w:t>Kategorie regionu</w:t>
            </w:r>
          </w:p>
        </w:tc>
        <w:tc>
          <w:tcPr>
            <w:tcW w:w="343" w:type="pct"/>
            <w:shd w:val="clear" w:color="auto" w:fill="002060"/>
          </w:tcPr>
          <w:p w:rsidR="009543DA" w:rsidRPr="005056F8" w:rsidRDefault="009543DA" w:rsidP="005C4229">
            <w:pPr>
              <w:pStyle w:val="Text1"/>
              <w:ind w:left="0"/>
              <w:jc w:val="center"/>
              <w:rPr>
                <w:b/>
                <w:noProof/>
                <w:sz w:val="18"/>
                <w:szCs w:val="18"/>
              </w:rPr>
            </w:pPr>
            <w:r w:rsidRPr="005056F8">
              <w:rPr>
                <w:b/>
                <w:noProof/>
                <w:sz w:val="18"/>
                <w:szCs w:val="18"/>
              </w:rPr>
              <w:t>ID</w:t>
            </w:r>
          </w:p>
        </w:tc>
        <w:tc>
          <w:tcPr>
            <w:tcW w:w="948" w:type="pct"/>
            <w:shd w:val="clear" w:color="auto" w:fill="002060"/>
          </w:tcPr>
          <w:p w:rsidR="009543DA" w:rsidRPr="005056F8" w:rsidRDefault="009543DA" w:rsidP="005C4229">
            <w:pPr>
              <w:pStyle w:val="Text1"/>
              <w:ind w:left="0"/>
              <w:jc w:val="center"/>
              <w:rPr>
                <w:b/>
                <w:noProof/>
                <w:sz w:val="18"/>
                <w:szCs w:val="18"/>
              </w:rPr>
            </w:pPr>
            <w:r w:rsidRPr="005056F8">
              <w:rPr>
                <w:b/>
                <w:noProof/>
                <w:sz w:val="18"/>
                <w:szCs w:val="18"/>
              </w:rPr>
              <w:t>Ukazatel</w:t>
            </w:r>
          </w:p>
        </w:tc>
        <w:tc>
          <w:tcPr>
            <w:tcW w:w="649" w:type="pct"/>
            <w:shd w:val="clear" w:color="auto" w:fill="002060"/>
          </w:tcPr>
          <w:p w:rsidR="009543DA" w:rsidRPr="005056F8" w:rsidRDefault="009543DA" w:rsidP="005C4229">
            <w:pPr>
              <w:pStyle w:val="Text1"/>
              <w:ind w:left="0"/>
              <w:jc w:val="center"/>
              <w:rPr>
                <w:b/>
                <w:noProof/>
                <w:sz w:val="18"/>
                <w:szCs w:val="18"/>
              </w:rPr>
            </w:pPr>
            <w:r w:rsidRPr="005056F8">
              <w:rPr>
                <w:b/>
                <w:noProof/>
                <w:sz w:val="18"/>
                <w:szCs w:val="18"/>
              </w:rPr>
              <w:t>Jednotka měření</w:t>
            </w:r>
          </w:p>
        </w:tc>
        <w:tc>
          <w:tcPr>
            <w:tcW w:w="446" w:type="pct"/>
            <w:shd w:val="clear" w:color="auto" w:fill="002060"/>
          </w:tcPr>
          <w:p w:rsidR="009543DA" w:rsidRPr="005056F8" w:rsidRDefault="009543DA" w:rsidP="005C4229">
            <w:pPr>
              <w:pStyle w:val="Text1"/>
              <w:ind w:left="0"/>
              <w:jc w:val="center"/>
              <w:rPr>
                <w:b/>
                <w:noProof/>
                <w:sz w:val="18"/>
                <w:szCs w:val="18"/>
              </w:rPr>
            </w:pPr>
            <w:r w:rsidRPr="005056F8">
              <w:rPr>
                <w:b/>
                <w:noProof/>
                <w:sz w:val="18"/>
                <w:szCs w:val="18"/>
              </w:rPr>
              <w:t>Milník (2024)</w:t>
            </w:r>
          </w:p>
        </w:tc>
        <w:tc>
          <w:tcPr>
            <w:tcW w:w="433" w:type="pct"/>
            <w:shd w:val="clear" w:color="auto" w:fill="002060"/>
          </w:tcPr>
          <w:p w:rsidR="009543DA" w:rsidRPr="005056F8" w:rsidRDefault="009543DA" w:rsidP="005C4229">
            <w:pPr>
              <w:pStyle w:val="Text1"/>
              <w:ind w:left="0"/>
              <w:jc w:val="center"/>
              <w:rPr>
                <w:b/>
                <w:noProof/>
                <w:sz w:val="18"/>
                <w:szCs w:val="18"/>
              </w:rPr>
            </w:pPr>
            <w:r w:rsidRPr="005056F8">
              <w:rPr>
                <w:b/>
                <w:noProof/>
                <w:sz w:val="18"/>
                <w:szCs w:val="18"/>
              </w:rPr>
              <w:t>Cíl (2029)</w:t>
            </w:r>
          </w:p>
        </w:tc>
      </w:tr>
      <w:tr w:rsidR="00956176" w:rsidRPr="00E73BB6" w:rsidTr="009859D0">
        <w:trPr>
          <w:trHeight w:val="332"/>
        </w:trPr>
        <w:tc>
          <w:tcPr>
            <w:tcW w:w="470" w:type="pct"/>
            <w:vMerge w:val="restart"/>
            <w:shd w:val="clear" w:color="auto" w:fill="DEEAF6" w:themeFill="accent5" w:themeFillTint="33"/>
          </w:tcPr>
          <w:p w:rsidR="00956176" w:rsidRPr="005056F8" w:rsidRDefault="00956176" w:rsidP="00956176">
            <w:pPr>
              <w:pStyle w:val="Text1"/>
              <w:spacing w:before="0" w:after="0" w:line="240" w:lineRule="auto"/>
              <w:ind w:left="0"/>
              <w:rPr>
                <w:noProof/>
                <w:sz w:val="18"/>
                <w:szCs w:val="18"/>
                <w:highlight w:val="yellow"/>
              </w:rPr>
            </w:pPr>
            <w:r w:rsidRPr="005056F8">
              <w:rPr>
                <w:noProof/>
                <w:sz w:val="18"/>
                <w:szCs w:val="18"/>
              </w:rPr>
              <w:t>P1</w:t>
            </w:r>
          </w:p>
        </w:tc>
        <w:tc>
          <w:tcPr>
            <w:tcW w:w="712" w:type="pct"/>
            <w:vMerge w:val="restart"/>
            <w:shd w:val="clear" w:color="auto" w:fill="DEEAF6" w:themeFill="accent5" w:themeFillTint="33"/>
          </w:tcPr>
          <w:p w:rsidR="00956176" w:rsidRPr="00391207" w:rsidRDefault="00956176" w:rsidP="00391207">
            <w:pPr>
              <w:spacing w:before="0" w:after="0" w:line="240" w:lineRule="auto"/>
              <w:jc w:val="both"/>
              <w:rPr>
                <w:color w:val="000000"/>
                <w:sz w:val="18"/>
                <w:szCs w:val="18"/>
                <w:lang w:eastAsia="cs-CZ" w:bidi="cs-CZ"/>
              </w:rPr>
            </w:pPr>
            <w:r w:rsidRPr="005056F8">
              <w:rPr>
                <w:color w:val="000000"/>
                <w:sz w:val="18"/>
                <w:szCs w:val="18"/>
                <w:lang w:eastAsia="cs-CZ" w:bidi="cs-CZ"/>
              </w:rPr>
              <w:t>1.2</w:t>
            </w:r>
          </w:p>
        </w:tc>
        <w:tc>
          <w:tcPr>
            <w:tcW w:w="395" w:type="pct"/>
            <w:vMerge w:val="restart"/>
            <w:shd w:val="clear" w:color="auto" w:fill="DEEAF6" w:themeFill="accent5" w:themeFillTint="33"/>
          </w:tcPr>
          <w:p w:rsidR="00956176" w:rsidRPr="005056F8" w:rsidRDefault="00956176" w:rsidP="00956176">
            <w:pPr>
              <w:pStyle w:val="Text1"/>
              <w:spacing w:before="0" w:after="0" w:line="240" w:lineRule="auto"/>
              <w:ind w:left="0"/>
              <w:rPr>
                <w:noProof/>
                <w:sz w:val="18"/>
                <w:szCs w:val="18"/>
              </w:rPr>
            </w:pPr>
            <w:r w:rsidRPr="005056F8">
              <w:rPr>
                <w:noProof/>
                <w:sz w:val="18"/>
                <w:szCs w:val="18"/>
              </w:rPr>
              <w:t>ERDF</w:t>
            </w:r>
          </w:p>
        </w:tc>
        <w:tc>
          <w:tcPr>
            <w:tcW w:w="603" w:type="pct"/>
            <w:shd w:val="clear" w:color="auto" w:fill="DEEAF6" w:themeFill="accent5" w:themeFillTint="33"/>
          </w:tcPr>
          <w:p w:rsidR="00956176" w:rsidRPr="005056F8" w:rsidRDefault="00956176" w:rsidP="00956176">
            <w:pPr>
              <w:spacing w:before="0" w:after="0" w:line="240" w:lineRule="auto"/>
              <w:rPr>
                <w:color w:val="000000"/>
                <w:sz w:val="18"/>
                <w:szCs w:val="18"/>
                <w:lang w:eastAsia="cs-CZ" w:bidi="cs-CZ"/>
              </w:rPr>
            </w:pPr>
            <w:r w:rsidRPr="005056F8">
              <w:rPr>
                <w:color w:val="000000"/>
                <w:sz w:val="18"/>
                <w:szCs w:val="18"/>
                <w:lang w:eastAsia="cs-CZ" w:bidi="cs-CZ"/>
              </w:rPr>
              <w:t>Více rozvinuté</w:t>
            </w:r>
          </w:p>
        </w:tc>
        <w:tc>
          <w:tcPr>
            <w:tcW w:w="343" w:type="pct"/>
            <w:vMerge w:val="restart"/>
            <w:shd w:val="clear" w:color="auto" w:fill="DEEAF6" w:themeFill="accent5" w:themeFillTint="33"/>
          </w:tcPr>
          <w:p w:rsidR="00956176" w:rsidRPr="005056F8" w:rsidRDefault="00956176" w:rsidP="00956176">
            <w:pPr>
              <w:pStyle w:val="Default"/>
              <w:rPr>
                <w:rFonts w:ascii="Times New Roman" w:hAnsi="Times New Roman" w:cs="Times New Roman"/>
                <w:strike/>
                <w:sz w:val="18"/>
                <w:szCs w:val="18"/>
                <w:lang w:eastAsia="cs-CZ" w:bidi="cs-CZ"/>
              </w:rPr>
            </w:pPr>
          </w:p>
        </w:tc>
        <w:tc>
          <w:tcPr>
            <w:tcW w:w="948" w:type="pct"/>
            <w:vMerge w:val="restart"/>
            <w:shd w:val="clear" w:color="auto" w:fill="DEEAF6" w:themeFill="accent5" w:themeFillTint="33"/>
          </w:tcPr>
          <w:p w:rsidR="00956176" w:rsidRPr="005056F8" w:rsidRDefault="00956176" w:rsidP="00956176">
            <w:pPr>
              <w:pStyle w:val="Default"/>
              <w:rPr>
                <w:rFonts w:ascii="Times New Roman" w:hAnsi="Times New Roman" w:cs="Times New Roman"/>
                <w:strike/>
                <w:sz w:val="18"/>
                <w:szCs w:val="18"/>
                <w:lang w:eastAsia="cs-CZ" w:bidi="cs-CZ"/>
              </w:rPr>
            </w:pPr>
            <w:r w:rsidRPr="005056F8"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  <w:t>Počet nově vytvořených produktů strategického řízení VaVaI</w:t>
            </w:r>
          </w:p>
        </w:tc>
        <w:tc>
          <w:tcPr>
            <w:tcW w:w="649" w:type="pct"/>
            <w:vMerge w:val="restart"/>
            <w:shd w:val="clear" w:color="auto" w:fill="DEEAF6" w:themeFill="accent5" w:themeFillTint="33"/>
          </w:tcPr>
          <w:p w:rsidR="00956176" w:rsidRPr="005056F8" w:rsidRDefault="00956176" w:rsidP="00956176">
            <w:pPr>
              <w:pStyle w:val="Text1"/>
              <w:spacing w:before="0" w:after="0" w:line="240" w:lineRule="auto"/>
              <w:ind w:left="0"/>
              <w:rPr>
                <w:strike/>
                <w:color w:val="000000"/>
                <w:sz w:val="18"/>
                <w:szCs w:val="18"/>
                <w:lang w:eastAsia="cs-CZ" w:bidi="cs-CZ"/>
              </w:rPr>
            </w:pPr>
            <w:r w:rsidRPr="005056F8">
              <w:rPr>
                <w:color w:val="000000"/>
                <w:sz w:val="18"/>
                <w:szCs w:val="18"/>
                <w:lang w:eastAsia="cs-CZ" w:bidi="cs-CZ"/>
              </w:rPr>
              <w:t>Produkty</w:t>
            </w:r>
          </w:p>
        </w:tc>
        <w:tc>
          <w:tcPr>
            <w:tcW w:w="446" w:type="pct"/>
            <w:shd w:val="clear" w:color="auto" w:fill="DEEAF6" w:themeFill="accent5" w:themeFillTint="33"/>
          </w:tcPr>
          <w:p w:rsidR="00956176" w:rsidRPr="005056F8" w:rsidRDefault="00956176" w:rsidP="004A74E8">
            <w:pPr>
              <w:pStyle w:val="Text1"/>
              <w:spacing w:before="0" w:after="0" w:line="240" w:lineRule="auto"/>
              <w:ind w:left="0"/>
              <w:jc w:val="center"/>
              <w:rPr>
                <w:b/>
                <w:noProof/>
                <w:sz w:val="18"/>
                <w:szCs w:val="18"/>
                <w:highlight w:val="yellow"/>
              </w:rPr>
            </w:pPr>
            <w:r w:rsidRPr="005C4229">
              <w:rPr>
                <w:noProof/>
                <w:sz w:val="18"/>
                <w:szCs w:val="18"/>
              </w:rPr>
              <w:t>-</w:t>
            </w:r>
          </w:p>
        </w:tc>
        <w:tc>
          <w:tcPr>
            <w:tcW w:w="433" w:type="pct"/>
            <w:shd w:val="clear" w:color="auto" w:fill="DEEAF6" w:themeFill="accent5" w:themeFillTint="33"/>
          </w:tcPr>
          <w:p w:rsidR="00956176" w:rsidRPr="005056F8" w:rsidRDefault="00956176" w:rsidP="004A74E8">
            <w:pPr>
              <w:pStyle w:val="Text1"/>
              <w:spacing w:before="0" w:after="0" w:line="240" w:lineRule="auto"/>
              <w:ind w:left="0"/>
              <w:jc w:val="right"/>
              <w:rPr>
                <w:b/>
                <w:noProof/>
                <w:sz w:val="18"/>
                <w:szCs w:val="18"/>
                <w:highlight w:val="yellow"/>
              </w:rPr>
            </w:pPr>
            <w:r w:rsidRPr="005C4229">
              <w:rPr>
                <w:noProof/>
                <w:sz w:val="18"/>
                <w:szCs w:val="18"/>
              </w:rPr>
              <w:t>26</w:t>
            </w:r>
          </w:p>
        </w:tc>
      </w:tr>
      <w:tr w:rsidR="00956176" w:rsidRPr="00E73BB6" w:rsidTr="009859D0">
        <w:trPr>
          <w:trHeight w:val="332"/>
        </w:trPr>
        <w:tc>
          <w:tcPr>
            <w:tcW w:w="470" w:type="pct"/>
            <w:vMerge/>
            <w:shd w:val="clear" w:color="auto" w:fill="DEEAF6" w:themeFill="accent5" w:themeFillTint="33"/>
          </w:tcPr>
          <w:p w:rsidR="00956176" w:rsidRPr="005056F8" w:rsidRDefault="00956176" w:rsidP="00956176">
            <w:pPr>
              <w:pStyle w:val="Text1"/>
              <w:spacing w:before="0" w:after="0" w:line="240" w:lineRule="auto"/>
              <w:ind w:left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712" w:type="pct"/>
            <w:vMerge/>
            <w:shd w:val="clear" w:color="auto" w:fill="DEEAF6" w:themeFill="accent5" w:themeFillTint="33"/>
          </w:tcPr>
          <w:p w:rsidR="00956176" w:rsidRPr="005056F8" w:rsidRDefault="00956176" w:rsidP="00956176">
            <w:pPr>
              <w:pStyle w:val="Text1"/>
              <w:spacing w:before="0" w:after="0" w:line="240" w:lineRule="auto"/>
              <w:ind w:left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395" w:type="pct"/>
            <w:vMerge/>
            <w:shd w:val="clear" w:color="auto" w:fill="DEEAF6" w:themeFill="accent5" w:themeFillTint="33"/>
          </w:tcPr>
          <w:p w:rsidR="00956176" w:rsidRPr="005056F8" w:rsidRDefault="00956176" w:rsidP="00956176">
            <w:pPr>
              <w:pStyle w:val="Text1"/>
              <w:spacing w:before="0" w:after="0" w:line="240" w:lineRule="auto"/>
              <w:ind w:left="0"/>
              <w:rPr>
                <w:b/>
                <w:i/>
                <w:noProof/>
                <w:sz w:val="18"/>
                <w:szCs w:val="18"/>
              </w:rPr>
            </w:pPr>
          </w:p>
        </w:tc>
        <w:tc>
          <w:tcPr>
            <w:tcW w:w="603" w:type="pct"/>
            <w:shd w:val="clear" w:color="auto" w:fill="DEEAF6" w:themeFill="accent5" w:themeFillTint="33"/>
          </w:tcPr>
          <w:p w:rsidR="00956176" w:rsidRPr="005056F8" w:rsidRDefault="00956176" w:rsidP="00956176">
            <w:pPr>
              <w:spacing w:before="0" w:after="0" w:line="240" w:lineRule="auto"/>
              <w:rPr>
                <w:color w:val="000000"/>
                <w:sz w:val="18"/>
                <w:szCs w:val="18"/>
                <w:lang w:eastAsia="cs-CZ" w:bidi="cs-CZ"/>
              </w:rPr>
            </w:pPr>
            <w:r w:rsidRPr="005056F8">
              <w:rPr>
                <w:color w:val="000000"/>
                <w:sz w:val="18"/>
                <w:szCs w:val="18"/>
                <w:lang w:eastAsia="cs-CZ" w:bidi="cs-CZ"/>
              </w:rPr>
              <w:t>Přechodové</w:t>
            </w:r>
          </w:p>
        </w:tc>
        <w:tc>
          <w:tcPr>
            <w:tcW w:w="343" w:type="pct"/>
            <w:vMerge/>
            <w:shd w:val="clear" w:color="auto" w:fill="DEEAF6" w:themeFill="accent5" w:themeFillTint="33"/>
          </w:tcPr>
          <w:p w:rsidR="00956176" w:rsidRPr="005056F8" w:rsidRDefault="00956176" w:rsidP="00956176">
            <w:pPr>
              <w:pStyle w:val="Default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</w:p>
        </w:tc>
        <w:tc>
          <w:tcPr>
            <w:tcW w:w="948" w:type="pct"/>
            <w:vMerge/>
            <w:shd w:val="clear" w:color="auto" w:fill="DEEAF6" w:themeFill="accent5" w:themeFillTint="33"/>
          </w:tcPr>
          <w:p w:rsidR="00956176" w:rsidRPr="005056F8" w:rsidRDefault="00956176" w:rsidP="00956176">
            <w:pPr>
              <w:pStyle w:val="Default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</w:p>
        </w:tc>
        <w:tc>
          <w:tcPr>
            <w:tcW w:w="649" w:type="pct"/>
            <w:vMerge/>
            <w:shd w:val="clear" w:color="auto" w:fill="DEEAF6" w:themeFill="accent5" w:themeFillTint="33"/>
          </w:tcPr>
          <w:p w:rsidR="00956176" w:rsidRPr="005056F8" w:rsidRDefault="00956176" w:rsidP="00956176">
            <w:pPr>
              <w:pStyle w:val="Text1"/>
              <w:spacing w:before="0" w:after="0" w:line="240" w:lineRule="auto"/>
              <w:ind w:left="0"/>
              <w:rPr>
                <w:color w:val="000000"/>
                <w:sz w:val="18"/>
                <w:szCs w:val="18"/>
                <w:lang w:eastAsia="cs-CZ" w:bidi="cs-CZ"/>
              </w:rPr>
            </w:pPr>
          </w:p>
        </w:tc>
        <w:tc>
          <w:tcPr>
            <w:tcW w:w="446" w:type="pct"/>
            <w:shd w:val="clear" w:color="auto" w:fill="DEEAF6" w:themeFill="accent5" w:themeFillTint="33"/>
          </w:tcPr>
          <w:p w:rsidR="00956176" w:rsidRPr="005056F8" w:rsidRDefault="00956176" w:rsidP="004A74E8">
            <w:pPr>
              <w:pStyle w:val="Text1"/>
              <w:spacing w:before="0" w:after="0" w:line="240" w:lineRule="auto"/>
              <w:ind w:left="0"/>
              <w:jc w:val="center"/>
              <w:rPr>
                <w:b/>
                <w:noProof/>
                <w:sz w:val="18"/>
                <w:szCs w:val="18"/>
                <w:highlight w:val="yellow"/>
              </w:rPr>
            </w:pPr>
            <w:r w:rsidRPr="005C4229">
              <w:rPr>
                <w:noProof/>
                <w:sz w:val="18"/>
                <w:szCs w:val="18"/>
              </w:rPr>
              <w:t>-</w:t>
            </w:r>
          </w:p>
        </w:tc>
        <w:tc>
          <w:tcPr>
            <w:tcW w:w="433" w:type="pct"/>
            <w:shd w:val="clear" w:color="auto" w:fill="DEEAF6" w:themeFill="accent5" w:themeFillTint="33"/>
          </w:tcPr>
          <w:p w:rsidR="00956176" w:rsidRPr="005056F8" w:rsidRDefault="00956176" w:rsidP="004A74E8">
            <w:pPr>
              <w:pStyle w:val="Text1"/>
              <w:spacing w:before="0" w:after="0" w:line="240" w:lineRule="auto"/>
              <w:ind w:left="0"/>
              <w:jc w:val="right"/>
              <w:rPr>
                <w:b/>
                <w:noProof/>
                <w:sz w:val="18"/>
                <w:szCs w:val="18"/>
                <w:highlight w:val="yellow"/>
              </w:rPr>
            </w:pPr>
            <w:r w:rsidRPr="005C4229">
              <w:rPr>
                <w:noProof/>
                <w:sz w:val="18"/>
                <w:szCs w:val="18"/>
              </w:rPr>
              <w:t>45</w:t>
            </w:r>
          </w:p>
        </w:tc>
      </w:tr>
      <w:tr w:rsidR="00956176" w:rsidRPr="00E73BB6" w:rsidTr="009859D0">
        <w:trPr>
          <w:trHeight w:val="332"/>
        </w:trPr>
        <w:tc>
          <w:tcPr>
            <w:tcW w:w="470" w:type="pct"/>
            <w:vMerge/>
            <w:shd w:val="clear" w:color="auto" w:fill="DEEAF6" w:themeFill="accent5" w:themeFillTint="33"/>
          </w:tcPr>
          <w:p w:rsidR="00956176" w:rsidRPr="005056F8" w:rsidRDefault="00956176" w:rsidP="00956176">
            <w:pPr>
              <w:pStyle w:val="Text1"/>
              <w:spacing w:before="0" w:after="0" w:line="240" w:lineRule="auto"/>
              <w:ind w:left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712" w:type="pct"/>
            <w:vMerge/>
            <w:shd w:val="clear" w:color="auto" w:fill="DEEAF6" w:themeFill="accent5" w:themeFillTint="33"/>
          </w:tcPr>
          <w:p w:rsidR="00956176" w:rsidRPr="005056F8" w:rsidRDefault="00956176" w:rsidP="00956176">
            <w:pPr>
              <w:pStyle w:val="Text1"/>
              <w:spacing w:before="0" w:after="0" w:line="240" w:lineRule="auto"/>
              <w:ind w:left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395" w:type="pct"/>
            <w:vMerge/>
            <w:shd w:val="clear" w:color="auto" w:fill="DEEAF6" w:themeFill="accent5" w:themeFillTint="33"/>
          </w:tcPr>
          <w:p w:rsidR="00956176" w:rsidRPr="005056F8" w:rsidRDefault="00956176" w:rsidP="00956176">
            <w:pPr>
              <w:pStyle w:val="Text1"/>
              <w:spacing w:before="0" w:after="0" w:line="240" w:lineRule="auto"/>
              <w:ind w:left="0"/>
              <w:rPr>
                <w:b/>
                <w:i/>
                <w:noProof/>
                <w:sz w:val="18"/>
                <w:szCs w:val="18"/>
              </w:rPr>
            </w:pPr>
          </w:p>
        </w:tc>
        <w:tc>
          <w:tcPr>
            <w:tcW w:w="603" w:type="pct"/>
            <w:shd w:val="clear" w:color="auto" w:fill="DEEAF6" w:themeFill="accent5" w:themeFillTint="33"/>
          </w:tcPr>
          <w:p w:rsidR="00956176" w:rsidRPr="005056F8" w:rsidRDefault="00956176" w:rsidP="00956176">
            <w:pPr>
              <w:spacing w:before="0" w:after="0" w:line="240" w:lineRule="auto"/>
              <w:rPr>
                <w:color w:val="000000"/>
                <w:sz w:val="18"/>
                <w:szCs w:val="18"/>
                <w:lang w:eastAsia="cs-CZ" w:bidi="cs-CZ"/>
              </w:rPr>
            </w:pPr>
            <w:r w:rsidRPr="005056F8">
              <w:rPr>
                <w:color w:val="000000"/>
                <w:sz w:val="18"/>
                <w:szCs w:val="18"/>
                <w:lang w:eastAsia="cs-CZ" w:bidi="cs-CZ"/>
              </w:rPr>
              <w:t>Méně rozvinuté</w:t>
            </w:r>
          </w:p>
        </w:tc>
        <w:tc>
          <w:tcPr>
            <w:tcW w:w="343" w:type="pct"/>
            <w:vMerge/>
            <w:shd w:val="clear" w:color="auto" w:fill="DEEAF6" w:themeFill="accent5" w:themeFillTint="33"/>
          </w:tcPr>
          <w:p w:rsidR="00956176" w:rsidRPr="005056F8" w:rsidRDefault="00956176" w:rsidP="00956176">
            <w:pPr>
              <w:pStyle w:val="Default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</w:p>
        </w:tc>
        <w:tc>
          <w:tcPr>
            <w:tcW w:w="948" w:type="pct"/>
            <w:vMerge/>
            <w:shd w:val="clear" w:color="auto" w:fill="DEEAF6" w:themeFill="accent5" w:themeFillTint="33"/>
          </w:tcPr>
          <w:p w:rsidR="00956176" w:rsidRPr="005056F8" w:rsidRDefault="00956176" w:rsidP="00956176">
            <w:pPr>
              <w:pStyle w:val="Default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</w:p>
        </w:tc>
        <w:tc>
          <w:tcPr>
            <w:tcW w:w="649" w:type="pct"/>
            <w:vMerge/>
            <w:shd w:val="clear" w:color="auto" w:fill="DEEAF6" w:themeFill="accent5" w:themeFillTint="33"/>
          </w:tcPr>
          <w:p w:rsidR="00956176" w:rsidRPr="005056F8" w:rsidRDefault="00956176" w:rsidP="00956176">
            <w:pPr>
              <w:pStyle w:val="Text1"/>
              <w:spacing w:before="0" w:after="0" w:line="240" w:lineRule="auto"/>
              <w:ind w:left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446" w:type="pct"/>
            <w:shd w:val="clear" w:color="auto" w:fill="DEEAF6" w:themeFill="accent5" w:themeFillTint="33"/>
          </w:tcPr>
          <w:p w:rsidR="00956176" w:rsidRPr="005056F8" w:rsidRDefault="00956176" w:rsidP="004A74E8">
            <w:pPr>
              <w:pStyle w:val="Text1"/>
              <w:spacing w:before="0" w:after="0" w:line="240" w:lineRule="auto"/>
              <w:ind w:left="0"/>
              <w:jc w:val="center"/>
              <w:rPr>
                <w:b/>
                <w:noProof/>
                <w:sz w:val="18"/>
                <w:szCs w:val="18"/>
                <w:highlight w:val="yellow"/>
              </w:rPr>
            </w:pPr>
            <w:r w:rsidRPr="005C4229">
              <w:rPr>
                <w:noProof/>
                <w:sz w:val="18"/>
                <w:szCs w:val="18"/>
              </w:rPr>
              <w:t>-</w:t>
            </w:r>
          </w:p>
        </w:tc>
        <w:tc>
          <w:tcPr>
            <w:tcW w:w="433" w:type="pct"/>
            <w:shd w:val="clear" w:color="auto" w:fill="DEEAF6" w:themeFill="accent5" w:themeFillTint="33"/>
          </w:tcPr>
          <w:p w:rsidR="00956176" w:rsidRPr="005056F8" w:rsidRDefault="00956176" w:rsidP="004A74E8">
            <w:pPr>
              <w:pStyle w:val="Text1"/>
              <w:spacing w:before="0" w:after="0" w:line="240" w:lineRule="auto"/>
              <w:ind w:left="0"/>
              <w:jc w:val="right"/>
              <w:rPr>
                <w:b/>
                <w:noProof/>
                <w:sz w:val="18"/>
                <w:szCs w:val="18"/>
                <w:highlight w:val="yellow"/>
              </w:rPr>
            </w:pPr>
            <w:r w:rsidRPr="005C4229">
              <w:rPr>
                <w:noProof/>
                <w:sz w:val="18"/>
                <w:szCs w:val="18"/>
              </w:rPr>
              <w:t>26</w:t>
            </w:r>
          </w:p>
        </w:tc>
      </w:tr>
    </w:tbl>
    <w:p w:rsidR="005E6622" w:rsidRPr="00B169F0" w:rsidRDefault="005E6622" w:rsidP="005E6622">
      <w:pPr>
        <w:pStyle w:val="Titulek"/>
        <w:rPr>
          <w:rFonts w:ascii="Times New Roman" w:hAnsi="Times New Roman" w:cs="Times New Roman"/>
        </w:rPr>
      </w:pPr>
      <w:bookmarkStart w:id="133" w:name="_Toc66346570"/>
      <w:r w:rsidRPr="00B169F0">
        <w:rPr>
          <w:rFonts w:ascii="Times New Roman" w:hAnsi="Times New Roman" w:cs="Times New Roman"/>
        </w:rPr>
        <w:t xml:space="preserve">Tabulka </w:t>
      </w:r>
      <w:r w:rsidRPr="00B169F0">
        <w:rPr>
          <w:rFonts w:ascii="Times New Roman" w:hAnsi="Times New Roman" w:cs="Times New Roman"/>
        </w:rPr>
        <w:fldChar w:fldCharType="begin"/>
      </w:r>
      <w:r w:rsidRPr="00B169F0">
        <w:rPr>
          <w:rFonts w:ascii="Times New Roman" w:hAnsi="Times New Roman" w:cs="Times New Roman"/>
        </w:rPr>
        <w:instrText xml:space="preserve"> SEQ Tabulka \* ARABIC </w:instrText>
      </w:r>
      <w:r w:rsidRPr="00B169F0">
        <w:rPr>
          <w:rFonts w:ascii="Times New Roman" w:hAnsi="Times New Roman" w:cs="Times New Roman"/>
        </w:rPr>
        <w:fldChar w:fldCharType="separate"/>
      </w:r>
      <w:r w:rsidR="007B73BC">
        <w:rPr>
          <w:rFonts w:ascii="Times New Roman" w:hAnsi="Times New Roman" w:cs="Times New Roman"/>
          <w:noProof/>
        </w:rPr>
        <w:t>10</w:t>
      </w:r>
      <w:r w:rsidRPr="00B169F0">
        <w:rPr>
          <w:rFonts w:ascii="Times New Roman" w:hAnsi="Times New Roman" w:cs="Times New Roman"/>
        </w:rPr>
        <w:fldChar w:fldCharType="end"/>
      </w:r>
      <w:r w:rsidRPr="00B169F0">
        <w:rPr>
          <w:rFonts w:ascii="Times New Roman" w:hAnsi="Times New Roman" w:cs="Times New Roman"/>
        </w:rPr>
        <w:t>: Ukazatel</w:t>
      </w:r>
      <w:r w:rsidR="005B64A1">
        <w:rPr>
          <w:rFonts w:ascii="Times New Roman" w:hAnsi="Times New Roman" w:cs="Times New Roman"/>
        </w:rPr>
        <w:t>e</w:t>
      </w:r>
      <w:r w:rsidRPr="00B169F0">
        <w:rPr>
          <w:rFonts w:ascii="Times New Roman" w:hAnsi="Times New Roman" w:cs="Times New Roman"/>
        </w:rPr>
        <w:t xml:space="preserve"> výsledků</w:t>
      </w:r>
      <w:bookmarkEnd w:id="13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7"/>
        <w:gridCol w:w="1292"/>
        <w:gridCol w:w="711"/>
        <w:gridCol w:w="1132"/>
        <w:gridCol w:w="426"/>
        <w:gridCol w:w="1277"/>
        <w:gridCol w:w="849"/>
        <w:gridCol w:w="709"/>
        <w:gridCol w:w="568"/>
        <w:gridCol w:w="711"/>
        <w:gridCol w:w="851"/>
        <w:gridCol w:w="416"/>
      </w:tblGrid>
      <w:tr w:rsidR="00957EA2" w:rsidRPr="003B3D2F" w:rsidTr="00957EA2">
        <w:trPr>
          <w:trHeight w:val="2017"/>
        </w:trPr>
        <w:tc>
          <w:tcPr>
            <w:tcW w:w="357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textDirection w:val="btLr"/>
            <w:vAlign w:val="center"/>
          </w:tcPr>
          <w:p w:rsidR="00957EA2" w:rsidRPr="005056F8" w:rsidRDefault="00957EA2" w:rsidP="00957EA2">
            <w:pPr>
              <w:pStyle w:val="Text1"/>
              <w:spacing w:before="0" w:after="0"/>
              <w:ind w:left="0"/>
              <w:jc w:val="center"/>
              <w:rPr>
                <w:b/>
                <w:noProof/>
                <w:sz w:val="18"/>
                <w:szCs w:val="18"/>
              </w:rPr>
            </w:pPr>
            <w:r w:rsidRPr="00B62F1E">
              <w:rPr>
                <w:rFonts w:eastAsia="Times New Roman"/>
                <w:b/>
                <w:iCs/>
                <w:noProof/>
                <w:sz w:val="18"/>
                <w:szCs w:val="18"/>
                <w:lang w:eastAsia="en-GB"/>
              </w:rPr>
              <w:t>Priorita</w:t>
            </w:r>
          </w:p>
        </w:tc>
        <w:tc>
          <w:tcPr>
            <w:tcW w:w="671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textDirection w:val="btLr"/>
            <w:vAlign w:val="center"/>
          </w:tcPr>
          <w:p w:rsidR="00957EA2" w:rsidRPr="005056F8" w:rsidRDefault="00957EA2" w:rsidP="00957EA2">
            <w:pPr>
              <w:pStyle w:val="Text1"/>
              <w:spacing w:before="0" w:after="0"/>
              <w:ind w:left="0"/>
              <w:jc w:val="center"/>
              <w:rPr>
                <w:b/>
                <w:noProof/>
                <w:sz w:val="18"/>
                <w:szCs w:val="18"/>
              </w:rPr>
            </w:pPr>
            <w:r w:rsidRPr="00B62F1E">
              <w:rPr>
                <w:rFonts w:eastAsia="Times New Roman"/>
                <w:b/>
                <w:iCs/>
                <w:noProof/>
                <w:sz w:val="18"/>
                <w:szCs w:val="18"/>
                <w:lang w:eastAsia="en-GB"/>
              </w:rPr>
              <w:t>Specifický cíl</w:t>
            </w:r>
          </w:p>
        </w:tc>
        <w:tc>
          <w:tcPr>
            <w:tcW w:w="369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textDirection w:val="btLr"/>
            <w:vAlign w:val="center"/>
          </w:tcPr>
          <w:p w:rsidR="00957EA2" w:rsidRPr="005056F8" w:rsidRDefault="00957EA2" w:rsidP="00957EA2">
            <w:pPr>
              <w:pStyle w:val="Text1"/>
              <w:spacing w:before="0" w:after="0"/>
              <w:ind w:left="0"/>
              <w:jc w:val="center"/>
              <w:rPr>
                <w:b/>
                <w:noProof/>
                <w:sz w:val="18"/>
                <w:szCs w:val="18"/>
              </w:rPr>
            </w:pPr>
            <w:r w:rsidRPr="00B62F1E">
              <w:rPr>
                <w:b/>
                <w:noProof/>
                <w:sz w:val="18"/>
                <w:szCs w:val="18"/>
              </w:rPr>
              <w:t>Fond</w:t>
            </w:r>
          </w:p>
        </w:tc>
        <w:tc>
          <w:tcPr>
            <w:tcW w:w="588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textDirection w:val="btLr"/>
            <w:vAlign w:val="center"/>
          </w:tcPr>
          <w:p w:rsidR="00957EA2" w:rsidRPr="005056F8" w:rsidRDefault="00957EA2" w:rsidP="00957EA2">
            <w:pPr>
              <w:pStyle w:val="Text1"/>
              <w:spacing w:before="0" w:after="0"/>
              <w:ind w:left="0"/>
              <w:jc w:val="center"/>
              <w:rPr>
                <w:b/>
                <w:noProof/>
                <w:sz w:val="18"/>
                <w:szCs w:val="18"/>
              </w:rPr>
            </w:pPr>
            <w:r w:rsidRPr="00B62F1E">
              <w:rPr>
                <w:b/>
                <w:noProof/>
                <w:sz w:val="18"/>
                <w:szCs w:val="18"/>
              </w:rPr>
              <w:t>Kategorie regionu</w:t>
            </w:r>
          </w:p>
        </w:tc>
        <w:tc>
          <w:tcPr>
            <w:tcW w:w="221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textDirection w:val="btLr"/>
            <w:vAlign w:val="center"/>
          </w:tcPr>
          <w:p w:rsidR="00957EA2" w:rsidRPr="005056F8" w:rsidRDefault="00957EA2" w:rsidP="00957EA2">
            <w:pPr>
              <w:pStyle w:val="Text1"/>
              <w:spacing w:before="0" w:after="0"/>
              <w:ind w:left="0"/>
              <w:jc w:val="center"/>
              <w:rPr>
                <w:b/>
                <w:noProof/>
                <w:sz w:val="18"/>
                <w:szCs w:val="18"/>
              </w:rPr>
            </w:pPr>
            <w:r w:rsidRPr="00B62F1E">
              <w:rPr>
                <w:b/>
                <w:noProof/>
                <w:sz w:val="18"/>
                <w:szCs w:val="18"/>
              </w:rPr>
              <w:t>ID</w:t>
            </w:r>
          </w:p>
        </w:tc>
        <w:tc>
          <w:tcPr>
            <w:tcW w:w="66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textDirection w:val="btLr"/>
            <w:vAlign w:val="center"/>
          </w:tcPr>
          <w:p w:rsidR="00957EA2" w:rsidRPr="005056F8" w:rsidRDefault="00957EA2" w:rsidP="00957EA2">
            <w:pPr>
              <w:pStyle w:val="Text1"/>
              <w:spacing w:before="0" w:after="0"/>
              <w:ind w:left="0"/>
              <w:jc w:val="center"/>
              <w:rPr>
                <w:b/>
                <w:noProof/>
                <w:sz w:val="18"/>
                <w:szCs w:val="18"/>
              </w:rPr>
            </w:pPr>
            <w:r w:rsidRPr="00B62F1E">
              <w:rPr>
                <w:b/>
                <w:noProof/>
                <w:sz w:val="18"/>
                <w:szCs w:val="18"/>
              </w:rPr>
              <w:t>Ukazatel</w:t>
            </w:r>
          </w:p>
        </w:tc>
        <w:tc>
          <w:tcPr>
            <w:tcW w:w="441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textDirection w:val="btLr"/>
            <w:vAlign w:val="center"/>
          </w:tcPr>
          <w:p w:rsidR="00957EA2" w:rsidRPr="005056F8" w:rsidRDefault="00957EA2" w:rsidP="00957EA2">
            <w:pPr>
              <w:pStyle w:val="Text1"/>
              <w:spacing w:before="0" w:after="0"/>
              <w:ind w:left="0"/>
              <w:jc w:val="center"/>
              <w:rPr>
                <w:b/>
                <w:noProof/>
                <w:sz w:val="18"/>
                <w:szCs w:val="18"/>
              </w:rPr>
            </w:pPr>
            <w:r w:rsidRPr="00B62F1E">
              <w:rPr>
                <w:b/>
                <w:noProof/>
                <w:sz w:val="18"/>
                <w:szCs w:val="18"/>
              </w:rPr>
              <w:t>Jednotka měření</w:t>
            </w:r>
          </w:p>
        </w:tc>
        <w:tc>
          <w:tcPr>
            <w:tcW w:w="368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textDirection w:val="btLr"/>
            <w:vAlign w:val="center"/>
          </w:tcPr>
          <w:p w:rsidR="00957EA2" w:rsidRPr="005056F8" w:rsidRDefault="00957EA2" w:rsidP="00957EA2">
            <w:pPr>
              <w:pStyle w:val="Text1"/>
              <w:spacing w:before="0" w:after="0"/>
              <w:ind w:left="0"/>
              <w:jc w:val="center"/>
              <w:rPr>
                <w:b/>
                <w:noProof/>
                <w:sz w:val="18"/>
                <w:szCs w:val="18"/>
              </w:rPr>
            </w:pPr>
            <w:r w:rsidRPr="00B62F1E">
              <w:rPr>
                <w:b/>
                <w:noProof/>
                <w:sz w:val="18"/>
                <w:szCs w:val="18"/>
              </w:rPr>
              <w:t xml:space="preserve">Základní nebo </w:t>
            </w:r>
            <w:r>
              <w:rPr>
                <w:b/>
                <w:noProof/>
                <w:sz w:val="18"/>
                <w:szCs w:val="18"/>
              </w:rPr>
              <w:br/>
            </w:r>
            <w:r w:rsidRPr="00B62F1E">
              <w:rPr>
                <w:b/>
                <w:noProof/>
                <w:sz w:val="18"/>
                <w:szCs w:val="18"/>
              </w:rPr>
              <w:t>referenční hodnota</w:t>
            </w:r>
          </w:p>
        </w:tc>
        <w:tc>
          <w:tcPr>
            <w:tcW w:w="295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textDirection w:val="btLr"/>
            <w:vAlign w:val="center"/>
          </w:tcPr>
          <w:p w:rsidR="00957EA2" w:rsidRPr="005056F8" w:rsidRDefault="00957EA2" w:rsidP="00957EA2">
            <w:pPr>
              <w:pStyle w:val="Text1"/>
              <w:spacing w:before="0" w:after="0"/>
              <w:ind w:left="0"/>
              <w:jc w:val="center"/>
              <w:rPr>
                <w:b/>
                <w:noProof/>
                <w:sz w:val="18"/>
                <w:szCs w:val="18"/>
              </w:rPr>
            </w:pPr>
            <w:r w:rsidRPr="00B62F1E">
              <w:rPr>
                <w:b/>
                <w:noProof/>
                <w:sz w:val="18"/>
                <w:szCs w:val="18"/>
              </w:rPr>
              <w:t>Referenční rok</w:t>
            </w:r>
          </w:p>
        </w:tc>
        <w:tc>
          <w:tcPr>
            <w:tcW w:w="369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textDirection w:val="btLr"/>
            <w:vAlign w:val="center"/>
          </w:tcPr>
          <w:p w:rsidR="00957EA2" w:rsidRPr="005056F8" w:rsidRDefault="00957EA2" w:rsidP="00957EA2">
            <w:pPr>
              <w:pStyle w:val="Text1"/>
              <w:spacing w:before="0" w:after="0"/>
              <w:ind w:left="0"/>
              <w:jc w:val="center"/>
              <w:rPr>
                <w:b/>
                <w:noProof/>
                <w:sz w:val="18"/>
                <w:szCs w:val="18"/>
              </w:rPr>
            </w:pPr>
            <w:r w:rsidRPr="00B62F1E">
              <w:rPr>
                <w:b/>
                <w:noProof/>
                <w:sz w:val="18"/>
                <w:szCs w:val="18"/>
              </w:rPr>
              <w:t>Cíl (2029)</w:t>
            </w:r>
          </w:p>
        </w:tc>
        <w:tc>
          <w:tcPr>
            <w:tcW w:w="442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textDirection w:val="btLr"/>
            <w:vAlign w:val="center"/>
          </w:tcPr>
          <w:p w:rsidR="00957EA2" w:rsidRPr="005056F8" w:rsidRDefault="00957EA2" w:rsidP="00957EA2">
            <w:pPr>
              <w:pStyle w:val="Text1"/>
              <w:spacing w:before="0" w:after="0" w:line="480" w:lineRule="auto"/>
              <w:ind w:left="0"/>
              <w:jc w:val="center"/>
              <w:rPr>
                <w:b/>
                <w:noProof/>
                <w:sz w:val="18"/>
                <w:szCs w:val="18"/>
              </w:rPr>
            </w:pPr>
            <w:r w:rsidRPr="00B62F1E">
              <w:rPr>
                <w:b/>
                <w:noProof/>
                <w:sz w:val="18"/>
                <w:szCs w:val="18"/>
              </w:rPr>
              <w:t>Zdroj údajů</w:t>
            </w:r>
          </w:p>
        </w:tc>
        <w:tc>
          <w:tcPr>
            <w:tcW w:w="21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textDirection w:val="btLr"/>
            <w:vAlign w:val="center"/>
          </w:tcPr>
          <w:p w:rsidR="00957EA2" w:rsidRPr="005056F8" w:rsidRDefault="00957EA2" w:rsidP="00957EA2">
            <w:pPr>
              <w:pStyle w:val="Text1"/>
              <w:spacing w:before="0" w:after="0" w:line="480" w:lineRule="auto"/>
              <w:ind w:left="0"/>
              <w:jc w:val="center"/>
              <w:rPr>
                <w:b/>
                <w:noProof/>
                <w:sz w:val="18"/>
                <w:szCs w:val="18"/>
              </w:rPr>
            </w:pPr>
            <w:r w:rsidRPr="00B62F1E">
              <w:rPr>
                <w:b/>
                <w:noProof/>
                <w:sz w:val="18"/>
                <w:szCs w:val="18"/>
              </w:rPr>
              <w:t>Komentář</w:t>
            </w:r>
          </w:p>
        </w:tc>
      </w:tr>
      <w:tr w:rsidR="00957EA2" w:rsidRPr="003B3D2F" w:rsidTr="00FC42B3">
        <w:trPr>
          <w:trHeight w:val="177"/>
        </w:trPr>
        <w:tc>
          <w:tcPr>
            <w:tcW w:w="357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5C34CF" w:rsidRPr="005056F8" w:rsidRDefault="00AA316F" w:rsidP="000C44D3">
            <w:pPr>
              <w:pStyle w:val="Text1"/>
              <w:spacing w:before="0" w:after="0" w:line="276" w:lineRule="auto"/>
              <w:ind w:left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P</w:t>
            </w:r>
            <w:r w:rsidR="005C34CF" w:rsidRPr="005056F8">
              <w:rPr>
                <w:noProof/>
                <w:sz w:val="18"/>
                <w:szCs w:val="18"/>
              </w:rPr>
              <w:t>1</w:t>
            </w:r>
          </w:p>
        </w:tc>
        <w:tc>
          <w:tcPr>
            <w:tcW w:w="671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842EAD" w:rsidRPr="005056F8" w:rsidRDefault="005C34CF" w:rsidP="00842EAD">
            <w:pPr>
              <w:spacing w:before="0" w:after="0" w:line="276" w:lineRule="auto"/>
              <w:jc w:val="both"/>
              <w:rPr>
                <w:i/>
                <w:noProof/>
                <w:sz w:val="18"/>
                <w:szCs w:val="18"/>
              </w:rPr>
            </w:pPr>
            <w:r w:rsidRPr="005056F8">
              <w:rPr>
                <w:color w:val="000000"/>
                <w:sz w:val="18"/>
                <w:szCs w:val="18"/>
                <w:lang w:eastAsia="cs-CZ" w:bidi="cs-CZ"/>
              </w:rPr>
              <w:t xml:space="preserve">1.2 </w:t>
            </w:r>
          </w:p>
          <w:p w:rsidR="005C34CF" w:rsidRPr="005056F8" w:rsidRDefault="005C34CF" w:rsidP="000C44D3">
            <w:pPr>
              <w:pStyle w:val="Text1"/>
              <w:spacing w:before="0" w:after="0" w:line="276" w:lineRule="auto"/>
              <w:ind w:left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369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5C34CF" w:rsidRPr="005056F8" w:rsidRDefault="00865B11" w:rsidP="000C44D3">
            <w:pPr>
              <w:pStyle w:val="Text1"/>
              <w:spacing w:before="0" w:after="0" w:line="276" w:lineRule="auto"/>
              <w:ind w:left="0"/>
              <w:rPr>
                <w:noProof/>
                <w:sz w:val="18"/>
                <w:szCs w:val="18"/>
              </w:rPr>
            </w:pPr>
            <w:r w:rsidRPr="005056F8">
              <w:rPr>
                <w:noProof/>
                <w:sz w:val="18"/>
                <w:szCs w:val="18"/>
              </w:rPr>
              <w:t>ERDF</w:t>
            </w:r>
          </w:p>
        </w:tc>
        <w:tc>
          <w:tcPr>
            <w:tcW w:w="588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5C34CF" w:rsidRPr="005056F8" w:rsidRDefault="005C34CF" w:rsidP="000C44D3">
            <w:pPr>
              <w:spacing w:before="0" w:after="0" w:line="276" w:lineRule="auto"/>
              <w:rPr>
                <w:color w:val="000000"/>
                <w:sz w:val="18"/>
                <w:szCs w:val="18"/>
                <w:lang w:eastAsia="cs-CZ" w:bidi="cs-CZ"/>
              </w:rPr>
            </w:pPr>
            <w:r w:rsidRPr="005056F8">
              <w:rPr>
                <w:color w:val="000000"/>
                <w:sz w:val="18"/>
                <w:szCs w:val="18"/>
                <w:lang w:eastAsia="cs-CZ" w:bidi="cs-CZ"/>
              </w:rPr>
              <w:t>Více rozvinuté</w:t>
            </w:r>
          </w:p>
        </w:tc>
        <w:tc>
          <w:tcPr>
            <w:tcW w:w="221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5C34CF" w:rsidRPr="005056F8" w:rsidRDefault="005C34CF" w:rsidP="000C44D3">
            <w:pPr>
              <w:pStyle w:val="Text1"/>
              <w:spacing w:before="0" w:after="0" w:line="276" w:lineRule="auto"/>
              <w:ind w:left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663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5C34CF" w:rsidRPr="005056F8" w:rsidRDefault="005C34CF" w:rsidP="000C44D3">
            <w:pPr>
              <w:pStyle w:val="Text1"/>
              <w:spacing w:before="0" w:after="0" w:line="276" w:lineRule="auto"/>
              <w:ind w:left="0"/>
              <w:rPr>
                <w:i/>
                <w:sz w:val="18"/>
                <w:szCs w:val="18"/>
              </w:rPr>
            </w:pPr>
            <w:r w:rsidRPr="005056F8">
              <w:rPr>
                <w:bCs/>
                <w:sz w:val="18"/>
                <w:szCs w:val="18"/>
                <w:lang w:eastAsia="en-GB"/>
              </w:rPr>
              <w:t>Počet institucí ovlivněných intervencí</w:t>
            </w:r>
          </w:p>
        </w:tc>
        <w:tc>
          <w:tcPr>
            <w:tcW w:w="441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5C34CF" w:rsidRPr="005056F8" w:rsidRDefault="005C34CF" w:rsidP="000C44D3">
            <w:pPr>
              <w:pStyle w:val="Text1"/>
              <w:spacing w:before="0" w:after="0" w:line="276" w:lineRule="auto"/>
              <w:ind w:left="0"/>
              <w:rPr>
                <w:i/>
                <w:sz w:val="18"/>
                <w:szCs w:val="18"/>
              </w:rPr>
            </w:pPr>
            <w:r w:rsidRPr="005056F8">
              <w:rPr>
                <w:bCs/>
                <w:sz w:val="18"/>
                <w:szCs w:val="18"/>
                <w:lang w:eastAsia="en-GB"/>
              </w:rPr>
              <w:t>Instituce</w:t>
            </w:r>
          </w:p>
        </w:tc>
        <w:tc>
          <w:tcPr>
            <w:tcW w:w="368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5C34CF" w:rsidRPr="002F02E7" w:rsidRDefault="002F02E7" w:rsidP="000C44D3">
            <w:pPr>
              <w:pStyle w:val="Text1"/>
              <w:spacing w:before="0" w:after="0" w:line="276" w:lineRule="auto"/>
              <w:ind w:left="0"/>
              <w:jc w:val="center"/>
              <w:rPr>
                <w:noProof/>
                <w:sz w:val="18"/>
                <w:szCs w:val="18"/>
              </w:rPr>
            </w:pPr>
            <w:r w:rsidRPr="002F02E7">
              <w:rPr>
                <w:noProof/>
                <w:sz w:val="18"/>
                <w:szCs w:val="18"/>
              </w:rPr>
              <w:t>-</w:t>
            </w:r>
          </w:p>
        </w:tc>
        <w:tc>
          <w:tcPr>
            <w:tcW w:w="295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5C34CF" w:rsidRPr="005056F8" w:rsidRDefault="005C34CF" w:rsidP="000C44D3">
            <w:pPr>
              <w:pStyle w:val="Text1"/>
              <w:spacing w:before="0" w:after="0" w:line="276" w:lineRule="auto"/>
              <w:ind w:left="0"/>
              <w:jc w:val="center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5C34CF" w:rsidRPr="008C5AC0" w:rsidRDefault="005C34CF" w:rsidP="000C44D3">
            <w:pPr>
              <w:pStyle w:val="Text1"/>
              <w:spacing w:before="0" w:after="0" w:line="276" w:lineRule="auto"/>
              <w:ind w:left="0"/>
              <w:jc w:val="right"/>
              <w:rPr>
                <w:noProof/>
                <w:sz w:val="18"/>
                <w:szCs w:val="18"/>
              </w:rPr>
            </w:pPr>
            <w:r w:rsidRPr="008C5AC0">
              <w:rPr>
                <w:noProof/>
                <w:sz w:val="18"/>
                <w:szCs w:val="18"/>
              </w:rPr>
              <w:t>67</w:t>
            </w:r>
          </w:p>
        </w:tc>
        <w:tc>
          <w:tcPr>
            <w:tcW w:w="442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5C34CF" w:rsidRPr="005056F8" w:rsidRDefault="005C34CF" w:rsidP="000C44D3">
            <w:pPr>
              <w:pStyle w:val="Text1"/>
              <w:spacing w:before="0" w:after="0" w:line="276" w:lineRule="auto"/>
              <w:ind w:left="0"/>
              <w:rPr>
                <w:i/>
                <w:noProof/>
                <w:sz w:val="18"/>
                <w:szCs w:val="18"/>
              </w:rPr>
            </w:pPr>
            <w:r w:rsidRPr="005056F8">
              <w:rPr>
                <w:color w:val="000000"/>
                <w:sz w:val="18"/>
                <w:szCs w:val="18"/>
              </w:rPr>
              <w:t>Zpráva o realizaci projektu</w:t>
            </w:r>
          </w:p>
          <w:p w:rsidR="005C34CF" w:rsidRPr="005056F8" w:rsidRDefault="005C34CF" w:rsidP="000C44D3">
            <w:pPr>
              <w:pStyle w:val="Text1"/>
              <w:spacing w:before="0" w:after="0" w:line="276" w:lineRule="auto"/>
              <w:ind w:left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216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5C34CF" w:rsidRPr="005056F8" w:rsidRDefault="005C34CF" w:rsidP="000C44D3">
            <w:pPr>
              <w:spacing w:before="0" w:after="0" w:line="276" w:lineRule="auto"/>
              <w:rPr>
                <w:i/>
                <w:noProof/>
                <w:sz w:val="18"/>
                <w:szCs w:val="18"/>
              </w:rPr>
            </w:pPr>
          </w:p>
        </w:tc>
      </w:tr>
      <w:tr w:rsidR="00957EA2" w:rsidRPr="003B3D2F" w:rsidTr="00FC42B3">
        <w:trPr>
          <w:trHeight w:val="188"/>
        </w:trPr>
        <w:tc>
          <w:tcPr>
            <w:tcW w:w="357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5C34CF" w:rsidRPr="000C44D3" w:rsidRDefault="005C34CF" w:rsidP="000C44D3">
            <w:pPr>
              <w:pStyle w:val="Text1"/>
              <w:spacing w:before="0" w:after="0" w:line="276" w:lineRule="auto"/>
              <w:ind w:left="0"/>
              <w:rPr>
                <w:i/>
                <w:sz w:val="18"/>
                <w:szCs w:val="18"/>
              </w:rPr>
            </w:pPr>
          </w:p>
        </w:tc>
        <w:tc>
          <w:tcPr>
            <w:tcW w:w="671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5C34CF" w:rsidRPr="000C44D3" w:rsidRDefault="005C34CF" w:rsidP="000C44D3">
            <w:pPr>
              <w:spacing w:before="0" w:after="0" w:line="276" w:lineRule="auto"/>
              <w:jc w:val="both"/>
              <w:rPr>
                <w:color w:val="000000"/>
                <w:sz w:val="18"/>
                <w:szCs w:val="18"/>
                <w:lang w:eastAsia="cs-CZ" w:bidi="cs-CZ"/>
              </w:rPr>
            </w:pPr>
          </w:p>
        </w:tc>
        <w:tc>
          <w:tcPr>
            <w:tcW w:w="369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5C34CF" w:rsidRPr="000C44D3" w:rsidRDefault="005C34CF" w:rsidP="000C44D3">
            <w:pPr>
              <w:pStyle w:val="Text1"/>
              <w:spacing w:before="0" w:after="0" w:line="276" w:lineRule="auto"/>
              <w:ind w:left="0"/>
              <w:rPr>
                <w:i/>
                <w:sz w:val="18"/>
                <w:szCs w:val="18"/>
              </w:rPr>
            </w:pPr>
          </w:p>
        </w:tc>
        <w:tc>
          <w:tcPr>
            <w:tcW w:w="588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5C34CF" w:rsidRPr="000C44D3" w:rsidRDefault="005C34CF" w:rsidP="000C44D3">
            <w:pPr>
              <w:spacing w:before="0" w:after="0" w:line="276" w:lineRule="auto"/>
              <w:rPr>
                <w:color w:val="000000"/>
                <w:sz w:val="18"/>
                <w:szCs w:val="18"/>
                <w:lang w:eastAsia="cs-CZ" w:bidi="cs-CZ"/>
              </w:rPr>
            </w:pPr>
            <w:r w:rsidRPr="000C44D3">
              <w:rPr>
                <w:color w:val="000000"/>
                <w:sz w:val="18"/>
                <w:szCs w:val="18"/>
                <w:lang w:eastAsia="cs-CZ" w:bidi="cs-CZ"/>
              </w:rPr>
              <w:t>Přechodové</w:t>
            </w:r>
          </w:p>
        </w:tc>
        <w:tc>
          <w:tcPr>
            <w:tcW w:w="221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5C34CF" w:rsidRPr="000C44D3" w:rsidRDefault="005C34CF" w:rsidP="000C44D3">
            <w:pPr>
              <w:pStyle w:val="Text1"/>
              <w:spacing w:before="0" w:after="0" w:line="276" w:lineRule="auto"/>
              <w:ind w:left="0"/>
              <w:rPr>
                <w:i/>
                <w:sz w:val="18"/>
                <w:szCs w:val="18"/>
              </w:rPr>
            </w:pPr>
          </w:p>
        </w:tc>
        <w:tc>
          <w:tcPr>
            <w:tcW w:w="663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5C34CF" w:rsidRPr="000C44D3" w:rsidRDefault="005C34CF" w:rsidP="000C44D3">
            <w:pPr>
              <w:pStyle w:val="Text1"/>
              <w:spacing w:before="0" w:after="0" w:line="276" w:lineRule="auto"/>
              <w:ind w:left="0"/>
              <w:rPr>
                <w:sz w:val="18"/>
                <w:szCs w:val="18"/>
                <w:lang w:eastAsia="en-GB"/>
              </w:rPr>
            </w:pPr>
          </w:p>
        </w:tc>
        <w:tc>
          <w:tcPr>
            <w:tcW w:w="441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5C34CF" w:rsidRPr="000C44D3" w:rsidRDefault="005C34CF" w:rsidP="000C44D3">
            <w:pPr>
              <w:pStyle w:val="Text1"/>
              <w:spacing w:before="0" w:after="0" w:line="276" w:lineRule="auto"/>
              <w:ind w:left="0"/>
              <w:rPr>
                <w:sz w:val="18"/>
                <w:szCs w:val="18"/>
                <w:lang w:eastAsia="en-GB"/>
              </w:rPr>
            </w:pPr>
          </w:p>
        </w:tc>
        <w:tc>
          <w:tcPr>
            <w:tcW w:w="368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5C34CF" w:rsidRPr="000C44D3" w:rsidRDefault="002F02E7" w:rsidP="000C44D3">
            <w:pPr>
              <w:pStyle w:val="Text1"/>
              <w:spacing w:before="0" w:after="0" w:line="276" w:lineRule="auto"/>
              <w:ind w:left="0"/>
              <w:jc w:val="center"/>
              <w:rPr>
                <w:sz w:val="18"/>
                <w:szCs w:val="18"/>
              </w:rPr>
            </w:pPr>
            <w:r w:rsidRPr="000C44D3">
              <w:rPr>
                <w:sz w:val="18"/>
                <w:szCs w:val="18"/>
              </w:rPr>
              <w:t>-</w:t>
            </w:r>
          </w:p>
        </w:tc>
        <w:tc>
          <w:tcPr>
            <w:tcW w:w="295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5C34CF" w:rsidRPr="000C44D3" w:rsidRDefault="005C34CF" w:rsidP="000C44D3">
            <w:pPr>
              <w:pStyle w:val="Text1"/>
              <w:spacing w:before="0" w:after="0" w:line="276" w:lineRule="auto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5C34CF" w:rsidRPr="008C5AC0" w:rsidRDefault="005C34CF" w:rsidP="000C44D3">
            <w:pPr>
              <w:pStyle w:val="Text1"/>
              <w:spacing w:before="0" w:after="0" w:line="276" w:lineRule="auto"/>
              <w:ind w:left="0"/>
              <w:jc w:val="right"/>
              <w:rPr>
                <w:noProof/>
                <w:sz w:val="18"/>
                <w:szCs w:val="18"/>
              </w:rPr>
            </w:pPr>
            <w:r w:rsidRPr="008C5AC0">
              <w:rPr>
                <w:noProof/>
                <w:sz w:val="18"/>
                <w:szCs w:val="18"/>
              </w:rPr>
              <w:t>124</w:t>
            </w:r>
          </w:p>
        </w:tc>
        <w:tc>
          <w:tcPr>
            <w:tcW w:w="442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5C34CF" w:rsidRPr="003B3D2F" w:rsidRDefault="005C34CF" w:rsidP="000C44D3">
            <w:pPr>
              <w:pStyle w:val="Text1"/>
              <w:spacing w:before="0" w:after="0" w:line="276" w:lineRule="auto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16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5C34CF" w:rsidRPr="003B3D2F" w:rsidRDefault="005C34CF" w:rsidP="000C44D3">
            <w:pPr>
              <w:spacing w:before="0" w:after="0" w:line="276" w:lineRule="auto"/>
              <w:rPr>
                <w:i/>
                <w:noProof/>
                <w:sz w:val="20"/>
                <w:szCs w:val="20"/>
              </w:rPr>
            </w:pPr>
          </w:p>
        </w:tc>
      </w:tr>
      <w:tr w:rsidR="00957EA2" w:rsidRPr="003B3D2F" w:rsidTr="00FC42B3">
        <w:trPr>
          <w:trHeight w:val="58"/>
        </w:trPr>
        <w:tc>
          <w:tcPr>
            <w:tcW w:w="357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5C34CF" w:rsidRPr="000C44D3" w:rsidRDefault="005C34CF" w:rsidP="000C44D3">
            <w:pPr>
              <w:pStyle w:val="Text1"/>
              <w:spacing w:before="0" w:after="0" w:line="276" w:lineRule="auto"/>
              <w:ind w:left="0"/>
              <w:rPr>
                <w:i/>
                <w:sz w:val="18"/>
                <w:szCs w:val="18"/>
              </w:rPr>
            </w:pPr>
          </w:p>
        </w:tc>
        <w:tc>
          <w:tcPr>
            <w:tcW w:w="671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5C34CF" w:rsidRPr="000C44D3" w:rsidRDefault="005C34CF" w:rsidP="000C44D3">
            <w:pPr>
              <w:spacing w:before="0" w:after="0" w:line="276" w:lineRule="auto"/>
              <w:jc w:val="both"/>
              <w:rPr>
                <w:color w:val="000000"/>
                <w:sz w:val="18"/>
                <w:szCs w:val="18"/>
                <w:lang w:eastAsia="cs-CZ" w:bidi="cs-CZ"/>
              </w:rPr>
            </w:pPr>
          </w:p>
        </w:tc>
        <w:tc>
          <w:tcPr>
            <w:tcW w:w="369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5C34CF" w:rsidRPr="000C44D3" w:rsidRDefault="005C34CF" w:rsidP="000C44D3">
            <w:pPr>
              <w:pStyle w:val="Text1"/>
              <w:spacing w:before="0" w:after="0" w:line="276" w:lineRule="auto"/>
              <w:ind w:left="0"/>
              <w:rPr>
                <w:i/>
                <w:sz w:val="18"/>
                <w:szCs w:val="18"/>
              </w:rPr>
            </w:pPr>
          </w:p>
        </w:tc>
        <w:tc>
          <w:tcPr>
            <w:tcW w:w="588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5C34CF" w:rsidRPr="000C44D3" w:rsidRDefault="005C34CF" w:rsidP="000C44D3">
            <w:pPr>
              <w:spacing w:before="0" w:after="0" w:line="276" w:lineRule="auto"/>
              <w:rPr>
                <w:color w:val="000000"/>
                <w:sz w:val="18"/>
                <w:szCs w:val="18"/>
                <w:lang w:eastAsia="cs-CZ" w:bidi="cs-CZ"/>
              </w:rPr>
            </w:pPr>
            <w:r w:rsidRPr="000C44D3">
              <w:rPr>
                <w:color w:val="000000"/>
                <w:sz w:val="18"/>
                <w:szCs w:val="18"/>
                <w:lang w:eastAsia="cs-CZ" w:bidi="cs-CZ"/>
              </w:rPr>
              <w:t>Méně rozvinuté</w:t>
            </w:r>
          </w:p>
        </w:tc>
        <w:tc>
          <w:tcPr>
            <w:tcW w:w="221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5C34CF" w:rsidRPr="000C44D3" w:rsidRDefault="005C34CF" w:rsidP="000C44D3">
            <w:pPr>
              <w:pStyle w:val="Text1"/>
              <w:spacing w:before="0" w:after="0" w:line="276" w:lineRule="auto"/>
              <w:ind w:left="0"/>
              <w:rPr>
                <w:i/>
                <w:sz w:val="18"/>
                <w:szCs w:val="18"/>
              </w:rPr>
            </w:pPr>
          </w:p>
        </w:tc>
        <w:tc>
          <w:tcPr>
            <w:tcW w:w="663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5C34CF" w:rsidRPr="000C44D3" w:rsidRDefault="005C34CF" w:rsidP="000C44D3">
            <w:pPr>
              <w:pStyle w:val="Text1"/>
              <w:spacing w:before="0" w:after="0" w:line="276" w:lineRule="auto"/>
              <w:ind w:left="0"/>
              <w:rPr>
                <w:sz w:val="18"/>
                <w:szCs w:val="18"/>
                <w:lang w:eastAsia="en-GB"/>
              </w:rPr>
            </w:pPr>
          </w:p>
        </w:tc>
        <w:tc>
          <w:tcPr>
            <w:tcW w:w="441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5C34CF" w:rsidRPr="000C44D3" w:rsidRDefault="005C34CF" w:rsidP="000C44D3">
            <w:pPr>
              <w:pStyle w:val="Text1"/>
              <w:spacing w:before="0" w:after="0" w:line="276" w:lineRule="auto"/>
              <w:ind w:left="0"/>
              <w:rPr>
                <w:sz w:val="18"/>
                <w:szCs w:val="18"/>
                <w:lang w:eastAsia="en-GB"/>
              </w:rPr>
            </w:pPr>
          </w:p>
        </w:tc>
        <w:tc>
          <w:tcPr>
            <w:tcW w:w="368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5C34CF" w:rsidRPr="000C44D3" w:rsidRDefault="002F02E7" w:rsidP="000C44D3">
            <w:pPr>
              <w:pStyle w:val="Text1"/>
              <w:spacing w:before="0" w:after="0" w:line="276" w:lineRule="auto"/>
              <w:ind w:left="0"/>
              <w:jc w:val="center"/>
              <w:rPr>
                <w:sz w:val="18"/>
                <w:szCs w:val="18"/>
              </w:rPr>
            </w:pPr>
            <w:r w:rsidRPr="000C44D3">
              <w:rPr>
                <w:sz w:val="18"/>
                <w:szCs w:val="18"/>
              </w:rPr>
              <w:t>-</w:t>
            </w:r>
          </w:p>
        </w:tc>
        <w:tc>
          <w:tcPr>
            <w:tcW w:w="295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5C34CF" w:rsidRPr="000C44D3" w:rsidRDefault="005C34CF" w:rsidP="000C44D3">
            <w:pPr>
              <w:pStyle w:val="Text1"/>
              <w:spacing w:before="0" w:after="0" w:line="276" w:lineRule="auto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5C34CF" w:rsidRPr="008C5AC0" w:rsidRDefault="005C34CF" w:rsidP="000C44D3">
            <w:pPr>
              <w:pStyle w:val="Text1"/>
              <w:spacing w:before="0" w:after="0" w:line="276" w:lineRule="auto"/>
              <w:ind w:left="0"/>
              <w:jc w:val="right"/>
              <w:rPr>
                <w:noProof/>
                <w:sz w:val="18"/>
                <w:szCs w:val="18"/>
              </w:rPr>
            </w:pPr>
            <w:r w:rsidRPr="008C5AC0">
              <w:rPr>
                <w:noProof/>
                <w:sz w:val="18"/>
                <w:szCs w:val="18"/>
              </w:rPr>
              <w:t>127</w:t>
            </w:r>
          </w:p>
        </w:tc>
        <w:tc>
          <w:tcPr>
            <w:tcW w:w="442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5C34CF" w:rsidRPr="003B3D2F" w:rsidRDefault="005C34CF" w:rsidP="000C44D3">
            <w:pPr>
              <w:pStyle w:val="Text1"/>
              <w:spacing w:before="0" w:after="0" w:line="276" w:lineRule="auto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16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5C34CF" w:rsidRPr="003B3D2F" w:rsidRDefault="005C34CF" w:rsidP="000C44D3">
            <w:pPr>
              <w:spacing w:before="0" w:after="0" w:line="276" w:lineRule="auto"/>
              <w:rPr>
                <w:i/>
                <w:noProof/>
                <w:sz w:val="20"/>
                <w:szCs w:val="20"/>
              </w:rPr>
            </w:pPr>
          </w:p>
        </w:tc>
      </w:tr>
    </w:tbl>
    <w:p w:rsidR="003878BE" w:rsidRPr="00FA5D6F" w:rsidRDefault="003878BE" w:rsidP="003878BE">
      <w:pPr>
        <w:pStyle w:val="Nadpis4"/>
        <w:rPr>
          <w:b/>
          <w:color w:val="1F4E79" w:themeColor="accent5" w:themeShade="80"/>
          <w:lang w:val="cs-CZ" w:eastAsia="cs-CZ" w:bidi="cs-CZ"/>
        </w:rPr>
      </w:pPr>
      <w:bookmarkStart w:id="134" w:name="_Toc66476047"/>
      <w:bookmarkStart w:id="135" w:name="_Toc68611005"/>
      <w:r w:rsidRPr="00FA5D6F">
        <w:rPr>
          <w:b/>
          <w:color w:val="1F4E79" w:themeColor="accent5" w:themeShade="80"/>
          <w:lang w:val="cs-CZ" w:eastAsia="cs-CZ" w:bidi="cs-CZ"/>
        </w:rPr>
        <w:t>Orientační rozdělení programových zdrojů (EU) podle typu intervence</w:t>
      </w:r>
      <w:bookmarkEnd w:id="134"/>
      <w:bookmarkEnd w:id="135"/>
      <w:r w:rsidRPr="00FA5D6F">
        <w:rPr>
          <w:b/>
          <w:color w:val="1F4E79" w:themeColor="accent5" w:themeShade="80"/>
          <w:lang w:val="cs-CZ" w:eastAsia="cs-CZ" w:bidi="cs-CZ"/>
        </w:rPr>
        <w:t xml:space="preserve"> </w:t>
      </w:r>
    </w:p>
    <w:p w:rsidR="003878BE" w:rsidRPr="00F6239D" w:rsidRDefault="003878BE" w:rsidP="003878BE">
      <w:pPr>
        <w:pStyle w:val="Titulek"/>
        <w:rPr>
          <w:rFonts w:ascii="Times New Roman" w:hAnsi="Times New Roman" w:cs="Times New Roman"/>
        </w:rPr>
      </w:pPr>
      <w:r w:rsidRPr="00F6239D">
        <w:rPr>
          <w:rFonts w:ascii="Times New Roman" w:hAnsi="Times New Roman" w:cs="Times New Roman"/>
        </w:rPr>
        <w:t xml:space="preserve"> Tabulka </w:t>
      </w:r>
      <w:r w:rsidR="00A1402B" w:rsidRPr="00B169F0">
        <w:rPr>
          <w:rFonts w:ascii="Times New Roman" w:hAnsi="Times New Roman" w:cs="Times New Roman"/>
        </w:rPr>
        <w:fldChar w:fldCharType="begin"/>
      </w:r>
      <w:r w:rsidR="00A1402B" w:rsidRPr="00B169F0">
        <w:rPr>
          <w:rFonts w:ascii="Times New Roman" w:hAnsi="Times New Roman" w:cs="Times New Roman"/>
        </w:rPr>
        <w:instrText xml:space="preserve"> SEQ Tabulka \* ARABIC </w:instrText>
      </w:r>
      <w:r w:rsidR="00A1402B" w:rsidRPr="00B169F0">
        <w:rPr>
          <w:rFonts w:ascii="Times New Roman" w:hAnsi="Times New Roman" w:cs="Times New Roman"/>
        </w:rPr>
        <w:fldChar w:fldCharType="separate"/>
      </w:r>
      <w:r w:rsidR="007B73BC">
        <w:rPr>
          <w:rFonts w:ascii="Times New Roman" w:hAnsi="Times New Roman" w:cs="Times New Roman"/>
          <w:noProof/>
        </w:rPr>
        <w:t>11</w:t>
      </w:r>
      <w:r w:rsidR="00A1402B" w:rsidRPr="00B169F0">
        <w:rPr>
          <w:rFonts w:ascii="Times New Roman" w:hAnsi="Times New Roman" w:cs="Times New Roman"/>
        </w:rPr>
        <w:fldChar w:fldCharType="end"/>
      </w:r>
      <w:r w:rsidR="00A1402B" w:rsidRPr="00B169F0">
        <w:rPr>
          <w:rFonts w:ascii="Times New Roman" w:hAnsi="Times New Roman" w:cs="Times New Roman"/>
        </w:rPr>
        <w:t>:</w:t>
      </w:r>
      <w:r w:rsidRPr="00F6239D">
        <w:rPr>
          <w:rFonts w:ascii="Times New Roman" w:hAnsi="Times New Roman" w:cs="Times New Roman"/>
        </w:rPr>
        <w:t xml:space="preserve"> SC 1.</w:t>
      </w:r>
      <w:r w:rsidR="00967463">
        <w:rPr>
          <w:rFonts w:ascii="Times New Roman" w:hAnsi="Times New Roman" w:cs="Times New Roman"/>
        </w:rPr>
        <w:t>2</w:t>
      </w:r>
      <w:r w:rsidRPr="00F6239D">
        <w:rPr>
          <w:rFonts w:ascii="Times New Roman" w:hAnsi="Times New Roman" w:cs="Times New Roman"/>
        </w:rPr>
        <w:t>: Dimenze 1 – oblast intervence</w:t>
      </w:r>
    </w:p>
    <w:tbl>
      <w:tblPr>
        <w:tblStyle w:val="Tabulkasmkou4zvraznn1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6"/>
        <w:gridCol w:w="1047"/>
        <w:gridCol w:w="2701"/>
        <w:gridCol w:w="1385"/>
        <w:gridCol w:w="1462"/>
        <w:gridCol w:w="1958"/>
      </w:tblGrid>
      <w:tr w:rsidR="00967463" w:rsidRPr="00B175FB" w:rsidTr="008B14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967463" w:rsidRPr="000C44D3" w:rsidRDefault="00967463" w:rsidP="005C4229">
            <w:pPr>
              <w:jc w:val="center"/>
              <w:rPr>
                <w:rFonts w:eastAsia="Times New Roman"/>
                <w:b w:val="0"/>
                <w:sz w:val="18"/>
                <w:szCs w:val="18"/>
              </w:rPr>
            </w:pPr>
            <w:r w:rsidRPr="000C44D3">
              <w:rPr>
                <w:rFonts w:eastAsia="Times New Roman"/>
                <w:sz w:val="18"/>
                <w:szCs w:val="18"/>
              </w:rPr>
              <w:t>Číslo priority</w:t>
            </w:r>
          </w:p>
        </w:tc>
        <w:tc>
          <w:tcPr>
            <w:tcW w:w="104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967463" w:rsidRPr="000C44D3" w:rsidRDefault="00967463" w:rsidP="005C42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sz w:val="18"/>
                <w:szCs w:val="18"/>
              </w:rPr>
            </w:pPr>
            <w:r w:rsidRPr="000C44D3">
              <w:rPr>
                <w:rFonts w:eastAsia="Times New Roman"/>
                <w:sz w:val="18"/>
                <w:szCs w:val="18"/>
              </w:rPr>
              <w:t>Fond</w:t>
            </w:r>
          </w:p>
        </w:tc>
        <w:tc>
          <w:tcPr>
            <w:tcW w:w="27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967463" w:rsidRPr="000C44D3" w:rsidRDefault="00967463" w:rsidP="005C42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sz w:val="18"/>
                <w:szCs w:val="18"/>
              </w:rPr>
            </w:pPr>
            <w:r w:rsidRPr="000C44D3">
              <w:rPr>
                <w:rFonts w:eastAsia="Times New Roman"/>
                <w:sz w:val="18"/>
                <w:szCs w:val="18"/>
              </w:rPr>
              <w:t>Kategorie regionu</w:t>
            </w:r>
          </w:p>
        </w:tc>
        <w:tc>
          <w:tcPr>
            <w:tcW w:w="13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</w:tcPr>
          <w:p w:rsidR="00967463" w:rsidRPr="000C44D3" w:rsidRDefault="00967463" w:rsidP="005C42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0C44D3">
              <w:rPr>
                <w:rFonts w:eastAsia="Times New Roman"/>
                <w:sz w:val="18"/>
                <w:szCs w:val="18"/>
              </w:rPr>
              <w:t>Specifický cíl</w:t>
            </w:r>
          </w:p>
        </w:tc>
        <w:tc>
          <w:tcPr>
            <w:tcW w:w="14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967463" w:rsidRPr="000C44D3" w:rsidRDefault="00967463" w:rsidP="005C42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sz w:val="18"/>
                <w:szCs w:val="18"/>
              </w:rPr>
            </w:pPr>
            <w:r w:rsidRPr="000C44D3">
              <w:rPr>
                <w:rFonts w:eastAsia="Times New Roman"/>
                <w:sz w:val="18"/>
                <w:szCs w:val="18"/>
              </w:rPr>
              <w:t>Kód</w:t>
            </w:r>
          </w:p>
        </w:tc>
        <w:tc>
          <w:tcPr>
            <w:tcW w:w="19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967463" w:rsidRPr="000C44D3" w:rsidRDefault="00967463" w:rsidP="005C42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sz w:val="18"/>
                <w:szCs w:val="18"/>
              </w:rPr>
            </w:pPr>
            <w:r w:rsidRPr="000C44D3">
              <w:rPr>
                <w:rFonts w:eastAsia="Times New Roman"/>
                <w:sz w:val="18"/>
                <w:szCs w:val="18"/>
              </w:rPr>
              <w:t>Částka (v EUR)</w:t>
            </w:r>
          </w:p>
        </w:tc>
      </w:tr>
      <w:tr w:rsidR="007A21CD" w:rsidRPr="00B175FB" w:rsidTr="008B14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 w:val="restart"/>
            <w:shd w:val="clear" w:color="auto" w:fill="DEEAF6" w:themeFill="accent5" w:themeFillTint="33"/>
          </w:tcPr>
          <w:p w:rsidR="007A21CD" w:rsidRPr="000C44D3" w:rsidRDefault="007A21CD" w:rsidP="008B1431">
            <w:pPr>
              <w:spacing w:before="0" w:after="0"/>
              <w:rPr>
                <w:rFonts w:eastAsia="Times New Roman"/>
                <w:b w:val="0"/>
                <w:sz w:val="18"/>
                <w:szCs w:val="18"/>
              </w:rPr>
            </w:pPr>
            <w:r w:rsidRPr="000C44D3">
              <w:rPr>
                <w:rFonts w:eastAsia="Times New Roman"/>
                <w:b w:val="0"/>
                <w:sz w:val="18"/>
                <w:szCs w:val="18"/>
              </w:rPr>
              <w:t>P1</w:t>
            </w:r>
          </w:p>
        </w:tc>
        <w:tc>
          <w:tcPr>
            <w:tcW w:w="1047" w:type="dxa"/>
            <w:vMerge w:val="restart"/>
            <w:shd w:val="clear" w:color="auto" w:fill="DEEAF6" w:themeFill="accent5" w:themeFillTint="33"/>
          </w:tcPr>
          <w:p w:rsidR="007A21CD" w:rsidRPr="000C44D3" w:rsidRDefault="007A21CD" w:rsidP="008B1431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sz w:val="18"/>
                <w:szCs w:val="18"/>
              </w:rPr>
            </w:pPr>
            <w:r w:rsidRPr="000C44D3">
              <w:rPr>
                <w:rFonts w:eastAsia="Times New Roman"/>
                <w:sz w:val="18"/>
                <w:szCs w:val="18"/>
              </w:rPr>
              <w:t>ERDF</w:t>
            </w:r>
          </w:p>
        </w:tc>
        <w:tc>
          <w:tcPr>
            <w:tcW w:w="2701" w:type="dxa"/>
            <w:shd w:val="clear" w:color="auto" w:fill="DEEAF6" w:themeFill="accent5" w:themeFillTint="33"/>
          </w:tcPr>
          <w:p w:rsidR="007A21CD" w:rsidRPr="000C44D3" w:rsidRDefault="007A21CD" w:rsidP="008B1431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sz w:val="18"/>
                <w:szCs w:val="18"/>
              </w:rPr>
            </w:pPr>
            <w:r w:rsidRPr="000C44D3">
              <w:rPr>
                <w:rFonts w:eastAsia="Times New Roman"/>
                <w:sz w:val="18"/>
                <w:szCs w:val="18"/>
              </w:rPr>
              <w:t>Více rozvinuté</w:t>
            </w:r>
          </w:p>
        </w:tc>
        <w:tc>
          <w:tcPr>
            <w:tcW w:w="1385" w:type="dxa"/>
            <w:vMerge w:val="restart"/>
            <w:shd w:val="clear" w:color="auto" w:fill="DEEAF6" w:themeFill="accent5" w:themeFillTint="33"/>
            <w:vAlign w:val="center"/>
          </w:tcPr>
          <w:p w:rsidR="007A21CD" w:rsidRPr="000C44D3" w:rsidRDefault="007A21CD" w:rsidP="008B1431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0C44D3">
              <w:rPr>
                <w:color w:val="000000"/>
                <w:sz w:val="18"/>
                <w:szCs w:val="18"/>
              </w:rPr>
              <w:t>1.2</w:t>
            </w:r>
          </w:p>
        </w:tc>
        <w:tc>
          <w:tcPr>
            <w:tcW w:w="1462" w:type="dxa"/>
            <w:vMerge w:val="restart"/>
            <w:shd w:val="clear" w:color="auto" w:fill="DEEAF6" w:themeFill="accent5" w:themeFillTint="33"/>
            <w:vAlign w:val="center"/>
          </w:tcPr>
          <w:p w:rsidR="007A21CD" w:rsidRPr="000C44D3" w:rsidRDefault="007A21CD" w:rsidP="008B1431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0C44D3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7A21CD" w:rsidRPr="000C44D3" w:rsidRDefault="007A21CD" w:rsidP="008B1431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0C44D3">
              <w:rPr>
                <w:color w:val="000000"/>
                <w:sz w:val="18"/>
                <w:szCs w:val="18"/>
              </w:rPr>
              <w:t xml:space="preserve">            12 130 941    </w:t>
            </w:r>
          </w:p>
        </w:tc>
      </w:tr>
      <w:tr w:rsidR="007A21CD" w:rsidRPr="00B175FB" w:rsidTr="008B1431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7A21CD" w:rsidRPr="000C44D3" w:rsidRDefault="007A21CD" w:rsidP="008B1431">
            <w:pPr>
              <w:spacing w:before="0" w:after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7A21CD" w:rsidRPr="000C44D3" w:rsidRDefault="007A21CD" w:rsidP="008B1431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2701" w:type="dxa"/>
            <w:shd w:val="clear" w:color="auto" w:fill="DEEAF6" w:themeFill="accent5" w:themeFillTint="33"/>
          </w:tcPr>
          <w:p w:rsidR="007A21CD" w:rsidRPr="000C44D3" w:rsidRDefault="007A21CD" w:rsidP="008B1431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sz w:val="18"/>
                <w:szCs w:val="18"/>
              </w:rPr>
            </w:pPr>
            <w:r w:rsidRPr="000C44D3">
              <w:rPr>
                <w:rFonts w:eastAsia="Times New Roman"/>
                <w:sz w:val="18"/>
                <w:szCs w:val="18"/>
              </w:rPr>
              <w:t>Přechodové</w:t>
            </w:r>
          </w:p>
        </w:tc>
        <w:tc>
          <w:tcPr>
            <w:tcW w:w="1385" w:type="dxa"/>
            <w:vMerge/>
            <w:shd w:val="clear" w:color="auto" w:fill="DEEAF6" w:themeFill="accent5" w:themeFillTint="33"/>
            <w:vAlign w:val="center"/>
          </w:tcPr>
          <w:p w:rsidR="007A21CD" w:rsidRPr="000C44D3" w:rsidRDefault="007A21CD" w:rsidP="008B1431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7A21CD" w:rsidRPr="000C44D3" w:rsidRDefault="007A21CD" w:rsidP="008B1431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7A21CD" w:rsidRPr="000C44D3" w:rsidRDefault="007A21CD" w:rsidP="008B1431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0C44D3">
              <w:rPr>
                <w:color w:val="000000"/>
                <w:sz w:val="18"/>
                <w:szCs w:val="18"/>
              </w:rPr>
              <w:t xml:space="preserve">            44 705 365    </w:t>
            </w:r>
          </w:p>
        </w:tc>
      </w:tr>
      <w:tr w:rsidR="007A21CD" w:rsidRPr="00B175FB" w:rsidTr="008B14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7A21CD" w:rsidRPr="000C44D3" w:rsidRDefault="007A21CD" w:rsidP="008B1431">
            <w:pPr>
              <w:spacing w:before="0" w:after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7A21CD" w:rsidRPr="000C44D3" w:rsidRDefault="007A21CD" w:rsidP="008B1431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2701" w:type="dxa"/>
            <w:shd w:val="clear" w:color="auto" w:fill="DEEAF6" w:themeFill="accent5" w:themeFillTint="33"/>
          </w:tcPr>
          <w:p w:rsidR="007A21CD" w:rsidRPr="000C44D3" w:rsidRDefault="007A21CD" w:rsidP="008B1431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sz w:val="18"/>
                <w:szCs w:val="18"/>
              </w:rPr>
            </w:pPr>
            <w:r w:rsidRPr="000C44D3">
              <w:rPr>
                <w:rFonts w:eastAsia="Times New Roman"/>
                <w:sz w:val="18"/>
                <w:szCs w:val="18"/>
              </w:rPr>
              <w:t>Méně rozvinuté</w:t>
            </w:r>
          </w:p>
        </w:tc>
        <w:tc>
          <w:tcPr>
            <w:tcW w:w="1385" w:type="dxa"/>
            <w:vMerge/>
            <w:shd w:val="clear" w:color="auto" w:fill="DEEAF6" w:themeFill="accent5" w:themeFillTint="33"/>
            <w:vAlign w:val="center"/>
          </w:tcPr>
          <w:p w:rsidR="007A21CD" w:rsidRPr="000C44D3" w:rsidRDefault="007A21CD" w:rsidP="008B1431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7A21CD" w:rsidRPr="000C44D3" w:rsidRDefault="007A21CD" w:rsidP="008B1431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7A21CD" w:rsidRPr="000C44D3" w:rsidRDefault="007A21CD" w:rsidP="008B1431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0C44D3">
              <w:rPr>
                <w:color w:val="000000"/>
                <w:sz w:val="18"/>
                <w:szCs w:val="18"/>
              </w:rPr>
              <w:t xml:space="preserve">            31 146 704    </w:t>
            </w:r>
          </w:p>
        </w:tc>
      </w:tr>
    </w:tbl>
    <w:p w:rsidR="003878BE" w:rsidRPr="00F6239D" w:rsidRDefault="003878BE" w:rsidP="003878BE">
      <w:pPr>
        <w:pStyle w:val="Titulek"/>
        <w:rPr>
          <w:rFonts w:ascii="Times New Roman" w:hAnsi="Times New Roman" w:cs="Times New Roman"/>
          <w:szCs w:val="22"/>
        </w:rPr>
      </w:pPr>
      <w:r w:rsidRPr="00B169F0">
        <w:rPr>
          <w:rFonts w:ascii="Times New Roman" w:hAnsi="Times New Roman" w:cs="Times New Roman"/>
        </w:rPr>
        <w:t xml:space="preserve">Tabulka </w:t>
      </w:r>
      <w:r w:rsidR="00A1402B" w:rsidRPr="00B169F0">
        <w:rPr>
          <w:rFonts w:ascii="Times New Roman" w:hAnsi="Times New Roman" w:cs="Times New Roman"/>
        </w:rPr>
        <w:fldChar w:fldCharType="begin"/>
      </w:r>
      <w:r w:rsidR="00A1402B" w:rsidRPr="00B169F0">
        <w:rPr>
          <w:rFonts w:ascii="Times New Roman" w:hAnsi="Times New Roman" w:cs="Times New Roman"/>
        </w:rPr>
        <w:instrText xml:space="preserve"> SEQ Tabulka \* ARABIC </w:instrText>
      </w:r>
      <w:r w:rsidR="00A1402B" w:rsidRPr="00B169F0">
        <w:rPr>
          <w:rFonts w:ascii="Times New Roman" w:hAnsi="Times New Roman" w:cs="Times New Roman"/>
        </w:rPr>
        <w:fldChar w:fldCharType="separate"/>
      </w:r>
      <w:r w:rsidR="007B73BC">
        <w:rPr>
          <w:rFonts w:ascii="Times New Roman" w:hAnsi="Times New Roman" w:cs="Times New Roman"/>
          <w:noProof/>
        </w:rPr>
        <w:t>12</w:t>
      </w:r>
      <w:r w:rsidR="00A1402B" w:rsidRPr="00B169F0">
        <w:rPr>
          <w:rFonts w:ascii="Times New Roman" w:hAnsi="Times New Roman" w:cs="Times New Roman"/>
        </w:rPr>
        <w:fldChar w:fldCharType="end"/>
      </w:r>
      <w:r w:rsidR="00A1402B" w:rsidRPr="00B169F0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Pr="00F6239D">
        <w:rPr>
          <w:rFonts w:ascii="Times New Roman" w:hAnsi="Times New Roman" w:cs="Times New Roman"/>
          <w:szCs w:val="22"/>
        </w:rPr>
        <w:t>SC 1.</w:t>
      </w:r>
      <w:r w:rsidR="00967463">
        <w:rPr>
          <w:rFonts w:ascii="Times New Roman" w:hAnsi="Times New Roman" w:cs="Times New Roman"/>
          <w:szCs w:val="22"/>
        </w:rPr>
        <w:t>2</w:t>
      </w:r>
      <w:r w:rsidRPr="00F6239D">
        <w:rPr>
          <w:rFonts w:ascii="Times New Roman" w:hAnsi="Times New Roman" w:cs="Times New Roman"/>
          <w:szCs w:val="22"/>
        </w:rPr>
        <w:t>: Dimenze 2 – forma financování</w:t>
      </w:r>
    </w:p>
    <w:tbl>
      <w:tblPr>
        <w:tblStyle w:val="Tabulkasmkou4zvraznn1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6"/>
        <w:gridCol w:w="1047"/>
        <w:gridCol w:w="2701"/>
        <w:gridCol w:w="1385"/>
        <w:gridCol w:w="1462"/>
        <w:gridCol w:w="1958"/>
      </w:tblGrid>
      <w:tr w:rsidR="00967463" w:rsidRPr="00B175FB" w:rsidTr="008B14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967463" w:rsidRPr="008B1431" w:rsidRDefault="00967463" w:rsidP="005C4229">
            <w:pPr>
              <w:jc w:val="center"/>
              <w:rPr>
                <w:rFonts w:eastAsia="Times New Roman"/>
                <w:b w:val="0"/>
                <w:sz w:val="18"/>
                <w:szCs w:val="18"/>
              </w:rPr>
            </w:pPr>
            <w:r w:rsidRPr="008B1431">
              <w:rPr>
                <w:rFonts w:eastAsia="Times New Roman"/>
                <w:sz w:val="18"/>
                <w:szCs w:val="18"/>
              </w:rPr>
              <w:t>Číslo priority</w:t>
            </w:r>
          </w:p>
        </w:tc>
        <w:tc>
          <w:tcPr>
            <w:tcW w:w="104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967463" w:rsidRPr="008B1431" w:rsidRDefault="00967463" w:rsidP="005C42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sz w:val="18"/>
                <w:szCs w:val="18"/>
              </w:rPr>
            </w:pPr>
            <w:r w:rsidRPr="008B1431">
              <w:rPr>
                <w:rFonts w:eastAsia="Times New Roman"/>
                <w:sz w:val="18"/>
                <w:szCs w:val="18"/>
              </w:rPr>
              <w:t>Fond</w:t>
            </w:r>
          </w:p>
        </w:tc>
        <w:tc>
          <w:tcPr>
            <w:tcW w:w="27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967463" w:rsidRPr="008B1431" w:rsidRDefault="00967463" w:rsidP="005C42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sz w:val="18"/>
                <w:szCs w:val="18"/>
              </w:rPr>
            </w:pPr>
            <w:r w:rsidRPr="008B1431">
              <w:rPr>
                <w:rFonts w:eastAsia="Times New Roman"/>
                <w:sz w:val="18"/>
                <w:szCs w:val="18"/>
              </w:rPr>
              <w:t>Kategorie regionu</w:t>
            </w:r>
          </w:p>
        </w:tc>
        <w:tc>
          <w:tcPr>
            <w:tcW w:w="13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</w:tcPr>
          <w:p w:rsidR="00967463" w:rsidRPr="008B1431" w:rsidRDefault="00967463" w:rsidP="005C42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8B1431">
              <w:rPr>
                <w:rFonts w:eastAsia="Times New Roman"/>
                <w:sz w:val="18"/>
                <w:szCs w:val="18"/>
              </w:rPr>
              <w:t>Specifický cíl</w:t>
            </w:r>
          </w:p>
        </w:tc>
        <w:tc>
          <w:tcPr>
            <w:tcW w:w="14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967463" w:rsidRPr="008B1431" w:rsidRDefault="00967463" w:rsidP="005C42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sz w:val="18"/>
                <w:szCs w:val="18"/>
              </w:rPr>
            </w:pPr>
            <w:r w:rsidRPr="008B1431">
              <w:rPr>
                <w:rFonts w:eastAsia="Times New Roman"/>
                <w:sz w:val="18"/>
                <w:szCs w:val="18"/>
              </w:rPr>
              <w:t>Kód</w:t>
            </w:r>
          </w:p>
        </w:tc>
        <w:tc>
          <w:tcPr>
            <w:tcW w:w="19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967463" w:rsidRPr="008B1431" w:rsidRDefault="00967463" w:rsidP="005C42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sz w:val="18"/>
                <w:szCs w:val="18"/>
              </w:rPr>
            </w:pPr>
            <w:r w:rsidRPr="008B1431">
              <w:rPr>
                <w:rFonts w:eastAsia="Times New Roman"/>
                <w:sz w:val="18"/>
                <w:szCs w:val="18"/>
              </w:rPr>
              <w:t>Částka (v EUR)</w:t>
            </w:r>
          </w:p>
        </w:tc>
      </w:tr>
      <w:tr w:rsidR="00731AB9" w:rsidRPr="00B175FB" w:rsidTr="008B14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 w:val="restart"/>
            <w:shd w:val="clear" w:color="auto" w:fill="DEEAF6" w:themeFill="accent5" w:themeFillTint="33"/>
          </w:tcPr>
          <w:p w:rsidR="00731AB9" w:rsidRPr="008B1431" w:rsidRDefault="00731AB9" w:rsidP="008B1431">
            <w:pPr>
              <w:spacing w:before="0" w:after="0"/>
              <w:rPr>
                <w:rFonts w:eastAsia="Times New Roman"/>
                <w:b w:val="0"/>
                <w:sz w:val="18"/>
                <w:szCs w:val="18"/>
              </w:rPr>
            </w:pPr>
            <w:r w:rsidRPr="008B1431">
              <w:rPr>
                <w:rFonts w:eastAsia="Times New Roman"/>
                <w:b w:val="0"/>
                <w:sz w:val="18"/>
                <w:szCs w:val="18"/>
              </w:rPr>
              <w:t>P1</w:t>
            </w:r>
          </w:p>
        </w:tc>
        <w:tc>
          <w:tcPr>
            <w:tcW w:w="1047" w:type="dxa"/>
            <w:vMerge w:val="restart"/>
            <w:shd w:val="clear" w:color="auto" w:fill="DEEAF6" w:themeFill="accent5" w:themeFillTint="33"/>
          </w:tcPr>
          <w:p w:rsidR="00731AB9" w:rsidRPr="008B1431" w:rsidRDefault="00731AB9" w:rsidP="008B1431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sz w:val="18"/>
                <w:szCs w:val="18"/>
              </w:rPr>
            </w:pPr>
            <w:r w:rsidRPr="008B1431">
              <w:rPr>
                <w:rFonts w:eastAsia="Times New Roman"/>
                <w:sz w:val="18"/>
                <w:szCs w:val="18"/>
              </w:rPr>
              <w:t>ERDF</w:t>
            </w:r>
          </w:p>
        </w:tc>
        <w:tc>
          <w:tcPr>
            <w:tcW w:w="2701" w:type="dxa"/>
            <w:shd w:val="clear" w:color="auto" w:fill="DEEAF6" w:themeFill="accent5" w:themeFillTint="33"/>
          </w:tcPr>
          <w:p w:rsidR="00731AB9" w:rsidRPr="008B1431" w:rsidRDefault="00731AB9" w:rsidP="008B1431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sz w:val="18"/>
                <w:szCs w:val="18"/>
              </w:rPr>
            </w:pPr>
            <w:r w:rsidRPr="008B1431">
              <w:rPr>
                <w:rFonts w:eastAsia="Times New Roman"/>
                <w:sz w:val="18"/>
                <w:szCs w:val="18"/>
              </w:rPr>
              <w:t>Více rozvinuté</w:t>
            </w:r>
          </w:p>
        </w:tc>
        <w:tc>
          <w:tcPr>
            <w:tcW w:w="1385" w:type="dxa"/>
            <w:vMerge w:val="restart"/>
            <w:shd w:val="clear" w:color="auto" w:fill="DEEAF6" w:themeFill="accent5" w:themeFillTint="33"/>
            <w:vAlign w:val="center"/>
          </w:tcPr>
          <w:p w:rsidR="00731AB9" w:rsidRPr="008B1431" w:rsidRDefault="00731AB9" w:rsidP="008B1431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8B1431">
              <w:rPr>
                <w:color w:val="000000"/>
                <w:sz w:val="18"/>
                <w:szCs w:val="18"/>
              </w:rPr>
              <w:t>1.2</w:t>
            </w:r>
          </w:p>
        </w:tc>
        <w:tc>
          <w:tcPr>
            <w:tcW w:w="1462" w:type="dxa"/>
            <w:vMerge w:val="restart"/>
            <w:shd w:val="clear" w:color="auto" w:fill="DEEAF6" w:themeFill="accent5" w:themeFillTint="33"/>
            <w:vAlign w:val="center"/>
          </w:tcPr>
          <w:p w:rsidR="00731AB9" w:rsidRPr="008B1431" w:rsidRDefault="00731AB9" w:rsidP="008B1431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8B1431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731AB9" w:rsidRPr="008B1431" w:rsidRDefault="00731AB9" w:rsidP="008B1431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8B1431">
              <w:rPr>
                <w:color w:val="000000"/>
                <w:sz w:val="18"/>
                <w:szCs w:val="18"/>
              </w:rPr>
              <w:t>12 130 941</w:t>
            </w:r>
          </w:p>
        </w:tc>
      </w:tr>
      <w:tr w:rsidR="00731AB9" w:rsidRPr="00B175FB" w:rsidTr="008B1431">
        <w:trPr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731AB9" w:rsidRPr="008B1431" w:rsidRDefault="00731AB9" w:rsidP="008B1431">
            <w:pPr>
              <w:spacing w:before="0" w:after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731AB9" w:rsidRPr="008B1431" w:rsidRDefault="00731AB9" w:rsidP="008B1431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2701" w:type="dxa"/>
            <w:shd w:val="clear" w:color="auto" w:fill="DEEAF6" w:themeFill="accent5" w:themeFillTint="33"/>
          </w:tcPr>
          <w:p w:rsidR="00731AB9" w:rsidRPr="008B1431" w:rsidRDefault="00731AB9" w:rsidP="008B1431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sz w:val="18"/>
                <w:szCs w:val="18"/>
              </w:rPr>
            </w:pPr>
            <w:r w:rsidRPr="008B1431">
              <w:rPr>
                <w:rFonts w:eastAsia="Times New Roman"/>
                <w:sz w:val="18"/>
                <w:szCs w:val="18"/>
              </w:rPr>
              <w:t>Přechodové</w:t>
            </w:r>
          </w:p>
        </w:tc>
        <w:tc>
          <w:tcPr>
            <w:tcW w:w="1385" w:type="dxa"/>
            <w:vMerge/>
            <w:shd w:val="clear" w:color="auto" w:fill="DEEAF6" w:themeFill="accent5" w:themeFillTint="33"/>
            <w:vAlign w:val="center"/>
          </w:tcPr>
          <w:p w:rsidR="00731AB9" w:rsidRPr="008B1431" w:rsidRDefault="00731AB9" w:rsidP="008B1431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731AB9" w:rsidRPr="008B1431" w:rsidRDefault="00731AB9" w:rsidP="008B1431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731AB9" w:rsidRPr="008B1431" w:rsidRDefault="00731AB9" w:rsidP="008B1431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8B1431">
              <w:rPr>
                <w:color w:val="000000"/>
                <w:sz w:val="18"/>
                <w:szCs w:val="18"/>
              </w:rPr>
              <w:t>44 705 365</w:t>
            </w:r>
          </w:p>
        </w:tc>
      </w:tr>
      <w:tr w:rsidR="00731AB9" w:rsidRPr="00B175FB" w:rsidTr="008B14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731AB9" w:rsidRPr="008B1431" w:rsidRDefault="00731AB9" w:rsidP="008B1431">
            <w:pPr>
              <w:spacing w:before="0" w:after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731AB9" w:rsidRPr="008B1431" w:rsidRDefault="00731AB9" w:rsidP="008B1431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2701" w:type="dxa"/>
            <w:shd w:val="clear" w:color="auto" w:fill="DEEAF6" w:themeFill="accent5" w:themeFillTint="33"/>
          </w:tcPr>
          <w:p w:rsidR="00731AB9" w:rsidRPr="008B1431" w:rsidRDefault="00731AB9" w:rsidP="008B1431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sz w:val="18"/>
                <w:szCs w:val="18"/>
              </w:rPr>
            </w:pPr>
            <w:r w:rsidRPr="008B1431">
              <w:rPr>
                <w:rFonts w:eastAsia="Times New Roman"/>
                <w:sz w:val="18"/>
                <w:szCs w:val="18"/>
              </w:rPr>
              <w:t>Méně rozvinuté</w:t>
            </w:r>
          </w:p>
        </w:tc>
        <w:tc>
          <w:tcPr>
            <w:tcW w:w="1385" w:type="dxa"/>
            <w:vMerge/>
            <w:shd w:val="clear" w:color="auto" w:fill="DEEAF6" w:themeFill="accent5" w:themeFillTint="33"/>
            <w:vAlign w:val="center"/>
          </w:tcPr>
          <w:p w:rsidR="00731AB9" w:rsidRPr="008B1431" w:rsidRDefault="00731AB9" w:rsidP="008B1431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731AB9" w:rsidRPr="008B1431" w:rsidRDefault="00731AB9" w:rsidP="008B1431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731AB9" w:rsidRPr="008B1431" w:rsidRDefault="00731AB9" w:rsidP="008B1431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8B1431">
              <w:rPr>
                <w:color w:val="000000"/>
                <w:sz w:val="18"/>
                <w:szCs w:val="18"/>
              </w:rPr>
              <w:t>31 146 704</w:t>
            </w:r>
          </w:p>
        </w:tc>
      </w:tr>
    </w:tbl>
    <w:p w:rsidR="003878BE" w:rsidRPr="00F6239D" w:rsidRDefault="003878BE" w:rsidP="003878BE">
      <w:pPr>
        <w:pStyle w:val="Titulek"/>
        <w:rPr>
          <w:rFonts w:ascii="Times New Roman" w:hAnsi="Times New Roman" w:cs="Times New Roman"/>
          <w:szCs w:val="22"/>
        </w:rPr>
      </w:pPr>
      <w:r w:rsidRPr="00B169F0">
        <w:rPr>
          <w:rFonts w:ascii="Times New Roman" w:hAnsi="Times New Roman" w:cs="Times New Roman"/>
        </w:rPr>
        <w:t xml:space="preserve">Tabulka </w:t>
      </w:r>
      <w:r w:rsidR="00A1402B" w:rsidRPr="00B169F0">
        <w:rPr>
          <w:rFonts w:ascii="Times New Roman" w:hAnsi="Times New Roman" w:cs="Times New Roman"/>
        </w:rPr>
        <w:fldChar w:fldCharType="begin"/>
      </w:r>
      <w:r w:rsidR="00A1402B" w:rsidRPr="00B169F0">
        <w:rPr>
          <w:rFonts w:ascii="Times New Roman" w:hAnsi="Times New Roman" w:cs="Times New Roman"/>
        </w:rPr>
        <w:instrText xml:space="preserve"> SEQ Tabulka \* ARABIC </w:instrText>
      </w:r>
      <w:r w:rsidR="00A1402B" w:rsidRPr="00B169F0">
        <w:rPr>
          <w:rFonts w:ascii="Times New Roman" w:hAnsi="Times New Roman" w:cs="Times New Roman"/>
        </w:rPr>
        <w:fldChar w:fldCharType="separate"/>
      </w:r>
      <w:r w:rsidR="007B73BC">
        <w:rPr>
          <w:rFonts w:ascii="Times New Roman" w:hAnsi="Times New Roman" w:cs="Times New Roman"/>
          <w:noProof/>
        </w:rPr>
        <w:t>13</w:t>
      </w:r>
      <w:r w:rsidR="00A1402B" w:rsidRPr="00B169F0">
        <w:rPr>
          <w:rFonts w:ascii="Times New Roman" w:hAnsi="Times New Roman" w:cs="Times New Roman"/>
        </w:rPr>
        <w:fldChar w:fldCharType="end"/>
      </w:r>
      <w:r w:rsidR="00A1402B" w:rsidRPr="00B169F0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Pr="00F6239D">
        <w:rPr>
          <w:rFonts w:ascii="Times New Roman" w:hAnsi="Times New Roman" w:cs="Times New Roman"/>
          <w:szCs w:val="22"/>
        </w:rPr>
        <w:t>SC 1.</w:t>
      </w:r>
      <w:r w:rsidR="00967463">
        <w:rPr>
          <w:rFonts w:ascii="Times New Roman" w:hAnsi="Times New Roman" w:cs="Times New Roman"/>
          <w:szCs w:val="22"/>
        </w:rPr>
        <w:t>2</w:t>
      </w:r>
      <w:r w:rsidRPr="00F6239D">
        <w:rPr>
          <w:rFonts w:ascii="Times New Roman" w:hAnsi="Times New Roman" w:cs="Times New Roman"/>
          <w:szCs w:val="22"/>
        </w:rPr>
        <w:t>: Dimenze 3 – mechanismus územního plnění a územní zaměření</w:t>
      </w:r>
    </w:p>
    <w:tbl>
      <w:tblPr>
        <w:tblStyle w:val="Tabulkasmkou4zvraznn1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6"/>
        <w:gridCol w:w="1047"/>
        <w:gridCol w:w="2701"/>
        <w:gridCol w:w="1385"/>
        <w:gridCol w:w="1462"/>
        <w:gridCol w:w="1958"/>
      </w:tblGrid>
      <w:tr w:rsidR="00967463" w:rsidRPr="00B175FB" w:rsidTr="00A63D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967463" w:rsidRPr="00A63D35" w:rsidRDefault="00967463" w:rsidP="005C4229">
            <w:pPr>
              <w:jc w:val="center"/>
              <w:rPr>
                <w:rFonts w:eastAsia="Times New Roman"/>
                <w:b w:val="0"/>
                <w:sz w:val="18"/>
                <w:szCs w:val="18"/>
              </w:rPr>
            </w:pPr>
            <w:r w:rsidRPr="00A63D35">
              <w:rPr>
                <w:rFonts w:eastAsia="Times New Roman"/>
                <w:sz w:val="18"/>
                <w:szCs w:val="18"/>
              </w:rPr>
              <w:t>Číslo priority</w:t>
            </w:r>
          </w:p>
        </w:tc>
        <w:tc>
          <w:tcPr>
            <w:tcW w:w="104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967463" w:rsidRPr="00A63D35" w:rsidRDefault="00967463" w:rsidP="005C42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sz w:val="18"/>
                <w:szCs w:val="18"/>
              </w:rPr>
            </w:pPr>
            <w:r w:rsidRPr="00A63D35">
              <w:rPr>
                <w:rFonts w:eastAsia="Times New Roman"/>
                <w:sz w:val="18"/>
                <w:szCs w:val="18"/>
              </w:rPr>
              <w:t>Fond</w:t>
            </w:r>
          </w:p>
        </w:tc>
        <w:tc>
          <w:tcPr>
            <w:tcW w:w="27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967463" w:rsidRPr="00A63D35" w:rsidRDefault="00967463" w:rsidP="005C42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sz w:val="18"/>
                <w:szCs w:val="18"/>
              </w:rPr>
            </w:pPr>
            <w:r w:rsidRPr="00A63D35">
              <w:rPr>
                <w:rFonts w:eastAsia="Times New Roman"/>
                <w:sz w:val="18"/>
                <w:szCs w:val="18"/>
              </w:rPr>
              <w:t>Kategorie regionu</w:t>
            </w:r>
          </w:p>
        </w:tc>
        <w:tc>
          <w:tcPr>
            <w:tcW w:w="13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</w:tcPr>
          <w:p w:rsidR="00967463" w:rsidRPr="00A63D35" w:rsidRDefault="00967463" w:rsidP="005C42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A63D35">
              <w:rPr>
                <w:rFonts w:eastAsia="Times New Roman"/>
                <w:sz w:val="18"/>
                <w:szCs w:val="18"/>
              </w:rPr>
              <w:t>Specifický cíl</w:t>
            </w:r>
          </w:p>
        </w:tc>
        <w:tc>
          <w:tcPr>
            <w:tcW w:w="14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967463" w:rsidRPr="00A63D35" w:rsidRDefault="00967463" w:rsidP="005C42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sz w:val="18"/>
                <w:szCs w:val="18"/>
              </w:rPr>
            </w:pPr>
            <w:r w:rsidRPr="00A63D35">
              <w:rPr>
                <w:rFonts w:eastAsia="Times New Roman"/>
                <w:sz w:val="18"/>
                <w:szCs w:val="18"/>
              </w:rPr>
              <w:t>Kód</w:t>
            </w:r>
          </w:p>
        </w:tc>
        <w:tc>
          <w:tcPr>
            <w:tcW w:w="19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967463" w:rsidRPr="00A63D35" w:rsidRDefault="00967463" w:rsidP="005C42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sz w:val="18"/>
                <w:szCs w:val="18"/>
              </w:rPr>
            </w:pPr>
            <w:r w:rsidRPr="00A63D35">
              <w:rPr>
                <w:rFonts w:eastAsia="Times New Roman"/>
                <w:sz w:val="18"/>
                <w:szCs w:val="18"/>
              </w:rPr>
              <w:t>Částka (v EUR)</w:t>
            </w:r>
          </w:p>
        </w:tc>
      </w:tr>
      <w:tr w:rsidR="003A5C8D" w:rsidRPr="00B175FB" w:rsidTr="00A63D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 w:val="restart"/>
            <w:shd w:val="clear" w:color="auto" w:fill="DEEAF6" w:themeFill="accent5" w:themeFillTint="33"/>
          </w:tcPr>
          <w:p w:rsidR="003A5C8D" w:rsidRPr="00A63D35" w:rsidRDefault="003A5C8D" w:rsidP="00A63D35">
            <w:pPr>
              <w:spacing w:before="0" w:after="0"/>
              <w:rPr>
                <w:rFonts w:eastAsia="Times New Roman"/>
                <w:b w:val="0"/>
                <w:sz w:val="18"/>
                <w:szCs w:val="18"/>
              </w:rPr>
            </w:pPr>
            <w:r w:rsidRPr="00A63D35">
              <w:rPr>
                <w:rFonts w:eastAsia="Times New Roman"/>
                <w:b w:val="0"/>
                <w:sz w:val="18"/>
                <w:szCs w:val="18"/>
              </w:rPr>
              <w:t>P1</w:t>
            </w:r>
          </w:p>
        </w:tc>
        <w:tc>
          <w:tcPr>
            <w:tcW w:w="1047" w:type="dxa"/>
            <w:vMerge w:val="restart"/>
            <w:shd w:val="clear" w:color="auto" w:fill="DEEAF6" w:themeFill="accent5" w:themeFillTint="33"/>
          </w:tcPr>
          <w:p w:rsidR="003A5C8D" w:rsidRPr="00A63D35" w:rsidRDefault="003A5C8D" w:rsidP="00A63D35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sz w:val="18"/>
                <w:szCs w:val="18"/>
              </w:rPr>
            </w:pPr>
            <w:r w:rsidRPr="00A63D35">
              <w:rPr>
                <w:rFonts w:eastAsia="Times New Roman"/>
                <w:sz w:val="18"/>
                <w:szCs w:val="18"/>
              </w:rPr>
              <w:t>ERDF</w:t>
            </w:r>
          </w:p>
        </w:tc>
        <w:tc>
          <w:tcPr>
            <w:tcW w:w="2701" w:type="dxa"/>
            <w:shd w:val="clear" w:color="auto" w:fill="DEEAF6" w:themeFill="accent5" w:themeFillTint="33"/>
          </w:tcPr>
          <w:p w:rsidR="003A5C8D" w:rsidRPr="00A63D35" w:rsidRDefault="003A5C8D" w:rsidP="00A63D35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sz w:val="18"/>
                <w:szCs w:val="18"/>
              </w:rPr>
            </w:pPr>
            <w:r w:rsidRPr="00A63D35">
              <w:rPr>
                <w:rFonts w:eastAsia="Times New Roman"/>
                <w:sz w:val="18"/>
                <w:szCs w:val="18"/>
              </w:rPr>
              <w:t>Více rozvinuté</w:t>
            </w:r>
          </w:p>
        </w:tc>
        <w:tc>
          <w:tcPr>
            <w:tcW w:w="1385" w:type="dxa"/>
            <w:vMerge w:val="restart"/>
            <w:shd w:val="clear" w:color="auto" w:fill="DEEAF6" w:themeFill="accent5" w:themeFillTint="33"/>
            <w:vAlign w:val="center"/>
          </w:tcPr>
          <w:p w:rsidR="003A5C8D" w:rsidRPr="00A63D35" w:rsidRDefault="007A747F" w:rsidP="00A63D35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3A5C8D" w:rsidRPr="00A63D35">
              <w:rPr>
                <w:color w:val="000000"/>
                <w:sz w:val="18"/>
                <w:szCs w:val="18"/>
              </w:rPr>
              <w:t>.2</w:t>
            </w:r>
          </w:p>
        </w:tc>
        <w:tc>
          <w:tcPr>
            <w:tcW w:w="1462" w:type="dxa"/>
            <w:vMerge w:val="restart"/>
            <w:shd w:val="clear" w:color="auto" w:fill="DEEAF6" w:themeFill="accent5" w:themeFillTint="33"/>
            <w:vAlign w:val="center"/>
          </w:tcPr>
          <w:p w:rsidR="003A5C8D" w:rsidRPr="00A63D35" w:rsidRDefault="003A5C8D" w:rsidP="00A63D35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A63D35">
              <w:rPr>
                <w:color w:val="000000"/>
                <w:sz w:val="18"/>
                <w:szCs w:val="18"/>
              </w:rPr>
              <w:t>4</w:t>
            </w:r>
            <w:r w:rsidR="006831DE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3A5C8D" w:rsidRPr="00A63D35" w:rsidRDefault="0091541D" w:rsidP="00A63D35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0363D9">
              <w:rPr>
                <w:color w:val="000000"/>
                <w:sz w:val="18"/>
                <w:szCs w:val="18"/>
              </w:rPr>
              <w:t>12 130 941</w:t>
            </w:r>
          </w:p>
        </w:tc>
      </w:tr>
      <w:tr w:rsidR="003A5C8D" w:rsidRPr="00B175FB" w:rsidTr="00A63D35">
        <w:trPr>
          <w:trHeight w:val="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3A5C8D" w:rsidRPr="00A63D35" w:rsidRDefault="003A5C8D" w:rsidP="00A63D35">
            <w:pPr>
              <w:spacing w:before="0" w:after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3A5C8D" w:rsidRPr="00A63D35" w:rsidRDefault="003A5C8D" w:rsidP="00A63D35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2701" w:type="dxa"/>
            <w:shd w:val="clear" w:color="auto" w:fill="DEEAF6" w:themeFill="accent5" w:themeFillTint="33"/>
          </w:tcPr>
          <w:p w:rsidR="003A5C8D" w:rsidRPr="00A63D35" w:rsidRDefault="003A5C8D" w:rsidP="00A63D35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sz w:val="18"/>
                <w:szCs w:val="18"/>
              </w:rPr>
            </w:pPr>
            <w:r w:rsidRPr="00A63D35">
              <w:rPr>
                <w:rFonts w:eastAsia="Times New Roman"/>
                <w:sz w:val="18"/>
                <w:szCs w:val="18"/>
              </w:rPr>
              <w:t>Přechodové</w:t>
            </w:r>
          </w:p>
        </w:tc>
        <w:tc>
          <w:tcPr>
            <w:tcW w:w="1385" w:type="dxa"/>
            <w:vMerge/>
            <w:shd w:val="clear" w:color="auto" w:fill="DEEAF6" w:themeFill="accent5" w:themeFillTint="33"/>
            <w:vAlign w:val="center"/>
          </w:tcPr>
          <w:p w:rsidR="003A5C8D" w:rsidRPr="00A63D35" w:rsidRDefault="003A5C8D" w:rsidP="00A63D35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3A5C8D" w:rsidRPr="00A63D35" w:rsidRDefault="003A5C8D" w:rsidP="00A63D35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3A5C8D" w:rsidRPr="00A63D35" w:rsidRDefault="003A5C8D" w:rsidP="00A63D35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A63D35">
              <w:rPr>
                <w:color w:val="000000"/>
                <w:sz w:val="18"/>
                <w:szCs w:val="18"/>
              </w:rPr>
              <w:t xml:space="preserve">            44 705 365    </w:t>
            </w:r>
          </w:p>
        </w:tc>
      </w:tr>
      <w:tr w:rsidR="003A5C8D" w:rsidRPr="00B175FB" w:rsidTr="00A63D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3A5C8D" w:rsidRPr="00A63D35" w:rsidRDefault="003A5C8D" w:rsidP="00A63D35">
            <w:pPr>
              <w:spacing w:before="0" w:after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3A5C8D" w:rsidRPr="00A63D35" w:rsidRDefault="003A5C8D" w:rsidP="00A63D35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2701" w:type="dxa"/>
            <w:shd w:val="clear" w:color="auto" w:fill="DEEAF6" w:themeFill="accent5" w:themeFillTint="33"/>
          </w:tcPr>
          <w:p w:rsidR="003A5C8D" w:rsidRPr="00A63D35" w:rsidRDefault="003A5C8D" w:rsidP="00A63D35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sz w:val="18"/>
                <w:szCs w:val="18"/>
              </w:rPr>
            </w:pPr>
            <w:r w:rsidRPr="00A63D35">
              <w:rPr>
                <w:rFonts w:eastAsia="Times New Roman"/>
                <w:sz w:val="18"/>
                <w:szCs w:val="18"/>
              </w:rPr>
              <w:t>Méně rozvinuté</w:t>
            </w:r>
          </w:p>
        </w:tc>
        <w:tc>
          <w:tcPr>
            <w:tcW w:w="1385" w:type="dxa"/>
            <w:vMerge/>
            <w:shd w:val="clear" w:color="auto" w:fill="DEEAF6" w:themeFill="accent5" w:themeFillTint="33"/>
            <w:vAlign w:val="center"/>
          </w:tcPr>
          <w:p w:rsidR="003A5C8D" w:rsidRPr="00A63D35" w:rsidRDefault="003A5C8D" w:rsidP="00A63D35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3A5C8D" w:rsidRPr="00A63D35" w:rsidRDefault="003A5C8D" w:rsidP="00A63D35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3A5C8D" w:rsidRPr="00A63D35" w:rsidRDefault="003A5C8D" w:rsidP="00A63D35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A63D35">
              <w:rPr>
                <w:color w:val="000000"/>
                <w:sz w:val="18"/>
                <w:szCs w:val="18"/>
              </w:rPr>
              <w:t xml:space="preserve">            31 146 704    </w:t>
            </w:r>
          </w:p>
        </w:tc>
      </w:tr>
    </w:tbl>
    <w:p w:rsidR="009E280E" w:rsidRPr="00F6239D" w:rsidRDefault="009E280E" w:rsidP="009E280E">
      <w:pPr>
        <w:pStyle w:val="Titulek"/>
        <w:rPr>
          <w:rFonts w:ascii="Times New Roman" w:hAnsi="Times New Roman" w:cs="Times New Roman"/>
          <w:szCs w:val="22"/>
        </w:rPr>
      </w:pPr>
      <w:r w:rsidRPr="00B169F0">
        <w:rPr>
          <w:rFonts w:ascii="Times New Roman" w:hAnsi="Times New Roman" w:cs="Times New Roman"/>
        </w:rPr>
        <w:t xml:space="preserve">Tabulka </w:t>
      </w:r>
      <w:r w:rsidR="00A1402B" w:rsidRPr="00B169F0">
        <w:rPr>
          <w:rFonts w:ascii="Times New Roman" w:hAnsi="Times New Roman" w:cs="Times New Roman"/>
        </w:rPr>
        <w:fldChar w:fldCharType="begin"/>
      </w:r>
      <w:r w:rsidR="00A1402B" w:rsidRPr="00B169F0">
        <w:rPr>
          <w:rFonts w:ascii="Times New Roman" w:hAnsi="Times New Roman" w:cs="Times New Roman"/>
        </w:rPr>
        <w:instrText xml:space="preserve"> SEQ Tabulka \* ARABIC </w:instrText>
      </w:r>
      <w:r w:rsidR="00A1402B" w:rsidRPr="00B169F0">
        <w:rPr>
          <w:rFonts w:ascii="Times New Roman" w:hAnsi="Times New Roman" w:cs="Times New Roman"/>
        </w:rPr>
        <w:fldChar w:fldCharType="separate"/>
      </w:r>
      <w:r w:rsidR="007B73BC">
        <w:rPr>
          <w:rFonts w:ascii="Times New Roman" w:hAnsi="Times New Roman" w:cs="Times New Roman"/>
          <w:noProof/>
        </w:rPr>
        <w:t>14</w:t>
      </w:r>
      <w:r w:rsidR="00A1402B" w:rsidRPr="00B169F0">
        <w:rPr>
          <w:rFonts w:ascii="Times New Roman" w:hAnsi="Times New Roman" w:cs="Times New Roman"/>
        </w:rPr>
        <w:fldChar w:fldCharType="end"/>
      </w:r>
      <w:r w:rsidR="00A1402B" w:rsidRPr="00B169F0">
        <w:rPr>
          <w:rFonts w:ascii="Times New Roman" w:hAnsi="Times New Roman" w:cs="Times New Roman"/>
        </w:rPr>
        <w:t>:</w:t>
      </w:r>
      <w:r w:rsidRPr="00F6239D">
        <w:rPr>
          <w:rFonts w:ascii="Times New Roman" w:hAnsi="Times New Roman" w:cs="Times New Roman"/>
          <w:szCs w:val="22"/>
        </w:rPr>
        <w:t xml:space="preserve"> SC 1.</w:t>
      </w:r>
      <w:r>
        <w:rPr>
          <w:rFonts w:ascii="Times New Roman" w:hAnsi="Times New Roman" w:cs="Times New Roman"/>
          <w:szCs w:val="22"/>
        </w:rPr>
        <w:t>2</w:t>
      </w:r>
      <w:r w:rsidRPr="00F6239D">
        <w:rPr>
          <w:rFonts w:ascii="Times New Roman" w:hAnsi="Times New Roman" w:cs="Times New Roman"/>
          <w:szCs w:val="22"/>
        </w:rPr>
        <w:t xml:space="preserve">: Dimenze </w:t>
      </w:r>
      <w:r>
        <w:rPr>
          <w:rFonts w:ascii="Times New Roman" w:hAnsi="Times New Roman" w:cs="Times New Roman"/>
          <w:szCs w:val="22"/>
        </w:rPr>
        <w:t>7</w:t>
      </w:r>
      <w:r w:rsidRPr="00F6239D">
        <w:rPr>
          <w:rFonts w:ascii="Times New Roman" w:hAnsi="Times New Roman" w:cs="Times New Roman"/>
          <w:szCs w:val="22"/>
        </w:rPr>
        <w:t xml:space="preserve"> – </w:t>
      </w:r>
      <w:r w:rsidR="002C4816" w:rsidRPr="002C4816">
        <w:rPr>
          <w:rFonts w:ascii="Times New Roman" w:hAnsi="Times New Roman" w:cs="Times New Roman"/>
          <w:szCs w:val="22"/>
        </w:rPr>
        <w:t>ESF+, ERDF, CF a JTF</w:t>
      </w:r>
      <w:r w:rsidR="002C4816">
        <w:rPr>
          <w:rFonts w:ascii="Times New Roman" w:hAnsi="Times New Roman" w:cs="Times New Roman"/>
          <w:szCs w:val="22"/>
        </w:rPr>
        <w:t xml:space="preserve"> a dimenze rovnosti žen a mužů</w:t>
      </w:r>
    </w:p>
    <w:tbl>
      <w:tblPr>
        <w:tblStyle w:val="Tabulkasmkou4zvraznn1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6"/>
        <w:gridCol w:w="1047"/>
        <w:gridCol w:w="2701"/>
        <w:gridCol w:w="1385"/>
        <w:gridCol w:w="1462"/>
        <w:gridCol w:w="1958"/>
      </w:tblGrid>
      <w:tr w:rsidR="009E280E" w:rsidRPr="00B175FB" w:rsidTr="006578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9E280E" w:rsidRPr="000363D9" w:rsidRDefault="009E280E" w:rsidP="005C4229">
            <w:pPr>
              <w:jc w:val="center"/>
              <w:rPr>
                <w:rFonts w:eastAsia="Times New Roman"/>
                <w:b w:val="0"/>
                <w:sz w:val="18"/>
                <w:szCs w:val="18"/>
              </w:rPr>
            </w:pPr>
            <w:r w:rsidRPr="000363D9">
              <w:rPr>
                <w:rFonts w:eastAsia="Times New Roman"/>
                <w:sz w:val="18"/>
                <w:szCs w:val="18"/>
              </w:rPr>
              <w:t>Číslo priority</w:t>
            </w:r>
          </w:p>
        </w:tc>
        <w:tc>
          <w:tcPr>
            <w:tcW w:w="104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9E280E" w:rsidRPr="000363D9" w:rsidRDefault="009E280E" w:rsidP="005C42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sz w:val="18"/>
                <w:szCs w:val="18"/>
              </w:rPr>
            </w:pPr>
            <w:r w:rsidRPr="000363D9">
              <w:rPr>
                <w:rFonts w:eastAsia="Times New Roman"/>
                <w:sz w:val="18"/>
                <w:szCs w:val="18"/>
              </w:rPr>
              <w:t>Fond</w:t>
            </w:r>
          </w:p>
        </w:tc>
        <w:tc>
          <w:tcPr>
            <w:tcW w:w="27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9E280E" w:rsidRPr="000363D9" w:rsidRDefault="009E280E" w:rsidP="005C42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sz w:val="18"/>
                <w:szCs w:val="18"/>
              </w:rPr>
            </w:pPr>
            <w:r w:rsidRPr="000363D9">
              <w:rPr>
                <w:rFonts w:eastAsia="Times New Roman"/>
                <w:sz w:val="18"/>
                <w:szCs w:val="18"/>
              </w:rPr>
              <w:t>Kategorie regionu</w:t>
            </w:r>
          </w:p>
        </w:tc>
        <w:tc>
          <w:tcPr>
            <w:tcW w:w="13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</w:tcPr>
          <w:p w:rsidR="009E280E" w:rsidRPr="000363D9" w:rsidRDefault="009E280E" w:rsidP="005C42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0363D9">
              <w:rPr>
                <w:rFonts w:eastAsia="Times New Roman"/>
                <w:sz w:val="18"/>
                <w:szCs w:val="18"/>
              </w:rPr>
              <w:t>Specifický cíl</w:t>
            </w:r>
          </w:p>
        </w:tc>
        <w:tc>
          <w:tcPr>
            <w:tcW w:w="14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9E280E" w:rsidRPr="000363D9" w:rsidRDefault="009E280E" w:rsidP="005C42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sz w:val="18"/>
                <w:szCs w:val="18"/>
              </w:rPr>
            </w:pPr>
            <w:r w:rsidRPr="000363D9">
              <w:rPr>
                <w:rFonts w:eastAsia="Times New Roman"/>
                <w:sz w:val="18"/>
                <w:szCs w:val="18"/>
              </w:rPr>
              <w:t>Kód</w:t>
            </w:r>
          </w:p>
        </w:tc>
        <w:tc>
          <w:tcPr>
            <w:tcW w:w="19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9E280E" w:rsidRPr="000363D9" w:rsidRDefault="009E280E" w:rsidP="005C42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sz w:val="18"/>
                <w:szCs w:val="18"/>
              </w:rPr>
            </w:pPr>
            <w:r w:rsidRPr="000363D9">
              <w:rPr>
                <w:rFonts w:eastAsia="Times New Roman"/>
                <w:sz w:val="18"/>
                <w:szCs w:val="18"/>
              </w:rPr>
              <w:t>Částka (v EUR)</w:t>
            </w:r>
          </w:p>
        </w:tc>
      </w:tr>
      <w:tr w:rsidR="00E16F62" w:rsidRPr="00B175FB" w:rsidTr="000363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 w:val="restart"/>
            <w:shd w:val="clear" w:color="auto" w:fill="DEEAF6" w:themeFill="accent5" w:themeFillTint="33"/>
          </w:tcPr>
          <w:p w:rsidR="00E16F62" w:rsidRPr="000363D9" w:rsidRDefault="00E16F62" w:rsidP="000363D9">
            <w:pPr>
              <w:spacing w:before="0" w:after="0"/>
              <w:rPr>
                <w:rFonts w:eastAsia="Times New Roman"/>
                <w:b w:val="0"/>
                <w:sz w:val="18"/>
                <w:szCs w:val="18"/>
              </w:rPr>
            </w:pPr>
            <w:r w:rsidRPr="000363D9">
              <w:rPr>
                <w:rFonts w:eastAsia="Times New Roman"/>
                <w:b w:val="0"/>
                <w:sz w:val="18"/>
                <w:szCs w:val="18"/>
              </w:rPr>
              <w:t>P1</w:t>
            </w:r>
          </w:p>
        </w:tc>
        <w:tc>
          <w:tcPr>
            <w:tcW w:w="1047" w:type="dxa"/>
            <w:vMerge w:val="restart"/>
            <w:shd w:val="clear" w:color="auto" w:fill="DEEAF6" w:themeFill="accent5" w:themeFillTint="33"/>
          </w:tcPr>
          <w:p w:rsidR="00E16F62" w:rsidRPr="000363D9" w:rsidRDefault="00E16F62" w:rsidP="000363D9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sz w:val="18"/>
                <w:szCs w:val="18"/>
              </w:rPr>
            </w:pPr>
            <w:r w:rsidRPr="000363D9">
              <w:rPr>
                <w:rFonts w:eastAsia="Times New Roman"/>
                <w:sz w:val="18"/>
                <w:szCs w:val="18"/>
              </w:rPr>
              <w:t>ERDF</w:t>
            </w:r>
          </w:p>
        </w:tc>
        <w:tc>
          <w:tcPr>
            <w:tcW w:w="2701" w:type="dxa"/>
            <w:shd w:val="clear" w:color="auto" w:fill="DEEAF6" w:themeFill="accent5" w:themeFillTint="33"/>
          </w:tcPr>
          <w:p w:rsidR="00E16F62" w:rsidRPr="000363D9" w:rsidRDefault="00E16F62" w:rsidP="000363D9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sz w:val="18"/>
                <w:szCs w:val="18"/>
              </w:rPr>
            </w:pPr>
            <w:r w:rsidRPr="000363D9">
              <w:rPr>
                <w:rFonts w:eastAsia="Times New Roman"/>
                <w:sz w:val="18"/>
                <w:szCs w:val="18"/>
              </w:rPr>
              <w:t>Více rozvinuté</w:t>
            </w:r>
          </w:p>
        </w:tc>
        <w:tc>
          <w:tcPr>
            <w:tcW w:w="1385" w:type="dxa"/>
            <w:vMerge w:val="restart"/>
            <w:shd w:val="clear" w:color="auto" w:fill="DEEAF6" w:themeFill="accent5" w:themeFillTint="33"/>
            <w:vAlign w:val="center"/>
          </w:tcPr>
          <w:p w:rsidR="00E16F62" w:rsidRPr="000363D9" w:rsidRDefault="00BC67FA" w:rsidP="000363D9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E16F62" w:rsidRPr="000363D9">
              <w:rPr>
                <w:color w:val="000000"/>
                <w:sz w:val="18"/>
                <w:szCs w:val="18"/>
              </w:rPr>
              <w:t>.2</w:t>
            </w:r>
          </w:p>
        </w:tc>
        <w:tc>
          <w:tcPr>
            <w:tcW w:w="1462" w:type="dxa"/>
            <w:vMerge w:val="restart"/>
            <w:shd w:val="clear" w:color="auto" w:fill="DEEAF6" w:themeFill="accent5" w:themeFillTint="33"/>
            <w:vAlign w:val="center"/>
          </w:tcPr>
          <w:p w:rsidR="00E16F62" w:rsidRPr="000363D9" w:rsidRDefault="00E16F62" w:rsidP="000363D9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0363D9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E16F62" w:rsidRPr="000363D9" w:rsidRDefault="00E16F62" w:rsidP="000363D9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0363D9">
              <w:rPr>
                <w:color w:val="000000"/>
                <w:sz w:val="18"/>
                <w:szCs w:val="18"/>
              </w:rPr>
              <w:t xml:space="preserve">            12 130 941    </w:t>
            </w:r>
          </w:p>
        </w:tc>
      </w:tr>
      <w:tr w:rsidR="009859D0" w:rsidRPr="00B175FB" w:rsidTr="000363D9">
        <w:trPr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E16F62" w:rsidRPr="000363D9" w:rsidRDefault="00E16F62" w:rsidP="000363D9">
            <w:pPr>
              <w:spacing w:before="0" w:after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E16F62" w:rsidRPr="000363D9" w:rsidRDefault="00E16F62" w:rsidP="000363D9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2701" w:type="dxa"/>
            <w:shd w:val="clear" w:color="auto" w:fill="DEEAF6" w:themeFill="accent5" w:themeFillTint="33"/>
          </w:tcPr>
          <w:p w:rsidR="00E16F62" w:rsidRPr="000363D9" w:rsidRDefault="00E16F62" w:rsidP="000363D9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sz w:val="18"/>
                <w:szCs w:val="18"/>
              </w:rPr>
            </w:pPr>
            <w:r w:rsidRPr="000363D9">
              <w:rPr>
                <w:rFonts w:eastAsia="Times New Roman"/>
                <w:sz w:val="18"/>
                <w:szCs w:val="18"/>
              </w:rPr>
              <w:t>Přechodové</w:t>
            </w:r>
          </w:p>
        </w:tc>
        <w:tc>
          <w:tcPr>
            <w:tcW w:w="1385" w:type="dxa"/>
            <w:vMerge/>
            <w:shd w:val="clear" w:color="auto" w:fill="DEEAF6" w:themeFill="accent5" w:themeFillTint="33"/>
            <w:vAlign w:val="center"/>
          </w:tcPr>
          <w:p w:rsidR="00E16F62" w:rsidRPr="000363D9" w:rsidRDefault="00E16F62" w:rsidP="000363D9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E16F62" w:rsidRPr="000363D9" w:rsidRDefault="00E16F62" w:rsidP="000363D9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E16F62" w:rsidRPr="000363D9" w:rsidRDefault="00E16F62" w:rsidP="000363D9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0363D9">
              <w:rPr>
                <w:color w:val="000000"/>
                <w:sz w:val="18"/>
                <w:szCs w:val="18"/>
              </w:rPr>
              <w:t xml:space="preserve">            44 705 365    </w:t>
            </w:r>
          </w:p>
        </w:tc>
      </w:tr>
      <w:tr w:rsidR="00E16F62" w:rsidRPr="00B175FB" w:rsidTr="000363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E16F62" w:rsidRPr="000363D9" w:rsidRDefault="00E16F62" w:rsidP="000363D9">
            <w:pPr>
              <w:spacing w:before="0" w:after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E16F62" w:rsidRPr="000363D9" w:rsidRDefault="00E16F62" w:rsidP="000363D9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2701" w:type="dxa"/>
            <w:shd w:val="clear" w:color="auto" w:fill="DEEAF6" w:themeFill="accent5" w:themeFillTint="33"/>
          </w:tcPr>
          <w:p w:rsidR="00E16F62" w:rsidRPr="000363D9" w:rsidRDefault="00E16F62" w:rsidP="000363D9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sz w:val="18"/>
                <w:szCs w:val="18"/>
              </w:rPr>
            </w:pPr>
            <w:r w:rsidRPr="000363D9">
              <w:rPr>
                <w:rFonts w:eastAsia="Times New Roman"/>
                <w:sz w:val="18"/>
                <w:szCs w:val="18"/>
              </w:rPr>
              <w:t>Méně rozvinuté</w:t>
            </w:r>
          </w:p>
        </w:tc>
        <w:tc>
          <w:tcPr>
            <w:tcW w:w="1385" w:type="dxa"/>
            <w:vMerge/>
            <w:shd w:val="clear" w:color="auto" w:fill="DEEAF6" w:themeFill="accent5" w:themeFillTint="33"/>
            <w:vAlign w:val="center"/>
          </w:tcPr>
          <w:p w:rsidR="00E16F62" w:rsidRPr="000363D9" w:rsidRDefault="00E16F62" w:rsidP="000363D9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E16F62" w:rsidRPr="000363D9" w:rsidRDefault="00E16F62" w:rsidP="000363D9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E16F62" w:rsidRPr="000363D9" w:rsidRDefault="00E16F62" w:rsidP="000363D9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0363D9">
              <w:rPr>
                <w:color w:val="000000"/>
                <w:sz w:val="18"/>
                <w:szCs w:val="18"/>
              </w:rPr>
              <w:t xml:space="preserve">            31 146 704    </w:t>
            </w:r>
          </w:p>
        </w:tc>
      </w:tr>
    </w:tbl>
    <w:p w:rsidR="00DE3DEC" w:rsidRPr="00B175FB" w:rsidRDefault="00DE3DEC">
      <w:pPr>
        <w:spacing w:before="0" w:after="160" w:line="259" w:lineRule="auto"/>
        <w:rPr>
          <w:rFonts w:eastAsia="Times New Roman"/>
          <w:b/>
          <w:iCs/>
          <w:noProof/>
          <w:szCs w:val="24"/>
        </w:rPr>
      </w:pPr>
    </w:p>
    <w:p w:rsidR="00FC2C55" w:rsidRDefault="00FC2C55">
      <w:pPr>
        <w:spacing w:before="0" w:after="160" w:line="259" w:lineRule="auto"/>
        <w:rPr>
          <w:rFonts w:eastAsia="Calibri" w:cs="Arial"/>
          <w:b/>
          <w:noProof/>
          <w:color w:val="1F4E79" w:themeColor="accent5" w:themeShade="80"/>
        </w:rPr>
      </w:pPr>
      <w:bookmarkStart w:id="136" w:name="_Toc66476048"/>
      <w:bookmarkStart w:id="137" w:name="_Toc68611006"/>
      <w:bookmarkStart w:id="138" w:name="_Toc33000816"/>
      <w:r>
        <w:rPr>
          <w:noProof/>
          <w:color w:val="1F4E79" w:themeColor="accent5" w:themeShade="80"/>
        </w:rPr>
        <w:br w:type="page"/>
      </w:r>
    </w:p>
    <w:p w:rsidR="00DE3DEC" w:rsidRPr="00B175FB" w:rsidRDefault="006B32C9" w:rsidP="00636242">
      <w:pPr>
        <w:pStyle w:val="Nadpis2"/>
        <w:rPr>
          <w:noProof/>
          <w:color w:val="1F4E79" w:themeColor="accent5" w:themeShade="80"/>
          <w:lang w:val="cs-CZ"/>
        </w:rPr>
      </w:pPr>
      <w:r w:rsidRPr="00B175FB">
        <w:rPr>
          <w:noProof/>
          <w:color w:val="1F4E79" w:themeColor="accent5" w:themeShade="80"/>
          <w:lang w:val="cs-CZ"/>
        </w:rPr>
        <w:t>Priorita 2</w:t>
      </w:r>
      <w:r w:rsidR="00DE3DEC" w:rsidRPr="00B175FB">
        <w:rPr>
          <w:noProof/>
          <w:color w:val="1F4E79" w:themeColor="accent5" w:themeShade="80"/>
          <w:lang w:val="cs-CZ"/>
        </w:rPr>
        <w:t xml:space="preserve"> </w:t>
      </w:r>
      <w:r w:rsidR="00754417" w:rsidRPr="00B175FB">
        <w:rPr>
          <w:noProof/>
          <w:color w:val="1F4E79" w:themeColor="accent5" w:themeShade="80"/>
          <w:lang w:val="cs-CZ"/>
        </w:rPr>
        <w:t xml:space="preserve">– </w:t>
      </w:r>
      <w:r w:rsidR="00264DAD">
        <w:rPr>
          <w:noProof/>
          <w:color w:val="1F4E79" w:themeColor="accent5" w:themeShade="80"/>
          <w:lang w:val="cs-CZ"/>
        </w:rPr>
        <w:t>Vzdělávání (</w:t>
      </w:r>
      <w:r w:rsidR="00754417" w:rsidRPr="00B175FB">
        <w:rPr>
          <w:noProof/>
          <w:color w:val="1F4E79" w:themeColor="accent5" w:themeShade="80"/>
          <w:lang w:val="cs-CZ"/>
        </w:rPr>
        <w:t>P2</w:t>
      </w:r>
      <w:r w:rsidR="00264DAD">
        <w:rPr>
          <w:noProof/>
          <w:color w:val="1F4E79" w:themeColor="accent5" w:themeShade="80"/>
          <w:lang w:val="cs-CZ"/>
        </w:rPr>
        <w:t>)</w:t>
      </w:r>
      <w:bookmarkEnd w:id="136"/>
      <w:bookmarkEnd w:id="137"/>
      <w:r w:rsidR="00754417" w:rsidRPr="00B175FB">
        <w:rPr>
          <w:noProof/>
          <w:color w:val="1F4E79" w:themeColor="accent5" w:themeShade="80"/>
          <w:lang w:val="cs-CZ"/>
        </w:rPr>
        <w:t xml:space="preserve"> </w:t>
      </w:r>
      <w:bookmarkEnd w:id="138"/>
    </w:p>
    <w:p w:rsidR="00DE3DEC" w:rsidRPr="00B175FB" w:rsidRDefault="00C97096" w:rsidP="00636242">
      <w:pPr>
        <w:pStyle w:val="Nadpis3"/>
        <w:rPr>
          <w:b/>
          <w:color w:val="1F4E79" w:themeColor="accent5" w:themeShade="80"/>
          <w:lang w:val="cs-CZ" w:eastAsia="cs-CZ" w:bidi="cs-CZ"/>
        </w:rPr>
      </w:pPr>
      <w:bookmarkStart w:id="139" w:name="_Toc33000817"/>
      <w:bookmarkStart w:id="140" w:name="_Toc66476049"/>
      <w:bookmarkStart w:id="141" w:name="_Toc68611007"/>
      <w:bookmarkStart w:id="142" w:name="_Hlk20818812"/>
      <w:r w:rsidRPr="00B175FB">
        <w:rPr>
          <w:b/>
          <w:color w:val="1F4E79" w:themeColor="accent5" w:themeShade="80"/>
          <w:lang w:val="cs-CZ" w:eastAsia="cs-CZ" w:bidi="cs-CZ"/>
        </w:rPr>
        <w:t>SC</w:t>
      </w:r>
      <w:r w:rsidR="006C0FF9" w:rsidRPr="00B175FB">
        <w:rPr>
          <w:b/>
          <w:color w:val="1F4E79" w:themeColor="accent5" w:themeShade="80"/>
          <w:lang w:val="cs-CZ" w:eastAsia="cs-CZ" w:bidi="cs-CZ"/>
        </w:rPr>
        <w:t xml:space="preserve"> 2.1</w:t>
      </w:r>
      <w:r w:rsidRPr="00B175FB">
        <w:rPr>
          <w:b/>
          <w:color w:val="1F4E79" w:themeColor="accent5" w:themeShade="80"/>
          <w:lang w:val="cs-CZ" w:eastAsia="cs-CZ" w:bidi="cs-CZ"/>
        </w:rPr>
        <w:t xml:space="preserve"> </w:t>
      </w:r>
      <w:r w:rsidR="00570DCA">
        <w:rPr>
          <w:b/>
          <w:color w:val="1F4E79" w:themeColor="accent5" w:themeShade="80"/>
          <w:lang w:val="cs-CZ" w:eastAsia="cs-CZ" w:bidi="cs-CZ"/>
        </w:rPr>
        <w:t>Z</w:t>
      </w:r>
      <w:r w:rsidR="00570DCA" w:rsidRPr="00570DCA">
        <w:rPr>
          <w:b/>
          <w:color w:val="1F4E79" w:themeColor="accent5" w:themeShade="80"/>
          <w:lang w:val="cs-CZ" w:eastAsia="cs-CZ" w:bidi="cs-CZ"/>
        </w:rPr>
        <w:t>lepšování rovného přístupu k inkluzivním a kvalitním službám v oblasti vzdělávání, odborné přípravy a celoživotního učení pomocí rozvoje přístupné infrastruktury, mimo jiné posilováním odolnosti pro distanční a online vzdělávání a</w:t>
      </w:r>
      <w:r w:rsidR="00DA133B">
        <w:rPr>
          <w:b/>
          <w:color w:val="1F4E79" w:themeColor="accent5" w:themeShade="80"/>
          <w:lang w:val="cs-CZ" w:eastAsia="cs-CZ" w:bidi="cs-CZ"/>
        </w:rPr>
        <w:t> </w:t>
      </w:r>
      <w:r w:rsidR="00570DCA" w:rsidRPr="00570DCA">
        <w:rPr>
          <w:b/>
          <w:color w:val="1F4E79" w:themeColor="accent5" w:themeShade="80"/>
          <w:lang w:val="cs-CZ" w:eastAsia="cs-CZ" w:bidi="cs-CZ"/>
        </w:rPr>
        <w:t>odbornou přípravu</w:t>
      </w:r>
      <w:bookmarkEnd w:id="139"/>
      <w:bookmarkEnd w:id="140"/>
      <w:bookmarkEnd w:id="141"/>
    </w:p>
    <w:p w:rsidR="00DE3DEC" w:rsidRPr="00C73AC3" w:rsidRDefault="000774D7" w:rsidP="00C73AC3">
      <w:pPr>
        <w:pStyle w:val="Nadpis4"/>
        <w:rPr>
          <w:b/>
          <w:color w:val="1F4E79" w:themeColor="accent5" w:themeShade="80"/>
          <w:lang w:val="cs-CZ" w:eastAsia="cs-CZ" w:bidi="cs-CZ"/>
        </w:rPr>
      </w:pPr>
      <w:bookmarkStart w:id="143" w:name="_Toc66476050"/>
      <w:bookmarkStart w:id="144" w:name="_Toc68611008"/>
      <w:r w:rsidRPr="00C73AC3">
        <w:rPr>
          <w:b/>
          <w:color w:val="1F4E79" w:themeColor="accent5" w:themeShade="80"/>
          <w:lang w:val="cs-CZ" w:eastAsia="cs-CZ" w:bidi="cs-CZ"/>
        </w:rPr>
        <w:t>Intervence fondů</w:t>
      </w:r>
      <w:bookmarkEnd w:id="143"/>
      <w:bookmarkEnd w:id="144"/>
    </w:p>
    <w:p w:rsidR="004005FF" w:rsidRPr="00B175FB" w:rsidRDefault="004005FF" w:rsidP="001C52B9">
      <w:pPr>
        <w:spacing w:before="0" w:line="276" w:lineRule="auto"/>
        <w:rPr>
          <w:rFonts w:eastAsia="Times New Roman"/>
          <w:b/>
          <w:bCs/>
          <w:i/>
          <w:iCs/>
          <w:noProof/>
          <w:szCs w:val="24"/>
          <w:u w:val="single"/>
        </w:rPr>
      </w:pPr>
      <w:r w:rsidRPr="00B175FB">
        <w:rPr>
          <w:rFonts w:eastAsia="Times New Roman"/>
          <w:b/>
          <w:i/>
          <w:noProof/>
          <w:szCs w:val="24"/>
        </w:rPr>
        <w:t>Související druhy č</w:t>
      </w:r>
      <w:r w:rsidR="00595F28" w:rsidRPr="00B175FB">
        <w:rPr>
          <w:rFonts w:eastAsia="Times New Roman"/>
          <w:b/>
          <w:i/>
          <w:noProof/>
          <w:szCs w:val="24"/>
        </w:rPr>
        <w:t>i</w:t>
      </w:r>
      <w:r w:rsidRPr="00B175FB">
        <w:rPr>
          <w:rFonts w:eastAsia="Times New Roman"/>
          <w:b/>
          <w:i/>
          <w:noProof/>
          <w:szCs w:val="24"/>
        </w:rPr>
        <w:t xml:space="preserve">nností </w:t>
      </w:r>
      <w:r w:rsidRPr="00B175FB">
        <w:rPr>
          <w:rFonts w:eastAsia="Times New Roman"/>
          <w:i/>
          <w:noProof/>
          <w:szCs w:val="24"/>
        </w:rPr>
        <w:t xml:space="preserve"> </w:t>
      </w: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DE3DEC" w:rsidRPr="00B175FB" w:rsidTr="00754417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517" w:rsidRPr="00B175FB" w:rsidRDefault="001E176F" w:rsidP="00ED7ABD">
            <w:pPr>
              <w:spacing w:line="276" w:lineRule="auto"/>
              <w:jc w:val="both"/>
              <w:rPr>
                <w:rFonts w:eastAsia="Times New Roman"/>
                <w:iCs/>
                <w:sz w:val="22"/>
              </w:rPr>
            </w:pPr>
            <w:bookmarkStart w:id="145" w:name="_Hlk21332213"/>
            <w:r w:rsidRPr="00B175FB">
              <w:rPr>
                <w:rFonts w:eastAsia="Times New Roman"/>
                <w:iCs/>
                <w:sz w:val="22"/>
              </w:rPr>
              <w:t>I</w:t>
            </w:r>
            <w:r w:rsidR="00487F9D" w:rsidRPr="00B175FB">
              <w:rPr>
                <w:rFonts w:eastAsia="Times New Roman"/>
                <w:iCs/>
                <w:sz w:val="22"/>
              </w:rPr>
              <w:t>ntervenc</w:t>
            </w:r>
            <w:r w:rsidRPr="00B175FB">
              <w:rPr>
                <w:rFonts w:eastAsia="Times New Roman"/>
                <w:iCs/>
                <w:sz w:val="22"/>
              </w:rPr>
              <w:t>e budou sloužit jako</w:t>
            </w:r>
            <w:r w:rsidR="006E5806" w:rsidRPr="00B175FB">
              <w:rPr>
                <w:rFonts w:eastAsia="Times New Roman"/>
                <w:iCs/>
                <w:sz w:val="22"/>
              </w:rPr>
              <w:t xml:space="preserve"> dop</w:t>
            </w:r>
            <w:r w:rsidR="00B1001C" w:rsidRPr="00B175FB">
              <w:rPr>
                <w:rFonts w:eastAsia="Times New Roman"/>
                <w:iCs/>
                <w:sz w:val="22"/>
              </w:rPr>
              <w:t>l</w:t>
            </w:r>
            <w:r w:rsidR="006E5806" w:rsidRPr="00B175FB">
              <w:rPr>
                <w:rFonts w:eastAsia="Times New Roman"/>
                <w:iCs/>
                <w:sz w:val="22"/>
              </w:rPr>
              <w:t xml:space="preserve">ňková </w:t>
            </w:r>
            <w:r w:rsidRPr="00B175FB">
              <w:rPr>
                <w:rFonts w:eastAsia="Times New Roman"/>
                <w:iCs/>
                <w:sz w:val="22"/>
              </w:rPr>
              <w:t>inve</w:t>
            </w:r>
            <w:r w:rsidR="006E5806" w:rsidRPr="00B175FB">
              <w:rPr>
                <w:rFonts w:eastAsia="Times New Roman"/>
                <w:iCs/>
                <w:sz w:val="22"/>
              </w:rPr>
              <w:t>stiční podpora aktivit reali</w:t>
            </w:r>
            <w:r w:rsidRPr="00B175FB">
              <w:rPr>
                <w:rFonts w:eastAsia="Times New Roman"/>
                <w:iCs/>
                <w:sz w:val="22"/>
              </w:rPr>
              <w:t>z</w:t>
            </w:r>
            <w:r w:rsidR="006E5806" w:rsidRPr="00B175FB">
              <w:rPr>
                <w:rFonts w:eastAsia="Times New Roman"/>
                <w:iCs/>
                <w:sz w:val="22"/>
              </w:rPr>
              <w:t>ovaných v</w:t>
            </w:r>
            <w:r w:rsidR="00BF6DB8" w:rsidRPr="00B175FB">
              <w:rPr>
                <w:rFonts w:eastAsia="Times New Roman"/>
                <w:iCs/>
                <w:sz w:val="22"/>
              </w:rPr>
              <w:t> </w:t>
            </w:r>
            <w:r w:rsidR="006E5806" w:rsidRPr="00B175FB">
              <w:rPr>
                <w:rFonts w:eastAsia="Times New Roman"/>
                <w:iCs/>
                <w:sz w:val="22"/>
              </w:rPr>
              <w:t>SC</w:t>
            </w:r>
            <w:r w:rsidR="00BF6DB8" w:rsidRPr="00B175FB">
              <w:rPr>
                <w:rFonts w:eastAsia="Times New Roman"/>
                <w:iCs/>
                <w:sz w:val="22"/>
              </w:rPr>
              <w:t xml:space="preserve"> </w:t>
            </w:r>
            <w:r w:rsidR="007835A3" w:rsidRPr="00B175FB">
              <w:rPr>
                <w:rFonts w:eastAsia="Times New Roman"/>
                <w:iCs/>
                <w:sz w:val="22"/>
              </w:rPr>
              <w:t>2</w:t>
            </w:r>
            <w:r w:rsidR="00372CB7" w:rsidRPr="00B175FB">
              <w:rPr>
                <w:rFonts w:eastAsia="Times New Roman"/>
                <w:iCs/>
                <w:sz w:val="22"/>
              </w:rPr>
              <w:t>.</w:t>
            </w:r>
            <w:r w:rsidR="007835A3" w:rsidRPr="00B175FB">
              <w:rPr>
                <w:rFonts w:eastAsia="Times New Roman"/>
                <w:iCs/>
                <w:sz w:val="22"/>
              </w:rPr>
              <w:t>2</w:t>
            </w:r>
            <w:r w:rsidR="005732D3" w:rsidRPr="00B175FB">
              <w:rPr>
                <w:rFonts w:eastAsia="Times New Roman"/>
                <w:iCs/>
                <w:sz w:val="22"/>
              </w:rPr>
              <w:t>,</w:t>
            </w:r>
            <w:r w:rsidR="00503849" w:rsidRPr="00B175FB">
              <w:rPr>
                <w:rFonts w:eastAsia="Times New Roman"/>
                <w:iCs/>
                <w:sz w:val="22"/>
              </w:rPr>
              <w:t xml:space="preserve"> </w:t>
            </w:r>
            <w:r w:rsidR="006E5806" w:rsidRPr="00B175FB">
              <w:rPr>
                <w:rFonts w:eastAsia="Times New Roman"/>
                <w:iCs/>
                <w:sz w:val="22"/>
              </w:rPr>
              <w:t xml:space="preserve">SC </w:t>
            </w:r>
            <w:r w:rsidR="007835A3" w:rsidRPr="00B175FB">
              <w:rPr>
                <w:rFonts w:eastAsia="Times New Roman"/>
                <w:iCs/>
                <w:sz w:val="22"/>
              </w:rPr>
              <w:t>2.3</w:t>
            </w:r>
            <w:r w:rsidR="005F7328" w:rsidRPr="00B175FB">
              <w:rPr>
                <w:rFonts w:eastAsia="Times New Roman"/>
                <w:iCs/>
                <w:sz w:val="22"/>
              </w:rPr>
              <w:t xml:space="preserve"> a SC </w:t>
            </w:r>
            <w:r w:rsidR="007835A3" w:rsidRPr="00B175FB">
              <w:rPr>
                <w:rFonts w:eastAsia="Times New Roman"/>
                <w:iCs/>
                <w:sz w:val="22"/>
              </w:rPr>
              <w:t>2.4</w:t>
            </w:r>
            <w:r w:rsidR="005F7328" w:rsidRPr="00B175FB">
              <w:rPr>
                <w:rFonts w:eastAsia="Times New Roman"/>
                <w:iCs/>
                <w:sz w:val="22"/>
              </w:rPr>
              <w:t xml:space="preserve"> </w:t>
            </w:r>
            <w:r w:rsidR="00651C97" w:rsidRPr="00B175FB">
              <w:rPr>
                <w:rFonts w:eastAsia="Times New Roman"/>
                <w:iCs/>
                <w:sz w:val="22"/>
              </w:rPr>
              <w:t>(</w:t>
            </w:r>
            <w:r w:rsidR="00331FE8" w:rsidRPr="00B175FB">
              <w:rPr>
                <w:rFonts w:eastAsia="Times New Roman"/>
                <w:iCs/>
                <w:sz w:val="22"/>
              </w:rPr>
              <w:t xml:space="preserve">financovaných z </w:t>
            </w:r>
            <w:r w:rsidR="00651C97" w:rsidRPr="00B175FB">
              <w:rPr>
                <w:rFonts w:eastAsia="Times New Roman"/>
                <w:iCs/>
                <w:sz w:val="22"/>
              </w:rPr>
              <w:t xml:space="preserve">ESF+) na </w:t>
            </w:r>
            <w:r w:rsidR="00600A95" w:rsidRPr="00B175FB">
              <w:rPr>
                <w:rFonts w:eastAsia="Times New Roman"/>
                <w:iCs/>
                <w:sz w:val="22"/>
              </w:rPr>
              <w:t>VŠ</w:t>
            </w:r>
            <w:r w:rsidR="006E5806" w:rsidRPr="00B175FB">
              <w:rPr>
                <w:rFonts w:eastAsia="Times New Roman"/>
                <w:iCs/>
                <w:sz w:val="22"/>
              </w:rPr>
              <w:t xml:space="preserve">, </w:t>
            </w:r>
            <w:r w:rsidR="00084AC0" w:rsidRPr="00B175FB">
              <w:rPr>
                <w:rFonts w:eastAsia="Times New Roman"/>
                <w:iCs/>
                <w:sz w:val="22"/>
              </w:rPr>
              <w:t>případně bud</w:t>
            </w:r>
            <w:r w:rsidRPr="00B175FB">
              <w:rPr>
                <w:rFonts w:eastAsia="Times New Roman"/>
                <w:iCs/>
                <w:sz w:val="22"/>
              </w:rPr>
              <w:t>ou tyto intervence</w:t>
            </w:r>
            <w:r w:rsidR="006E5806" w:rsidRPr="00B175FB">
              <w:rPr>
                <w:rFonts w:eastAsia="Times New Roman"/>
                <w:iCs/>
                <w:sz w:val="22"/>
              </w:rPr>
              <w:t xml:space="preserve"> navazovat na </w:t>
            </w:r>
            <w:r w:rsidR="00FA5568">
              <w:rPr>
                <w:rFonts w:eastAsia="Times New Roman"/>
                <w:iCs/>
                <w:sz w:val="22"/>
              </w:rPr>
              <w:t xml:space="preserve">charakterově obdobné </w:t>
            </w:r>
            <w:r w:rsidR="006E5806" w:rsidRPr="00B175FB">
              <w:rPr>
                <w:rFonts w:eastAsia="Times New Roman"/>
                <w:iCs/>
                <w:sz w:val="22"/>
              </w:rPr>
              <w:t>aktivity projektů financovaných v minulém programovém období</w:t>
            </w:r>
            <w:r w:rsidR="00FA5568">
              <w:rPr>
                <w:rFonts w:eastAsia="Times New Roman"/>
                <w:iCs/>
                <w:sz w:val="22"/>
              </w:rPr>
              <w:t xml:space="preserve"> či na charakterově obdobné </w:t>
            </w:r>
            <w:r w:rsidR="002813BB">
              <w:rPr>
                <w:rFonts w:eastAsia="Times New Roman"/>
                <w:iCs/>
                <w:sz w:val="22"/>
              </w:rPr>
              <w:t>aktivity realizované v návaznosti na Strategický záměr</w:t>
            </w:r>
            <w:r w:rsidR="00D81825">
              <w:rPr>
                <w:rFonts w:eastAsia="Times New Roman"/>
                <w:iCs/>
                <w:sz w:val="22"/>
              </w:rPr>
              <w:t xml:space="preserve"> ministerstva</w:t>
            </w:r>
            <w:r w:rsidR="002813BB">
              <w:rPr>
                <w:rFonts w:eastAsia="Times New Roman"/>
                <w:iCs/>
                <w:sz w:val="22"/>
              </w:rPr>
              <w:t xml:space="preserve"> pro </w:t>
            </w:r>
            <w:r w:rsidR="00D81825">
              <w:rPr>
                <w:rFonts w:eastAsia="Times New Roman"/>
                <w:iCs/>
                <w:sz w:val="22"/>
              </w:rPr>
              <w:t>oblast vysokých škol</w:t>
            </w:r>
            <w:r w:rsidR="002813BB">
              <w:rPr>
                <w:rFonts w:eastAsia="Times New Roman"/>
                <w:iCs/>
                <w:sz w:val="22"/>
              </w:rPr>
              <w:t xml:space="preserve"> na období od roku 2021</w:t>
            </w:r>
            <w:r w:rsidR="00503849" w:rsidRPr="00B175FB">
              <w:rPr>
                <w:rFonts w:eastAsia="Times New Roman"/>
                <w:iCs/>
                <w:sz w:val="22"/>
              </w:rPr>
              <w:t>.</w:t>
            </w:r>
            <w:r w:rsidR="00651C97" w:rsidRPr="00B175FB">
              <w:rPr>
                <w:rFonts w:eastAsia="Times New Roman"/>
                <w:iCs/>
                <w:sz w:val="22"/>
              </w:rPr>
              <w:t xml:space="preserve"> </w:t>
            </w:r>
            <w:r w:rsidR="00DC2F1F">
              <w:rPr>
                <w:rFonts w:eastAsia="Times New Roman"/>
                <w:iCs/>
                <w:sz w:val="22"/>
              </w:rPr>
              <w:t>Bez této návaznosti nebude možné realizovat aktivity z</w:t>
            </w:r>
            <w:r w:rsidR="000A1BE5">
              <w:rPr>
                <w:rFonts w:eastAsia="Times New Roman"/>
                <w:iCs/>
                <w:sz w:val="22"/>
              </w:rPr>
              <w:t> </w:t>
            </w:r>
            <w:r w:rsidR="00DC2F1F">
              <w:rPr>
                <w:rFonts w:eastAsia="Times New Roman"/>
                <w:iCs/>
                <w:sz w:val="22"/>
              </w:rPr>
              <w:t>SC</w:t>
            </w:r>
            <w:r w:rsidR="000A1BE5">
              <w:rPr>
                <w:rFonts w:eastAsia="Times New Roman"/>
                <w:iCs/>
                <w:sz w:val="22"/>
              </w:rPr>
              <w:t xml:space="preserve"> </w:t>
            </w:r>
            <w:r w:rsidR="00DC2F1F">
              <w:rPr>
                <w:rFonts w:eastAsia="Times New Roman"/>
                <w:iCs/>
                <w:sz w:val="22"/>
              </w:rPr>
              <w:t xml:space="preserve">2.1. </w:t>
            </w:r>
            <w:r w:rsidR="006E5806" w:rsidRPr="00B175FB">
              <w:rPr>
                <w:rFonts w:eastAsia="Times New Roman"/>
                <w:iCs/>
                <w:sz w:val="22"/>
              </w:rPr>
              <w:t>Podporovány budou investice do</w:t>
            </w:r>
            <w:r w:rsidR="00D40590" w:rsidRPr="00B175FB">
              <w:rPr>
                <w:rFonts w:eastAsia="Times New Roman"/>
                <w:iCs/>
                <w:sz w:val="22"/>
              </w:rPr>
              <w:t> </w:t>
            </w:r>
            <w:r w:rsidR="006E5806" w:rsidRPr="00B175FB">
              <w:rPr>
                <w:rFonts w:eastAsia="Times New Roman"/>
                <w:iCs/>
                <w:sz w:val="22"/>
              </w:rPr>
              <w:t xml:space="preserve">rekonstrukcí </w:t>
            </w:r>
            <w:r w:rsidR="00222E25">
              <w:rPr>
                <w:rFonts w:eastAsia="Times New Roman"/>
                <w:iCs/>
                <w:sz w:val="22"/>
              </w:rPr>
              <w:t>a</w:t>
            </w:r>
            <w:r w:rsidR="006B5658">
              <w:rPr>
                <w:rFonts w:eastAsia="Times New Roman"/>
                <w:iCs/>
                <w:sz w:val="22"/>
              </w:rPr>
              <w:t> </w:t>
            </w:r>
            <w:r w:rsidR="00222E25">
              <w:rPr>
                <w:rFonts w:eastAsia="Times New Roman"/>
                <w:iCs/>
                <w:sz w:val="22"/>
              </w:rPr>
              <w:t xml:space="preserve">dobudování </w:t>
            </w:r>
            <w:r w:rsidR="006E5806" w:rsidRPr="00B175FB">
              <w:rPr>
                <w:rFonts w:eastAsia="Times New Roman"/>
                <w:iCs/>
                <w:sz w:val="22"/>
              </w:rPr>
              <w:t>nevyhovujícíc</w:t>
            </w:r>
            <w:r w:rsidR="00651C97" w:rsidRPr="00B175FB">
              <w:rPr>
                <w:rFonts w:eastAsia="Times New Roman"/>
                <w:iCs/>
                <w:sz w:val="22"/>
              </w:rPr>
              <w:t>h vzdělávacích prostor, prostor pro praktické a</w:t>
            </w:r>
            <w:r w:rsidR="00084AC0" w:rsidRPr="00B175FB">
              <w:rPr>
                <w:rFonts w:eastAsia="Times New Roman"/>
                <w:iCs/>
                <w:sz w:val="22"/>
              </w:rPr>
              <w:t xml:space="preserve"> </w:t>
            </w:r>
            <w:r w:rsidR="00651C97" w:rsidRPr="00B175FB">
              <w:rPr>
                <w:rFonts w:eastAsia="Times New Roman"/>
                <w:iCs/>
                <w:sz w:val="22"/>
              </w:rPr>
              <w:t>kolaborativní učení, poř</w:t>
            </w:r>
            <w:r w:rsidR="00B1001C" w:rsidRPr="00B175FB">
              <w:rPr>
                <w:rFonts w:eastAsia="Times New Roman"/>
                <w:iCs/>
                <w:sz w:val="22"/>
              </w:rPr>
              <w:t>i</w:t>
            </w:r>
            <w:r w:rsidR="00651C97" w:rsidRPr="00B175FB">
              <w:rPr>
                <w:rFonts w:eastAsia="Times New Roman"/>
                <w:iCs/>
                <w:sz w:val="22"/>
              </w:rPr>
              <w:t>zování</w:t>
            </w:r>
            <w:r w:rsidR="006E5806" w:rsidRPr="00B175FB">
              <w:rPr>
                <w:rFonts w:eastAsia="Times New Roman"/>
                <w:iCs/>
                <w:sz w:val="22"/>
              </w:rPr>
              <w:t xml:space="preserve"> studijních pomůcek, vybavení knihoven studijními zdroji</w:t>
            </w:r>
            <w:r w:rsidR="00ED7ABD">
              <w:rPr>
                <w:rFonts w:eastAsia="Times New Roman"/>
                <w:iCs/>
                <w:sz w:val="22"/>
              </w:rPr>
              <w:t xml:space="preserve"> a úprava prostor (vč. pořízení vybavení) sloužících pro podporu práce se zájemci o studium na VŠ</w:t>
            </w:r>
            <w:r w:rsidR="00651C97" w:rsidRPr="00B175FB">
              <w:rPr>
                <w:rFonts w:eastAsia="Times New Roman"/>
                <w:iCs/>
                <w:sz w:val="22"/>
              </w:rPr>
              <w:t>.</w:t>
            </w:r>
            <w:r w:rsidR="007119D1" w:rsidRPr="00B175FB">
              <w:rPr>
                <w:rFonts w:eastAsia="Times New Roman"/>
                <w:iCs/>
                <w:sz w:val="22"/>
              </w:rPr>
              <w:t xml:space="preserve"> </w:t>
            </w:r>
            <w:r w:rsidR="00084AC0" w:rsidRPr="00B175FB">
              <w:rPr>
                <w:rFonts w:eastAsia="Times New Roman"/>
                <w:iCs/>
                <w:sz w:val="22"/>
              </w:rPr>
              <w:t>Účelem pod</w:t>
            </w:r>
            <w:r w:rsidR="00B1001C" w:rsidRPr="00B175FB">
              <w:rPr>
                <w:rFonts w:eastAsia="Times New Roman"/>
                <w:iCs/>
                <w:sz w:val="22"/>
              </w:rPr>
              <w:t>p</w:t>
            </w:r>
            <w:r w:rsidR="00084AC0" w:rsidRPr="00B175FB">
              <w:rPr>
                <w:rFonts w:eastAsia="Times New Roman"/>
                <w:iCs/>
                <w:sz w:val="22"/>
              </w:rPr>
              <w:t xml:space="preserve">ory je také </w:t>
            </w:r>
            <w:r w:rsidR="006C6D82" w:rsidRPr="00B175FB">
              <w:rPr>
                <w:rFonts w:eastAsia="Times New Roman"/>
                <w:iCs/>
                <w:sz w:val="22"/>
              </w:rPr>
              <w:t>zpřístupnění</w:t>
            </w:r>
            <w:r w:rsidR="00084AC0" w:rsidRPr="00B175FB">
              <w:rPr>
                <w:rFonts w:eastAsia="Times New Roman"/>
                <w:iCs/>
                <w:sz w:val="22"/>
              </w:rPr>
              <w:t xml:space="preserve"> prostor </w:t>
            </w:r>
            <w:r w:rsidRPr="00B175FB">
              <w:rPr>
                <w:rFonts w:eastAsia="Times New Roman"/>
                <w:iCs/>
                <w:sz w:val="22"/>
              </w:rPr>
              <w:t>(i</w:t>
            </w:r>
            <w:r w:rsidR="00524D6C">
              <w:rPr>
                <w:rFonts w:eastAsia="Times New Roman"/>
                <w:iCs/>
                <w:sz w:val="22"/>
              </w:rPr>
              <w:t> </w:t>
            </w:r>
            <w:r w:rsidRPr="00B175FB">
              <w:rPr>
                <w:rFonts w:eastAsia="Times New Roman"/>
                <w:iCs/>
                <w:sz w:val="22"/>
              </w:rPr>
              <w:t xml:space="preserve">ubytovacích) </w:t>
            </w:r>
            <w:r w:rsidR="00084AC0" w:rsidRPr="00B175FB">
              <w:rPr>
                <w:rFonts w:eastAsia="Times New Roman"/>
                <w:iCs/>
                <w:sz w:val="22"/>
              </w:rPr>
              <w:t xml:space="preserve">pro studenty se </w:t>
            </w:r>
            <w:r w:rsidR="00600A95" w:rsidRPr="00B175FB">
              <w:rPr>
                <w:rFonts w:eastAsia="Times New Roman"/>
                <w:iCs/>
                <w:sz w:val="22"/>
              </w:rPr>
              <w:t>SP</w:t>
            </w:r>
            <w:r w:rsidR="00084AC0" w:rsidRPr="00B175FB">
              <w:rPr>
                <w:rFonts w:eastAsia="Times New Roman"/>
                <w:iCs/>
                <w:sz w:val="22"/>
              </w:rPr>
              <w:t xml:space="preserve"> a nákup vybavení pro tyto studenty. </w:t>
            </w:r>
            <w:r w:rsidR="00391DC8" w:rsidRPr="00B175FB">
              <w:rPr>
                <w:rFonts w:eastAsia="Times New Roman"/>
                <w:iCs/>
                <w:sz w:val="22"/>
              </w:rPr>
              <w:t xml:space="preserve">Výstavba nové infrastruktury bude podporována </w:t>
            </w:r>
            <w:r w:rsidR="00503849" w:rsidRPr="00B175FB">
              <w:rPr>
                <w:rFonts w:eastAsia="Times New Roman"/>
                <w:iCs/>
                <w:sz w:val="22"/>
              </w:rPr>
              <w:t xml:space="preserve">výhradně </w:t>
            </w:r>
            <w:r w:rsidR="00084AC0" w:rsidRPr="00B175FB">
              <w:rPr>
                <w:rFonts w:eastAsia="Times New Roman"/>
                <w:iCs/>
                <w:sz w:val="22"/>
              </w:rPr>
              <w:t>v</w:t>
            </w:r>
            <w:r w:rsidR="007119D1" w:rsidRPr="00B175FB">
              <w:rPr>
                <w:rFonts w:eastAsia="Times New Roman"/>
                <w:iCs/>
                <w:sz w:val="22"/>
              </w:rPr>
              <w:t xml:space="preserve"> případě </w:t>
            </w:r>
            <w:r w:rsidR="00503849" w:rsidRPr="00B175FB">
              <w:rPr>
                <w:rFonts w:eastAsia="Times New Roman"/>
                <w:iCs/>
                <w:sz w:val="22"/>
              </w:rPr>
              <w:t xml:space="preserve">vysoce prioritních </w:t>
            </w:r>
            <w:r w:rsidR="007119D1" w:rsidRPr="00B175FB">
              <w:rPr>
                <w:rFonts w:eastAsia="Times New Roman"/>
                <w:iCs/>
                <w:sz w:val="22"/>
              </w:rPr>
              <w:t>projekt</w:t>
            </w:r>
            <w:r w:rsidRPr="00B175FB">
              <w:rPr>
                <w:rFonts w:eastAsia="Times New Roman"/>
                <w:iCs/>
                <w:sz w:val="22"/>
              </w:rPr>
              <w:t>ů</w:t>
            </w:r>
            <w:r w:rsidR="007119D1" w:rsidRPr="00B175FB">
              <w:rPr>
                <w:rFonts w:eastAsia="Times New Roman"/>
                <w:iCs/>
                <w:sz w:val="22"/>
              </w:rPr>
              <w:t>.</w:t>
            </w:r>
            <w:r w:rsidR="00AC76A8" w:rsidRPr="00B175FB">
              <w:rPr>
                <w:rFonts w:eastAsia="Times New Roman"/>
                <w:iCs/>
                <w:sz w:val="22"/>
              </w:rPr>
              <w:t xml:space="preserve"> </w:t>
            </w:r>
          </w:p>
          <w:p w:rsidR="007119D1" w:rsidRDefault="00B1001C" w:rsidP="0015017F">
            <w:pPr>
              <w:spacing w:line="276" w:lineRule="auto"/>
              <w:jc w:val="both"/>
              <w:rPr>
                <w:rFonts w:eastAsia="Times New Roman"/>
                <w:iCs/>
                <w:sz w:val="22"/>
              </w:rPr>
            </w:pPr>
            <w:r w:rsidRPr="00B175FB">
              <w:rPr>
                <w:rFonts w:eastAsia="Times New Roman"/>
                <w:iCs/>
                <w:sz w:val="22"/>
              </w:rPr>
              <w:t>V současnosti převládající interiérové řešení vysokoškolských budov, které poskytuje dobré zázemí zejména pro frontální způsob výuky, zpravidla není vhodné pro interaktivní a inovativní metody vzdělávání. Ty často vyžadují spec</w:t>
            </w:r>
            <w:r w:rsidR="009F6790" w:rsidRPr="00B175FB">
              <w:rPr>
                <w:rFonts w:eastAsia="Times New Roman"/>
                <w:iCs/>
                <w:sz w:val="22"/>
              </w:rPr>
              <w:t>ifické infrastrukturní zázemí, a</w:t>
            </w:r>
            <w:r w:rsidRPr="00B175FB">
              <w:rPr>
                <w:rFonts w:eastAsia="Times New Roman"/>
                <w:iCs/>
                <w:sz w:val="22"/>
              </w:rPr>
              <w:t xml:space="preserve">ť už jde o tzv. </w:t>
            </w:r>
            <w:r w:rsidR="00F6419D" w:rsidRPr="00B175FB">
              <w:rPr>
                <w:rFonts w:eastAsia="Times New Roman"/>
                <w:iCs/>
                <w:sz w:val="22"/>
              </w:rPr>
              <w:t>maker</w:t>
            </w:r>
            <w:r w:rsidR="00405A4F" w:rsidRPr="00B175FB">
              <w:rPr>
                <w:rFonts w:eastAsia="Times New Roman"/>
                <w:iCs/>
                <w:sz w:val="22"/>
              </w:rPr>
              <w:t>space</w:t>
            </w:r>
            <w:r w:rsidRPr="00B175FB">
              <w:rPr>
                <w:rFonts w:eastAsia="Times New Roman"/>
                <w:iCs/>
                <w:sz w:val="22"/>
              </w:rPr>
              <w:t xml:space="preserve">, simulátory, terénní pracoviště, zázemí pro praktický výcvik, přístrojové vybavení, elektronické zdroje nebo prostory, ve kterých se </w:t>
            </w:r>
            <w:r w:rsidR="00BA2396" w:rsidRPr="00B175FB">
              <w:rPr>
                <w:rFonts w:eastAsia="Times New Roman"/>
                <w:iCs/>
                <w:sz w:val="22"/>
              </w:rPr>
              <w:t xml:space="preserve">studenti </w:t>
            </w:r>
            <w:r w:rsidRPr="00B175FB">
              <w:rPr>
                <w:rFonts w:eastAsia="Times New Roman"/>
                <w:iCs/>
                <w:sz w:val="22"/>
              </w:rPr>
              <w:t>mohou setkávat nad týmovými projekty.</w:t>
            </w:r>
          </w:p>
          <w:p w:rsidR="00635115" w:rsidRPr="00B175FB" w:rsidRDefault="006A4765" w:rsidP="0061355D">
            <w:pPr>
              <w:spacing w:line="276" w:lineRule="auto"/>
              <w:jc w:val="both"/>
              <w:rPr>
                <w:rFonts w:eastAsia="Times New Roman"/>
                <w:iCs/>
                <w:sz w:val="22"/>
              </w:rPr>
            </w:pPr>
            <w:bookmarkStart w:id="146" w:name="_Hlk42544512"/>
            <w:r>
              <w:rPr>
                <w:rFonts w:eastAsia="Times New Roman"/>
                <w:iCs/>
                <w:sz w:val="22"/>
              </w:rPr>
              <w:t xml:space="preserve">Součástí hodnocení žádosti o podporu u </w:t>
            </w:r>
            <w:r w:rsidR="000F5923">
              <w:rPr>
                <w:rFonts w:eastAsia="Times New Roman"/>
                <w:iCs/>
                <w:sz w:val="22"/>
              </w:rPr>
              <w:t>VŠ</w:t>
            </w:r>
            <w:r>
              <w:rPr>
                <w:rFonts w:eastAsia="Times New Roman"/>
                <w:iCs/>
                <w:sz w:val="22"/>
              </w:rPr>
              <w:t xml:space="preserve"> bude i hodnocení stavu a využívanosti </w:t>
            </w:r>
            <w:r w:rsidR="000F5923">
              <w:rPr>
                <w:rFonts w:eastAsia="Times New Roman"/>
                <w:iCs/>
                <w:sz w:val="22"/>
              </w:rPr>
              <w:t xml:space="preserve">jejich </w:t>
            </w:r>
            <w:r>
              <w:rPr>
                <w:rFonts w:eastAsia="Times New Roman"/>
                <w:iCs/>
                <w:sz w:val="22"/>
              </w:rPr>
              <w:t>stávajících budov a</w:t>
            </w:r>
            <w:r w:rsidR="000F5923">
              <w:rPr>
                <w:rFonts w:eastAsia="Times New Roman"/>
                <w:iCs/>
                <w:sz w:val="22"/>
              </w:rPr>
              <w:t> </w:t>
            </w:r>
            <w:r>
              <w:rPr>
                <w:rFonts w:eastAsia="Times New Roman"/>
                <w:iCs/>
                <w:sz w:val="22"/>
              </w:rPr>
              <w:t>vybavení.</w:t>
            </w:r>
            <w:r w:rsidR="00F010D8">
              <w:rPr>
                <w:rFonts w:eastAsia="Times New Roman"/>
                <w:iCs/>
                <w:sz w:val="22"/>
              </w:rPr>
              <w:t xml:space="preserve"> </w:t>
            </w:r>
            <w:r w:rsidR="002B596C">
              <w:rPr>
                <w:rFonts w:eastAsia="Times New Roman"/>
                <w:iCs/>
                <w:sz w:val="22"/>
              </w:rPr>
              <w:t>Potřebnost</w:t>
            </w:r>
            <w:r w:rsidR="00635115">
              <w:rPr>
                <w:rFonts w:eastAsia="Times New Roman"/>
                <w:iCs/>
                <w:sz w:val="22"/>
              </w:rPr>
              <w:t xml:space="preserve"> investic</w:t>
            </w:r>
            <w:r w:rsidR="00B50946">
              <w:rPr>
                <w:rFonts w:eastAsia="Times New Roman"/>
                <w:iCs/>
                <w:sz w:val="22"/>
              </w:rPr>
              <w:t xml:space="preserve"> musí mít oporu ve strategickém</w:t>
            </w:r>
            <w:r w:rsidR="00635115">
              <w:rPr>
                <w:rFonts w:eastAsia="Times New Roman"/>
                <w:iCs/>
                <w:sz w:val="22"/>
              </w:rPr>
              <w:t xml:space="preserve"> </w:t>
            </w:r>
            <w:r w:rsidR="00B50946">
              <w:rPr>
                <w:rFonts w:eastAsia="Times New Roman"/>
                <w:iCs/>
                <w:sz w:val="22"/>
              </w:rPr>
              <w:t xml:space="preserve">záměru konkrétní </w:t>
            </w:r>
            <w:r w:rsidR="000F5923">
              <w:rPr>
                <w:rFonts w:eastAsia="Times New Roman"/>
                <w:iCs/>
                <w:sz w:val="22"/>
              </w:rPr>
              <w:t>VŠ</w:t>
            </w:r>
            <w:r w:rsidR="00635115">
              <w:rPr>
                <w:rFonts w:eastAsia="Times New Roman"/>
                <w:iCs/>
                <w:sz w:val="22"/>
              </w:rPr>
              <w:t xml:space="preserve">. </w:t>
            </w:r>
          </w:p>
          <w:bookmarkEnd w:id="146"/>
          <w:p w:rsidR="00651C97" w:rsidRPr="00B175FB" w:rsidRDefault="00017186" w:rsidP="0015017F">
            <w:pPr>
              <w:spacing w:line="276" w:lineRule="auto"/>
              <w:jc w:val="both"/>
              <w:rPr>
                <w:rFonts w:eastAsia="Times New Roman"/>
                <w:b/>
                <w:sz w:val="22"/>
              </w:rPr>
            </w:pPr>
            <w:r w:rsidRPr="00B175FB">
              <w:rPr>
                <w:rFonts w:eastAsia="Times New Roman"/>
                <w:b/>
                <w:sz w:val="22"/>
              </w:rPr>
              <w:t>Výsledkem intervencí bude</w:t>
            </w:r>
            <w:r w:rsidR="00651C97" w:rsidRPr="00B175FB">
              <w:rPr>
                <w:rFonts w:eastAsia="Times New Roman"/>
                <w:b/>
                <w:sz w:val="22"/>
              </w:rPr>
              <w:t>:</w:t>
            </w:r>
          </w:p>
          <w:p w:rsidR="007608ED" w:rsidRPr="00B175FB" w:rsidRDefault="00060BEF" w:rsidP="006A2F6A">
            <w:pPr>
              <w:pStyle w:val="Odstavecseseznamem"/>
              <w:numPr>
                <w:ilvl w:val="0"/>
                <w:numId w:val="60"/>
              </w:numPr>
              <w:spacing w:line="276" w:lineRule="auto"/>
              <w:jc w:val="both"/>
              <w:rPr>
                <w:rFonts w:eastAsia="Times New Roman"/>
                <w:iCs/>
                <w:sz w:val="22"/>
              </w:rPr>
            </w:pPr>
            <w:r w:rsidRPr="00B175FB">
              <w:rPr>
                <w:sz w:val="22"/>
              </w:rPr>
              <w:t>z</w:t>
            </w:r>
            <w:r w:rsidR="007608ED" w:rsidRPr="00B175FB">
              <w:rPr>
                <w:sz w:val="22"/>
              </w:rPr>
              <w:t>výšení počtu infrastruk</w:t>
            </w:r>
            <w:r w:rsidR="007379D4" w:rsidRPr="00B175FB">
              <w:rPr>
                <w:sz w:val="22"/>
              </w:rPr>
              <w:t>tur účinně reflektujících nové</w:t>
            </w:r>
            <w:r w:rsidR="007608ED" w:rsidRPr="00B175FB">
              <w:rPr>
                <w:sz w:val="22"/>
              </w:rPr>
              <w:t xml:space="preserve"> metod</w:t>
            </w:r>
            <w:r w:rsidR="007379D4" w:rsidRPr="00B175FB">
              <w:rPr>
                <w:sz w:val="22"/>
              </w:rPr>
              <w:t>y</w:t>
            </w:r>
            <w:r w:rsidRPr="00B175FB">
              <w:rPr>
                <w:sz w:val="22"/>
              </w:rPr>
              <w:t xml:space="preserve"> výuky;</w:t>
            </w:r>
          </w:p>
          <w:p w:rsidR="00651C97" w:rsidRPr="00B175FB" w:rsidRDefault="00060BEF" w:rsidP="006A2F6A">
            <w:pPr>
              <w:pStyle w:val="Odstavecseseznamem"/>
              <w:numPr>
                <w:ilvl w:val="0"/>
                <w:numId w:val="60"/>
              </w:numPr>
              <w:spacing w:line="276" w:lineRule="auto"/>
              <w:jc w:val="both"/>
              <w:rPr>
                <w:rFonts w:eastAsia="Times New Roman"/>
                <w:iCs/>
                <w:sz w:val="22"/>
              </w:rPr>
            </w:pPr>
            <w:r w:rsidRPr="00B175FB">
              <w:rPr>
                <w:rFonts w:eastAsia="Times New Roman"/>
                <w:iCs/>
                <w:sz w:val="22"/>
              </w:rPr>
              <w:t>z</w:t>
            </w:r>
            <w:r w:rsidR="007608ED" w:rsidRPr="00B175FB">
              <w:rPr>
                <w:rFonts w:eastAsia="Times New Roman"/>
                <w:iCs/>
                <w:sz w:val="22"/>
              </w:rPr>
              <w:t xml:space="preserve">lepšení přístupnosti infrastruktury </w:t>
            </w:r>
            <w:r w:rsidR="007040C4" w:rsidRPr="00B175FB">
              <w:rPr>
                <w:rFonts w:eastAsia="Times New Roman"/>
                <w:iCs/>
                <w:sz w:val="22"/>
              </w:rPr>
              <w:t xml:space="preserve">pro </w:t>
            </w:r>
            <w:r w:rsidR="00212E05" w:rsidRPr="00B175FB">
              <w:rPr>
                <w:rFonts w:eastAsia="Times New Roman"/>
                <w:iCs/>
                <w:sz w:val="22"/>
              </w:rPr>
              <w:t xml:space="preserve">studenty se </w:t>
            </w:r>
            <w:r w:rsidR="00BA2396" w:rsidRPr="00B175FB">
              <w:rPr>
                <w:rFonts w:eastAsia="Times New Roman"/>
                <w:iCs/>
                <w:sz w:val="22"/>
              </w:rPr>
              <w:t>SP</w:t>
            </w:r>
            <w:r w:rsidR="00893E0B" w:rsidRPr="00B175FB">
              <w:rPr>
                <w:rFonts w:eastAsia="Times New Roman"/>
                <w:iCs/>
                <w:sz w:val="22"/>
              </w:rPr>
              <w:t xml:space="preserve">. </w:t>
            </w:r>
          </w:p>
          <w:p w:rsidR="007608ED" w:rsidRPr="00B175FB" w:rsidRDefault="007608ED" w:rsidP="0015017F">
            <w:pPr>
              <w:tabs>
                <w:tab w:val="left" w:pos="5515"/>
              </w:tabs>
              <w:spacing w:line="276" w:lineRule="auto"/>
              <w:jc w:val="both"/>
              <w:rPr>
                <w:rFonts w:eastAsia="Times New Roman"/>
                <w:b/>
                <w:sz w:val="22"/>
              </w:rPr>
            </w:pPr>
            <w:r w:rsidRPr="00B175FB">
              <w:rPr>
                <w:rFonts w:eastAsia="Times New Roman"/>
                <w:b/>
                <w:sz w:val="22"/>
              </w:rPr>
              <w:t xml:space="preserve">Příklady </w:t>
            </w:r>
            <w:r w:rsidR="00B46D33" w:rsidRPr="00B175FB">
              <w:rPr>
                <w:rFonts w:eastAsia="Times New Roman"/>
                <w:b/>
                <w:sz w:val="22"/>
              </w:rPr>
              <w:t xml:space="preserve">typových </w:t>
            </w:r>
            <w:r w:rsidRPr="00B175FB">
              <w:rPr>
                <w:rFonts w:eastAsia="Times New Roman"/>
                <w:b/>
                <w:sz w:val="22"/>
              </w:rPr>
              <w:t>podporovaných aktivit:</w:t>
            </w:r>
          </w:p>
          <w:p w:rsidR="006C6D82" w:rsidRPr="00B175FB" w:rsidRDefault="00060BEF" w:rsidP="006A2F6A">
            <w:pPr>
              <w:pStyle w:val="Odstavecseseznamem"/>
              <w:numPr>
                <w:ilvl w:val="0"/>
                <w:numId w:val="61"/>
              </w:numPr>
              <w:spacing w:line="276" w:lineRule="auto"/>
              <w:jc w:val="both"/>
              <w:rPr>
                <w:rFonts w:eastAsia="Times New Roman"/>
                <w:iCs/>
                <w:sz w:val="22"/>
              </w:rPr>
            </w:pPr>
            <w:r w:rsidRPr="00B175FB">
              <w:rPr>
                <w:rFonts w:eastAsia="Times New Roman"/>
                <w:iCs/>
                <w:sz w:val="22"/>
              </w:rPr>
              <w:t>r</w:t>
            </w:r>
            <w:r w:rsidR="00212E05" w:rsidRPr="00B175FB">
              <w:rPr>
                <w:rFonts w:eastAsia="Times New Roman"/>
                <w:iCs/>
                <w:sz w:val="22"/>
              </w:rPr>
              <w:t xml:space="preserve">ekonstrukce a adaptace nevyhovujících vzdělávacích prostor (včetně vybavení) pro potřeby studentů se </w:t>
            </w:r>
            <w:r w:rsidR="00BA2396" w:rsidRPr="00B175FB">
              <w:rPr>
                <w:rFonts w:eastAsia="Times New Roman"/>
                <w:iCs/>
                <w:sz w:val="22"/>
              </w:rPr>
              <w:t>SP</w:t>
            </w:r>
            <w:r w:rsidRPr="00B175FB">
              <w:rPr>
                <w:rFonts w:eastAsia="Times New Roman"/>
                <w:iCs/>
                <w:sz w:val="22"/>
              </w:rPr>
              <w:t>;</w:t>
            </w:r>
          </w:p>
          <w:p w:rsidR="00212E05" w:rsidRPr="00B175FB" w:rsidRDefault="00060BEF" w:rsidP="006A2F6A">
            <w:pPr>
              <w:pStyle w:val="Odstavecseseznamem"/>
              <w:numPr>
                <w:ilvl w:val="0"/>
                <w:numId w:val="61"/>
              </w:numPr>
              <w:spacing w:line="276" w:lineRule="auto"/>
              <w:jc w:val="both"/>
              <w:rPr>
                <w:rFonts w:eastAsia="Times New Roman"/>
                <w:iCs/>
                <w:sz w:val="22"/>
              </w:rPr>
            </w:pPr>
            <w:r w:rsidRPr="00B175FB">
              <w:rPr>
                <w:rFonts w:eastAsia="Times New Roman"/>
                <w:iCs/>
                <w:sz w:val="22"/>
              </w:rPr>
              <w:t>z</w:t>
            </w:r>
            <w:r w:rsidR="006C6D82" w:rsidRPr="00B175FB">
              <w:rPr>
                <w:rFonts w:eastAsia="Times New Roman"/>
                <w:iCs/>
                <w:sz w:val="22"/>
              </w:rPr>
              <w:t>přístupnění</w:t>
            </w:r>
            <w:r w:rsidR="00212E05" w:rsidRPr="00B175FB">
              <w:rPr>
                <w:rFonts w:eastAsia="Times New Roman"/>
                <w:iCs/>
                <w:sz w:val="22"/>
              </w:rPr>
              <w:t xml:space="preserve"> </w:t>
            </w:r>
            <w:r w:rsidR="006C6D82" w:rsidRPr="00B175FB">
              <w:rPr>
                <w:rFonts w:eastAsia="Times New Roman"/>
                <w:iCs/>
                <w:sz w:val="22"/>
              </w:rPr>
              <w:t>prostor</w:t>
            </w:r>
            <w:r w:rsidR="00212E05" w:rsidRPr="00B175FB">
              <w:rPr>
                <w:rFonts w:eastAsia="Times New Roman"/>
                <w:iCs/>
                <w:sz w:val="22"/>
              </w:rPr>
              <w:t xml:space="preserve"> </w:t>
            </w:r>
            <w:r w:rsidR="006C6D82" w:rsidRPr="00B175FB">
              <w:rPr>
                <w:rFonts w:eastAsia="Times New Roman"/>
                <w:iCs/>
                <w:sz w:val="22"/>
              </w:rPr>
              <w:t xml:space="preserve">(i </w:t>
            </w:r>
            <w:r w:rsidR="00212E05" w:rsidRPr="00B175FB">
              <w:rPr>
                <w:rFonts w:eastAsia="Times New Roman"/>
                <w:iCs/>
                <w:sz w:val="22"/>
              </w:rPr>
              <w:t>ubytovacích</w:t>
            </w:r>
            <w:r w:rsidR="006C6D82" w:rsidRPr="00B175FB">
              <w:rPr>
                <w:rFonts w:eastAsia="Times New Roman"/>
                <w:iCs/>
                <w:sz w:val="22"/>
              </w:rPr>
              <w:t>)</w:t>
            </w:r>
            <w:r w:rsidR="00212E05" w:rsidRPr="00B175FB">
              <w:rPr>
                <w:rFonts w:eastAsia="Times New Roman"/>
                <w:iCs/>
                <w:sz w:val="22"/>
              </w:rPr>
              <w:t xml:space="preserve"> pro student</w:t>
            </w:r>
            <w:r w:rsidRPr="00B175FB">
              <w:rPr>
                <w:rFonts w:eastAsia="Times New Roman"/>
                <w:iCs/>
                <w:sz w:val="22"/>
              </w:rPr>
              <w:t>y se SP (typově bezbariérovost);</w:t>
            </w:r>
          </w:p>
          <w:p w:rsidR="00212E05" w:rsidRPr="00B175FB" w:rsidRDefault="00060BEF" w:rsidP="006A2F6A">
            <w:pPr>
              <w:pStyle w:val="Odstavecseseznamem"/>
              <w:numPr>
                <w:ilvl w:val="0"/>
                <w:numId w:val="61"/>
              </w:numPr>
              <w:spacing w:line="276" w:lineRule="auto"/>
              <w:jc w:val="both"/>
              <w:rPr>
                <w:rFonts w:eastAsia="Times New Roman"/>
                <w:iCs/>
                <w:sz w:val="22"/>
              </w:rPr>
            </w:pPr>
            <w:r w:rsidRPr="00B175FB">
              <w:rPr>
                <w:rFonts w:eastAsia="Times New Roman"/>
                <w:iCs/>
                <w:sz w:val="22"/>
              </w:rPr>
              <w:t>n</w:t>
            </w:r>
            <w:r w:rsidR="00212E05" w:rsidRPr="00B175FB">
              <w:rPr>
                <w:rFonts w:eastAsia="Times New Roman"/>
                <w:iCs/>
                <w:sz w:val="22"/>
              </w:rPr>
              <w:t xml:space="preserve">ová výstavba pro </w:t>
            </w:r>
            <w:r w:rsidR="00FC13BD" w:rsidRPr="00B175FB">
              <w:rPr>
                <w:rFonts w:eastAsia="Times New Roman"/>
                <w:iCs/>
                <w:sz w:val="22"/>
              </w:rPr>
              <w:t xml:space="preserve">vysoce prioritní </w:t>
            </w:r>
            <w:r w:rsidR="00212E05" w:rsidRPr="00B175FB">
              <w:rPr>
                <w:rFonts w:eastAsia="Times New Roman"/>
                <w:iCs/>
                <w:sz w:val="22"/>
              </w:rPr>
              <w:t>projekty v obla</w:t>
            </w:r>
            <w:r w:rsidRPr="00B175FB">
              <w:rPr>
                <w:rFonts w:eastAsia="Times New Roman"/>
                <w:iCs/>
                <w:sz w:val="22"/>
              </w:rPr>
              <w:t>sti vysokoškolského vzdělávání;</w:t>
            </w:r>
          </w:p>
          <w:p w:rsidR="009169FE" w:rsidRPr="000C0DDB" w:rsidRDefault="00060BEF" w:rsidP="0077573E">
            <w:pPr>
              <w:pStyle w:val="Odstavecseseznamem"/>
              <w:numPr>
                <w:ilvl w:val="0"/>
                <w:numId w:val="61"/>
              </w:numPr>
              <w:spacing w:line="276" w:lineRule="auto"/>
              <w:jc w:val="both"/>
              <w:rPr>
                <w:rFonts w:eastAsia="Times New Roman"/>
                <w:iCs/>
                <w:sz w:val="22"/>
              </w:rPr>
            </w:pPr>
            <w:r w:rsidRPr="00B175FB">
              <w:rPr>
                <w:rFonts w:eastAsia="Times New Roman"/>
                <w:iCs/>
                <w:sz w:val="22"/>
              </w:rPr>
              <w:t>m</w:t>
            </w:r>
            <w:r w:rsidR="00212E05" w:rsidRPr="00B175FB">
              <w:rPr>
                <w:rFonts w:eastAsia="Times New Roman"/>
                <w:iCs/>
                <w:sz w:val="22"/>
              </w:rPr>
              <w:t xml:space="preserve">odernizace </w:t>
            </w:r>
            <w:r w:rsidR="00E516A0">
              <w:rPr>
                <w:rFonts w:eastAsia="Times New Roman"/>
                <w:iCs/>
                <w:sz w:val="22"/>
              </w:rPr>
              <w:t xml:space="preserve">a dobudování </w:t>
            </w:r>
            <w:r w:rsidR="00212E05" w:rsidRPr="00B175FB">
              <w:rPr>
                <w:rFonts w:eastAsia="Times New Roman"/>
                <w:iCs/>
                <w:sz w:val="22"/>
              </w:rPr>
              <w:t xml:space="preserve">výukových prostor </w:t>
            </w:r>
            <w:r w:rsidR="0077573E">
              <w:rPr>
                <w:rFonts w:eastAsia="Times New Roman"/>
                <w:iCs/>
                <w:sz w:val="22"/>
              </w:rPr>
              <w:t xml:space="preserve">a prostor </w:t>
            </w:r>
            <w:r w:rsidR="0077573E" w:rsidRPr="00B175FB">
              <w:rPr>
                <w:rFonts w:eastAsia="Times New Roman"/>
                <w:iCs/>
                <w:sz w:val="22"/>
              </w:rPr>
              <w:t xml:space="preserve">podporujících aplikace a zavádění nových výukových metod </w:t>
            </w:r>
            <w:r w:rsidR="003634AB" w:rsidRPr="00B175FB">
              <w:rPr>
                <w:rFonts w:eastAsia="Times New Roman"/>
                <w:iCs/>
                <w:sz w:val="22"/>
              </w:rPr>
              <w:t xml:space="preserve">(i terénních výukových zařízení – </w:t>
            </w:r>
            <w:r w:rsidR="00175B70" w:rsidRPr="00B175FB">
              <w:rPr>
                <w:rFonts w:eastAsia="Times New Roman"/>
                <w:iCs/>
                <w:sz w:val="22"/>
              </w:rPr>
              <w:t xml:space="preserve">např. </w:t>
            </w:r>
            <w:r w:rsidR="00975208" w:rsidRPr="00B175FB">
              <w:rPr>
                <w:rFonts w:eastAsia="Times New Roman"/>
                <w:iCs/>
                <w:sz w:val="22"/>
              </w:rPr>
              <w:t>venkovní výukové pros</w:t>
            </w:r>
            <w:r w:rsidR="003634AB" w:rsidRPr="00B175FB">
              <w:rPr>
                <w:rFonts w:eastAsia="Times New Roman"/>
                <w:iCs/>
                <w:sz w:val="22"/>
              </w:rPr>
              <w:t>t</w:t>
            </w:r>
            <w:r w:rsidR="00975208" w:rsidRPr="00B175FB">
              <w:rPr>
                <w:rFonts w:eastAsia="Times New Roman"/>
                <w:iCs/>
                <w:sz w:val="22"/>
              </w:rPr>
              <w:t>o</w:t>
            </w:r>
            <w:r w:rsidR="003634AB" w:rsidRPr="00B175FB">
              <w:rPr>
                <w:rFonts w:eastAsia="Times New Roman"/>
                <w:iCs/>
                <w:sz w:val="22"/>
              </w:rPr>
              <w:t>ry</w:t>
            </w:r>
            <w:r w:rsidRPr="00B175FB">
              <w:rPr>
                <w:rFonts w:eastAsia="Times New Roman"/>
                <w:iCs/>
                <w:sz w:val="22"/>
              </w:rPr>
              <w:t xml:space="preserve"> –</w:t>
            </w:r>
            <w:r w:rsidR="00975208" w:rsidRPr="00B175FB">
              <w:rPr>
                <w:rFonts w:eastAsia="Times New Roman"/>
                <w:iCs/>
                <w:sz w:val="22"/>
              </w:rPr>
              <w:t xml:space="preserve"> a prostor pro kolaborativní učení – </w:t>
            </w:r>
            <w:r w:rsidR="00175B70" w:rsidRPr="00B175FB">
              <w:rPr>
                <w:rFonts w:eastAsia="Times New Roman"/>
                <w:iCs/>
                <w:sz w:val="22"/>
              </w:rPr>
              <w:t xml:space="preserve">např. </w:t>
            </w:r>
            <w:r w:rsidR="00F6419D" w:rsidRPr="00B175FB">
              <w:rPr>
                <w:rFonts w:eastAsia="Times New Roman"/>
                <w:iCs/>
                <w:sz w:val="22"/>
              </w:rPr>
              <w:t>maker</w:t>
            </w:r>
            <w:r w:rsidR="00975208" w:rsidRPr="00B175FB">
              <w:rPr>
                <w:rFonts w:eastAsia="Times New Roman"/>
                <w:iCs/>
                <w:sz w:val="22"/>
              </w:rPr>
              <w:t>space</w:t>
            </w:r>
            <w:r w:rsidR="003634AB" w:rsidRPr="00B175FB">
              <w:rPr>
                <w:rFonts w:eastAsia="Times New Roman"/>
                <w:iCs/>
                <w:sz w:val="22"/>
              </w:rPr>
              <w:t>)</w:t>
            </w:r>
            <w:r w:rsidRPr="00B175FB">
              <w:rPr>
                <w:rFonts w:eastAsia="Times New Roman"/>
                <w:iCs/>
                <w:sz w:val="22"/>
              </w:rPr>
              <w:t>;</w:t>
            </w:r>
          </w:p>
          <w:p w:rsidR="00574D3C" w:rsidRPr="00B175FB" w:rsidRDefault="00060BEF" w:rsidP="006A2F6A">
            <w:pPr>
              <w:pStyle w:val="Odstavecseseznamem"/>
              <w:numPr>
                <w:ilvl w:val="0"/>
                <w:numId w:val="61"/>
              </w:numPr>
              <w:spacing w:line="276" w:lineRule="auto"/>
              <w:jc w:val="both"/>
              <w:rPr>
                <w:sz w:val="22"/>
              </w:rPr>
            </w:pPr>
            <w:r w:rsidRPr="00B175FB">
              <w:rPr>
                <w:rFonts w:eastAsia="Times New Roman"/>
                <w:iCs/>
                <w:sz w:val="22"/>
              </w:rPr>
              <w:t>p</w:t>
            </w:r>
            <w:r w:rsidR="003634AB" w:rsidRPr="00B175FB">
              <w:rPr>
                <w:rFonts w:eastAsia="Times New Roman"/>
                <w:iCs/>
                <w:sz w:val="22"/>
              </w:rPr>
              <w:t>ořízení studijních pomůcek</w:t>
            </w:r>
            <w:r w:rsidR="00975208" w:rsidRPr="00B175FB">
              <w:rPr>
                <w:rFonts w:eastAsia="Times New Roman"/>
                <w:iCs/>
                <w:sz w:val="22"/>
              </w:rPr>
              <w:t xml:space="preserve"> a informačních zdrojů pro nové metody výuky.</w:t>
            </w:r>
            <w:bookmarkEnd w:id="145"/>
          </w:p>
        </w:tc>
      </w:tr>
    </w:tbl>
    <w:p w:rsidR="004005FF" w:rsidRPr="00B175FB" w:rsidRDefault="004005FF" w:rsidP="004005FF">
      <w:pPr>
        <w:rPr>
          <w:rFonts w:eastAsia="Times New Roman"/>
          <w:i/>
          <w:iCs/>
          <w:noProof/>
          <w:szCs w:val="24"/>
        </w:rPr>
      </w:pPr>
      <w:r w:rsidRPr="00B175FB">
        <w:rPr>
          <w:rFonts w:eastAsia="Times New Roman"/>
          <w:b/>
          <w:i/>
          <w:noProof/>
          <w:szCs w:val="24"/>
        </w:rPr>
        <w:t>Hlavní cílové skupiny</w:t>
      </w:r>
      <w:r w:rsidRPr="00B175FB">
        <w:rPr>
          <w:rFonts w:eastAsia="Times New Roman"/>
          <w:i/>
          <w:noProof/>
          <w:szCs w:val="24"/>
        </w:rPr>
        <w:t xml:space="preserve"> </w:t>
      </w:r>
    </w:p>
    <w:p w:rsidR="00335E6E" w:rsidRPr="00B175FB" w:rsidRDefault="00335E6E" w:rsidP="00335E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eastAsia="Times New Roman"/>
          <w:b/>
          <w:sz w:val="22"/>
        </w:rPr>
      </w:pPr>
      <w:r w:rsidRPr="00B175FB">
        <w:rPr>
          <w:rFonts w:eastAsia="Times New Roman"/>
          <w:b/>
          <w:sz w:val="22"/>
        </w:rPr>
        <w:t>Hlavními cílovými skupinami jsou:</w:t>
      </w:r>
    </w:p>
    <w:p w:rsidR="00335E6E" w:rsidRPr="00B175FB" w:rsidRDefault="00A04FFE" w:rsidP="00060BEF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 w:cs="Times New Roman"/>
          <w:sz w:val="22"/>
        </w:rPr>
      </w:pPr>
      <w:r w:rsidRPr="00B175FB">
        <w:rPr>
          <w:rFonts w:eastAsia="Times New Roman" w:cs="Times New Roman"/>
          <w:sz w:val="22"/>
        </w:rPr>
        <w:t>a</w:t>
      </w:r>
      <w:r w:rsidR="00335E6E" w:rsidRPr="00B175FB">
        <w:rPr>
          <w:rFonts w:eastAsia="Times New Roman" w:cs="Times New Roman"/>
          <w:sz w:val="22"/>
        </w:rPr>
        <w:t>kademičtí a neakad</w:t>
      </w:r>
      <w:r w:rsidRPr="00B175FB">
        <w:rPr>
          <w:rFonts w:eastAsia="Times New Roman" w:cs="Times New Roman"/>
          <w:sz w:val="22"/>
        </w:rPr>
        <w:t xml:space="preserve">emičtí pracovníci </w:t>
      </w:r>
      <w:r w:rsidR="00BA2396" w:rsidRPr="00B175FB">
        <w:rPr>
          <w:rFonts w:eastAsia="Times New Roman" w:cs="Times New Roman"/>
          <w:sz w:val="22"/>
        </w:rPr>
        <w:t>VŠ</w:t>
      </w:r>
      <w:r w:rsidRPr="00B175FB">
        <w:rPr>
          <w:rFonts w:eastAsia="Times New Roman" w:cs="Times New Roman"/>
          <w:sz w:val="22"/>
        </w:rPr>
        <w:t>;</w:t>
      </w:r>
    </w:p>
    <w:p w:rsidR="00335E6E" w:rsidRPr="00B175FB" w:rsidRDefault="00A04FFE" w:rsidP="00060BEF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 w:cs="Times New Roman"/>
          <w:sz w:val="22"/>
        </w:rPr>
      </w:pPr>
      <w:r w:rsidRPr="00B175FB">
        <w:rPr>
          <w:rFonts w:eastAsia="Times New Roman" w:cs="Times New Roman"/>
          <w:sz w:val="22"/>
        </w:rPr>
        <w:t xml:space="preserve">studenti </w:t>
      </w:r>
      <w:r w:rsidR="00BA2396" w:rsidRPr="00B175FB">
        <w:rPr>
          <w:rFonts w:eastAsia="Times New Roman" w:cs="Times New Roman"/>
          <w:sz w:val="22"/>
        </w:rPr>
        <w:t>VŠ</w:t>
      </w:r>
      <w:r w:rsidRPr="00B175FB">
        <w:rPr>
          <w:rFonts w:eastAsia="Times New Roman" w:cs="Times New Roman"/>
          <w:sz w:val="22"/>
        </w:rPr>
        <w:t>;</w:t>
      </w:r>
    </w:p>
    <w:p w:rsidR="00335E6E" w:rsidRPr="00B175FB" w:rsidRDefault="00A04FFE" w:rsidP="00060BEF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 w:cs="Times New Roman"/>
          <w:sz w:val="22"/>
        </w:rPr>
      </w:pPr>
      <w:r w:rsidRPr="00B175FB">
        <w:rPr>
          <w:rFonts w:eastAsia="Times New Roman" w:cs="Times New Roman"/>
          <w:sz w:val="22"/>
        </w:rPr>
        <w:t>studenti se SP;</w:t>
      </w:r>
    </w:p>
    <w:p w:rsidR="00335E6E" w:rsidRPr="00B175FB" w:rsidRDefault="00A04FFE" w:rsidP="00A762A9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 w:cs="Times New Roman"/>
          <w:sz w:val="22"/>
        </w:rPr>
      </w:pPr>
      <w:r w:rsidRPr="00B175FB">
        <w:rPr>
          <w:rFonts w:eastAsia="Times New Roman" w:cs="Times New Roman"/>
          <w:sz w:val="22"/>
        </w:rPr>
        <w:t>ž</w:t>
      </w:r>
      <w:r w:rsidR="00335E6E" w:rsidRPr="00B175FB">
        <w:rPr>
          <w:rFonts w:eastAsia="Times New Roman" w:cs="Times New Roman"/>
          <w:sz w:val="22"/>
        </w:rPr>
        <w:t xml:space="preserve">áci </w:t>
      </w:r>
      <w:r w:rsidR="00813E50" w:rsidRPr="00B175FB">
        <w:rPr>
          <w:rFonts w:eastAsia="Times New Roman" w:cs="Times New Roman"/>
          <w:sz w:val="22"/>
        </w:rPr>
        <w:t xml:space="preserve">ZŠ </w:t>
      </w:r>
      <w:r w:rsidR="00335E6E" w:rsidRPr="00B175FB">
        <w:rPr>
          <w:rFonts w:eastAsia="Times New Roman" w:cs="Times New Roman"/>
          <w:sz w:val="22"/>
        </w:rPr>
        <w:t xml:space="preserve">a </w:t>
      </w:r>
      <w:r w:rsidR="00813E50" w:rsidRPr="00B175FB">
        <w:rPr>
          <w:rFonts w:eastAsia="Times New Roman" w:cs="Times New Roman"/>
          <w:sz w:val="22"/>
        </w:rPr>
        <w:t>SŠ</w:t>
      </w:r>
      <w:r w:rsidR="00335E6E" w:rsidRPr="00B175FB">
        <w:rPr>
          <w:rFonts w:eastAsia="Times New Roman" w:cs="Times New Roman"/>
          <w:sz w:val="22"/>
        </w:rPr>
        <w:t>.</w:t>
      </w:r>
    </w:p>
    <w:p w:rsidR="00891B77" w:rsidRDefault="00891B77" w:rsidP="00331F49">
      <w:pPr>
        <w:rPr>
          <w:rFonts w:eastAsia="Times New Roman"/>
          <w:b/>
          <w:i/>
          <w:noProof/>
          <w:szCs w:val="24"/>
        </w:rPr>
      </w:pPr>
    </w:p>
    <w:p w:rsidR="00331F49" w:rsidRPr="00B175FB" w:rsidRDefault="001C52B9" w:rsidP="00331F49">
      <w:pPr>
        <w:rPr>
          <w:rFonts w:eastAsia="Times New Roman"/>
          <w:b/>
          <w:i/>
          <w:noProof/>
          <w:szCs w:val="24"/>
        </w:rPr>
      </w:pPr>
      <w:r w:rsidRPr="00B175FB">
        <w:rPr>
          <w:rFonts w:eastAsia="Times New Roman"/>
          <w:b/>
          <w:i/>
          <w:noProof/>
          <w:szCs w:val="24"/>
        </w:rPr>
        <w:t>Akce zajišťující rovnost, začlenění a nediskriminaci</w:t>
      </w:r>
      <w:r w:rsidR="00331F49" w:rsidRPr="00B175FB">
        <w:rPr>
          <w:rFonts w:eastAsia="Times New Roman"/>
          <w:b/>
          <w:i/>
          <w:noProof/>
          <w:szCs w:val="24"/>
        </w:rPr>
        <w:t xml:space="preserve"> </w:t>
      </w:r>
      <w:r w:rsidR="00331F49" w:rsidRPr="00B175FB">
        <w:rPr>
          <w:rFonts w:eastAsia="Times New Roman"/>
          <w:i/>
          <w:noProof/>
          <w:szCs w:val="24"/>
        </w:rPr>
        <w:t xml:space="preserve"> </w:t>
      </w:r>
      <w:r w:rsidR="00331F49" w:rsidRPr="00B175FB">
        <w:rPr>
          <w:rFonts w:eastAsia="Times New Roman"/>
          <w:i/>
          <w:iCs/>
          <w:noProof/>
          <w:szCs w:val="24"/>
        </w:rPr>
        <w:t> </w:t>
      </w:r>
    </w:p>
    <w:p w:rsidR="00331F49" w:rsidRDefault="00551672" w:rsidP="000C0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both"/>
        <w:rPr>
          <w:rFonts w:eastAsia="Times New Roman"/>
          <w:sz w:val="22"/>
        </w:rPr>
      </w:pPr>
      <w:r>
        <w:rPr>
          <w:rFonts w:eastAsia="Times New Roman"/>
          <w:sz w:val="22"/>
        </w:rPr>
        <w:t>Plánované aktivity zahrnují podporu snižování nerovností v přístupu ke vzdělávání na vysokých školách, a</w:t>
      </w:r>
      <w:r w:rsidR="006B5658">
        <w:rPr>
          <w:rFonts w:eastAsia="Times New Roman"/>
          <w:sz w:val="22"/>
        </w:rPr>
        <w:t> </w:t>
      </w:r>
      <w:r>
        <w:rPr>
          <w:rFonts w:eastAsia="Times New Roman"/>
          <w:sz w:val="22"/>
        </w:rPr>
        <w:t>to</w:t>
      </w:r>
      <w:r w:rsidR="006B5658">
        <w:rPr>
          <w:rFonts w:eastAsia="Times New Roman"/>
          <w:sz w:val="22"/>
        </w:rPr>
        <w:t> </w:t>
      </w:r>
      <w:r>
        <w:rPr>
          <w:rFonts w:eastAsia="Times New Roman"/>
          <w:sz w:val="22"/>
        </w:rPr>
        <w:t>prostřednictvím úprav prostor a pořízení či adaptaci vybavení a pomůcek pro studenty se specifickými potřebami.</w:t>
      </w:r>
    </w:p>
    <w:p w:rsidR="00551672" w:rsidRPr="00B175FB" w:rsidRDefault="00551672" w:rsidP="000C0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both"/>
        <w:rPr>
          <w:rFonts w:eastAsia="Times New Roman"/>
          <w:noProof/>
          <w:sz w:val="22"/>
        </w:rPr>
      </w:pPr>
      <w:r>
        <w:rPr>
          <w:rFonts w:eastAsia="Times New Roman"/>
          <w:sz w:val="22"/>
        </w:rPr>
        <w:t>V obecné rovině bude u každého projektu posuzován soulad s horizontálními principy.</w:t>
      </w:r>
    </w:p>
    <w:p w:rsidR="002412DC" w:rsidRPr="00B175FB" w:rsidRDefault="004005FF" w:rsidP="00D51A52">
      <w:pPr>
        <w:rPr>
          <w:rFonts w:eastAsia="Times New Roman"/>
          <w:b/>
          <w:noProof/>
          <w:color w:val="D0CECE" w:themeColor="background2" w:themeShade="E6"/>
          <w:szCs w:val="24"/>
        </w:rPr>
      </w:pPr>
      <w:r w:rsidRPr="00B175FB">
        <w:rPr>
          <w:rFonts w:eastAsia="Times New Roman"/>
          <w:b/>
          <w:i/>
          <w:noProof/>
          <w:szCs w:val="24"/>
        </w:rPr>
        <w:t>Konkrétní cílová území včetně plánovaného použití územních nástrojů</w:t>
      </w:r>
      <w:r w:rsidRPr="00B175FB">
        <w:rPr>
          <w:rFonts w:eastAsia="Times New Roman"/>
          <w:i/>
          <w:noProof/>
          <w:szCs w:val="24"/>
        </w:rPr>
        <w:t xml:space="preserve">  </w:t>
      </w:r>
    </w:p>
    <w:p w:rsidR="00066391" w:rsidRPr="00B175FB" w:rsidRDefault="00066391" w:rsidP="000663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eastAsia="Batang" w:hAnsi="Arial" w:cstheme="minorBidi"/>
          <w:sz w:val="22"/>
          <w:lang w:eastAsia="cs-CZ"/>
        </w:rPr>
      </w:pPr>
      <w:r w:rsidRPr="00B175FB">
        <w:rPr>
          <w:rFonts w:eastAsia="Times New Roman"/>
          <w:i/>
          <w:sz w:val="22"/>
        </w:rPr>
        <w:t>Popis zapojení územních nástrojů a zohlednění územní dimenze plánovaných intervencí – bude doplněno v další fázi ve vazbě na přípravu Národního dokumentu k územní dimenzi a integrovaným nástrojům</w:t>
      </w:r>
      <w:r w:rsidRPr="00B175FB">
        <w:rPr>
          <w:rFonts w:ascii="Arial" w:eastAsia="Batang" w:hAnsi="Arial" w:cstheme="minorBidi"/>
          <w:sz w:val="22"/>
          <w:lang w:eastAsia="cs-CZ"/>
        </w:rPr>
        <w:t xml:space="preserve"> </w:t>
      </w:r>
    </w:p>
    <w:p w:rsidR="00066391" w:rsidRPr="00B175FB" w:rsidRDefault="00066391" w:rsidP="007961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/>
          <w:iCs/>
          <w:sz w:val="22"/>
        </w:rPr>
      </w:pPr>
      <w:r w:rsidRPr="00B175FB">
        <w:rPr>
          <w:rFonts w:eastAsia="Times New Roman"/>
          <w:sz w:val="22"/>
        </w:rPr>
        <w:t xml:space="preserve">Aktivity podporované ve specifickém cíli budou realizovány ve všech regionech České republiky včetně </w:t>
      </w:r>
      <w:r w:rsidR="00047E65" w:rsidRPr="00B175FB">
        <w:rPr>
          <w:rFonts w:eastAsia="Times New Roman"/>
          <w:sz w:val="22"/>
        </w:rPr>
        <w:t>hlavního </w:t>
      </w:r>
      <w:r w:rsidRPr="00B175FB">
        <w:rPr>
          <w:rFonts w:eastAsia="Times New Roman"/>
          <w:sz w:val="22"/>
        </w:rPr>
        <w:t>města Prahy, tj. ve více rozvinutých, méně rozvinutých a přechodových regionech ČR.</w:t>
      </w:r>
    </w:p>
    <w:p w:rsidR="00900204" w:rsidRPr="00B175FB" w:rsidRDefault="00900204" w:rsidP="001C52B9">
      <w:pPr>
        <w:spacing w:before="0" w:after="160" w:line="259" w:lineRule="auto"/>
        <w:rPr>
          <w:rFonts w:eastAsia="Times New Roman"/>
          <w:b/>
          <w:i/>
          <w:szCs w:val="24"/>
        </w:rPr>
      </w:pPr>
      <w:r w:rsidRPr="00B175FB">
        <w:rPr>
          <w:rFonts w:eastAsia="Times New Roman"/>
          <w:b/>
          <w:i/>
          <w:szCs w:val="24"/>
        </w:rPr>
        <w:t>Meziregionální a nadnárodní činnosti</w:t>
      </w:r>
      <w:r w:rsidRPr="00B175FB">
        <w:rPr>
          <w:rFonts w:eastAsia="Times New Roman"/>
          <w:b/>
          <w:noProof/>
          <w:color w:val="D0CECE" w:themeColor="background2" w:themeShade="E6"/>
          <w:szCs w:val="24"/>
        </w:rPr>
        <w:t xml:space="preserve"> </w:t>
      </w:r>
      <w:r w:rsidRPr="00B175FB">
        <w:rPr>
          <w:rFonts w:eastAsia="Times New Roman"/>
          <w:i/>
          <w:noProof/>
          <w:szCs w:val="24"/>
        </w:rPr>
        <w:t xml:space="preserve"> </w:t>
      </w:r>
      <w:r w:rsidRPr="00B175FB">
        <w:rPr>
          <w:rFonts w:eastAsia="Times New Roman"/>
          <w:i/>
          <w:iCs/>
          <w:noProof/>
          <w:szCs w:val="24"/>
        </w:rPr>
        <w:t> </w:t>
      </w:r>
    </w:p>
    <w:p w:rsidR="00267951" w:rsidRPr="00B175FB" w:rsidRDefault="00066391" w:rsidP="007961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/>
        </w:rPr>
      </w:pPr>
      <w:bookmarkStart w:id="147" w:name="_Hlk25051182"/>
      <w:r w:rsidRPr="00B175FB">
        <w:rPr>
          <w:rFonts w:eastAsia="Times New Roman"/>
          <w:noProof/>
          <w:sz w:val="22"/>
        </w:rPr>
        <w:t>Plánované aktivity ve specifickém cíli nepředpokládají zapojení příjemců z dalších členských států</w:t>
      </w:r>
      <w:r w:rsidR="001C3A12" w:rsidRPr="00B175FB">
        <w:rPr>
          <w:rFonts w:eastAsia="Times New Roman"/>
          <w:noProof/>
          <w:sz w:val="22"/>
        </w:rPr>
        <w:t xml:space="preserve"> EU</w:t>
      </w:r>
      <w:r w:rsidRPr="00B175FB">
        <w:rPr>
          <w:rFonts w:eastAsia="Times New Roman"/>
          <w:noProof/>
          <w:sz w:val="22"/>
        </w:rPr>
        <w:t xml:space="preserve"> nebo států mimo EU.</w:t>
      </w:r>
    </w:p>
    <w:bookmarkEnd w:id="147"/>
    <w:p w:rsidR="00900204" w:rsidRPr="00B175FB" w:rsidRDefault="00900204" w:rsidP="00900204">
      <w:pPr>
        <w:rPr>
          <w:rFonts w:eastAsia="Times New Roman"/>
          <w:b/>
          <w:i/>
          <w:iCs/>
          <w:noProof/>
          <w:szCs w:val="24"/>
        </w:rPr>
      </w:pPr>
      <w:r w:rsidRPr="00B175FB">
        <w:rPr>
          <w:rFonts w:eastAsia="Times New Roman"/>
          <w:b/>
          <w:i/>
          <w:noProof/>
          <w:szCs w:val="24"/>
        </w:rPr>
        <w:t>Plánované využití finančních nástrojů</w:t>
      </w:r>
      <w:r w:rsidRPr="00B175FB">
        <w:rPr>
          <w:rFonts w:eastAsia="Times New Roman"/>
          <w:i/>
          <w:noProof/>
          <w:szCs w:val="24"/>
        </w:rPr>
        <w:t xml:space="preserve">  </w:t>
      </w:r>
      <w:r w:rsidRPr="00B175FB">
        <w:rPr>
          <w:rFonts w:eastAsia="Times New Roman"/>
          <w:i/>
          <w:iCs/>
          <w:noProof/>
          <w:szCs w:val="24"/>
        </w:rPr>
        <w:t> </w:t>
      </w:r>
      <w:r w:rsidRPr="00B175FB">
        <w:rPr>
          <w:rFonts w:eastAsia="Times New Roman"/>
          <w:i/>
          <w:noProof/>
          <w:szCs w:val="24"/>
        </w:rPr>
        <w:t xml:space="preserve"> </w:t>
      </w:r>
    </w:p>
    <w:p w:rsidR="009346DC" w:rsidRPr="00B175FB" w:rsidRDefault="009346DC" w:rsidP="00934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/>
          <w:sz w:val="22"/>
        </w:rPr>
      </w:pPr>
      <w:r w:rsidRPr="00B175FB">
        <w:rPr>
          <w:rFonts w:eastAsia="Times New Roman"/>
          <w:sz w:val="22"/>
        </w:rPr>
        <w:t>Možnosti vy</w:t>
      </w:r>
      <w:r w:rsidR="00D45AC1">
        <w:rPr>
          <w:rFonts w:eastAsia="Times New Roman"/>
          <w:sz w:val="22"/>
        </w:rPr>
        <w:t>u</w:t>
      </w:r>
      <w:r w:rsidRPr="00B175FB">
        <w:rPr>
          <w:rFonts w:eastAsia="Times New Roman"/>
          <w:sz w:val="22"/>
        </w:rPr>
        <w:t>žití FN jsou v tomto SC omezené. V roce 2018 provedl ŘO</w:t>
      </w:r>
      <w:r w:rsidR="002941A1" w:rsidRPr="00B175FB">
        <w:rPr>
          <w:rFonts w:eastAsia="Times New Roman"/>
          <w:sz w:val="22"/>
        </w:rPr>
        <w:t xml:space="preserve"> </w:t>
      </w:r>
      <w:r w:rsidRPr="00B175FB">
        <w:rPr>
          <w:rFonts w:eastAsia="Times New Roman"/>
          <w:sz w:val="22"/>
        </w:rPr>
        <w:t>předběžné posouzení pilotního využití FN v OP VVV</w:t>
      </w:r>
      <w:r w:rsidRPr="00B175FB">
        <w:rPr>
          <w:rStyle w:val="Znakapoznpodarou"/>
          <w:rFonts w:eastAsia="Times New Roman"/>
          <w:b w:val="0"/>
          <w:sz w:val="22"/>
        </w:rPr>
        <w:footnoteReference w:id="73"/>
      </w:r>
      <w:r w:rsidR="00793988" w:rsidRPr="00B175FB">
        <w:rPr>
          <w:rFonts w:eastAsia="Times New Roman"/>
          <w:sz w:val="22"/>
        </w:rPr>
        <w:t xml:space="preserve"> (</w:t>
      </w:r>
      <w:r w:rsidRPr="00B175FB">
        <w:rPr>
          <w:rFonts w:eastAsia="Times New Roman"/>
          <w:sz w:val="22"/>
        </w:rPr>
        <w:t>v souladu s nařízením Evropského parlamentu a Rady (EU) č.</w:t>
      </w:r>
      <w:r w:rsidR="007E01C5" w:rsidRPr="00B175FB">
        <w:rPr>
          <w:rFonts w:eastAsia="Times New Roman"/>
          <w:sz w:val="22"/>
        </w:rPr>
        <w:t> </w:t>
      </w:r>
      <w:r w:rsidRPr="00B175FB">
        <w:rPr>
          <w:rFonts w:eastAsia="Times New Roman"/>
          <w:sz w:val="22"/>
        </w:rPr>
        <w:t>1303/2013</w:t>
      </w:r>
      <w:r w:rsidR="00793988" w:rsidRPr="00B175FB">
        <w:rPr>
          <w:rFonts w:eastAsia="Times New Roman"/>
          <w:sz w:val="22"/>
        </w:rPr>
        <w:t>)</w:t>
      </w:r>
      <w:r w:rsidRPr="00B175FB">
        <w:rPr>
          <w:rFonts w:eastAsia="Times New Roman"/>
          <w:sz w:val="22"/>
        </w:rPr>
        <w:t xml:space="preserve">. </w:t>
      </w:r>
    </w:p>
    <w:p w:rsidR="0031124F" w:rsidRPr="00B175FB" w:rsidRDefault="0031124F" w:rsidP="003112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/>
          <w:sz w:val="22"/>
        </w:rPr>
      </w:pPr>
      <w:r w:rsidRPr="00B175FB">
        <w:rPr>
          <w:rFonts w:eastAsia="Times New Roman"/>
          <w:sz w:val="22"/>
        </w:rPr>
        <w:t xml:space="preserve">Z předběžného posouzení vyplynulo, že v oblasti vzdělávání a podpory VaV jsou vhodné pro pilotní ověření FN pouze </w:t>
      </w:r>
      <w:r>
        <w:rPr>
          <w:rFonts w:eastAsia="Times New Roman"/>
          <w:sz w:val="22"/>
        </w:rPr>
        <w:t>dvě oblasti</w:t>
      </w:r>
      <w:r w:rsidRPr="00B175FB">
        <w:rPr>
          <w:rFonts w:eastAsia="Times New Roman"/>
          <w:sz w:val="22"/>
        </w:rPr>
        <w:t>, a to podpor</w:t>
      </w:r>
      <w:r>
        <w:rPr>
          <w:rFonts w:eastAsia="Times New Roman"/>
          <w:sz w:val="22"/>
        </w:rPr>
        <w:t>a</w:t>
      </w:r>
      <w:r w:rsidRPr="00B175FB">
        <w:rPr>
          <w:rFonts w:eastAsia="Times New Roman"/>
          <w:sz w:val="22"/>
        </w:rPr>
        <w:t xml:space="preserve"> mobilit a získání pracovních zkušeností v zahraničí.</w:t>
      </w:r>
    </w:p>
    <w:p w:rsidR="009346DC" w:rsidRPr="00B175FB" w:rsidRDefault="009346DC" w:rsidP="00934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/>
          <w:sz w:val="22"/>
        </w:rPr>
      </w:pPr>
      <w:r w:rsidRPr="00B175FB">
        <w:rPr>
          <w:rFonts w:eastAsia="Times New Roman"/>
          <w:sz w:val="22"/>
        </w:rPr>
        <w:t xml:space="preserve">Na základě analýzy a po pečlivém zvážení všech souvisejících rizik (právní rizika, nezájem potenciálních </w:t>
      </w:r>
      <w:r w:rsidR="009678E4">
        <w:rPr>
          <w:rFonts w:eastAsia="Times New Roman"/>
          <w:sz w:val="22"/>
        </w:rPr>
        <w:t>správců FN</w:t>
      </w:r>
      <w:r w:rsidRPr="00B175FB">
        <w:rPr>
          <w:rFonts w:eastAsia="Times New Roman"/>
          <w:sz w:val="22"/>
        </w:rPr>
        <w:t xml:space="preserve"> a nedostatečná absorpční kapacita) a současného stavu implementace OP VVV se ŘO rozhodl nepokračovat v implementaci FN. </w:t>
      </w:r>
    </w:p>
    <w:p w:rsidR="009346DC" w:rsidRPr="00B175FB" w:rsidRDefault="009346DC" w:rsidP="00A762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/>
          <w:i/>
          <w:noProof/>
        </w:rPr>
      </w:pPr>
      <w:r w:rsidRPr="00B175FB">
        <w:rPr>
          <w:rFonts w:eastAsia="Times New Roman"/>
          <w:sz w:val="22"/>
        </w:rPr>
        <w:t>Pro programové období 2021</w:t>
      </w:r>
      <w:r w:rsidR="009678E4">
        <w:rPr>
          <w:rFonts w:eastAsia="Times New Roman"/>
          <w:noProof/>
          <w:sz w:val="22"/>
        </w:rPr>
        <w:t>-</w:t>
      </w:r>
      <w:r w:rsidRPr="00B175FB">
        <w:rPr>
          <w:rFonts w:eastAsia="Times New Roman"/>
          <w:sz w:val="22"/>
        </w:rPr>
        <w:t>2027 ŘO předpokládá zajištění aktualizace ex-ante posouzení v průběhu roku</w:t>
      </w:r>
      <w:r w:rsidR="00B30284" w:rsidRPr="00B175FB">
        <w:rPr>
          <w:rFonts w:eastAsia="Times New Roman"/>
          <w:sz w:val="22"/>
        </w:rPr>
        <w:t> </w:t>
      </w:r>
      <w:r w:rsidR="0031124F" w:rsidRPr="00B175FB">
        <w:rPr>
          <w:rFonts w:eastAsia="Times New Roman"/>
          <w:sz w:val="22"/>
        </w:rPr>
        <w:t>202</w:t>
      </w:r>
      <w:r w:rsidR="0031124F">
        <w:rPr>
          <w:rFonts w:eastAsia="Times New Roman"/>
          <w:sz w:val="22"/>
        </w:rPr>
        <w:t>1</w:t>
      </w:r>
      <w:r w:rsidRPr="00B175FB">
        <w:rPr>
          <w:rFonts w:eastAsia="Times New Roman"/>
          <w:sz w:val="22"/>
        </w:rPr>
        <w:t xml:space="preserve">. Na základě tohoto posouzení mohou být identifikovány relevantní oblasti vhodné pro využití FN. </w:t>
      </w:r>
    </w:p>
    <w:bookmarkEnd w:id="142"/>
    <w:p w:rsidR="00DC48D6" w:rsidRDefault="00DC48D6">
      <w:pPr>
        <w:spacing w:before="0" w:after="160" w:line="259" w:lineRule="auto"/>
        <w:rPr>
          <w:rFonts w:eastAsia="Calibri" w:cs="Arial"/>
          <w:b/>
          <w:color w:val="1F4E79" w:themeColor="accent5" w:themeShade="80"/>
          <w:lang w:eastAsia="cs-CZ" w:bidi="cs-CZ"/>
        </w:rPr>
      </w:pPr>
    </w:p>
    <w:p w:rsidR="00900204" w:rsidRPr="00FA55B3" w:rsidRDefault="00900204" w:rsidP="00FA55B3">
      <w:pPr>
        <w:pStyle w:val="Nadpis4"/>
        <w:rPr>
          <w:b/>
          <w:color w:val="1F4E79" w:themeColor="accent5" w:themeShade="80"/>
          <w:lang w:val="cs-CZ" w:eastAsia="cs-CZ" w:bidi="cs-CZ"/>
        </w:rPr>
      </w:pPr>
      <w:bookmarkStart w:id="148" w:name="_Toc66476051"/>
      <w:bookmarkStart w:id="149" w:name="_Toc68611009"/>
      <w:r w:rsidRPr="00FA55B3">
        <w:rPr>
          <w:b/>
          <w:color w:val="1F4E79" w:themeColor="accent5" w:themeShade="80"/>
          <w:lang w:val="cs-CZ" w:eastAsia="cs-CZ" w:bidi="cs-CZ"/>
        </w:rPr>
        <w:t>Ukazatel</w:t>
      </w:r>
      <w:r w:rsidR="005B64A1">
        <w:rPr>
          <w:b/>
          <w:color w:val="1F4E79" w:themeColor="accent5" w:themeShade="80"/>
          <w:lang w:val="cs-CZ" w:eastAsia="cs-CZ" w:bidi="cs-CZ"/>
        </w:rPr>
        <w:t>e</w:t>
      </w:r>
      <w:bookmarkEnd w:id="148"/>
      <w:bookmarkEnd w:id="149"/>
    </w:p>
    <w:p w:rsidR="00B82797" w:rsidRPr="00B169F0" w:rsidRDefault="00B82797" w:rsidP="00B82797">
      <w:pPr>
        <w:pStyle w:val="Titulek"/>
        <w:rPr>
          <w:rFonts w:ascii="Times New Roman" w:hAnsi="Times New Roman" w:cs="Times New Roman"/>
          <w:szCs w:val="22"/>
        </w:rPr>
      </w:pPr>
      <w:bookmarkStart w:id="150" w:name="_Toc66346571"/>
      <w:bookmarkStart w:id="151" w:name="_Hlk20818971"/>
      <w:r w:rsidRPr="00B169F0">
        <w:rPr>
          <w:rFonts w:ascii="Times New Roman" w:hAnsi="Times New Roman" w:cs="Times New Roman"/>
          <w:szCs w:val="22"/>
        </w:rPr>
        <w:t xml:space="preserve">Tabulka </w:t>
      </w:r>
      <w:r w:rsidRPr="00B169F0">
        <w:rPr>
          <w:rFonts w:ascii="Times New Roman" w:hAnsi="Times New Roman" w:cs="Times New Roman"/>
          <w:szCs w:val="22"/>
        </w:rPr>
        <w:fldChar w:fldCharType="begin"/>
      </w:r>
      <w:r w:rsidRPr="00B169F0">
        <w:rPr>
          <w:rFonts w:ascii="Times New Roman" w:hAnsi="Times New Roman" w:cs="Times New Roman"/>
          <w:szCs w:val="22"/>
        </w:rPr>
        <w:instrText xml:space="preserve"> SEQ Tabulka \* ARABIC </w:instrText>
      </w:r>
      <w:r w:rsidRPr="00B169F0">
        <w:rPr>
          <w:rFonts w:ascii="Times New Roman" w:hAnsi="Times New Roman" w:cs="Times New Roman"/>
          <w:szCs w:val="22"/>
        </w:rPr>
        <w:fldChar w:fldCharType="separate"/>
      </w:r>
      <w:r w:rsidR="00235E28">
        <w:rPr>
          <w:rFonts w:ascii="Times New Roman" w:hAnsi="Times New Roman" w:cs="Times New Roman"/>
          <w:noProof/>
          <w:szCs w:val="22"/>
        </w:rPr>
        <w:t>15</w:t>
      </w:r>
      <w:r w:rsidRPr="00B169F0">
        <w:rPr>
          <w:rFonts w:ascii="Times New Roman" w:hAnsi="Times New Roman" w:cs="Times New Roman"/>
          <w:szCs w:val="22"/>
        </w:rPr>
        <w:fldChar w:fldCharType="end"/>
      </w:r>
      <w:r w:rsidRPr="00B169F0">
        <w:rPr>
          <w:rFonts w:ascii="Times New Roman" w:hAnsi="Times New Roman" w:cs="Times New Roman"/>
          <w:szCs w:val="22"/>
        </w:rPr>
        <w:t>: Ukazatel</w:t>
      </w:r>
      <w:r w:rsidR="005B64A1">
        <w:rPr>
          <w:rFonts w:ascii="Times New Roman" w:hAnsi="Times New Roman" w:cs="Times New Roman"/>
          <w:szCs w:val="22"/>
        </w:rPr>
        <w:t>e</w:t>
      </w:r>
      <w:r w:rsidRPr="00B169F0">
        <w:rPr>
          <w:rFonts w:ascii="Times New Roman" w:hAnsi="Times New Roman" w:cs="Times New Roman"/>
          <w:szCs w:val="22"/>
        </w:rPr>
        <w:t xml:space="preserve"> výstupů</w:t>
      </w:r>
      <w:bookmarkEnd w:id="150"/>
    </w:p>
    <w:tbl>
      <w:tblPr>
        <w:tblW w:w="5026" w:type="pct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1E0" w:firstRow="1" w:lastRow="1" w:firstColumn="1" w:lastColumn="1" w:noHBand="0" w:noVBand="0"/>
      </w:tblPr>
      <w:tblGrid>
        <w:gridCol w:w="826"/>
        <w:gridCol w:w="1006"/>
        <w:gridCol w:w="678"/>
        <w:gridCol w:w="1117"/>
        <w:gridCol w:w="906"/>
        <w:gridCol w:w="1870"/>
        <w:gridCol w:w="1036"/>
        <w:gridCol w:w="1231"/>
        <w:gridCol w:w="1009"/>
      </w:tblGrid>
      <w:tr w:rsidR="00B631E7" w:rsidRPr="00475F9D" w:rsidTr="00AE5ECC">
        <w:trPr>
          <w:trHeight w:val="566"/>
        </w:trPr>
        <w:tc>
          <w:tcPr>
            <w:tcW w:w="427" w:type="pct"/>
            <w:shd w:val="clear" w:color="auto" w:fill="002060"/>
          </w:tcPr>
          <w:p w:rsidR="006A2697" w:rsidRPr="0036068C" w:rsidRDefault="006A2697" w:rsidP="00444E35">
            <w:pPr>
              <w:pStyle w:val="Text1"/>
              <w:spacing w:line="240" w:lineRule="auto"/>
              <w:ind w:left="0"/>
              <w:jc w:val="center"/>
              <w:rPr>
                <w:b/>
                <w:noProof/>
                <w:sz w:val="18"/>
                <w:szCs w:val="18"/>
              </w:rPr>
            </w:pPr>
            <w:r w:rsidRPr="0036068C">
              <w:rPr>
                <w:rFonts w:eastAsia="Times New Roman"/>
                <w:b/>
                <w:iCs/>
                <w:noProof/>
                <w:sz w:val="18"/>
                <w:szCs w:val="18"/>
                <w:lang w:eastAsia="en-GB"/>
              </w:rPr>
              <w:t>Priorita</w:t>
            </w:r>
          </w:p>
        </w:tc>
        <w:tc>
          <w:tcPr>
            <w:tcW w:w="520" w:type="pct"/>
            <w:shd w:val="clear" w:color="auto" w:fill="002060"/>
          </w:tcPr>
          <w:p w:rsidR="006A2697" w:rsidRPr="0036068C" w:rsidRDefault="006A2697" w:rsidP="00444E35">
            <w:pPr>
              <w:pStyle w:val="Text1"/>
              <w:spacing w:line="240" w:lineRule="auto"/>
              <w:ind w:left="0"/>
              <w:jc w:val="center"/>
              <w:rPr>
                <w:b/>
                <w:noProof/>
                <w:sz w:val="18"/>
                <w:szCs w:val="18"/>
              </w:rPr>
            </w:pPr>
            <w:r w:rsidRPr="0036068C">
              <w:rPr>
                <w:rFonts w:eastAsia="Times New Roman"/>
                <w:b/>
                <w:iCs/>
                <w:noProof/>
                <w:sz w:val="18"/>
                <w:szCs w:val="18"/>
                <w:lang w:eastAsia="en-GB"/>
              </w:rPr>
              <w:t xml:space="preserve">Specifický cíl </w:t>
            </w:r>
          </w:p>
        </w:tc>
        <w:tc>
          <w:tcPr>
            <w:tcW w:w="350" w:type="pct"/>
            <w:shd w:val="clear" w:color="auto" w:fill="002060"/>
          </w:tcPr>
          <w:p w:rsidR="006A2697" w:rsidRPr="0036068C" w:rsidRDefault="006A2697" w:rsidP="00444E35">
            <w:pPr>
              <w:pStyle w:val="Text1"/>
              <w:spacing w:line="240" w:lineRule="auto"/>
              <w:ind w:left="0"/>
              <w:jc w:val="center"/>
              <w:rPr>
                <w:b/>
                <w:noProof/>
                <w:sz w:val="18"/>
                <w:szCs w:val="18"/>
              </w:rPr>
            </w:pPr>
            <w:r w:rsidRPr="0036068C">
              <w:rPr>
                <w:b/>
                <w:noProof/>
                <w:sz w:val="18"/>
                <w:szCs w:val="18"/>
              </w:rPr>
              <w:t>Fond</w:t>
            </w:r>
          </w:p>
        </w:tc>
        <w:tc>
          <w:tcPr>
            <w:tcW w:w="577" w:type="pct"/>
            <w:shd w:val="clear" w:color="auto" w:fill="002060"/>
          </w:tcPr>
          <w:p w:rsidR="006A2697" w:rsidRPr="0036068C" w:rsidRDefault="006A2697" w:rsidP="00444E35">
            <w:pPr>
              <w:pStyle w:val="Text1"/>
              <w:spacing w:line="240" w:lineRule="auto"/>
              <w:ind w:left="0"/>
              <w:jc w:val="center"/>
              <w:rPr>
                <w:b/>
                <w:noProof/>
                <w:sz w:val="18"/>
                <w:szCs w:val="18"/>
              </w:rPr>
            </w:pPr>
            <w:r w:rsidRPr="0036068C">
              <w:rPr>
                <w:b/>
                <w:noProof/>
                <w:sz w:val="18"/>
                <w:szCs w:val="18"/>
              </w:rPr>
              <w:t>Kategorie regionu</w:t>
            </w:r>
          </w:p>
        </w:tc>
        <w:tc>
          <w:tcPr>
            <w:tcW w:w="468" w:type="pct"/>
            <w:shd w:val="clear" w:color="auto" w:fill="002060"/>
          </w:tcPr>
          <w:p w:rsidR="006A2697" w:rsidRPr="0036068C" w:rsidRDefault="006A2697" w:rsidP="00444E35">
            <w:pPr>
              <w:pStyle w:val="Text1"/>
              <w:spacing w:line="240" w:lineRule="auto"/>
              <w:ind w:left="0"/>
              <w:jc w:val="center"/>
              <w:rPr>
                <w:b/>
                <w:noProof/>
                <w:sz w:val="18"/>
                <w:szCs w:val="18"/>
              </w:rPr>
            </w:pPr>
            <w:r w:rsidRPr="0036068C">
              <w:rPr>
                <w:b/>
                <w:noProof/>
                <w:sz w:val="18"/>
                <w:szCs w:val="18"/>
              </w:rPr>
              <w:t>ID</w:t>
            </w:r>
          </w:p>
        </w:tc>
        <w:tc>
          <w:tcPr>
            <w:tcW w:w="966" w:type="pct"/>
            <w:shd w:val="clear" w:color="auto" w:fill="002060"/>
          </w:tcPr>
          <w:p w:rsidR="006A2697" w:rsidRPr="0036068C" w:rsidRDefault="006A2697" w:rsidP="00444E35">
            <w:pPr>
              <w:pStyle w:val="Text1"/>
              <w:spacing w:line="240" w:lineRule="auto"/>
              <w:ind w:left="0"/>
              <w:jc w:val="center"/>
              <w:rPr>
                <w:b/>
                <w:noProof/>
                <w:sz w:val="18"/>
                <w:szCs w:val="18"/>
              </w:rPr>
            </w:pPr>
            <w:r w:rsidRPr="0036068C">
              <w:rPr>
                <w:b/>
                <w:noProof/>
                <w:sz w:val="18"/>
                <w:szCs w:val="18"/>
              </w:rPr>
              <w:t>Ukazatel</w:t>
            </w:r>
          </w:p>
        </w:tc>
        <w:tc>
          <w:tcPr>
            <w:tcW w:w="535" w:type="pct"/>
            <w:shd w:val="clear" w:color="auto" w:fill="002060"/>
          </w:tcPr>
          <w:p w:rsidR="006A2697" w:rsidRPr="0036068C" w:rsidRDefault="006A2697" w:rsidP="00444E35">
            <w:pPr>
              <w:pStyle w:val="Text1"/>
              <w:spacing w:line="240" w:lineRule="auto"/>
              <w:ind w:left="0"/>
              <w:jc w:val="center"/>
              <w:rPr>
                <w:b/>
                <w:noProof/>
                <w:sz w:val="18"/>
                <w:szCs w:val="18"/>
              </w:rPr>
            </w:pPr>
            <w:r w:rsidRPr="0036068C">
              <w:rPr>
                <w:b/>
                <w:noProof/>
                <w:sz w:val="18"/>
                <w:szCs w:val="18"/>
              </w:rPr>
              <w:t>Jednotka měření</w:t>
            </w:r>
          </w:p>
        </w:tc>
        <w:tc>
          <w:tcPr>
            <w:tcW w:w="636" w:type="pct"/>
            <w:shd w:val="clear" w:color="auto" w:fill="002060"/>
          </w:tcPr>
          <w:p w:rsidR="006A2697" w:rsidRPr="0036068C" w:rsidRDefault="006A2697" w:rsidP="00444E35">
            <w:pPr>
              <w:pStyle w:val="Text1"/>
              <w:spacing w:line="240" w:lineRule="auto"/>
              <w:ind w:left="0"/>
              <w:jc w:val="center"/>
              <w:rPr>
                <w:b/>
                <w:noProof/>
                <w:sz w:val="18"/>
                <w:szCs w:val="18"/>
              </w:rPr>
            </w:pPr>
            <w:r w:rsidRPr="0036068C">
              <w:rPr>
                <w:b/>
                <w:noProof/>
                <w:sz w:val="18"/>
                <w:szCs w:val="18"/>
              </w:rPr>
              <w:t>Milník (2024)</w:t>
            </w:r>
          </w:p>
        </w:tc>
        <w:tc>
          <w:tcPr>
            <w:tcW w:w="523" w:type="pct"/>
            <w:shd w:val="clear" w:color="auto" w:fill="002060"/>
          </w:tcPr>
          <w:p w:rsidR="006A2697" w:rsidRPr="0036068C" w:rsidRDefault="006A2697" w:rsidP="00444E35">
            <w:pPr>
              <w:pStyle w:val="Text1"/>
              <w:spacing w:line="240" w:lineRule="auto"/>
              <w:ind w:left="0"/>
              <w:jc w:val="center"/>
              <w:rPr>
                <w:b/>
                <w:noProof/>
                <w:sz w:val="18"/>
                <w:szCs w:val="18"/>
              </w:rPr>
            </w:pPr>
            <w:r w:rsidRPr="0036068C">
              <w:rPr>
                <w:b/>
                <w:noProof/>
                <w:sz w:val="18"/>
                <w:szCs w:val="18"/>
              </w:rPr>
              <w:t xml:space="preserve">Cíl </w:t>
            </w:r>
            <w:r w:rsidR="006D4C96">
              <w:rPr>
                <w:b/>
                <w:noProof/>
                <w:sz w:val="18"/>
                <w:szCs w:val="18"/>
              </w:rPr>
              <w:br/>
            </w:r>
            <w:r w:rsidRPr="0036068C">
              <w:rPr>
                <w:b/>
                <w:noProof/>
                <w:sz w:val="18"/>
                <w:szCs w:val="18"/>
              </w:rPr>
              <w:t>(2029)</w:t>
            </w:r>
          </w:p>
        </w:tc>
      </w:tr>
      <w:tr w:rsidR="00EF1BA9" w:rsidRPr="00181089" w:rsidTr="00AE5ECC">
        <w:trPr>
          <w:trHeight w:val="466"/>
        </w:trPr>
        <w:tc>
          <w:tcPr>
            <w:tcW w:w="427" w:type="pct"/>
            <w:vMerge w:val="restart"/>
            <w:shd w:val="clear" w:color="auto" w:fill="DEEAF6" w:themeFill="accent5" w:themeFillTint="33"/>
          </w:tcPr>
          <w:p w:rsidR="006A2697" w:rsidRPr="00C622FB" w:rsidRDefault="0036068C" w:rsidP="00EF1BA9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622F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6A2697" w:rsidRPr="00C622F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520" w:type="pct"/>
            <w:vMerge w:val="restart"/>
            <w:shd w:val="clear" w:color="auto" w:fill="DEEAF6" w:themeFill="accent5" w:themeFillTint="33"/>
          </w:tcPr>
          <w:p w:rsidR="00083CD2" w:rsidRDefault="00D73193" w:rsidP="00F51744">
            <w:pPr>
              <w:spacing w:before="0" w:after="0" w:line="240" w:lineRule="auto"/>
              <w:jc w:val="both"/>
              <w:rPr>
                <w:sz w:val="18"/>
                <w:szCs w:val="18"/>
                <w:lang w:eastAsia="cs-CZ" w:bidi="cs-CZ"/>
              </w:rPr>
            </w:pPr>
            <w:r>
              <w:rPr>
                <w:sz w:val="18"/>
                <w:szCs w:val="18"/>
                <w:lang w:eastAsia="cs-CZ" w:bidi="cs-CZ"/>
              </w:rPr>
              <w:t>2</w:t>
            </w:r>
            <w:r w:rsidR="000873A6" w:rsidRPr="0036068C">
              <w:rPr>
                <w:sz w:val="18"/>
                <w:szCs w:val="18"/>
                <w:lang w:eastAsia="cs-CZ" w:bidi="cs-CZ"/>
              </w:rPr>
              <w:t xml:space="preserve">.1 </w:t>
            </w:r>
          </w:p>
          <w:p w:rsidR="006A2697" w:rsidRPr="0036068C" w:rsidRDefault="006A2697" w:rsidP="00312A64">
            <w:pPr>
              <w:spacing w:before="0" w:after="0" w:line="240" w:lineRule="auto"/>
              <w:jc w:val="both"/>
              <w:rPr>
                <w:sz w:val="18"/>
                <w:szCs w:val="18"/>
                <w:lang w:eastAsia="cs-CZ" w:bidi="cs-CZ"/>
              </w:rPr>
            </w:pPr>
          </w:p>
        </w:tc>
        <w:tc>
          <w:tcPr>
            <w:tcW w:w="350" w:type="pct"/>
            <w:vMerge w:val="restart"/>
            <w:shd w:val="clear" w:color="auto" w:fill="DEEAF6" w:themeFill="accent5" w:themeFillTint="33"/>
          </w:tcPr>
          <w:p w:rsidR="006A2697" w:rsidRPr="0036068C" w:rsidRDefault="006A2697" w:rsidP="00EF1BA9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eastAsia="cs-CZ" w:bidi="cs-CZ"/>
              </w:rPr>
            </w:pPr>
            <w:r w:rsidRPr="0036068C">
              <w:rPr>
                <w:rFonts w:ascii="Times New Roman" w:hAnsi="Times New Roman" w:cs="Times New Roman"/>
                <w:color w:val="auto"/>
                <w:sz w:val="18"/>
                <w:szCs w:val="18"/>
                <w:lang w:eastAsia="cs-CZ" w:bidi="cs-CZ"/>
              </w:rPr>
              <w:t>ERDF</w:t>
            </w:r>
          </w:p>
        </w:tc>
        <w:tc>
          <w:tcPr>
            <w:tcW w:w="577" w:type="pct"/>
            <w:shd w:val="clear" w:color="auto" w:fill="DEEAF6" w:themeFill="accent5" w:themeFillTint="33"/>
          </w:tcPr>
          <w:p w:rsidR="006A2697" w:rsidRPr="0036068C" w:rsidRDefault="006A2697" w:rsidP="00F51744">
            <w:pPr>
              <w:spacing w:before="0" w:after="0" w:line="240" w:lineRule="auto"/>
              <w:rPr>
                <w:sz w:val="18"/>
                <w:szCs w:val="18"/>
                <w:lang w:eastAsia="cs-CZ" w:bidi="cs-CZ"/>
              </w:rPr>
            </w:pPr>
            <w:r w:rsidRPr="0036068C">
              <w:rPr>
                <w:sz w:val="18"/>
                <w:szCs w:val="18"/>
                <w:lang w:eastAsia="cs-CZ" w:bidi="cs-CZ"/>
              </w:rPr>
              <w:t>Více rozvinuté</w:t>
            </w:r>
          </w:p>
        </w:tc>
        <w:tc>
          <w:tcPr>
            <w:tcW w:w="468" w:type="pct"/>
            <w:vMerge w:val="restart"/>
            <w:shd w:val="clear" w:color="auto" w:fill="DEEAF6" w:themeFill="accent5" w:themeFillTint="33"/>
          </w:tcPr>
          <w:p w:rsidR="006A2697" w:rsidRPr="0036068C" w:rsidRDefault="006A2697" w:rsidP="00F51744">
            <w:pPr>
              <w:pStyle w:val="Text1"/>
              <w:spacing w:before="0" w:after="0" w:line="240" w:lineRule="auto"/>
              <w:ind w:left="0"/>
              <w:rPr>
                <w:sz w:val="18"/>
                <w:szCs w:val="18"/>
                <w:lang w:eastAsia="cs-CZ" w:bidi="cs-CZ"/>
              </w:rPr>
            </w:pPr>
            <w:r w:rsidRPr="0036068C">
              <w:rPr>
                <w:sz w:val="18"/>
                <w:szCs w:val="18"/>
              </w:rPr>
              <w:t xml:space="preserve">RCO 67 </w:t>
            </w:r>
          </w:p>
        </w:tc>
        <w:tc>
          <w:tcPr>
            <w:tcW w:w="966" w:type="pct"/>
            <w:vMerge w:val="restart"/>
            <w:shd w:val="clear" w:color="auto" w:fill="DEEAF6" w:themeFill="accent5" w:themeFillTint="33"/>
          </w:tcPr>
          <w:p w:rsidR="006A2697" w:rsidRPr="00D5789D" w:rsidRDefault="006A2697" w:rsidP="00EF1BA9">
            <w:pPr>
              <w:pStyle w:val="Default"/>
              <w:rPr>
                <w:rFonts w:ascii="Times New Roman" w:hAnsi="Times New Roman" w:cs="Times New Roman"/>
                <w:sz w:val="18"/>
                <w:szCs w:val="18"/>
                <w:lang w:val="cs-CZ"/>
              </w:rPr>
            </w:pPr>
            <w:r w:rsidRPr="00D5789D">
              <w:rPr>
                <w:rFonts w:ascii="Times New Roman" w:hAnsi="Times New Roman" w:cs="Times New Roman"/>
                <w:sz w:val="18"/>
                <w:szCs w:val="18"/>
                <w:lang w:val="cs-CZ"/>
              </w:rPr>
              <w:t xml:space="preserve">Kapacita tříd podporované vzdělávací infrastruktury (nová nebo modernizovaná) </w:t>
            </w:r>
          </w:p>
          <w:p w:rsidR="006A2697" w:rsidRPr="0036068C" w:rsidRDefault="006A2697" w:rsidP="00F51744">
            <w:pPr>
              <w:pStyle w:val="Text1"/>
              <w:spacing w:before="0"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535" w:type="pct"/>
            <w:vMerge w:val="restart"/>
            <w:shd w:val="clear" w:color="auto" w:fill="DEEAF6" w:themeFill="accent5" w:themeFillTint="33"/>
          </w:tcPr>
          <w:p w:rsidR="006A2697" w:rsidRPr="0036068C" w:rsidRDefault="006A2697" w:rsidP="00F51744">
            <w:pPr>
              <w:pStyle w:val="Text1"/>
              <w:spacing w:before="0" w:after="0" w:line="240" w:lineRule="auto"/>
              <w:ind w:left="0"/>
              <w:rPr>
                <w:sz w:val="18"/>
                <w:szCs w:val="18"/>
              </w:rPr>
            </w:pPr>
            <w:r w:rsidRPr="0036068C">
              <w:rPr>
                <w:sz w:val="18"/>
                <w:szCs w:val="18"/>
              </w:rPr>
              <w:t>Osoby</w:t>
            </w:r>
          </w:p>
        </w:tc>
        <w:tc>
          <w:tcPr>
            <w:tcW w:w="636" w:type="pct"/>
            <w:shd w:val="clear" w:color="auto" w:fill="DEEAF6" w:themeFill="accent5" w:themeFillTint="33"/>
          </w:tcPr>
          <w:p w:rsidR="006A2697" w:rsidRPr="00444E35" w:rsidRDefault="00EF1BA9" w:rsidP="00F51744">
            <w:pPr>
              <w:pStyle w:val="Text1"/>
              <w:spacing w:before="0" w:after="0" w:line="240" w:lineRule="auto"/>
              <w:ind w:left="0"/>
              <w:jc w:val="center"/>
              <w:rPr>
                <w:i/>
                <w:noProof/>
                <w:sz w:val="18"/>
                <w:szCs w:val="18"/>
              </w:rPr>
            </w:pPr>
            <w:r w:rsidRPr="00444E35">
              <w:rPr>
                <w:i/>
                <w:noProof/>
                <w:sz w:val="18"/>
                <w:szCs w:val="18"/>
              </w:rPr>
              <w:t>-</w:t>
            </w:r>
          </w:p>
        </w:tc>
        <w:tc>
          <w:tcPr>
            <w:tcW w:w="523" w:type="pct"/>
            <w:shd w:val="clear" w:color="auto" w:fill="DEEAF6" w:themeFill="accent5" w:themeFillTint="33"/>
          </w:tcPr>
          <w:p w:rsidR="006A2697" w:rsidRPr="00444E35" w:rsidRDefault="006A2697" w:rsidP="00F51744">
            <w:pPr>
              <w:pStyle w:val="Text1"/>
              <w:spacing w:before="0" w:after="0" w:line="240" w:lineRule="auto"/>
              <w:ind w:left="0"/>
              <w:jc w:val="right"/>
              <w:rPr>
                <w:iCs/>
                <w:noProof/>
                <w:sz w:val="18"/>
                <w:szCs w:val="18"/>
              </w:rPr>
            </w:pPr>
            <w:r w:rsidRPr="00444E35">
              <w:rPr>
                <w:iCs/>
                <w:noProof/>
                <w:sz w:val="18"/>
                <w:szCs w:val="18"/>
              </w:rPr>
              <w:t>10 220</w:t>
            </w:r>
          </w:p>
        </w:tc>
      </w:tr>
      <w:tr w:rsidR="00EF1BA9" w:rsidRPr="00181089" w:rsidTr="00AE5ECC">
        <w:trPr>
          <w:trHeight w:val="257"/>
        </w:trPr>
        <w:tc>
          <w:tcPr>
            <w:tcW w:w="427" w:type="pct"/>
            <w:vMerge/>
            <w:shd w:val="clear" w:color="auto" w:fill="DEEAF6" w:themeFill="accent5" w:themeFillTint="33"/>
          </w:tcPr>
          <w:p w:rsidR="006A2697" w:rsidRPr="0036068C" w:rsidRDefault="006A2697" w:rsidP="00EF1BA9">
            <w:pPr>
              <w:pStyle w:val="Default"/>
              <w:rPr>
                <w:rFonts w:ascii="Times New Roman" w:hAnsi="Times New Roman" w:cs="Times New Roman"/>
                <w:b/>
                <w:i/>
                <w:noProof/>
                <w:color w:val="auto"/>
                <w:sz w:val="18"/>
                <w:szCs w:val="18"/>
              </w:rPr>
            </w:pPr>
          </w:p>
        </w:tc>
        <w:tc>
          <w:tcPr>
            <w:tcW w:w="520" w:type="pct"/>
            <w:vMerge/>
            <w:shd w:val="clear" w:color="auto" w:fill="DEEAF6" w:themeFill="accent5" w:themeFillTint="33"/>
          </w:tcPr>
          <w:p w:rsidR="006A2697" w:rsidRPr="0036068C" w:rsidRDefault="006A2697" w:rsidP="00F51744">
            <w:pPr>
              <w:pStyle w:val="Text1"/>
              <w:spacing w:before="0" w:after="0" w:line="240" w:lineRule="auto"/>
              <w:ind w:left="0"/>
              <w:rPr>
                <w:b/>
                <w:i/>
                <w:noProof/>
                <w:sz w:val="18"/>
                <w:szCs w:val="18"/>
              </w:rPr>
            </w:pPr>
          </w:p>
        </w:tc>
        <w:tc>
          <w:tcPr>
            <w:tcW w:w="350" w:type="pct"/>
            <w:vMerge/>
            <w:shd w:val="clear" w:color="auto" w:fill="DEEAF6" w:themeFill="accent5" w:themeFillTint="33"/>
          </w:tcPr>
          <w:p w:rsidR="006A2697" w:rsidRPr="0036068C" w:rsidRDefault="006A2697" w:rsidP="00F51744">
            <w:pPr>
              <w:pStyle w:val="Text1"/>
              <w:spacing w:before="0" w:after="0" w:line="240" w:lineRule="auto"/>
              <w:ind w:left="0"/>
              <w:rPr>
                <w:b/>
                <w:i/>
                <w:noProof/>
                <w:sz w:val="18"/>
                <w:szCs w:val="18"/>
              </w:rPr>
            </w:pPr>
          </w:p>
        </w:tc>
        <w:tc>
          <w:tcPr>
            <w:tcW w:w="577" w:type="pct"/>
            <w:shd w:val="clear" w:color="auto" w:fill="DEEAF6" w:themeFill="accent5" w:themeFillTint="33"/>
          </w:tcPr>
          <w:p w:rsidR="006A2697" w:rsidRPr="0036068C" w:rsidRDefault="006A2697" w:rsidP="00F51744">
            <w:pPr>
              <w:spacing w:before="0" w:after="0" w:line="240" w:lineRule="auto"/>
              <w:rPr>
                <w:sz w:val="18"/>
                <w:szCs w:val="18"/>
                <w:lang w:eastAsia="cs-CZ" w:bidi="cs-CZ"/>
              </w:rPr>
            </w:pPr>
            <w:r w:rsidRPr="0036068C">
              <w:rPr>
                <w:sz w:val="18"/>
                <w:szCs w:val="18"/>
                <w:lang w:eastAsia="cs-CZ" w:bidi="cs-CZ"/>
              </w:rPr>
              <w:t>Přechodové</w:t>
            </w:r>
          </w:p>
        </w:tc>
        <w:tc>
          <w:tcPr>
            <w:tcW w:w="468" w:type="pct"/>
            <w:vMerge/>
            <w:shd w:val="clear" w:color="auto" w:fill="DEEAF6" w:themeFill="accent5" w:themeFillTint="33"/>
          </w:tcPr>
          <w:p w:rsidR="006A2697" w:rsidRPr="0036068C" w:rsidRDefault="006A2697" w:rsidP="00EF1BA9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eastAsia="cs-CZ" w:bidi="cs-CZ"/>
              </w:rPr>
            </w:pPr>
          </w:p>
        </w:tc>
        <w:tc>
          <w:tcPr>
            <w:tcW w:w="966" w:type="pct"/>
            <w:vMerge/>
            <w:shd w:val="clear" w:color="auto" w:fill="DEEAF6" w:themeFill="accent5" w:themeFillTint="33"/>
          </w:tcPr>
          <w:p w:rsidR="006A2697" w:rsidRPr="0036068C" w:rsidRDefault="006A2697" w:rsidP="00EF1BA9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eastAsia="cs-CZ" w:bidi="cs-CZ"/>
              </w:rPr>
            </w:pPr>
          </w:p>
        </w:tc>
        <w:tc>
          <w:tcPr>
            <w:tcW w:w="535" w:type="pct"/>
            <w:vMerge/>
            <w:shd w:val="clear" w:color="auto" w:fill="DEEAF6" w:themeFill="accent5" w:themeFillTint="33"/>
          </w:tcPr>
          <w:p w:rsidR="006A2697" w:rsidRPr="0036068C" w:rsidRDefault="006A2697" w:rsidP="00F51744">
            <w:pPr>
              <w:pStyle w:val="Text1"/>
              <w:spacing w:before="0" w:after="0" w:line="240" w:lineRule="auto"/>
              <w:ind w:left="0"/>
              <w:rPr>
                <w:b/>
                <w:i/>
                <w:noProof/>
                <w:sz w:val="18"/>
                <w:szCs w:val="18"/>
              </w:rPr>
            </w:pPr>
          </w:p>
        </w:tc>
        <w:tc>
          <w:tcPr>
            <w:tcW w:w="636" w:type="pct"/>
            <w:shd w:val="clear" w:color="auto" w:fill="DEEAF6" w:themeFill="accent5" w:themeFillTint="33"/>
          </w:tcPr>
          <w:p w:rsidR="006A2697" w:rsidRPr="00444E35" w:rsidRDefault="00EF1BA9" w:rsidP="00F51744">
            <w:pPr>
              <w:pStyle w:val="Text1"/>
              <w:spacing w:before="0" w:after="0" w:line="240" w:lineRule="auto"/>
              <w:ind w:left="0"/>
              <w:jc w:val="center"/>
              <w:rPr>
                <w:i/>
                <w:noProof/>
                <w:sz w:val="18"/>
                <w:szCs w:val="18"/>
              </w:rPr>
            </w:pPr>
            <w:r w:rsidRPr="00444E35">
              <w:rPr>
                <w:i/>
                <w:noProof/>
                <w:sz w:val="18"/>
                <w:szCs w:val="18"/>
              </w:rPr>
              <w:t>-</w:t>
            </w:r>
          </w:p>
        </w:tc>
        <w:tc>
          <w:tcPr>
            <w:tcW w:w="523" w:type="pct"/>
            <w:shd w:val="clear" w:color="auto" w:fill="DEEAF6" w:themeFill="accent5" w:themeFillTint="33"/>
          </w:tcPr>
          <w:p w:rsidR="006A2697" w:rsidRPr="00444E35" w:rsidRDefault="006A2697" w:rsidP="00F51744">
            <w:pPr>
              <w:pStyle w:val="Text1"/>
              <w:spacing w:before="0" w:after="0" w:line="240" w:lineRule="auto"/>
              <w:ind w:left="0"/>
              <w:jc w:val="right"/>
              <w:rPr>
                <w:iCs/>
                <w:noProof/>
                <w:sz w:val="18"/>
                <w:szCs w:val="18"/>
              </w:rPr>
            </w:pPr>
            <w:r w:rsidRPr="00444E35">
              <w:rPr>
                <w:iCs/>
                <w:noProof/>
                <w:sz w:val="18"/>
                <w:szCs w:val="18"/>
              </w:rPr>
              <w:t>26 280</w:t>
            </w:r>
          </w:p>
        </w:tc>
      </w:tr>
      <w:tr w:rsidR="00EF1BA9" w:rsidRPr="00181089" w:rsidTr="00AE5ECC">
        <w:trPr>
          <w:trHeight w:val="257"/>
        </w:trPr>
        <w:tc>
          <w:tcPr>
            <w:tcW w:w="427" w:type="pct"/>
            <w:vMerge/>
            <w:shd w:val="clear" w:color="auto" w:fill="DEEAF6" w:themeFill="accent5" w:themeFillTint="33"/>
          </w:tcPr>
          <w:p w:rsidR="006A2697" w:rsidRPr="0036068C" w:rsidRDefault="006A2697" w:rsidP="00EF1BA9">
            <w:pPr>
              <w:pStyle w:val="Default"/>
              <w:rPr>
                <w:rFonts w:ascii="Times New Roman" w:hAnsi="Times New Roman" w:cs="Times New Roman"/>
                <w:b/>
                <w:i/>
                <w:noProof/>
                <w:color w:val="auto"/>
                <w:sz w:val="18"/>
                <w:szCs w:val="18"/>
              </w:rPr>
            </w:pPr>
          </w:p>
        </w:tc>
        <w:tc>
          <w:tcPr>
            <w:tcW w:w="520" w:type="pct"/>
            <w:vMerge/>
            <w:shd w:val="clear" w:color="auto" w:fill="DEEAF6" w:themeFill="accent5" w:themeFillTint="33"/>
          </w:tcPr>
          <w:p w:rsidR="006A2697" w:rsidRPr="0036068C" w:rsidRDefault="006A2697" w:rsidP="00F51744">
            <w:pPr>
              <w:pStyle w:val="Text1"/>
              <w:spacing w:before="0" w:after="0" w:line="240" w:lineRule="auto"/>
              <w:ind w:left="0"/>
              <w:rPr>
                <w:b/>
                <w:i/>
                <w:noProof/>
                <w:sz w:val="18"/>
                <w:szCs w:val="18"/>
              </w:rPr>
            </w:pPr>
          </w:p>
        </w:tc>
        <w:tc>
          <w:tcPr>
            <w:tcW w:w="350" w:type="pct"/>
            <w:vMerge/>
            <w:shd w:val="clear" w:color="auto" w:fill="DEEAF6" w:themeFill="accent5" w:themeFillTint="33"/>
          </w:tcPr>
          <w:p w:rsidR="006A2697" w:rsidRPr="0036068C" w:rsidRDefault="006A2697" w:rsidP="00F51744">
            <w:pPr>
              <w:pStyle w:val="Text1"/>
              <w:spacing w:before="0" w:after="0" w:line="240" w:lineRule="auto"/>
              <w:ind w:left="0"/>
              <w:rPr>
                <w:b/>
                <w:i/>
                <w:noProof/>
                <w:sz w:val="18"/>
                <w:szCs w:val="18"/>
              </w:rPr>
            </w:pPr>
          </w:p>
        </w:tc>
        <w:tc>
          <w:tcPr>
            <w:tcW w:w="577" w:type="pct"/>
            <w:shd w:val="clear" w:color="auto" w:fill="DEEAF6" w:themeFill="accent5" w:themeFillTint="33"/>
          </w:tcPr>
          <w:p w:rsidR="006A2697" w:rsidRPr="0036068C" w:rsidRDefault="006A2697" w:rsidP="00F51744">
            <w:pPr>
              <w:spacing w:before="0" w:after="0" w:line="240" w:lineRule="auto"/>
              <w:rPr>
                <w:sz w:val="18"/>
                <w:szCs w:val="18"/>
                <w:lang w:eastAsia="cs-CZ" w:bidi="cs-CZ"/>
              </w:rPr>
            </w:pPr>
            <w:r w:rsidRPr="0036068C">
              <w:rPr>
                <w:sz w:val="18"/>
                <w:szCs w:val="18"/>
                <w:lang w:eastAsia="cs-CZ" w:bidi="cs-CZ"/>
              </w:rPr>
              <w:t>Méně rozvinuté</w:t>
            </w:r>
          </w:p>
        </w:tc>
        <w:tc>
          <w:tcPr>
            <w:tcW w:w="468" w:type="pct"/>
            <w:vMerge/>
            <w:shd w:val="clear" w:color="auto" w:fill="DEEAF6" w:themeFill="accent5" w:themeFillTint="33"/>
          </w:tcPr>
          <w:p w:rsidR="006A2697" w:rsidRPr="0036068C" w:rsidRDefault="006A2697" w:rsidP="00EF1BA9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eastAsia="cs-CZ" w:bidi="cs-CZ"/>
              </w:rPr>
            </w:pPr>
          </w:p>
        </w:tc>
        <w:tc>
          <w:tcPr>
            <w:tcW w:w="966" w:type="pct"/>
            <w:vMerge/>
            <w:shd w:val="clear" w:color="auto" w:fill="DEEAF6" w:themeFill="accent5" w:themeFillTint="33"/>
          </w:tcPr>
          <w:p w:rsidR="006A2697" w:rsidRPr="0036068C" w:rsidRDefault="006A2697" w:rsidP="00EF1BA9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eastAsia="cs-CZ" w:bidi="cs-CZ"/>
              </w:rPr>
            </w:pPr>
          </w:p>
        </w:tc>
        <w:tc>
          <w:tcPr>
            <w:tcW w:w="535" w:type="pct"/>
            <w:vMerge/>
            <w:shd w:val="clear" w:color="auto" w:fill="DEEAF6" w:themeFill="accent5" w:themeFillTint="33"/>
          </w:tcPr>
          <w:p w:rsidR="006A2697" w:rsidRPr="0036068C" w:rsidRDefault="006A2697" w:rsidP="00F51744">
            <w:pPr>
              <w:pStyle w:val="Text1"/>
              <w:spacing w:before="0" w:after="0" w:line="240" w:lineRule="auto"/>
              <w:ind w:left="0"/>
              <w:rPr>
                <w:b/>
                <w:i/>
                <w:noProof/>
                <w:sz w:val="18"/>
                <w:szCs w:val="18"/>
              </w:rPr>
            </w:pPr>
          </w:p>
        </w:tc>
        <w:tc>
          <w:tcPr>
            <w:tcW w:w="636" w:type="pct"/>
            <w:shd w:val="clear" w:color="auto" w:fill="DEEAF6" w:themeFill="accent5" w:themeFillTint="33"/>
          </w:tcPr>
          <w:p w:rsidR="006A2697" w:rsidRPr="00444E35" w:rsidRDefault="00EF1BA9" w:rsidP="00F51744">
            <w:pPr>
              <w:pStyle w:val="Text1"/>
              <w:spacing w:before="0" w:after="0" w:line="240" w:lineRule="auto"/>
              <w:ind w:left="0"/>
              <w:jc w:val="center"/>
              <w:rPr>
                <w:i/>
                <w:noProof/>
                <w:sz w:val="18"/>
                <w:szCs w:val="18"/>
              </w:rPr>
            </w:pPr>
            <w:r w:rsidRPr="00444E35">
              <w:rPr>
                <w:i/>
                <w:noProof/>
                <w:sz w:val="18"/>
                <w:szCs w:val="18"/>
              </w:rPr>
              <w:t>-</w:t>
            </w:r>
          </w:p>
        </w:tc>
        <w:tc>
          <w:tcPr>
            <w:tcW w:w="523" w:type="pct"/>
            <w:shd w:val="clear" w:color="auto" w:fill="DEEAF6" w:themeFill="accent5" w:themeFillTint="33"/>
          </w:tcPr>
          <w:p w:rsidR="006A2697" w:rsidRPr="00444E35" w:rsidRDefault="006A2697" w:rsidP="00F51744">
            <w:pPr>
              <w:pStyle w:val="Text1"/>
              <w:spacing w:before="0" w:after="0" w:line="240" w:lineRule="auto"/>
              <w:ind w:left="0"/>
              <w:jc w:val="right"/>
              <w:rPr>
                <w:iCs/>
                <w:noProof/>
                <w:sz w:val="18"/>
                <w:szCs w:val="18"/>
              </w:rPr>
            </w:pPr>
            <w:r w:rsidRPr="00444E35">
              <w:rPr>
                <w:iCs/>
                <w:noProof/>
                <w:sz w:val="18"/>
                <w:szCs w:val="18"/>
              </w:rPr>
              <w:t>36 500</w:t>
            </w:r>
          </w:p>
        </w:tc>
      </w:tr>
      <w:tr w:rsidR="00EF1BA9" w:rsidRPr="00181089" w:rsidTr="00AE5ECC">
        <w:trPr>
          <w:trHeight w:val="251"/>
        </w:trPr>
        <w:tc>
          <w:tcPr>
            <w:tcW w:w="427" w:type="pct"/>
            <w:vMerge/>
            <w:shd w:val="clear" w:color="auto" w:fill="DEEAF6" w:themeFill="accent5" w:themeFillTint="33"/>
          </w:tcPr>
          <w:p w:rsidR="006A2697" w:rsidRPr="0036068C" w:rsidRDefault="006A2697" w:rsidP="00F51744">
            <w:pPr>
              <w:pStyle w:val="Text1"/>
              <w:spacing w:before="0" w:after="0" w:line="240" w:lineRule="auto"/>
              <w:ind w:left="0"/>
              <w:rPr>
                <w:b/>
                <w:i/>
                <w:noProof/>
                <w:sz w:val="18"/>
                <w:szCs w:val="18"/>
              </w:rPr>
            </w:pPr>
          </w:p>
        </w:tc>
        <w:tc>
          <w:tcPr>
            <w:tcW w:w="520" w:type="pct"/>
            <w:vMerge/>
            <w:shd w:val="clear" w:color="auto" w:fill="DEEAF6" w:themeFill="accent5" w:themeFillTint="33"/>
          </w:tcPr>
          <w:p w:rsidR="006A2697" w:rsidRPr="0036068C" w:rsidRDefault="006A2697" w:rsidP="00F51744">
            <w:pPr>
              <w:pStyle w:val="Text1"/>
              <w:spacing w:before="0" w:after="0" w:line="240" w:lineRule="auto"/>
              <w:ind w:left="0"/>
              <w:rPr>
                <w:b/>
                <w:i/>
                <w:noProof/>
                <w:sz w:val="18"/>
                <w:szCs w:val="18"/>
              </w:rPr>
            </w:pPr>
          </w:p>
        </w:tc>
        <w:tc>
          <w:tcPr>
            <w:tcW w:w="350" w:type="pct"/>
            <w:vMerge/>
            <w:shd w:val="clear" w:color="auto" w:fill="DEEAF6" w:themeFill="accent5" w:themeFillTint="33"/>
          </w:tcPr>
          <w:p w:rsidR="006A2697" w:rsidRPr="0036068C" w:rsidRDefault="006A2697" w:rsidP="00F51744">
            <w:pPr>
              <w:pStyle w:val="Text1"/>
              <w:spacing w:before="0" w:after="0" w:line="240" w:lineRule="auto"/>
              <w:ind w:left="0"/>
              <w:rPr>
                <w:b/>
                <w:i/>
                <w:noProof/>
                <w:sz w:val="18"/>
                <w:szCs w:val="18"/>
              </w:rPr>
            </w:pPr>
          </w:p>
        </w:tc>
        <w:tc>
          <w:tcPr>
            <w:tcW w:w="577" w:type="pct"/>
            <w:shd w:val="clear" w:color="auto" w:fill="DEEAF6" w:themeFill="accent5" w:themeFillTint="33"/>
          </w:tcPr>
          <w:p w:rsidR="006A2697" w:rsidRPr="0036068C" w:rsidRDefault="006A2697" w:rsidP="00F51744">
            <w:pPr>
              <w:spacing w:before="0" w:after="0" w:line="240" w:lineRule="auto"/>
              <w:rPr>
                <w:sz w:val="18"/>
                <w:szCs w:val="18"/>
                <w:lang w:eastAsia="cs-CZ" w:bidi="cs-CZ"/>
              </w:rPr>
            </w:pPr>
            <w:r w:rsidRPr="0036068C">
              <w:rPr>
                <w:sz w:val="18"/>
                <w:szCs w:val="18"/>
                <w:lang w:eastAsia="cs-CZ" w:bidi="cs-CZ"/>
              </w:rPr>
              <w:t>Více rozvinuté</w:t>
            </w:r>
          </w:p>
        </w:tc>
        <w:tc>
          <w:tcPr>
            <w:tcW w:w="468" w:type="pct"/>
            <w:vMerge w:val="restart"/>
            <w:shd w:val="clear" w:color="auto" w:fill="DEEAF6" w:themeFill="accent5" w:themeFillTint="33"/>
          </w:tcPr>
          <w:p w:rsidR="006A2697" w:rsidRPr="0036068C" w:rsidRDefault="006A2697" w:rsidP="00F51744">
            <w:pPr>
              <w:pStyle w:val="Text1"/>
              <w:spacing w:before="0"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66" w:type="pct"/>
            <w:vMerge w:val="restart"/>
            <w:shd w:val="clear" w:color="auto" w:fill="DEEAF6" w:themeFill="accent5" w:themeFillTint="33"/>
          </w:tcPr>
          <w:p w:rsidR="006A2697" w:rsidRPr="00F6239D" w:rsidRDefault="006A2697" w:rsidP="00F51744">
            <w:pPr>
              <w:pStyle w:val="Text1"/>
              <w:spacing w:before="0" w:after="0" w:line="240" w:lineRule="auto"/>
              <w:ind w:left="0"/>
              <w:rPr>
                <w:sz w:val="18"/>
                <w:szCs w:val="18"/>
                <w:lang w:val="en-GB"/>
              </w:rPr>
            </w:pPr>
            <w:r w:rsidRPr="0036068C">
              <w:rPr>
                <w:sz w:val="18"/>
                <w:szCs w:val="18"/>
              </w:rPr>
              <w:t>Počet podpořených objektů</w:t>
            </w:r>
          </w:p>
        </w:tc>
        <w:tc>
          <w:tcPr>
            <w:tcW w:w="535" w:type="pct"/>
            <w:vMerge w:val="restart"/>
            <w:shd w:val="clear" w:color="auto" w:fill="DEEAF6" w:themeFill="accent5" w:themeFillTint="33"/>
          </w:tcPr>
          <w:p w:rsidR="006A2697" w:rsidRPr="0036068C" w:rsidRDefault="00444E35" w:rsidP="00F51744">
            <w:pPr>
              <w:pStyle w:val="Text1"/>
              <w:spacing w:before="0"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</w:t>
            </w:r>
            <w:r w:rsidR="006A2697" w:rsidRPr="0036068C">
              <w:rPr>
                <w:sz w:val="18"/>
                <w:szCs w:val="18"/>
              </w:rPr>
              <w:t>bjekty</w:t>
            </w:r>
          </w:p>
        </w:tc>
        <w:tc>
          <w:tcPr>
            <w:tcW w:w="636" w:type="pct"/>
            <w:shd w:val="clear" w:color="auto" w:fill="DEEAF6" w:themeFill="accent5" w:themeFillTint="33"/>
          </w:tcPr>
          <w:p w:rsidR="006A2697" w:rsidRPr="00444E35" w:rsidRDefault="00EF1BA9" w:rsidP="00F51744">
            <w:pPr>
              <w:pStyle w:val="Text1"/>
              <w:spacing w:before="0" w:after="0" w:line="240" w:lineRule="auto"/>
              <w:ind w:left="0"/>
              <w:jc w:val="center"/>
              <w:rPr>
                <w:noProof/>
                <w:sz w:val="18"/>
                <w:szCs w:val="18"/>
              </w:rPr>
            </w:pPr>
            <w:r w:rsidRPr="00444E35">
              <w:rPr>
                <w:noProof/>
                <w:sz w:val="18"/>
                <w:szCs w:val="18"/>
              </w:rPr>
              <w:t>-</w:t>
            </w:r>
          </w:p>
        </w:tc>
        <w:tc>
          <w:tcPr>
            <w:tcW w:w="523" w:type="pct"/>
            <w:shd w:val="clear" w:color="auto" w:fill="DEEAF6" w:themeFill="accent5" w:themeFillTint="33"/>
          </w:tcPr>
          <w:p w:rsidR="006A2697" w:rsidRPr="00444E35" w:rsidRDefault="006A2697" w:rsidP="00F51744">
            <w:pPr>
              <w:pStyle w:val="Text1"/>
              <w:spacing w:before="0" w:after="0" w:line="240" w:lineRule="auto"/>
              <w:ind w:left="0"/>
              <w:jc w:val="right"/>
              <w:rPr>
                <w:iCs/>
                <w:noProof/>
                <w:sz w:val="18"/>
                <w:szCs w:val="18"/>
              </w:rPr>
            </w:pPr>
            <w:r w:rsidRPr="00444E35">
              <w:rPr>
                <w:iCs/>
                <w:noProof/>
                <w:sz w:val="18"/>
                <w:szCs w:val="18"/>
              </w:rPr>
              <w:t>22</w:t>
            </w:r>
          </w:p>
        </w:tc>
      </w:tr>
      <w:tr w:rsidR="00EF1BA9" w:rsidRPr="00181089" w:rsidTr="00AE5ECC">
        <w:trPr>
          <w:trHeight w:val="251"/>
        </w:trPr>
        <w:tc>
          <w:tcPr>
            <w:tcW w:w="427" w:type="pct"/>
            <w:vMerge/>
            <w:shd w:val="clear" w:color="auto" w:fill="DEEAF6" w:themeFill="accent5" w:themeFillTint="33"/>
          </w:tcPr>
          <w:p w:rsidR="006A2697" w:rsidRPr="0036068C" w:rsidRDefault="006A2697" w:rsidP="00F51744">
            <w:pPr>
              <w:pStyle w:val="Text1"/>
              <w:spacing w:before="0" w:after="0" w:line="240" w:lineRule="auto"/>
              <w:ind w:left="0"/>
              <w:rPr>
                <w:b/>
                <w:i/>
                <w:noProof/>
                <w:sz w:val="18"/>
                <w:szCs w:val="18"/>
              </w:rPr>
            </w:pPr>
          </w:p>
        </w:tc>
        <w:tc>
          <w:tcPr>
            <w:tcW w:w="520" w:type="pct"/>
            <w:vMerge/>
            <w:shd w:val="clear" w:color="auto" w:fill="DEEAF6" w:themeFill="accent5" w:themeFillTint="33"/>
          </w:tcPr>
          <w:p w:rsidR="006A2697" w:rsidRPr="0036068C" w:rsidRDefault="006A2697" w:rsidP="00F51744">
            <w:pPr>
              <w:pStyle w:val="Text1"/>
              <w:spacing w:before="0" w:after="0" w:line="240" w:lineRule="auto"/>
              <w:ind w:left="0"/>
              <w:rPr>
                <w:b/>
                <w:i/>
                <w:noProof/>
                <w:sz w:val="18"/>
                <w:szCs w:val="18"/>
              </w:rPr>
            </w:pPr>
          </w:p>
        </w:tc>
        <w:tc>
          <w:tcPr>
            <w:tcW w:w="350" w:type="pct"/>
            <w:vMerge/>
            <w:shd w:val="clear" w:color="auto" w:fill="DEEAF6" w:themeFill="accent5" w:themeFillTint="33"/>
          </w:tcPr>
          <w:p w:rsidR="006A2697" w:rsidRPr="0036068C" w:rsidRDefault="006A2697" w:rsidP="00F51744">
            <w:pPr>
              <w:pStyle w:val="Text1"/>
              <w:spacing w:before="0" w:after="0" w:line="240" w:lineRule="auto"/>
              <w:ind w:left="0"/>
              <w:rPr>
                <w:b/>
                <w:i/>
                <w:noProof/>
                <w:sz w:val="18"/>
                <w:szCs w:val="18"/>
              </w:rPr>
            </w:pPr>
          </w:p>
        </w:tc>
        <w:tc>
          <w:tcPr>
            <w:tcW w:w="577" w:type="pct"/>
            <w:shd w:val="clear" w:color="auto" w:fill="DEEAF6" w:themeFill="accent5" w:themeFillTint="33"/>
          </w:tcPr>
          <w:p w:rsidR="006A2697" w:rsidRPr="0036068C" w:rsidRDefault="006A2697" w:rsidP="00F51744">
            <w:pPr>
              <w:spacing w:before="0" w:after="0" w:line="240" w:lineRule="auto"/>
              <w:rPr>
                <w:sz w:val="18"/>
                <w:szCs w:val="18"/>
                <w:lang w:eastAsia="cs-CZ" w:bidi="cs-CZ"/>
              </w:rPr>
            </w:pPr>
            <w:r w:rsidRPr="0036068C">
              <w:rPr>
                <w:sz w:val="18"/>
                <w:szCs w:val="18"/>
                <w:lang w:eastAsia="cs-CZ" w:bidi="cs-CZ"/>
              </w:rPr>
              <w:t>Přechodové</w:t>
            </w:r>
          </w:p>
        </w:tc>
        <w:tc>
          <w:tcPr>
            <w:tcW w:w="468" w:type="pct"/>
            <w:vMerge/>
            <w:shd w:val="clear" w:color="auto" w:fill="DEEAF6" w:themeFill="accent5" w:themeFillTint="33"/>
          </w:tcPr>
          <w:p w:rsidR="006A2697" w:rsidRPr="0036068C" w:rsidRDefault="006A2697" w:rsidP="00EF1BA9">
            <w:pPr>
              <w:pStyle w:val="Default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  <w:lang w:eastAsia="cs-CZ" w:bidi="cs-CZ"/>
              </w:rPr>
            </w:pPr>
          </w:p>
        </w:tc>
        <w:tc>
          <w:tcPr>
            <w:tcW w:w="966" w:type="pct"/>
            <w:vMerge/>
            <w:shd w:val="clear" w:color="auto" w:fill="DEEAF6" w:themeFill="accent5" w:themeFillTint="33"/>
          </w:tcPr>
          <w:p w:rsidR="006A2697" w:rsidRPr="0036068C" w:rsidRDefault="006A2697" w:rsidP="00EF1BA9">
            <w:pPr>
              <w:pStyle w:val="Default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  <w:lang w:eastAsia="cs-CZ" w:bidi="cs-CZ"/>
              </w:rPr>
            </w:pPr>
          </w:p>
        </w:tc>
        <w:tc>
          <w:tcPr>
            <w:tcW w:w="535" w:type="pct"/>
            <w:vMerge/>
            <w:shd w:val="clear" w:color="auto" w:fill="DEEAF6" w:themeFill="accent5" w:themeFillTint="33"/>
          </w:tcPr>
          <w:p w:rsidR="006A2697" w:rsidRPr="0036068C" w:rsidRDefault="006A2697" w:rsidP="00F51744">
            <w:pPr>
              <w:pStyle w:val="Text1"/>
              <w:spacing w:before="0" w:after="0" w:line="240" w:lineRule="auto"/>
              <w:ind w:left="0"/>
              <w:rPr>
                <w:b/>
                <w:i/>
                <w:noProof/>
                <w:sz w:val="18"/>
                <w:szCs w:val="18"/>
              </w:rPr>
            </w:pPr>
          </w:p>
        </w:tc>
        <w:tc>
          <w:tcPr>
            <w:tcW w:w="636" w:type="pct"/>
            <w:shd w:val="clear" w:color="auto" w:fill="DEEAF6" w:themeFill="accent5" w:themeFillTint="33"/>
          </w:tcPr>
          <w:p w:rsidR="006A2697" w:rsidRPr="00444E35" w:rsidRDefault="00EF1BA9" w:rsidP="00F51744">
            <w:pPr>
              <w:pStyle w:val="Text1"/>
              <w:spacing w:before="0" w:after="0" w:line="240" w:lineRule="auto"/>
              <w:ind w:left="0"/>
              <w:jc w:val="center"/>
              <w:rPr>
                <w:noProof/>
                <w:sz w:val="18"/>
                <w:szCs w:val="18"/>
              </w:rPr>
            </w:pPr>
            <w:r w:rsidRPr="00444E35">
              <w:rPr>
                <w:noProof/>
                <w:sz w:val="18"/>
                <w:szCs w:val="18"/>
              </w:rPr>
              <w:t>-</w:t>
            </w:r>
          </w:p>
        </w:tc>
        <w:tc>
          <w:tcPr>
            <w:tcW w:w="523" w:type="pct"/>
            <w:shd w:val="clear" w:color="auto" w:fill="DEEAF6" w:themeFill="accent5" w:themeFillTint="33"/>
          </w:tcPr>
          <w:p w:rsidR="006A2697" w:rsidRPr="00444E35" w:rsidRDefault="006A2697" w:rsidP="00F51744">
            <w:pPr>
              <w:pStyle w:val="Text1"/>
              <w:spacing w:before="0" w:after="0" w:line="240" w:lineRule="auto"/>
              <w:ind w:left="0"/>
              <w:jc w:val="right"/>
              <w:rPr>
                <w:iCs/>
                <w:noProof/>
                <w:sz w:val="18"/>
                <w:szCs w:val="18"/>
              </w:rPr>
            </w:pPr>
            <w:r w:rsidRPr="00444E35">
              <w:rPr>
                <w:iCs/>
                <w:noProof/>
                <w:sz w:val="18"/>
                <w:szCs w:val="18"/>
              </w:rPr>
              <w:t>58</w:t>
            </w:r>
          </w:p>
        </w:tc>
      </w:tr>
      <w:tr w:rsidR="00B631E7" w:rsidRPr="00181089" w:rsidTr="00AE5ECC">
        <w:trPr>
          <w:trHeight w:val="460"/>
        </w:trPr>
        <w:tc>
          <w:tcPr>
            <w:tcW w:w="427" w:type="pct"/>
            <w:vMerge/>
            <w:shd w:val="clear" w:color="auto" w:fill="DEEAF6" w:themeFill="accent5" w:themeFillTint="33"/>
          </w:tcPr>
          <w:p w:rsidR="006A2697" w:rsidRPr="0036068C" w:rsidRDefault="006A2697" w:rsidP="00F51744">
            <w:pPr>
              <w:pStyle w:val="Text1"/>
              <w:spacing w:before="0" w:after="0" w:line="240" w:lineRule="auto"/>
              <w:ind w:left="0"/>
              <w:rPr>
                <w:b/>
                <w:i/>
                <w:noProof/>
                <w:sz w:val="18"/>
                <w:szCs w:val="18"/>
              </w:rPr>
            </w:pPr>
          </w:p>
        </w:tc>
        <w:tc>
          <w:tcPr>
            <w:tcW w:w="520" w:type="pct"/>
            <w:vMerge/>
            <w:shd w:val="clear" w:color="auto" w:fill="DEEAF6" w:themeFill="accent5" w:themeFillTint="33"/>
          </w:tcPr>
          <w:p w:rsidR="006A2697" w:rsidRPr="0036068C" w:rsidRDefault="006A2697" w:rsidP="00F51744">
            <w:pPr>
              <w:pStyle w:val="Text1"/>
              <w:spacing w:before="0" w:after="0" w:line="240" w:lineRule="auto"/>
              <w:ind w:left="0"/>
              <w:rPr>
                <w:b/>
                <w:i/>
                <w:noProof/>
                <w:sz w:val="18"/>
                <w:szCs w:val="18"/>
              </w:rPr>
            </w:pPr>
          </w:p>
        </w:tc>
        <w:tc>
          <w:tcPr>
            <w:tcW w:w="350" w:type="pct"/>
            <w:vMerge/>
            <w:shd w:val="clear" w:color="auto" w:fill="DEEAF6" w:themeFill="accent5" w:themeFillTint="33"/>
          </w:tcPr>
          <w:p w:rsidR="006A2697" w:rsidRPr="0036068C" w:rsidRDefault="006A2697" w:rsidP="00F51744">
            <w:pPr>
              <w:pStyle w:val="Text1"/>
              <w:spacing w:before="0" w:after="0" w:line="240" w:lineRule="auto"/>
              <w:ind w:left="0"/>
              <w:rPr>
                <w:b/>
                <w:i/>
                <w:noProof/>
                <w:sz w:val="18"/>
                <w:szCs w:val="18"/>
              </w:rPr>
            </w:pPr>
          </w:p>
        </w:tc>
        <w:tc>
          <w:tcPr>
            <w:tcW w:w="577" w:type="pct"/>
            <w:shd w:val="clear" w:color="auto" w:fill="DEEAF6" w:themeFill="accent5" w:themeFillTint="33"/>
          </w:tcPr>
          <w:p w:rsidR="006A2697" w:rsidRPr="0036068C" w:rsidRDefault="006A2697" w:rsidP="00F51744">
            <w:pPr>
              <w:spacing w:before="0" w:after="0" w:line="240" w:lineRule="auto"/>
              <w:rPr>
                <w:sz w:val="18"/>
                <w:szCs w:val="18"/>
                <w:lang w:eastAsia="cs-CZ" w:bidi="cs-CZ"/>
              </w:rPr>
            </w:pPr>
            <w:r w:rsidRPr="0036068C">
              <w:rPr>
                <w:sz w:val="18"/>
                <w:szCs w:val="18"/>
                <w:lang w:eastAsia="cs-CZ" w:bidi="cs-CZ"/>
              </w:rPr>
              <w:t>Méně rozvinuté</w:t>
            </w:r>
          </w:p>
        </w:tc>
        <w:tc>
          <w:tcPr>
            <w:tcW w:w="468" w:type="pct"/>
            <w:vMerge/>
            <w:shd w:val="clear" w:color="auto" w:fill="DEEAF6" w:themeFill="accent5" w:themeFillTint="33"/>
          </w:tcPr>
          <w:p w:rsidR="006A2697" w:rsidRPr="0036068C" w:rsidRDefault="006A2697" w:rsidP="00EF1BA9">
            <w:pPr>
              <w:pStyle w:val="Default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  <w:lang w:eastAsia="cs-CZ" w:bidi="cs-CZ"/>
              </w:rPr>
            </w:pPr>
          </w:p>
        </w:tc>
        <w:tc>
          <w:tcPr>
            <w:tcW w:w="966" w:type="pct"/>
            <w:vMerge/>
            <w:shd w:val="clear" w:color="auto" w:fill="DEEAF6" w:themeFill="accent5" w:themeFillTint="33"/>
          </w:tcPr>
          <w:p w:rsidR="006A2697" w:rsidRPr="0036068C" w:rsidRDefault="006A2697" w:rsidP="00EF1BA9">
            <w:pPr>
              <w:pStyle w:val="Default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  <w:lang w:eastAsia="cs-CZ" w:bidi="cs-CZ"/>
              </w:rPr>
            </w:pPr>
          </w:p>
        </w:tc>
        <w:tc>
          <w:tcPr>
            <w:tcW w:w="535" w:type="pct"/>
            <w:vMerge/>
            <w:shd w:val="clear" w:color="auto" w:fill="DEEAF6" w:themeFill="accent5" w:themeFillTint="33"/>
          </w:tcPr>
          <w:p w:rsidR="006A2697" w:rsidRPr="0036068C" w:rsidRDefault="006A2697" w:rsidP="00F51744">
            <w:pPr>
              <w:pStyle w:val="Text1"/>
              <w:spacing w:before="0" w:after="0" w:line="240" w:lineRule="auto"/>
              <w:ind w:left="0"/>
              <w:rPr>
                <w:b/>
                <w:i/>
                <w:noProof/>
                <w:sz w:val="18"/>
                <w:szCs w:val="18"/>
              </w:rPr>
            </w:pPr>
          </w:p>
        </w:tc>
        <w:tc>
          <w:tcPr>
            <w:tcW w:w="636" w:type="pct"/>
            <w:shd w:val="clear" w:color="auto" w:fill="DEEAF6" w:themeFill="accent5" w:themeFillTint="33"/>
          </w:tcPr>
          <w:p w:rsidR="006A2697" w:rsidRPr="00444E35" w:rsidRDefault="00EF1BA9" w:rsidP="00F51744">
            <w:pPr>
              <w:pStyle w:val="Text1"/>
              <w:spacing w:before="0" w:after="0" w:line="240" w:lineRule="auto"/>
              <w:ind w:left="0"/>
              <w:jc w:val="center"/>
              <w:rPr>
                <w:noProof/>
                <w:sz w:val="18"/>
                <w:szCs w:val="18"/>
              </w:rPr>
            </w:pPr>
            <w:r w:rsidRPr="00444E35">
              <w:rPr>
                <w:noProof/>
                <w:sz w:val="18"/>
                <w:szCs w:val="18"/>
              </w:rPr>
              <w:t>-</w:t>
            </w:r>
          </w:p>
        </w:tc>
        <w:tc>
          <w:tcPr>
            <w:tcW w:w="523" w:type="pct"/>
            <w:shd w:val="clear" w:color="auto" w:fill="DEEAF6" w:themeFill="accent5" w:themeFillTint="33"/>
          </w:tcPr>
          <w:p w:rsidR="006A2697" w:rsidRPr="00444E35" w:rsidRDefault="006A2697" w:rsidP="00F51744">
            <w:pPr>
              <w:pStyle w:val="Text1"/>
              <w:spacing w:before="0" w:after="0" w:line="240" w:lineRule="auto"/>
              <w:ind w:left="0"/>
              <w:jc w:val="right"/>
              <w:rPr>
                <w:iCs/>
                <w:noProof/>
                <w:sz w:val="18"/>
                <w:szCs w:val="18"/>
              </w:rPr>
            </w:pPr>
            <w:r w:rsidRPr="00444E35">
              <w:rPr>
                <w:iCs/>
                <w:noProof/>
                <w:sz w:val="18"/>
                <w:szCs w:val="18"/>
              </w:rPr>
              <w:t>80</w:t>
            </w:r>
          </w:p>
        </w:tc>
      </w:tr>
    </w:tbl>
    <w:p w:rsidR="00B82797" w:rsidRPr="00B169F0" w:rsidRDefault="00B82797" w:rsidP="00B82797">
      <w:pPr>
        <w:pStyle w:val="Titulek"/>
        <w:rPr>
          <w:rFonts w:ascii="Times New Roman" w:hAnsi="Times New Roman" w:cs="Times New Roman"/>
        </w:rPr>
      </w:pPr>
      <w:bookmarkStart w:id="152" w:name="_Toc66346572"/>
      <w:r w:rsidRPr="00B169F0">
        <w:rPr>
          <w:rFonts w:ascii="Times New Roman" w:hAnsi="Times New Roman" w:cs="Times New Roman"/>
        </w:rPr>
        <w:t xml:space="preserve">Tabulka </w:t>
      </w:r>
      <w:r w:rsidRPr="00B169F0">
        <w:rPr>
          <w:rFonts w:ascii="Times New Roman" w:hAnsi="Times New Roman" w:cs="Times New Roman"/>
        </w:rPr>
        <w:fldChar w:fldCharType="begin"/>
      </w:r>
      <w:r w:rsidRPr="00B169F0">
        <w:rPr>
          <w:rFonts w:ascii="Times New Roman" w:hAnsi="Times New Roman" w:cs="Times New Roman"/>
        </w:rPr>
        <w:instrText xml:space="preserve"> SEQ Tabulka \* ARABIC </w:instrText>
      </w:r>
      <w:r w:rsidRPr="00B169F0">
        <w:rPr>
          <w:rFonts w:ascii="Times New Roman" w:hAnsi="Times New Roman" w:cs="Times New Roman"/>
        </w:rPr>
        <w:fldChar w:fldCharType="separate"/>
      </w:r>
      <w:r w:rsidR="00677454">
        <w:rPr>
          <w:rFonts w:ascii="Times New Roman" w:hAnsi="Times New Roman" w:cs="Times New Roman"/>
          <w:noProof/>
        </w:rPr>
        <w:t>16</w:t>
      </w:r>
      <w:r w:rsidRPr="00B169F0">
        <w:rPr>
          <w:rFonts w:ascii="Times New Roman" w:hAnsi="Times New Roman" w:cs="Times New Roman"/>
        </w:rPr>
        <w:fldChar w:fldCharType="end"/>
      </w:r>
      <w:r w:rsidRPr="00B169F0">
        <w:rPr>
          <w:rFonts w:ascii="Times New Roman" w:hAnsi="Times New Roman" w:cs="Times New Roman"/>
        </w:rPr>
        <w:t>: Ukazatel</w:t>
      </w:r>
      <w:r w:rsidR="005B64A1">
        <w:rPr>
          <w:rFonts w:ascii="Times New Roman" w:hAnsi="Times New Roman" w:cs="Times New Roman"/>
        </w:rPr>
        <w:t>e</w:t>
      </w:r>
      <w:r w:rsidRPr="00B169F0">
        <w:rPr>
          <w:rFonts w:ascii="Times New Roman" w:hAnsi="Times New Roman" w:cs="Times New Roman"/>
        </w:rPr>
        <w:t xml:space="preserve"> výsledků</w:t>
      </w:r>
      <w:bookmarkEnd w:id="152"/>
    </w:p>
    <w:tbl>
      <w:tblPr>
        <w:tblW w:w="5000" w:type="pct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568"/>
        <w:gridCol w:w="709"/>
        <w:gridCol w:w="1134"/>
        <w:gridCol w:w="851"/>
        <w:gridCol w:w="1702"/>
        <w:gridCol w:w="849"/>
        <w:gridCol w:w="566"/>
        <w:gridCol w:w="426"/>
        <w:gridCol w:w="851"/>
        <w:gridCol w:w="992"/>
        <w:gridCol w:w="420"/>
      </w:tblGrid>
      <w:tr w:rsidR="002F07F1" w:rsidRPr="00D11002" w:rsidTr="002F07F1">
        <w:trPr>
          <w:cantSplit/>
          <w:trHeight w:val="1768"/>
        </w:trPr>
        <w:tc>
          <w:tcPr>
            <w:tcW w:w="291" w:type="pct"/>
            <w:shd w:val="clear" w:color="auto" w:fill="002060"/>
            <w:textDirection w:val="btLr"/>
            <w:vAlign w:val="center"/>
          </w:tcPr>
          <w:p w:rsidR="00D11002" w:rsidRPr="00D11002" w:rsidRDefault="00D11002" w:rsidP="00DD4D44">
            <w:pPr>
              <w:pStyle w:val="Text1"/>
              <w:spacing w:before="0" w:after="0" w:line="240" w:lineRule="auto"/>
              <w:ind w:left="113" w:right="113"/>
              <w:jc w:val="center"/>
              <w:rPr>
                <w:b/>
                <w:noProof/>
                <w:sz w:val="18"/>
                <w:szCs w:val="18"/>
              </w:rPr>
            </w:pPr>
            <w:r w:rsidRPr="00D11002">
              <w:rPr>
                <w:rFonts w:eastAsia="Times New Roman"/>
                <w:b/>
                <w:iCs/>
                <w:noProof/>
                <w:sz w:val="18"/>
                <w:szCs w:val="18"/>
                <w:lang w:eastAsia="en-GB"/>
              </w:rPr>
              <w:t>Priorita</w:t>
            </w:r>
          </w:p>
        </w:tc>
        <w:tc>
          <w:tcPr>
            <w:tcW w:w="295" w:type="pct"/>
            <w:shd w:val="clear" w:color="auto" w:fill="002060"/>
            <w:textDirection w:val="btLr"/>
            <w:vAlign w:val="center"/>
          </w:tcPr>
          <w:p w:rsidR="00D11002" w:rsidRPr="00D11002" w:rsidRDefault="00D11002" w:rsidP="00DD4D44">
            <w:pPr>
              <w:pStyle w:val="Text1"/>
              <w:spacing w:before="0" w:after="0" w:line="240" w:lineRule="auto"/>
              <w:ind w:left="113" w:right="113"/>
              <w:jc w:val="center"/>
              <w:rPr>
                <w:b/>
                <w:noProof/>
                <w:sz w:val="18"/>
                <w:szCs w:val="18"/>
              </w:rPr>
            </w:pPr>
            <w:r w:rsidRPr="00D11002">
              <w:rPr>
                <w:rFonts w:eastAsia="Times New Roman"/>
                <w:b/>
                <w:iCs/>
                <w:noProof/>
                <w:sz w:val="18"/>
                <w:szCs w:val="18"/>
                <w:lang w:eastAsia="en-GB"/>
              </w:rPr>
              <w:t xml:space="preserve">Specifický cíl </w:t>
            </w:r>
          </w:p>
        </w:tc>
        <w:tc>
          <w:tcPr>
            <w:tcW w:w="368" w:type="pct"/>
            <w:shd w:val="clear" w:color="auto" w:fill="002060"/>
            <w:textDirection w:val="btLr"/>
            <w:vAlign w:val="center"/>
          </w:tcPr>
          <w:p w:rsidR="00D11002" w:rsidRPr="00D11002" w:rsidRDefault="00D11002" w:rsidP="00DD4D44">
            <w:pPr>
              <w:pStyle w:val="Text1"/>
              <w:spacing w:before="0" w:after="0" w:line="240" w:lineRule="auto"/>
              <w:ind w:left="113" w:right="113"/>
              <w:jc w:val="center"/>
              <w:rPr>
                <w:b/>
                <w:noProof/>
                <w:sz w:val="18"/>
                <w:szCs w:val="18"/>
              </w:rPr>
            </w:pPr>
            <w:r w:rsidRPr="00D11002">
              <w:rPr>
                <w:b/>
                <w:noProof/>
                <w:sz w:val="18"/>
                <w:szCs w:val="18"/>
              </w:rPr>
              <w:t>Fond</w:t>
            </w:r>
          </w:p>
        </w:tc>
        <w:tc>
          <w:tcPr>
            <w:tcW w:w="589" w:type="pct"/>
            <w:shd w:val="clear" w:color="auto" w:fill="002060"/>
            <w:textDirection w:val="btLr"/>
            <w:vAlign w:val="center"/>
          </w:tcPr>
          <w:p w:rsidR="00D11002" w:rsidRPr="00D11002" w:rsidRDefault="00D11002" w:rsidP="00DD4D44">
            <w:pPr>
              <w:pStyle w:val="Text1"/>
              <w:spacing w:before="0" w:after="0" w:line="240" w:lineRule="auto"/>
              <w:ind w:left="113" w:right="113"/>
              <w:jc w:val="center"/>
              <w:rPr>
                <w:b/>
                <w:noProof/>
                <w:sz w:val="18"/>
                <w:szCs w:val="18"/>
              </w:rPr>
            </w:pPr>
            <w:r w:rsidRPr="00D11002">
              <w:rPr>
                <w:b/>
                <w:noProof/>
                <w:sz w:val="18"/>
                <w:szCs w:val="18"/>
              </w:rPr>
              <w:t>Kategorie regionu</w:t>
            </w:r>
          </w:p>
        </w:tc>
        <w:tc>
          <w:tcPr>
            <w:tcW w:w="442" w:type="pct"/>
            <w:shd w:val="clear" w:color="auto" w:fill="002060"/>
            <w:textDirection w:val="btLr"/>
            <w:vAlign w:val="center"/>
          </w:tcPr>
          <w:p w:rsidR="00D11002" w:rsidRPr="00D11002" w:rsidRDefault="00D11002" w:rsidP="00DD4D44">
            <w:pPr>
              <w:pStyle w:val="Text1"/>
              <w:spacing w:before="0" w:after="0" w:line="240" w:lineRule="auto"/>
              <w:ind w:left="113" w:right="113"/>
              <w:jc w:val="center"/>
              <w:rPr>
                <w:b/>
                <w:noProof/>
                <w:sz w:val="18"/>
                <w:szCs w:val="18"/>
              </w:rPr>
            </w:pPr>
            <w:r w:rsidRPr="00D11002">
              <w:rPr>
                <w:b/>
                <w:noProof/>
                <w:sz w:val="18"/>
                <w:szCs w:val="18"/>
              </w:rPr>
              <w:t>ID</w:t>
            </w:r>
          </w:p>
        </w:tc>
        <w:tc>
          <w:tcPr>
            <w:tcW w:w="884" w:type="pct"/>
            <w:shd w:val="clear" w:color="auto" w:fill="002060"/>
            <w:textDirection w:val="btLr"/>
            <w:vAlign w:val="center"/>
          </w:tcPr>
          <w:p w:rsidR="00D11002" w:rsidRPr="00D11002" w:rsidRDefault="00D11002" w:rsidP="00DD4D44">
            <w:pPr>
              <w:pStyle w:val="Text1"/>
              <w:spacing w:before="0" w:after="0" w:line="240" w:lineRule="auto"/>
              <w:ind w:left="113" w:right="113"/>
              <w:jc w:val="center"/>
              <w:rPr>
                <w:b/>
                <w:noProof/>
                <w:sz w:val="18"/>
                <w:szCs w:val="18"/>
              </w:rPr>
            </w:pPr>
            <w:r w:rsidRPr="00D11002">
              <w:rPr>
                <w:b/>
                <w:noProof/>
                <w:sz w:val="18"/>
                <w:szCs w:val="18"/>
              </w:rPr>
              <w:t>Ukazatel</w:t>
            </w:r>
          </w:p>
        </w:tc>
        <w:tc>
          <w:tcPr>
            <w:tcW w:w="441" w:type="pct"/>
            <w:shd w:val="clear" w:color="auto" w:fill="002060"/>
            <w:textDirection w:val="btLr"/>
            <w:vAlign w:val="center"/>
          </w:tcPr>
          <w:p w:rsidR="00D11002" w:rsidRPr="00D11002" w:rsidRDefault="00D11002" w:rsidP="00DD4D44">
            <w:pPr>
              <w:pStyle w:val="Text1"/>
              <w:spacing w:before="0" w:after="0" w:line="240" w:lineRule="auto"/>
              <w:ind w:left="113" w:right="113"/>
              <w:jc w:val="center"/>
              <w:rPr>
                <w:b/>
                <w:noProof/>
                <w:sz w:val="18"/>
                <w:szCs w:val="18"/>
              </w:rPr>
            </w:pPr>
            <w:r w:rsidRPr="00D11002">
              <w:rPr>
                <w:b/>
                <w:noProof/>
                <w:sz w:val="18"/>
                <w:szCs w:val="18"/>
              </w:rPr>
              <w:t>Jednotka měření</w:t>
            </w:r>
          </w:p>
        </w:tc>
        <w:tc>
          <w:tcPr>
            <w:tcW w:w="294" w:type="pct"/>
            <w:shd w:val="clear" w:color="auto" w:fill="002060"/>
            <w:textDirection w:val="btLr"/>
            <w:vAlign w:val="center"/>
          </w:tcPr>
          <w:p w:rsidR="00D11002" w:rsidRPr="00D11002" w:rsidRDefault="00D11002" w:rsidP="00DD4D44">
            <w:pPr>
              <w:pStyle w:val="Text1"/>
              <w:spacing w:before="0" w:after="0" w:line="240" w:lineRule="auto"/>
              <w:ind w:left="113" w:right="113"/>
              <w:jc w:val="center"/>
              <w:rPr>
                <w:b/>
                <w:noProof/>
                <w:sz w:val="18"/>
                <w:szCs w:val="18"/>
              </w:rPr>
            </w:pPr>
            <w:r w:rsidRPr="00D11002">
              <w:rPr>
                <w:b/>
                <w:noProof/>
                <w:sz w:val="18"/>
                <w:szCs w:val="18"/>
              </w:rPr>
              <w:t>Základní nebo referenční hodnota</w:t>
            </w:r>
          </w:p>
        </w:tc>
        <w:tc>
          <w:tcPr>
            <w:tcW w:w="221" w:type="pct"/>
            <w:shd w:val="clear" w:color="auto" w:fill="002060"/>
            <w:textDirection w:val="btLr"/>
            <w:vAlign w:val="center"/>
          </w:tcPr>
          <w:p w:rsidR="00D11002" w:rsidRPr="00D11002" w:rsidRDefault="00D11002" w:rsidP="00DD4D44">
            <w:pPr>
              <w:pStyle w:val="Text1"/>
              <w:spacing w:before="0" w:after="0" w:line="240" w:lineRule="auto"/>
              <w:ind w:left="113" w:right="113"/>
              <w:jc w:val="center"/>
              <w:rPr>
                <w:b/>
                <w:noProof/>
                <w:sz w:val="18"/>
                <w:szCs w:val="18"/>
              </w:rPr>
            </w:pPr>
            <w:r w:rsidRPr="00D11002">
              <w:rPr>
                <w:b/>
                <w:noProof/>
                <w:sz w:val="18"/>
                <w:szCs w:val="18"/>
              </w:rPr>
              <w:t>Referenční rok</w:t>
            </w:r>
          </w:p>
        </w:tc>
        <w:tc>
          <w:tcPr>
            <w:tcW w:w="442" w:type="pct"/>
            <w:shd w:val="clear" w:color="auto" w:fill="002060"/>
            <w:textDirection w:val="btLr"/>
            <w:vAlign w:val="center"/>
          </w:tcPr>
          <w:p w:rsidR="00D11002" w:rsidRPr="00D11002" w:rsidRDefault="00D11002" w:rsidP="00DD4D44">
            <w:pPr>
              <w:pStyle w:val="Text1"/>
              <w:spacing w:before="0" w:after="0" w:line="240" w:lineRule="auto"/>
              <w:ind w:left="113" w:right="113"/>
              <w:jc w:val="center"/>
              <w:rPr>
                <w:b/>
                <w:noProof/>
                <w:sz w:val="18"/>
                <w:szCs w:val="18"/>
              </w:rPr>
            </w:pPr>
            <w:r w:rsidRPr="00D11002">
              <w:rPr>
                <w:b/>
                <w:noProof/>
                <w:sz w:val="18"/>
                <w:szCs w:val="18"/>
              </w:rPr>
              <w:t>Cíl (2029)</w:t>
            </w:r>
          </w:p>
          <w:p w:rsidR="00D11002" w:rsidRPr="00D11002" w:rsidRDefault="00D11002" w:rsidP="00DD4D44">
            <w:pPr>
              <w:pStyle w:val="Text1"/>
              <w:spacing w:before="0" w:after="0" w:line="240" w:lineRule="auto"/>
              <w:ind w:left="113" w:right="113"/>
              <w:jc w:val="center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515" w:type="pct"/>
            <w:shd w:val="clear" w:color="auto" w:fill="002060"/>
            <w:textDirection w:val="btLr"/>
            <w:vAlign w:val="center"/>
          </w:tcPr>
          <w:p w:rsidR="00D11002" w:rsidRPr="00D11002" w:rsidRDefault="00D11002" w:rsidP="00DD4D44">
            <w:pPr>
              <w:pStyle w:val="Text1"/>
              <w:spacing w:before="0" w:after="0" w:line="240" w:lineRule="auto"/>
              <w:ind w:left="113" w:right="113"/>
              <w:jc w:val="center"/>
              <w:rPr>
                <w:b/>
                <w:noProof/>
                <w:sz w:val="18"/>
                <w:szCs w:val="18"/>
              </w:rPr>
            </w:pPr>
            <w:r w:rsidRPr="00D11002">
              <w:rPr>
                <w:b/>
                <w:noProof/>
                <w:sz w:val="18"/>
                <w:szCs w:val="18"/>
              </w:rPr>
              <w:t>Zdroj údajů</w:t>
            </w:r>
          </w:p>
        </w:tc>
        <w:tc>
          <w:tcPr>
            <w:tcW w:w="218" w:type="pct"/>
            <w:shd w:val="clear" w:color="auto" w:fill="002060"/>
            <w:textDirection w:val="btLr"/>
            <w:vAlign w:val="center"/>
          </w:tcPr>
          <w:p w:rsidR="00D11002" w:rsidRPr="00D11002" w:rsidRDefault="00D11002" w:rsidP="00DD4D44">
            <w:pPr>
              <w:pStyle w:val="Text1"/>
              <w:spacing w:before="0" w:after="0" w:line="240" w:lineRule="auto"/>
              <w:ind w:left="113" w:right="113"/>
              <w:jc w:val="center"/>
              <w:rPr>
                <w:b/>
                <w:noProof/>
                <w:sz w:val="18"/>
                <w:szCs w:val="18"/>
              </w:rPr>
            </w:pPr>
            <w:r w:rsidRPr="00D11002">
              <w:rPr>
                <w:b/>
                <w:noProof/>
                <w:sz w:val="18"/>
                <w:szCs w:val="18"/>
              </w:rPr>
              <w:t>Komentář</w:t>
            </w:r>
          </w:p>
        </w:tc>
      </w:tr>
      <w:tr w:rsidR="002F07F1" w:rsidRPr="00D11002" w:rsidTr="002F07F1">
        <w:trPr>
          <w:trHeight w:val="274"/>
        </w:trPr>
        <w:tc>
          <w:tcPr>
            <w:tcW w:w="291" w:type="pct"/>
            <w:vMerge w:val="restart"/>
            <w:shd w:val="clear" w:color="auto" w:fill="DEEAF6" w:themeFill="accent5" w:themeFillTint="33"/>
          </w:tcPr>
          <w:p w:rsidR="00D11002" w:rsidRPr="00D11002" w:rsidRDefault="00D11002" w:rsidP="002E1EE8">
            <w:pPr>
              <w:pStyle w:val="Text1"/>
              <w:spacing w:before="0" w:after="0" w:line="240" w:lineRule="auto"/>
              <w:ind w:left="0"/>
              <w:rPr>
                <w:noProof/>
                <w:sz w:val="18"/>
                <w:szCs w:val="18"/>
              </w:rPr>
            </w:pPr>
            <w:r w:rsidRPr="00D11002">
              <w:rPr>
                <w:noProof/>
                <w:sz w:val="18"/>
                <w:szCs w:val="18"/>
              </w:rPr>
              <w:t>P2</w:t>
            </w:r>
          </w:p>
        </w:tc>
        <w:tc>
          <w:tcPr>
            <w:tcW w:w="295" w:type="pct"/>
            <w:vMerge w:val="restart"/>
            <w:shd w:val="clear" w:color="auto" w:fill="DEEAF6" w:themeFill="accent5" w:themeFillTint="33"/>
          </w:tcPr>
          <w:p w:rsidR="00CF77CB" w:rsidRDefault="00AF4672" w:rsidP="00CF77CB">
            <w:pPr>
              <w:spacing w:before="0" w:after="0" w:line="240" w:lineRule="auto"/>
              <w:jc w:val="both"/>
              <w:rPr>
                <w:sz w:val="18"/>
                <w:szCs w:val="18"/>
                <w:lang w:eastAsia="cs-CZ" w:bidi="cs-CZ"/>
              </w:rPr>
            </w:pPr>
            <w:r>
              <w:rPr>
                <w:sz w:val="18"/>
                <w:szCs w:val="18"/>
                <w:lang w:eastAsia="cs-CZ" w:bidi="cs-CZ"/>
              </w:rPr>
              <w:t>2.1</w:t>
            </w:r>
          </w:p>
          <w:p w:rsidR="00D11002" w:rsidRPr="00CF77CB" w:rsidRDefault="00D11002" w:rsidP="00CF77CB">
            <w:pPr>
              <w:spacing w:before="0" w:after="0" w:line="240" w:lineRule="auto"/>
              <w:jc w:val="both"/>
              <w:rPr>
                <w:sz w:val="18"/>
                <w:szCs w:val="18"/>
                <w:lang w:eastAsia="cs-CZ" w:bidi="cs-CZ"/>
              </w:rPr>
            </w:pPr>
          </w:p>
        </w:tc>
        <w:tc>
          <w:tcPr>
            <w:tcW w:w="368" w:type="pct"/>
            <w:vMerge w:val="restart"/>
            <w:shd w:val="clear" w:color="auto" w:fill="DEEAF6" w:themeFill="accent5" w:themeFillTint="33"/>
          </w:tcPr>
          <w:p w:rsidR="00D11002" w:rsidRPr="00D11002" w:rsidRDefault="00D11002" w:rsidP="002E1EE8">
            <w:pPr>
              <w:pStyle w:val="Text1"/>
              <w:spacing w:before="0" w:after="0" w:line="240" w:lineRule="auto"/>
              <w:ind w:left="0"/>
              <w:rPr>
                <w:i/>
                <w:noProof/>
                <w:sz w:val="18"/>
                <w:szCs w:val="18"/>
              </w:rPr>
            </w:pPr>
            <w:r w:rsidRPr="00D11002">
              <w:rPr>
                <w:sz w:val="18"/>
                <w:szCs w:val="18"/>
                <w:lang w:eastAsia="cs-CZ" w:bidi="cs-CZ"/>
              </w:rPr>
              <w:t>ERDF</w:t>
            </w:r>
          </w:p>
        </w:tc>
        <w:tc>
          <w:tcPr>
            <w:tcW w:w="589" w:type="pct"/>
            <w:shd w:val="clear" w:color="auto" w:fill="DEEAF6" w:themeFill="accent5" w:themeFillTint="33"/>
          </w:tcPr>
          <w:p w:rsidR="00D11002" w:rsidRPr="00D11002" w:rsidRDefault="00D11002" w:rsidP="002F07F1">
            <w:pPr>
              <w:spacing w:before="0" w:after="0" w:line="240" w:lineRule="auto"/>
              <w:rPr>
                <w:sz w:val="18"/>
                <w:szCs w:val="18"/>
                <w:lang w:eastAsia="cs-CZ" w:bidi="cs-CZ"/>
              </w:rPr>
            </w:pPr>
            <w:r w:rsidRPr="00D11002">
              <w:rPr>
                <w:sz w:val="18"/>
                <w:szCs w:val="18"/>
                <w:lang w:eastAsia="cs-CZ" w:bidi="cs-CZ"/>
              </w:rPr>
              <w:t>Více rozvinuté</w:t>
            </w:r>
          </w:p>
        </w:tc>
        <w:tc>
          <w:tcPr>
            <w:tcW w:w="442" w:type="pct"/>
            <w:vMerge w:val="restart"/>
            <w:shd w:val="clear" w:color="auto" w:fill="DEEAF6" w:themeFill="accent5" w:themeFillTint="33"/>
          </w:tcPr>
          <w:p w:rsidR="00D11002" w:rsidRPr="00D11002" w:rsidRDefault="00D11002" w:rsidP="002E1EE8">
            <w:pPr>
              <w:pStyle w:val="Text1"/>
              <w:spacing w:before="0" w:after="0" w:line="240" w:lineRule="auto"/>
              <w:ind w:left="0"/>
              <w:rPr>
                <w:i/>
                <w:noProof/>
                <w:sz w:val="18"/>
                <w:szCs w:val="18"/>
              </w:rPr>
            </w:pPr>
            <w:r w:rsidRPr="00D11002">
              <w:rPr>
                <w:sz w:val="18"/>
                <w:szCs w:val="18"/>
              </w:rPr>
              <w:t xml:space="preserve">RCR 71 </w:t>
            </w:r>
          </w:p>
        </w:tc>
        <w:tc>
          <w:tcPr>
            <w:tcW w:w="884" w:type="pct"/>
            <w:vMerge w:val="restart"/>
            <w:shd w:val="clear" w:color="auto" w:fill="DEEAF6" w:themeFill="accent5" w:themeFillTint="33"/>
          </w:tcPr>
          <w:p w:rsidR="00D11002" w:rsidRPr="00D5789D" w:rsidRDefault="00D11002" w:rsidP="00D1100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cs-CZ"/>
              </w:rPr>
            </w:pPr>
            <w:r w:rsidRPr="00D5789D">
              <w:rPr>
                <w:rFonts w:ascii="Times New Roman" w:hAnsi="Times New Roman" w:cs="Times New Roman"/>
                <w:color w:val="auto"/>
                <w:sz w:val="18"/>
                <w:szCs w:val="18"/>
                <w:lang w:val="cs-CZ"/>
              </w:rPr>
              <w:t>Počet uživatelů využívajících podporovanou vzdělávací infrastrukturu za rok</w:t>
            </w:r>
          </w:p>
        </w:tc>
        <w:tc>
          <w:tcPr>
            <w:tcW w:w="441" w:type="pct"/>
            <w:vMerge w:val="restart"/>
            <w:shd w:val="clear" w:color="auto" w:fill="DEEAF6" w:themeFill="accent5" w:themeFillTint="33"/>
          </w:tcPr>
          <w:p w:rsidR="00D11002" w:rsidRPr="00D11002" w:rsidRDefault="00D11002" w:rsidP="002E1EE8">
            <w:pPr>
              <w:pStyle w:val="Text1"/>
              <w:spacing w:before="0" w:after="0" w:line="240" w:lineRule="auto"/>
              <w:ind w:left="0"/>
              <w:rPr>
                <w:sz w:val="18"/>
                <w:szCs w:val="18"/>
              </w:rPr>
            </w:pPr>
            <w:r w:rsidRPr="00D11002">
              <w:rPr>
                <w:sz w:val="18"/>
                <w:szCs w:val="18"/>
              </w:rPr>
              <w:t>Osoby</w:t>
            </w:r>
          </w:p>
        </w:tc>
        <w:tc>
          <w:tcPr>
            <w:tcW w:w="294" w:type="pct"/>
            <w:shd w:val="clear" w:color="auto" w:fill="DEEAF6" w:themeFill="accent5" w:themeFillTint="33"/>
          </w:tcPr>
          <w:p w:rsidR="00D11002" w:rsidRPr="00F95C67" w:rsidRDefault="00F95C67" w:rsidP="00F95C67">
            <w:pPr>
              <w:pStyle w:val="Text1"/>
              <w:spacing w:before="0" w:after="0" w:line="240" w:lineRule="auto"/>
              <w:ind w:left="0"/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-</w:t>
            </w:r>
          </w:p>
        </w:tc>
        <w:tc>
          <w:tcPr>
            <w:tcW w:w="221" w:type="pct"/>
            <w:vMerge w:val="restart"/>
            <w:shd w:val="clear" w:color="auto" w:fill="DEEAF6" w:themeFill="accent5" w:themeFillTint="33"/>
          </w:tcPr>
          <w:p w:rsidR="00D11002" w:rsidRPr="00D11002" w:rsidRDefault="00D11002" w:rsidP="002E1EE8">
            <w:pPr>
              <w:pStyle w:val="Text1"/>
              <w:spacing w:before="0" w:after="0" w:line="240" w:lineRule="auto"/>
              <w:ind w:left="0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442" w:type="pct"/>
            <w:shd w:val="clear" w:color="auto" w:fill="DEEAF6" w:themeFill="accent5" w:themeFillTint="33"/>
          </w:tcPr>
          <w:p w:rsidR="00D11002" w:rsidRPr="00F95C67" w:rsidRDefault="00D11002" w:rsidP="00F95C67">
            <w:pPr>
              <w:pStyle w:val="Text1"/>
              <w:spacing w:before="0" w:after="0" w:line="240" w:lineRule="auto"/>
              <w:ind w:left="0"/>
              <w:jc w:val="right"/>
              <w:rPr>
                <w:noProof/>
                <w:sz w:val="18"/>
                <w:szCs w:val="18"/>
              </w:rPr>
            </w:pPr>
            <w:r w:rsidRPr="00F95C67">
              <w:rPr>
                <w:noProof/>
                <w:sz w:val="18"/>
                <w:szCs w:val="18"/>
              </w:rPr>
              <w:t>28 000</w:t>
            </w:r>
          </w:p>
        </w:tc>
        <w:tc>
          <w:tcPr>
            <w:tcW w:w="515" w:type="pct"/>
            <w:vMerge w:val="restart"/>
            <w:shd w:val="clear" w:color="auto" w:fill="DEEAF6" w:themeFill="accent5" w:themeFillTint="33"/>
          </w:tcPr>
          <w:p w:rsidR="00D11002" w:rsidRPr="00D11002" w:rsidRDefault="00D11002" w:rsidP="002E1EE8">
            <w:pPr>
              <w:pStyle w:val="Text1"/>
              <w:spacing w:before="0" w:after="0" w:line="240" w:lineRule="auto"/>
              <w:ind w:left="0"/>
              <w:rPr>
                <w:i/>
                <w:noProof/>
                <w:sz w:val="18"/>
                <w:szCs w:val="18"/>
              </w:rPr>
            </w:pPr>
            <w:r w:rsidRPr="00D11002">
              <w:rPr>
                <w:color w:val="000000"/>
                <w:sz w:val="18"/>
                <w:szCs w:val="18"/>
              </w:rPr>
              <w:t>Zpráva o</w:t>
            </w:r>
            <w:r w:rsidR="004A74E8">
              <w:rPr>
                <w:color w:val="000000"/>
                <w:sz w:val="18"/>
                <w:szCs w:val="18"/>
              </w:rPr>
              <w:t> </w:t>
            </w:r>
            <w:r w:rsidRPr="00D11002">
              <w:rPr>
                <w:color w:val="000000"/>
                <w:sz w:val="18"/>
                <w:szCs w:val="18"/>
              </w:rPr>
              <w:t>realizaciprojektu</w:t>
            </w:r>
          </w:p>
        </w:tc>
        <w:tc>
          <w:tcPr>
            <w:tcW w:w="218" w:type="pct"/>
            <w:vMerge w:val="restart"/>
            <w:shd w:val="clear" w:color="auto" w:fill="DEEAF6" w:themeFill="accent5" w:themeFillTint="33"/>
          </w:tcPr>
          <w:p w:rsidR="00D11002" w:rsidRPr="00D11002" w:rsidRDefault="00D11002" w:rsidP="002E1EE8">
            <w:pPr>
              <w:spacing w:before="0" w:after="0" w:line="240" w:lineRule="auto"/>
              <w:rPr>
                <w:i/>
                <w:noProof/>
                <w:sz w:val="18"/>
                <w:szCs w:val="18"/>
              </w:rPr>
            </w:pPr>
          </w:p>
        </w:tc>
      </w:tr>
      <w:tr w:rsidR="002F07F1" w:rsidRPr="00D11002" w:rsidTr="002F07F1">
        <w:trPr>
          <w:trHeight w:val="54"/>
        </w:trPr>
        <w:tc>
          <w:tcPr>
            <w:tcW w:w="291" w:type="pct"/>
            <w:vMerge/>
            <w:shd w:val="clear" w:color="auto" w:fill="DEEAF6" w:themeFill="accent5" w:themeFillTint="33"/>
          </w:tcPr>
          <w:p w:rsidR="00F95C67" w:rsidRPr="00D11002" w:rsidRDefault="00F95C67" w:rsidP="00F95C67">
            <w:pPr>
              <w:pStyle w:val="Text1"/>
              <w:spacing w:before="0" w:after="0" w:line="240" w:lineRule="auto"/>
              <w:ind w:left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295" w:type="pct"/>
            <w:vMerge/>
            <w:shd w:val="clear" w:color="auto" w:fill="DEEAF6" w:themeFill="accent5" w:themeFillTint="33"/>
          </w:tcPr>
          <w:p w:rsidR="00F95C67" w:rsidRPr="00D11002" w:rsidRDefault="00F95C67" w:rsidP="00F95C67">
            <w:pPr>
              <w:pStyle w:val="Text1"/>
              <w:spacing w:before="0" w:after="0" w:line="240" w:lineRule="auto"/>
              <w:ind w:left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368" w:type="pct"/>
            <w:vMerge/>
            <w:shd w:val="clear" w:color="auto" w:fill="DEEAF6" w:themeFill="accent5" w:themeFillTint="33"/>
          </w:tcPr>
          <w:p w:rsidR="00F95C67" w:rsidRPr="00D11002" w:rsidRDefault="00F95C67" w:rsidP="00F95C67">
            <w:pPr>
              <w:pStyle w:val="Text1"/>
              <w:spacing w:before="0" w:after="0" w:line="240" w:lineRule="auto"/>
              <w:ind w:left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589" w:type="pct"/>
            <w:shd w:val="clear" w:color="auto" w:fill="DEEAF6" w:themeFill="accent5" w:themeFillTint="33"/>
          </w:tcPr>
          <w:p w:rsidR="00F95C67" w:rsidRPr="00D11002" w:rsidRDefault="00F95C67" w:rsidP="002F07F1">
            <w:pPr>
              <w:spacing w:before="0" w:after="0" w:line="240" w:lineRule="auto"/>
              <w:rPr>
                <w:sz w:val="18"/>
                <w:szCs w:val="18"/>
                <w:lang w:eastAsia="cs-CZ" w:bidi="cs-CZ"/>
              </w:rPr>
            </w:pPr>
            <w:r w:rsidRPr="00D11002">
              <w:rPr>
                <w:sz w:val="18"/>
                <w:szCs w:val="18"/>
                <w:lang w:eastAsia="cs-CZ" w:bidi="cs-CZ"/>
              </w:rPr>
              <w:t>Přechodové</w:t>
            </w:r>
          </w:p>
        </w:tc>
        <w:tc>
          <w:tcPr>
            <w:tcW w:w="442" w:type="pct"/>
            <w:vMerge/>
            <w:shd w:val="clear" w:color="auto" w:fill="DEEAF6" w:themeFill="accent5" w:themeFillTint="33"/>
          </w:tcPr>
          <w:p w:rsidR="00F95C67" w:rsidRPr="00D11002" w:rsidRDefault="00F95C67" w:rsidP="00F95C67">
            <w:pPr>
              <w:pStyle w:val="Text1"/>
              <w:spacing w:before="0" w:after="0" w:line="240" w:lineRule="auto"/>
              <w:ind w:left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884" w:type="pct"/>
            <w:vMerge/>
            <w:shd w:val="clear" w:color="auto" w:fill="DEEAF6" w:themeFill="accent5" w:themeFillTint="33"/>
          </w:tcPr>
          <w:p w:rsidR="00F95C67" w:rsidRPr="00D11002" w:rsidRDefault="00F95C67" w:rsidP="00F95C67">
            <w:pPr>
              <w:pStyle w:val="Text1"/>
              <w:spacing w:before="0" w:after="0" w:line="240" w:lineRule="auto"/>
              <w:ind w:left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441" w:type="pct"/>
            <w:vMerge/>
            <w:shd w:val="clear" w:color="auto" w:fill="DEEAF6" w:themeFill="accent5" w:themeFillTint="33"/>
          </w:tcPr>
          <w:p w:rsidR="00F95C67" w:rsidRPr="00D11002" w:rsidRDefault="00F95C67" w:rsidP="00F95C67">
            <w:pPr>
              <w:pStyle w:val="Text1"/>
              <w:spacing w:before="0" w:after="0" w:line="240" w:lineRule="auto"/>
              <w:ind w:left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294" w:type="pct"/>
            <w:shd w:val="clear" w:color="auto" w:fill="DEEAF6" w:themeFill="accent5" w:themeFillTint="33"/>
          </w:tcPr>
          <w:p w:rsidR="00F95C67" w:rsidRPr="00F95C67" w:rsidRDefault="00F95C67" w:rsidP="00F95C67">
            <w:pPr>
              <w:pStyle w:val="Text1"/>
              <w:spacing w:before="0" w:after="0" w:line="240" w:lineRule="auto"/>
              <w:ind w:left="0"/>
              <w:jc w:val="center"/>
              <w:rPr>
                <w:noProof/>
                <w:sz w:val="18"/>
                <w:szCs w:val="18"/>
              </w:rPr>
            </w:pPr>
            <w:r w:rsidRPr="00890806">
              <w:rPr>
                <w:noProof/>
                <w:sz w:val="18"/>
                <w:szCs w:val="18"/>
              </w:rPr>
              <w:t>-</w:t>
            </w:r>
          </w:p>
        </w:tc>
        <w:tc>
          <w:tcPr>
            <w:tcW w:w="221" w:type="pct"/>
            <w:vMerge/>
            <w:shd w:val="clear" w:color="auto" w:fill="DEEAF6" w:themeFill="accent5" w:themeFillTint="33"/>
          </w:tcPr>
          <w:p w:rsidR="00F95C67" w:rsidRPr="00D11002" w:rsidRDefault="00F95C67" w:rsidP="00F95C67">
            <w:pPr>
              <w:pStyle w:val="Text1"/>
              <w:spacing w:before="0" w:after="0" w:line="240" w:lineRule="auto"/>
              <w:ind w:left="0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442" w:type="pct"/>
            <w:shd w:val="clear" w:color="auto" w:fill="DEEAF6" w:themeFill="accent5" w:themeFillTint="33"/>
          </w:tcPr>
          <w:p w:rsidR="00F95C67" w:rsidRPr="00F95C67" w:rsidRDefault="00F95C67" w:rsidP="00F95C67">
            <w:pPr>
              <w:pStyle w:val="Text1"/>
              <w:spacing w:before="0" w:after="0" w:line="240" w:lineRule="auto"/>
              <w:ind w:left="0"/>
              <w:jc w:val="right"/>
              <w:rPr>
                <w:noProof/>
                <w:sz w:val="18"/>
                <w:szCs w:val="18"/>
              </w:rPr>
            </w:pPr>
            <w:r w:rsidRPr="00F95C67">
              <w:rPr>
                <w:noProof/>
                <w:sz w:val="18"/>
                <w:szCs w:val="18"/>
              </w:rPr>
              <w:t>72 000</w:t>
            </w:r>
          </w:p>
        </w:tc>
        <w:tc>
          <w:tcPr>
            <w:tcW w:w="515" w:type="pct"/>
            <w:vMerge/>
            <w:shd w:val="clear" w:color="auto" w:fill="DEEAF6" w:themeFill="accent5" w:themeFillTint="33"/>
          </w:tcPr>
          <w:p w:rsidR="00F95C67" w:rsidRPr="00D11002" w:rsidRDefault="00F95C67" w:rsidP="00F95C67">
            <w:pPr>
              <w:pStyle w:val="Text1"/>
              <w:spacing w:before="0" w:after="0" w:line="240" w:lineRule="auto"/>
              <w:ind w:left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218" w:type="pct"/>
            <w:vMerge/>
            <w:shd w:val="clear" w:color="auto" w:fill="DEEAF6" w:themeFill="accent5" w:themeFillTint="33"/>
          </w:tcPr>
          <w:p w:rsidR="00F95C67" w:rsidRPr="00D11002" w:rsidRDefault="00F95C67" w:rsidP="00F95C67">
            <w:pPr>
              <w:spacing w:before="0" w:after="0" w:line="240" w:lineRule="auto"/>
              <w:rPr>
                <w:i/>
                <w:noProof/>
                <w:sz w:val="18"/>
                <w:szCs w:val="18"/>
              </w:rPr>
            </w:pPr>
          </w:p>
        </w:tc>
      </w:tr>
      <w:tr w:rsidR="002F07F1" w:rsidRPr="00D11002" w:rsidTr="002F07F1">
        <w:trPr>
          <w:trHeight w:val="482"/>
        </w:trPr>
        <w:tc>
          <w:tcPr>
            <w:tcW w:w="291" w:type="pct"/>
            <w:vMerge/>
            <w:shd w:val="clear" w:color="auto" w:fill="DEEAF6" w:themeFill="accent5" w:themeFillTint="33"/>
          </w:tcPr>
          <w:p w:rsidR="00F95C67" w:rsidRPr="00D11002" w:rsidRDefault="00F95C67" w:rsidP="00F95C67">
            <w:pPr>
              <w:pStyle w:val="Text1"/>
              <w:spacing w:before="0" w:after="0" w:line="240" w:lineRule="auto"/>
              <w:ind w:left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295" w:type="pct"/>
            <w:vMerge/>
            <w:shd w:val="clear" w:color="auto" w:fill="DEEAF6" w:themeFill="accent5" w:themeFillTint="33"/>
          </w:tcPr>
          <w:p w:rsidR="00F95C67" w:rsidRPr="00D11002" w:rsidRDefault="00F95C67" w:rsidP="00F95C67">
            <w:pPr>
              <w:pStyle w:val="Text1"/>
              <w:spacing w:before="0" w:after="0" w:line="240" w:lineRule="auto"/>
              <w:ind w:left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368" w:type="pct"/>
            <w:vMerge/>
            <w:shd w:val="clear" w:color="auto" w:fill="DEEAF6" w:themeFill="accent5" w:themeFillTint="33"/>
          </w:tcPr>
          <w:p w:rsidR="00F95C67" w:rsidRPr="00D11002" w:rsidRDefault="00F95C67" w:rsidP="00F95C67">
            <w:pPr>
              <w:pStyle w:val="Text1"/>
              <w:spacing w:before="0" w:after="0" w:line="240" w:lineRule="auto"/>
              <w:ind w:left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589" w:type="pct"/>
            <w:shd w:val="clear" w:color="auto" w:fill="DEEAF6" w:themeFill="accent5" w:themeFillTint="33"/>
          </w:tcPr>
          <w:p w:rsidR="00F95C67" w:rsidRPr="00D11002" w:rsidRDefault="00F95C67" w:rsidP="002F07F1">
            <w:pPr>
              <w:spacing w:before="0" w:after="0" w:line="240" w:lineRule="auto"/>
              <w:rPr>
                <w:sz w:val="18"/>
                <w:szCs w:val="18"/>
                <w:lang w:eastAsia="cs-CZ" w:bidi="cs-CZ"/>
              </w:rPr>
            </w:pPr>
            <w:r w:rsidRPr="00D11002">
              <w:rPr>
                <w:sz w:val="18"/>
                <w:szCs w:val="18"/>
                <w:lang w:eastAsia="cs-CZ" w:bidi="cs-CZ"/>
              </w:rPr>
              <w:t>Méně rozvinuté</w:t>
            </w:r>
          </w:p>
        </w:tc>
        <w:tc>
          <w:tcPr>
            <w:tcW w:w="442" w:type="pct"/>
            <w:vMerge/>
            <w:shd w:val="clear" w:color="auto" w:fill="DEEAF6" w:themeFill="accent5" w:themeFillTint="33"/>
          </w:tcPr>
          <w:p w:rsidR="00F95C67" w:rsidRPr="00D11002" w:rsidRDefault="00F95C67" w:rsidP="00F95C67">
            <w:pPr>
              <w:pStyle w:val="Text1"/>
              <w:spacing w:before="0" w:after="0" w:line="240" w:lineRule="auto"/>
              <w:ind w:left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884" w:type="pct"/>
            <w:vMerge/>
            <w:shd w:val="clear" w:color="auto" w:fill="DEEAF6" w:themeFill="accent5" w:themeFillTint="33"/>
          </w:tcPr>
          <w:p w:rsidR="00F95C67" w:rsidRPr="00D11002" w:rsidRDefault="00F95C67" w:rsidP="00F95C67">
            <w:pPr>
              <w:pStyle w:val="Text1"/>
              <w:spacing w:before="0" w:after="0" w:line="240" w:lineRule="auto"/>
              <w:ind w:left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441" w:type="pct"/>
            <w:vMerge/>
            <w:shd w:val="clear" w:color="auto" w:fill="DEEAF6" w:themeFill="accent5" w:themeFillTint="33"/>
          </w:tcPr>
          <w:p w:rsidR="00F95C67" w:rsidRPr="00D11002" w:rsidRDefault="00F95C67" w:rsidP="00F95C67">
            <w:pPr>
              <w:pStyle w:val="Text1"/>
              <w:spacing w:before="0" w:after="0" w:line="240" w:lineRule="auto"/>
              <w:ind w:left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294" w:type="pct"/>
            <w:shd w:val="clear" w:color="auto" w:fill="DEEAF6" w:themeFill="accent5" w:themeFillTint="33"/>
          </w:tcPr>
          <w:p w:rsidR="00F95C67" w:rsidRPr="00F95C67" w:rsidRDefault="00F95C67" w:rsidP="00F95C67">
            <w:pPr>
              <w:pStyle w:val="Text1"/>
              <w:spacing w:before="0" w:after="0" w:line="240" w:lineRule="auto"/>
              <w:ind w:left="0"/>
              <w:jc w:val="center"/>
              <w:rPr>
                <w:noProof/>
                <w:sz w:val="18"/>
                <w:szCs w:val="18"/>
              </w:rPr>
            </w:pPr>
            <w:r w:rsidRPr="00890806">
              <w:rPr>
                <w:noProof/>
                <w:sz w:val="18"/>
                <w:szCs w:val="18"/>
              </w:rPr>
              <w:t>-</w:t>
            </w:r>
          </w:p>
        </w:tc>
        <w:tc>
          <w:tcPr>
            <w:tcW w:w="221" w:type="pct"/>
            <w:vMerge/>
            <w:shd w:val="clear" w:color="auto" w:fill="DEEAF6" w:themeFill="accent5" w:themeFillTint="33"/>
          </w:tcPr>
          <w:p w:rsidR="00F95C67" w:rsidRPr="00D11002" w:rsidRDefault="00F95C67" w:rsidP="00F95C67">
            <w:pPr>
              <w:pStyle w:val="Text1"/>
              <w:spacing w:before="0" w:after="0" w:line="240" w:lineRule="auto"/>
              <w:ind w:left="0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442" w:type="pct"/>
            <w:shd w:val="clear" w:color="auto" w:fill="DEEAF6" w:themeFill="accent5" w:themeFillTint="33"/>
          </w:tcPr>
          <w:p w:rsidR="00F95C67" w:rsidRPr="00F95C67" w:rsidRDefault="00F95C67" w:rsidP="00F95C67">
            <w:pPr>
              <w:pStyle w:val="Text1"/>
              <w:spacing w:before="0" w:after="0" w:line="240" w:lineRule="auto"/>
              <w:ind w:left="0"/>
              <w:jc w:val="right"/>
              <w:rPr>
                <w:noProof/>
                <w:sz w:val="18"/>
                <w:szCs w:val="18"/>
              </w:rPr>
            </w:pPr>
            <w:r w:rsidRPr="00F95C67">
              <w:rPr>
                <w:noProof/>
                <w:sz w:val="18"/>
                <w:szCs w:val="18"/>
              </w:rPr>
              <w:t>100 000</w:t>
            </w:r>
          </w:p>
        </w:tc>
        <w:tc>
          <w:tcPr>
            <w:tcW w:w="515" w:type="pct"/>
            <w:vMerge/>
            <w:shd w:val="clear" w:color="auto" w:fill="DEEAF6" w:themeFill="accent5" w:themeFillTint="33"/>
          </w:tcPr>
          <w:p w:rsidR="00F95C67" w:rsidRPr="00D11002" w:rsidRDefault="00F95C67" w:rsidP="00F95C67">
            <w:pPr>
              <w:pStyle w:val="Text1"/>
              <w:spacing w:before="0" w:after="0" w:line="240" w:lineRule="auto"/>
              <w:ind w:left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218" w:type="pct"/>
            <w:vMerge/>
            <w:shd w:val="clear" w:color="auto" w:fill="DEEAF6" w:themeFill="accent5" w:themeFillTint="33"/>
          </w:tcPr>
          <w:p w:rsidR="00F95C67" w:rsidRPr="00D11002" w:rsidRDefault="00F95C67" w:rsidP="00F95C67">
            <w:pPr>
              <w:spacing w:before="0" w:after="0" w:line="240" w:lineRule="auto"/>
              <w:rPr>
                <w:i/>
                <w:noProof/>
                <w:sz w:val="18"/>
                <w:szCs w:val="18"/>
              </w:rPr>
            </w:pPr>
          </w:p>
        </w:tc>
      </w:tr>
      <w:tr w:rsidR="002F07F1" w:rsidRPr="00D11002" w:rsidTr="002F07F1">
        <w:trPr>
          <w:trHeight w:val="150"/>
        </w:trPr>
        <w:tc>
          <w:tcPr>
            <w:tcW w:w="291" w:type="pct"/>
            <w:vMerge/>
            <w:shd w:val="clear" w:color="auto" w:fill="DEEAF6" w:themeFill="accent5" w:themeFillTint="33"/>
          </w:tcPr>
          <w:p w:rsidR="00F95C67" w:rsidRPr="00D11002" w:rsidRDefault="00F95C67" w:rsidP="00F95C67">
            <w:pPr>
              <w:pStyle w:val="Text1"/>
              <w:spacing w:before="0" w:after="0" w:line="240" w:lineRule="auto"/>
              <w:ind w:left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295" w:type="pct"/>
            <w:vMerge/>
            <w:shd w:val="clear" w:color="auto" w:fill="DEEAF6" w:themeFill="accent5" w:themeFillTint="33"/>
          </w:tcPr>
          <w:p w:rsidR="00F95C67" w:rsidRPr="00D11002" w:rsidRDefault="00F95C67" w:rsidP="00F95C67">
            <w:pPr>
              <w:pStyle w:val="Text1"/>
              <w:spacing w:before="0" w:after="0" w:line="240" w:lineRule="auto"/>
              <w:ind w:left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368" w:type="pct"/>
            <w:vMerge/>
            <w:shd w:val="clear" w:color="auto" w:fill="DEEAF6" w:themeFill="accent5" w:themeFillTint="33"/>
          </w:tcPr>
          <w:p w:rsidR="00F95C67" w:rsidRPr="00D11002" w:rsidRDefault="00F95C67" w:rsidP="00F95C67">
            <w:pPr>
              <w:pStyle w:val="Text1"/>
              <w:spacing w:before="0" w:after="0" w:line="240" w:lineRule="auto"/>
              <w:ind w:left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589" w:type="pct"/>
            <w:shd w:val="clear" w:color="auto" w:fill="DEEAF6" w:themeFill="accent5" w:themeFillTint="33"/>
          </w:tcPr>
          <w:p w:rsidR="00F95C67" w:rsidRPr="00D11002" w:rsidRDefault="00F95C67" w:rsidP="002F07F1">
            <w:pPr>
              <w:spacing w:before="0" w:after="0" w:line="240" w:lineRule="auto"/>
              <w:rPr>
                <w:sz w:val="18"/>
                <w:szCs w:val="18"/>
                <w:lang w:eastAsia="cs-CZ" w:bidi="cs-CZ"/>
              </w:rPr>
            </w:pPr>
            <w:r w:rsidRPr="00D11002">
              <w:rPr>
                <w:sz w:val="18"/>
                <w:szCs w:val="18"/>
                <w:lang w:eastAsia="cs-CZ" w:bidi="cs-CZ"/>
              </w:rPr>
              <w:t>Více rozvinuté</w:t>
            </w:r>
          </w:p>
        </w:tc>
        <w:tc>
          <w:tcPr>
            <w:tcW w:w="442" w:type="pct"/>
            <w:vMerge w:val="restart"/>
            <w:shd w:val="clear" w:color="auto" w:fill="DEEAF6" w:themeFill="accent5" w:themeFillTint="33"/>
          </w:tcPr>
          <w:p w:rsidR="00F95C67" w:rsidRPr="00D11002" w:rsidRDefault="00F95C67" w:rsidP="00F95C67">
            <w:pPr>
              <w:pStyle w:val="Text1"/>
              <w:spacing w:before="0" w:after="0" w:line="240" w:lineRule="auto"/>
              <w:ind w:left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884" w:type="pct"/>
            <w:vMerge w:val="restart"/>
            <w:shd w:val="clear" w:color="auto" w:fill="DEEAF6" w:themeFill="accent5" w:themeFillTint="33"/>
          </w:tcPr>
          <w:p w:rsidR="00F95C67" w:rsidRPr="00D11002" w:rsidRDefault="00F95C67" w:rsidP="00F95C67">
            <w:pPr>
              <w:pStyle w:val="Text1"/>
              <w:spacing w:before="0" w:after="0" w:line="240" w:lineRule="auto"/>
              <w:ind w:left="0"/>
              <w:rPr>
                <w:i/>
                <w:noProof/>
                <w:sz w:val="18"/>
                <w:szCs w:val="18"/>
              </w:rPr>
            </w:pPr>
            <w:r w:rsidRPr="00D11002">
              <w:rPr>
                <w:sz w:val="18"/>
                <w:szCs w:val="18"/>
              </w:rPr>
              <w:t>Instituce, u</w:t>
            </w:r>
            <w:r>
              <w:rPr>
                <w:sz w:val="18"/>
                <w:szCs w:val="18"/>
              </w:rPr>
              <w:t> </w:t>
            </w:r>
            <w:r w:rsidRPr="00D11002">
              <w:rPr>
                <w:sz w:val="18"/>
                <w:szCs w:val="18"/>
              </w:rPr>
              <w:t>kterých došlo ke zkvalitnění infrastruktury související se vzděláváním</w:t>
            </w:r>
          </w:p>
        </w:tc>
        <w:tc>
          <w:tcPr>
            <w:tcW w:w="441" w:type="pct"/>
            <w:vMerge w:val="restart"/>
            <w:shd w:val="clear" w:color="auto" w:fill="DEEAF6" w:themeFill="accent5" w:themeFillTint="33"/>
          </w:tcPr>
          <w:p w:rsidR="00F95C67" w:rsidRPr="00D11002" w:rsidRDefault="004A74E8" w:rsidP="00F95C67">
            <w:pPr>
              <w:pStyle w:val="Text1"/>
              <w:spacing w:before="0"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="00F95C67" w:rsidRPr="00D11002">
              <w:rPr>
                <w:sz w:val="18"/>
                <w:szCs w:val="18"/>
              </w:rPr>
              <w:t>nstituce</w:t>
            </w:r>
          </w:p>
        </w:tc>
        <w:tc>
          <w:tcPr>
            <w:tcW w:w="294" w:type="pct"/>
            <w:shd w:val="clear" w:color="auto" w:fill="DEEAF6" w:themeFill="accent5" w:themeFillTint="33"/>
          </w:tcPr>
          <w:p w:rsidR="00F95C67" w:rsidRPr="00F95C67" w:rsidRDefault="00F95C67" w:rsidP="00F95C67">
            <w:pPr>
              <w:pStyle w:val="Text1"/>
              <w:spacing w:before="0" w:after="0" w:line="240" w:lineRule="auto"/>
              <w:ind w:left="0"/>
              <w:jc w:val="center"/>
              <w:rPr>
                <w:noProof/>
                <w:sz w:val="18"/>
                <w:szCs w:val="18"/>
              </w:rPr>
            </w:pPr>
            <w:r w:rsidRPr="00890806">
              <w:rPr>
                <w:noProof/>
                <w:sz w:val="18"/>
                <w:szCs w:val="18"/>
              </w:rPr>
              <w:t>-</w:t>
            </w:r>
          </w:p>
        </w:tc>
        <w:tc>
          <w:tcPr>
            <w:tcW w:w="221" w:type="pct"/>
            <w:vMerge w:val="restart"/>
            <w:shd w:val="clear" w:color="auto" w:fill="DEEAF6" w:themeFill="accent5" w:themeFillTint="33"/>
          </w:tcPr>
          <w:p w:rsidR="00F95C67" w:rsidRPr="00D11002" w:rsidRDefault="00F95C67" w:rsidP="00F95C67">
            <w:pPr>
              <w:pStyle w:val="Text1"/>
              <w:spacing w:before="0" w:after="0" w:line="240" w:lineRule="auto"/>
              <w:ind w:left="0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442" w:type="pct"/>
            <w:shd w:val="clear" w:color="auto" w:fill="DEEAF6" w:themeFill="accent5" w:themeFillTint="33"/>
          </w:tcPr>
          <w:p w:rsidR="00F95C67" w:rsidRPr="00F95C67" w:rsidRDefault="00F95C67" w:rsidP="00F95C67">
            <w:pPr>
              <w:pStyle w:val="Text1"/>
              <w:spacing w:before="0" w:after="0" w:line="240" w:lineRule="auto"/>
              <w:ind w:left="0"/>
              <w:jc w:val="right"/>
              <w:rPr>
                <w:noProof/>
                <w:sz w:val="18"/>
                <w:szCs w:val="18"/>
              </w:rPr>
            </w:pPr>
            <w:r w:rsidRPr="00F95C67">
              <w:rPr>
                <w:noProof/>
                <w:sz w:val="18"/>
                <w:szCs w:val="18"/>
              </w:rPr>
              <w:t>9</w:t>
            </w:r>
          </w:p>
        </w:tc>
        <w:tc>
          <w:tcPr>
            <w:tcW w:w="515" w:type="pct"/>
            <w:vMerge w:val="restart"/>
            <w:shd w:val="clear" w:color="auto" w:fill="DEEAF6" w:themeFill="accent5" w:themeFillTint="33"/>
          </w:tcPr>
          <w:p w:rsidR="00F95C67" w:rsidRPr="00D11002" w:rsidRDefault="00F95C67" w:rsidP="00F95C67">
            <w:pPr>
              <w:pStyle w:val="Text1"/>
              <w:spacing w:before="0" w:after="0" w:line="240" w:lineRule="auto"/>
              <w:ind w:left="0"/>
              <w:rPr>
                <w:i/>
                <w:noProof/>
                <w:sz w:val="18"/>
                <w:szCs w:val="18"/>
              </w:rPr>
            </w:pPr>
            <w:r w:rsidRPr="00D11002">
              <w:rPr>
                <w:color w:val="000000"/>
                <w:sz w:val="18"/>
                <w:szCs w:val="18"/>
              </w:rPr>
              <w:t>Zpráva o</w:t>
            </w:r>
            <w:r w:rsidR="004A74E8">
              <w:rPr>
                <w:color w:val="000000"/>
                <w:sz w:val="18"/>
                <w:szCs w:val="18"/>
              </w:rPr>
              <w:t> </w:t>
            </w:r>
            <w:r w:rsidRPr="00D11002">
              <w:rPr>
                <w:color w:val="000000"/>
                <w:sz w:val="18"/>
                <w:szCs w:val="18"/>
              </w:rPr>
              <w:t>realizaci projektu</w:t>
            </w:r>
          </w:p>
        </w:tc>
        <w:tc>
          <w:tcPr>
            <w:tcW w:w="218" w:type="pct"/>
            <w:vMerge w:val="restart"/>
            <w:shd w:val="clear" w:color="auto" w:fill="DEEAF6" w:themeFill="accent5" w:themeFillTint="33"/>
          </w:tcPr>
          <w:p w:rsidR="00F95C67" w:rsidRPr="00D11002" w:rsidRDefault="00F95C67" w:rsidP="00F95C67">
            <w:pPr>
              <w:spacing w:before="0" w:after="0" w:line="240" w:lineRule="auto"/>
              <w:rPr>
                <w:i/>
                <w:noProof/>
                <w:sz w:val="18"/>
                <w:szCs w:val="18"/>
              </w:rPr>
            </w:pPr>
          </w:p>
        </w:tc>
      </w:tr>
      <w:tr w:rsidR="002F07F1" w:rsidRPr="00D11002" w:rsidTr="002F07F1">
        <w:trPr>
          <w:trHeight w:val="253"/>
        </w:trPr>
        <w:tc>
          <w:tcPr>
            <w:tcW w:w="291" w:type="pct"/>
            <w:vMerge/>
            <w:shd w:val="clear" w:color="auto" w:fill="DEEAF6" w:themeFill="accent5" w:themeFillTint="33"/>
          </w:tcPr>
          <w:p w:rsidR="00F95C67" w:rsidRPr="00D11002" w:rsidRDefault="00F95C67" w:rsidP="00F95C67">
            <w:pPr>
              <w:pStyle w:val="Text1"/>
              <w:spacing w:before="0" w:after="0"/>
              <w:ind w:left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295" w:type="pct"/>
            <w:vMerge/>
            <w:shd w:val="clear" w:color="auto" w:fill="DEEAF6" w:themeFill="accent5" w:themeFillTint="33"/>
          </w:tcPr>
          <w:p w:rsidR="00F95C67" w:rsidRPr="00D11002" w:rsidRDefault="00F95C67" w:rsidP="00F95C67">
            <w:pPr>
              <w:pStyle w:val="Text1"/>
              <w:spacing w:before="0" w:after="0"/>
              <w:ind w:left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368" w:type="pct"/>
            <w:vMerge/>
            <w:shd w:val="clear" w:color="auto" w:fill="DEEAF6" w:themeFill="accent5" w:themeFillTint="33"/>
          </w:tcPr>
          <w:p w:rsidR="00F95C67" w:rsidRPr="00D11002" w:rsidRDefault="00F95C67" w:rsidP="00F95C67">
            <w:pPr>
              <w:pStyle w:val="Text1"/>
              <w:spacing w:before="0" w:after="0"/>
              <w:ind w:left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589" w:type="pct"/>
            <w:shd w:val="clear" w:color="auto" w:fill="DEEAF6" w:themeFill="accent5" w:themeFillTint="33"/>
          </w:tcPr>
          <w:p w:rsidR="00F95C67" w:rsidRPr="00D11002" w:rsidRDefault="00F95C67" w:rsidP="002F07F1">
            <w:pPr>
              <w:spacing w:before="0" w:after="0" w:line="240" w:lineRule="auto"/>
              <w:rPr>
                <w:sz w:val="18"/>
                <w:szCs w:val="18"/>
                <w:lang w:eastAsia="cs-CZ" w:bidi="cs-CZ"/>
              </w:rPr>
            </w:pPr>
            <w:r w:rsidRPr="00D11002">
              <w:rPr>
                <w:sz w:val="18"/>
                <w:szCs w:val="18"/>
                <w:lang w:eastAsia="cs-CZ" w:bidi="cs-CZ"/>
              </w:rPr>
              <w:t>Přechodové</w:t>
            </w:r>
          </w:p>
        </w:tc>
        <w:tc>
          <w:tcPr>
            <w:tcW w:w="442" w:type="pct"/>
            <w:vMerge/>
            <w:shd w:val="clear" w:color="auto" w:fill="DEEAF6" w:themeFill="accent5" w:themeFillTint="33"/>
          </w:tcPr>
          <w:p w:rsidR="00F95C67" w:rsidRPr="00D11002" w:rsidRDefault="00F95C67" w:rsidP="00F95C67">
            <w:pPr>
              <w:pStyle w:val="Text1"/>
              <w:spacing w:before="0" w:after="0"/>
              <w:ind w:left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884" w:type="pct"/>
            <w:vMerge/>
            <w:shd w:val="clear" w:color="auto" w:fill="DEEAF6" w:themeFill="accent5" w:themeFillTint="33"/>
          </w:tcPr>
          <w:p w:rsidR="00F95C67" w:rsidRPr="00D11002" w:rsidRDefault="00F95C67" w:rsidP="00F95C67">
            <w:pPr>
              <w:pStyle w:val="Text1"/>
              <w:spacing w:before="0" w:after="0"/>
              <w:ind w:left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441" w:type="pct"/>
            <w:vMerge/>
            <w:shd w:val="clear" w:color="auto" w:fill="DEEAF6" w:themeFill="accent5" w:themeFillTint="33"/>
          </w:tcPr>
          <w:p w:rsidR="00F95C67" w:rsidRPr="00D11002" w:rsidRDefault="00F95C67" w:rsidP="00F95C67">
            <w:pPr>
              <w:pStyle w:val="Text1"/>
              <w:spacing w:before="0" w:after="0"/>
              <w:ind w:left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294" w:type="pct"/>
            <w:shd w:val="clear" w:color="auto" w:fill="DEEAF6" w:themeFill="accent5" w:themeFillTint="33"/>
          </w:tcPr>
          <w:p w:rsidR="00F95C67" w:rsidRPr="00F95C67" w:rsidRDefault="00F95C67" w:rsidP="00F95C67">
            <w:pPr>
              <w:pStyle w:val="Text1"/>
              <w:spacing w:before="0" w:after="0"/>
              <w:ind w:left="0"/>
              <w:jc w:val="center"/>
              <w:rPr>
                <w:noProof/>
                <w:sz w:val="18"/>
                <w:szCs w:val="18"/>
              </w:rPr>
            </w:pPr>
            <w:r w:rsidRPr="00890806">
              <w:rPr>
                <w:noProof/>
                <w:sz w:val="18"/>
                <w:szCs w:val="18"/>
              </w:rPr>
              <w:t>-</w:t>
            </w:r>
          </w:p>
        </w:tc>
        <w:tc>
          <w:tcPr>
            <w:tcW w:w="221" w:type="pct"/>
            <w:vMerge/>
            <w:shd w:val="clear" w:color="auto" w:fill="DEEAF6" w:themeFill="accent5" w:themeFillTint="33"/>
          </w:tcPr>
          <w:p w:rsidR="00F95C67" w:rsidRPr="00D11002" w:rsidRDefault="00F95C67" w:rsidP="00F95C67">
            <w:pPr>
              <w:pStyle w:val="Text1"/>
              <w:spacing w:before="0" w:after="0"/>
              <w:ind w:left="0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442" w:type="pct"/>
            <w:shd w:val="clear" w:color="auto" w:fill="DEEAF6" w:themeFill="accent5" w:themeFillTint="33"/>
          </w:tcPr>
          <w:p w:rsidR="00F95C67" w:rsidRPr="00F95C67" w:rsidRDefault="00F95C67" w:rsidP="00F95C67">
            <w:pPr>
              <w:pStyle w:val="Text1"/>
              <w:spacing w:before="0" w:after="0"/>
              <w:ind w:left="0"/>
              <w:jc w:val="right"/>
              <w:rPr>
                <w:noProof/>
                <w:sz w:val="18"/>
                <w:szCs w:val="18"/>
              </w:rPr>
            </w:pPr>
            <w:r w:rsidRPr="00F95C67">
              <w:rPr>
                <w:noProof/>
                <w:sz w:val="18"/>
                <w:szCs w:val="18"/>
              </w:rPr>
              <w:t>23</w:t>
            </w:r>
          </w:p>
        </w:tc>
        <w:tc>
          <w:tcPr>
            <w:tcW w:w="515" w:type="pct"/>
            <w:vMerge/>
            <w:shd w:val="clear" w:color="auto" w:fill="DEEAF6" w:themeFill="accent5" w:themeFillTint="33"/>
          </w:tcPr>
          <w:p w:rsidR="00F95C67" w:rsidRPr="00D11002" w:rsidRDefault="00F95C67" w:rsidP="00F95C67">
            <w:pPr>
              <w:pStyle w:val="Text1"/>
              <w:spacing w:before="0" w:after="0" w:line="480" w:lineRule="auto"/>
              <w:ind w:left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218" w:type="pct"/>
            <w:vMerge/>
            <w:shd w:val="clear" w:color="auto" w:fill="DEEAF6" w:themeFill="accent5" w:themeFillTint="33"/>
          </w:tcPr>
          <w:p w:rsidR="00F95C67" w:rsidRPr="00D11002" w:rsidRDefault="00F95C67" w:rsidP="00F95C67">
            <w:pPr>
              <w:spacing w:before="0" w:after="0"/>
              <w:rPr>
                <w:i/>
                <w:noProof/>
                <w:sz w:val="18"/>
                <w:szCs w:val="18"/>
              </w:rPr>
            </w:pPr>
          </w:p>
        </w:tc>
      </w:tr>
      <w:tr w:rsidR="002F07F1" w:rsidRPr="00D11002" w:rsidTr="002F07F1">
        <w:trPr>
          <w:trHeight w:val="708"/>
        </w:trPr>
        <w:tc>
          <w:tcPr>
            <w:tcW w:w="291" w:type="pct"/>
            <w:vMerge/>
            <w:shd w:val="clear" w:color="auto" w:fill="DEEAF6" w:themeFill="accent5" w:themeFillTint="33"/>
          </w:tcPr>
          <w:p w:rsidR="00F95C67" w:rsidRPr="00D11002" w:rsidRDefault="00F95C67" w:rsidP="00F95C67">
            <w:pPr>
              <w:pStyle w:val="Text1"/>
              <w:spacing w:before="0" w:after="0"/>
              <w:ind w:left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295" w:type="pct"/>
            <w:vMerge/>
            <w:shd w:val="clear" w:color="auto" w:fill="DEEAF6" w:themeFill="accent5" w:themeFillTint="33"/>
          </w:tcPr>
          <w:p w:rsidR="00F95C67" w:rsidRPr="00D11002" w:rsidRDefault="00F95C67" w:rsidP="00F95C67">
            <w:pPr>
              <w:pStyle w:val="Text1"/>
              <w:spacing w:before="0" w:after="0"/>
              <w:ind w:left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368" w:type="pct"/>
            <w:vMerge/>
            <w:shd w:val="clear" w:color="auto" w:fill="DEEAF6" w:themeFill="accent5" w:themeFillTint="33"/>
          </w:tcPr>
          <w:p w:rsidR="00F95C67" w:rsidRPr="00D11002" w:rsidRDefault="00F95C67" w:rsidP="00F95C67">
            <w:pPr>
              <w:pStyle w:val="Text1"/>
              <w:spacing w:before="0" w:after="0"/>
              <w:ind w:left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589" w:type="pct"/>
            <w:shd w:val="clear" w:color="auto" w:fill="DEEAF6" w:themeFill="accent5" w:themeFillTint="33"/>
          </w:tcPr>
          <w:p w:rsidR="00F95C67" w:rsidRPr="00D11002" w:rsidRDefault="00F95C67" w:rsidP="002F07F1">
            <w:pPr>
              <w:spacing w:before="0" w:after="0" w:line="240" w:lineRule="auto"/>
              <w:rPr>
                <w:sz w:val="18"/>
                <w:szCs w:val="18"/>
                <w:lang w:eastAsia="cs-CZ" w:bidi="cs-CZ"/>
              </w:rPr>
            </w:pPr>
            <w:r w:rsidRPr="00D11002">
              <w:rPr>
                <w:sz w:val="18"/>
                <w:szCs w:val="18"/>
                <w:lang w:eastAsia="cs-CZ" w:bidi="cs-CZ"/>
              </w:rPr>
              <w:t>Méně rozvinuté</w:t>
            </w:r>
          </w:p>
        </w:tc>
        <w:tc>
          <w:tcPr>
            <w:tcW w:w="442" w:type="pct"/>
            <w:vMerge/>
            <w:shd w:val="clear" w:color="auto" w:fill="DEEAF6" w:themeFill="accent5" w:themeFillTint="33"/>
          </w:tcPr>
          <w:p w:rsidR="00F95C67" w:rsidRPr="00D11002" w:rsidRDefault="00F95C67" w:rsidP="00F95C67">
            <w:pPr>
              <w:pStyle w:val="Text1"/>
              <w:spacing w:before="0" w:after="0"/>
              <w:ind w:left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884" w:type="pct"/>
            <w:vMerge/>
            <w:shd w:val="clear" w:color="auto" w:fill="DEEAF6" w:themeFill="accent5" w:themeFillTint="33"/>
          </w:tcPr>
          <w:p w:rsidR="00F95C67" w:rsidRPr="00D11002" w:rsidRDefault="00F95C67" w:rsidP="00F95C67">
            <w:pPr>
              <w:pStyle w:val="Text1"/>
              <w:spacing w:before="0" w:after="0"/>
              <w:ind w:left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441" w:type="pct"/>
            <w:vMerge/>
            <w:shd w:val="clear" w:color="auto" w:fill="DEEAF6" w:themeFill="accent5" w:themeFillTint="33"/>
          </w:tcPr>
          <w:p w:rsidR="00F95C67" w:rsidRPr="00D11002" w:rsidRDefault="00F95C67" w:rsidP="00F95C67">
            <w:pPr>
              <w:pStyle w:val="Text1"/>
              <w:spacing w:before="0" w:after="0"/>
              <w:ind w:left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294" w:type="pct"/>
            <w:shd w:val="clear" w:color="auto" w:fill="DEEAF6" w:themeFill="accent5" w:themeFillTint="33"/>
          </w:tcPr>
          <w:p w:rsidR="00F95C67" w:rsidRPr="00F95C67" w:rsidRDefault="00F95C67" w:rsidP="00F95C67">
            <w:pPr>
              <w:pStyle w:val="Text1"/>
              <w:spacing w:before="0" w:after="0"/>
              <w:ind w:left="0"/>
              <w:jc w:val="center"/>
              <w:rPr>
                <w:noProof/>
                <w:sz w:val="18"/>
                <w:szCs w:val="18"/>
              </w:rPr>
            </w:pPr>
            <w:r w:rsidRPr="00890806">
              <w:rPr>
                <w:noProof/>
                <w:sz w:val="18"/>
                <w:szCs w:val="18"/>
              </w:rPr>
              <w:t>-</w:t>
            </w:r>
          </w:p>
        </w:tc>
        <w:tc>
          <w:tcPr>
            <w:tcW w:w="221" w:type="pct"/>
            <w:vMerge/>
            <w:shd w:val="clear" w:color="auto" w:fill="DEEAF6" w:themeFill="accent5" w:themeFillTint="33"/>
          </w:tcPr>
          <w:p w:rsidR="00F95C67" w:rsidRPr="00D11002" w:rsidRDefault="00F95C67" w:rsidP="00F95C67">
            <w:pPr>
              <w:pStyle w:val="Text1"/>
              <w:spacing w:before="0" w:after="0"/>
              <w:ind w:left="0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442" w:type="pct"/>
            <w:shd w:val="clear" w:color="auto" w:fill="DEEAF6" w:themeFill="accent5" w:themeFillTint="33"/>
          </w:tcPr>
          <w:p w:rsidR="00F95C67" w:rsidRPr="00F95C67" w:rsidRDefault="00F95C67" w:rsidP="00F95C67">
            <w:pPr>
              <w:pStyle w:val="Text1"/>
              <w:spacing w:before="0" w:after="0"/>
              <w:ind w:left="0"/>
              <w:jc w:val="right"/>
              <w:rPr>
                <w:noProof/>
                <w:sz w:val="18"/>
                <w:szCs w:val="18"/>
              </w:rPr>
            </w:pPr>
            <w:r w:rsidRPr="00F95C67">
              <w:rPr>
                <w:noProof/>
                <w:sz w:val="18"/>
                <w:szCs w:val="18"/>
              </w:rPr>
              <w:t>32</w:t>
            </w:r>
          </w:p>
        </w:tc>
        <w:tc>
          <w:tcPr>
            <w:tcW w:w="515" w:type="pct"/>
            <w:vMerge/>
            <w:shd w:val="clear" w:color="auto" w:fill="DEEAF6" w:themeFill="accent5" w:themeFillTint="33"/>
          </w:tcPr>
          <w:p w:rsidR="00F95C67" w:rsidRPr="00D11002" w:rsidRDefault="00F95C67" w:rsidP="00F95C67">
            <w:pPr>
              <w:pStyle w:val="Text1"/>
              <w:spacing w:before="0" w:after="0" w:line="480" w:lineRule="auto"/>
              <w:ind w:left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218" w:type="pct"/>
            <w:vMerge/>
            <w:shd w:val="clear" w:color="auto" w:fill="DEEAF6" w:themeFill="accent5" w:themeFillTint="33"/>
          </w:tcPr>
          <w:p w:rsidR="00F95C67" w:rsidRPr="00D11002" w:rsidRDefault="00F95C67" w:rsidP="00F95C67">
            <w:pPr>
              <w:spacing w:before="0" w:after="0"/>
              <w:rPr>
                <w:i/>
                <w:noProof/>
                <w:sz w:val="18"/>
                <w:szCs w:val="18"/>
              </w:rPr>
            </w:pPr>
          </w:p>
        </w:tc>
      </w:tr>
    </w:tbl>
    <w:p w:rsidR="0005320B" w:rsidRDefault="0005320B">
      <w:pPr>
        <w:spacing w:before="0" w:after="160" w:line="259" w:lineRule="auto"/>
        <w:rPr>
          <w:rFonts w:eastAsia="Calibri" w:cs="Arial"/>
          <w:b/>
          <w:color w:val="1F4E79" w:themeColor="accent5" w:themeShade="80"/>
          <w:lang w:eastAsia="cs-CZ" w:bidi="cs-CZ"/>
        </w:rPr>
      </w:pPr>
    </w:p>
    <w:p w:rsidR="00FA55B3" w:rsidRPr="00FA55B3" w:rsidRDefault="00FA55B3" w:rsidP="00FA55B3">
      <w:pPr>
        <w:pStyle w:val="Nadpis4"/>
        <w:rPr>
          <w:b/>
          <w:color w:val="1F4E79" w:themeColor="accent5" w:themeShade="80"/>
          <w:lang w:val="cs-CZ" w:eastAsia="cs-CZ" w:bidi="cs-CZ"/>
        </w:rPr>
      </w:pPr>
      <w:bookmarkStart w:id="153" w:name="_Toc66476052"/>
      <w:bookmarkStart w:id="154" w:name="_Toc68611010"/>
      <w:r w:rsidRPr="00FA55B3">
        <w:rPr>
          <w:b/>
          <w:color w:val="1F4E79" w:themeColor="accent5" w:themeShade="80"/>
          <w:lang w:val="cs-CZ" w:eastAsia="cs-CZ" w:bidi="cs-CZ"/>
        </w:rPr>
        <w:t>Orientační rozdělení programových zdrojů (EU) podle typu intervence</w:t>
      </w:r>
      <w:bookmarkEnd w:id="153"/>
      <w:bookmarkEnd w:id="154"/>
    </w:p>
    <w:p w:rsidR="00C07F73" w:rsidRPr="00F6239D" w:rsidRDefault="00C07F73" w:rsidP="00C07F73">
      <w:pPr>
        <w:pStyle w:val="Titulek"/>
        <w:rPr>
          <w:rFonts w:ascii="Times New Roman" w:hAnsi="Times New Roman" w:cs="Times New Roman"/>
        </w:rPr>
      </w:pPr>
      <w:r w:rsidRPr="00F6239D">
        <w:rPr>
          <w:rFonts w:ascii="Times New Roman" w:hAnsi="Times New Roman" w:cs="Times New Roman"/>
        </w:rPr>
        <w:t xml:space="preserve">Tabulka </w:t>
      </w:r>
      <w:r w:rsidR="00022BDA" w:rsidRPr="00B169F0">
        <w:rPr>
          <w:rFonts w:ascii="Times New Roman" w:hAnsi="Times New Roman" w:cs="Times New Roman"/>
        </w:rPr>
        <w:fldChar w:fldCharType="begin"/>
      </w:r>
      <w:r w:rsidR="00022BDA" w:rsidRPr="00B169F0">
        <w:rPr>
          <w:rFonts w:ascii="Times New Roman" w:hAnsi="Times New Roman" w:cs="Times New Roman"/>
        </w:rPr>
        <w:instrText xml:space="preserve"> SEQ Tabulka \* ARABIC </w:instrText>
      </w:r>
      <w:r w:rsidR="00022BDA" w:rsidRPr="00B169F0">
        <w:rPr>
          <w:rFonts w:ascii="Times New Roman" w:hAnsi="Times New Roman" w:cs="Times New Roman"/>
        </w:rPr>
        <w:fldChar w:fldCharType="separate"/>
      </w:r>
      <w:r w:rsidR="00235E28">
        <w:rPr>
          <w:rFonts w:ascii="Times New Roman" w:hAnsi="Times New Roman" w:cs="Times New Roman"/>
          <w:noProof/>
        </w:rPr>
        <w:t>17</w:t>
      </w:r>
      <w:r w:rsidR="00022BDA" w:rsidRPr="00B169F0">
        <w:rPr>
          <w:rFonts w:ascii="Times New Roman" w:hAnsi="Times New Roman" w:cs="Times New Roman"/>
        </w:rPr>
        <w:fldChar w:fldCharType="end"/>
      </w:r>
      <w:r w:rsidR="00022BDA" w:rsidRPr="00B169F0">
        <w:rPr>
          <w:rFonts w:ascii="Times New Roman" w:hAnsi="Times New Roman" w:cs="Times New Roman"/>
        </w:rPr>
        <w:t>:</w:t>
      </w:r>
      <w:r w:rsidRPr="00F6239D">
        <w:rPr>
          <w:rFonts w:ascii="Times New Roman" w:hAnsi="Times New Roman" w:cs="Times New Roman"/>
        </w:rPr>
        <w:t xml:space="preserve"> SC </w:t>
      </w:r>
      <w:r w:rsidR="00894133" w:rsidRPr="0022212B">
        <w:rPr>
          <w:rFonts w:ascii="Times New Roman" w:hAnsi="Times New Roman" w:cs="Times New Roman"/>
        </w:rPr>
        <w:t>2</w:t>
      </w:r>
      <w:r w:rsidRPr="00F6239D">
        <w:rPr>
          <w:rFonts w:ascii="Times New Roman" w:hAnsi="Times New Roman" w:cs="Times New Roman"/>
        </w:rPr>
        <w:t>.</w:t>
      </w:r>
      <w:r w:rsidR="00894133" w:rsidRPr="0022212B">
        <w:rPr>
          <w:rFonts w:ascii="Times New Roman" w:hAnsi="Times New Roman" w:cs="Times New Roman"/>
        </w:rPr>
        <w:t>1</w:t>
      </w:r>
      <w:r w:rsidRPr="00F6239D">
        <w:rPr>
          <w:rFonts w:ascii="Times New Roman" w:hAnsi="Times New Roman" w:cs="Times New Roman"/>
        </w:rPr>
        <w:t>: Dimenze 1 – oblast intervence</w:t>
      </w:r>
    </w:p>
    <w:tbl>
      <w:tblPr>
        <w:tblStyle w:val="Tabulkasmkou4zvraznn1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6"/>
        <w:gridCol w:w="1047"/>
        <w:gridCol w:w="2701"/>
        <w:gridCol w:w="1385"/>
        <w:gridCol w:w="1462"/>
        <w:gridCol w:w="1958"/>
      </w:tblGrid>
      <w:tr w:rsidR="0022212B" w:rsidRPr="0022212B" w:rsidTr="006F49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tcBorders>
              <w:right w:val="single" w:sz="4" w:space="0" w:color="4472C4" w:themeColor="accent1"/>
            </w:tcBorders>
            <w:shd w:val="clear" w:color="auto" w:fill="002060"/>
            <w:hideMark/>
          </w:tcPr>
          <w:p w:rsidR="00C07F73" w:rsidRPr="006F4971" w:rsidRDefault="00C07F73" w:rsidP="00444E35">
            <w:pPr>
              <w:jc w:val="center"/>
              <w:rPr>
                <w:rFonts w:eastAsia="Times New Roman"/>
                <w:color w:val="auto"/>
                <w:sz w:val="18"/>
                <w:szCs w:val="18"/>
              </w:rPr>
            </w:pPr>
            <w:r w:rsidRPr="006F4971">
              <w:rPr>
                <w:rFonts w:eastAsia="Times New Roman"/>
                <w:color w:val="auto"/>
                <w:sz w:val="18"/>
                <w:szCs w:val="18"/>
              </w:rPr>
              <w:t>Číslo priority</w:t>
            </w:r>
          </w:p>
        </w:tc>
        <w:tc>
          <w:tcPr>
            <w:tcW w:w="104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hideMark/>
          </w:tcPr>
          <w:p w:rsidR="00C07F73" w:rsidRPr="006F4971" w:rsidRDefault="00C07F73" w:rsidP="00444E3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18"/>
                <w:szCs w:val="18"/>
              </w:rPr>
            </w:pPr>
            <w:r w:rsidRPr="006F4971">
              <w:rPr>
                <w:rFonts w:eastAsia="Times New Roman"/>
                <w:color w:val="auto"/>
                <w:sz w:val="18"/>
                <w:szCs w:val="18"/>
              </w:rPr>
              <w:t>Fond</w:t>
            </w:r>
          </w:p>
        </w:tc>
        <w:tc>
          <w:tcPr>
            <w:tcW w:w="2701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hideMark/>
          </w:tcPr>
          <w:p w:rsidR="00C07F73" w:rsidRPr="006F4971" w:rsidRDefault="00C07F73" w:rsidP="00444E3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18"/>
                <w:szCs w:val="18"/>
              </w:rPr>
            </w:pPr>
            <w:r w:rsidRPr="006F4971">
              <w:rPr>
                <w:rFonts w:eastAsia="Times New Roman"/>
                <w:color w:val="auto"/>
                <w:sz w:val="18"/>
                <w:szCs w:val="18"/>
              </w:rPr>
              <w:t>Kategorie regionu</w:t>
            </w:r>
          </w:p>
        </w:tc>
        <w:tc>
          <w:tcPr>
            <w:tcW w:w="1385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</w:tcPr>
          <w:p w:rsidR="00C07F73" w:rsidRPr="006F4971" w:rsidRDefault="00C07F73" w:rsidP="00444E3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18"/>
                <w:szCs w:val="18"/>
              </w:rPr>
            </w:pPr>
            <w:r w:rsidRPr="006F4971">
              <w:rPr>
                <w:rFonts w:eastAsia="Times New Roman"/>
                <w:color w:val="auto"/>
                <w:sz w:val="18"/>
                <w:szCs w:val="18"/>
              </w:rPr>
              <w:t>Specifický cíl</w:t>
            </w:r>
          </w:p>
        </w:tc>
        <w:tc>
          <w:tcPr>
            <w:tcW w:w="1462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hideMark/>
          </w:tcPr>
          <w:p w:rsidR="00C07F73" w:rsidRPr="006F4971" w:rsidRDefault="00C07F73" w:rsidP="00444E3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18"/>
                <w:szCs w:val="18"/>
              </w:rPr>
            </w:pPr>
            <w:r w:rsidRPr="006F4971">
              <w:rPr>
                <w:rFonts w:eastAsia="Times New Roman"/>
                <w:color w:val="auto"/>
                <w:sz w:val="18"/>
                <w:szCs w:val="18"/>
              </w:rPr>
              <w:t>Kód</w:t>
            </w:r>
          </w:p>
        </w:tc>
        <w:tc>
          <w:tcPr>
            <w:tcW w:w="1958" w:type="dxa"/>
            <w:tcBorders>
              <w:left w:val="single" w:sz="4" w:space="0" w:color="4472C4" w:themeColor="accent1"/>
            </w:tcBorders>
            <w:shd w:val="clear" w:color="auto" w:fill="002060"/>
            <w:hideMark/>
          </w:tcPr>
          <w:p w:rsidR="00C07F73" w:rsidRPr="006F4971" w:rsidRDefault="00C07F73" w:rsidP="00444E3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18"/>
                <w:szCs w:val="18"/>
              </w:rPr>
            </w:pPr>
            <w:r w:rsidRPr="006F4971">
              <w:rPr>
                <w:rFonts w:eastAsia="Times New Roman"/>
                <w:color w:val="auto"/>
                <w:sz w:val="18"/>
                <w:szCs w:val="18"/>
              </w:rPr>
              <w:t>Částka (v EUR)</w:t>
            </w:r>
          </w:p>
        </w:tc>
      </w:tr>
      <w:tr w:rsidR="0022212B" w:rsidRPr="0022212B" w:rsidTr="006F49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81A47" w:rsidRPr="006F4971" w:rsidRDefault="00781A47" w:rsidP="006F4971">
            <w:pPr>
              <w:spacing w:before="0" w:after="0"/>
              <w:rPr>
                <w:rFonts w:eastAsia="Times New Roman"/>
                <w:b w:val="0"/>
                <w:sz w:val="18"/>
                <w:szCs w:val="18"/>
              </w:rPr>
            </w:pPr>
            <w:r w:rsidRPr="006F4971">
              <w:rPr>
                <w:rFonts w:eastAsia="Times New Roman"/>
                <w:b w:val="0"/>
                <w:sz w:val="18"/>
                <w:szCs w:val="18"/>
              </w:rPr>
              <w:t>P</w:t>
            </w:r>
            <w:r w:rsidR="009C7168" w:rsidRPr="006F4971">
              <w:rPr>
                <w:rFonts w:eastAsia="Times New Roman"/>
                <w:b w:val="0"/>
                <w:sz w:val="18"/>
                <w:szCs w:val="18"/>
              </w:rPr>
              <w:t>2</w:t>
            </w:r>
          </w:p>
        </w:tc>
        <w:tc>
          <w:tcPr>
            <w:tcW w:w="1047" w:type="dxa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81A47" w:rsidRPr="006F4971" w:rsidRDefault="00781A47" w:rsidP="006F4971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6F4971">
              <w:rPr>
                <w:rFonts w:eastAsia="Times New Roman"/>
                <w:sz w:val="18"/>
                <w:szCs w:val="18"/>
              </w:rPr>
              <w:t>ERDF</w:t>
            </w:r>
          </w:p>
        </w:tc>
        <w:tc>
          <w:tcPr>
            <w:tcW w:w="270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81A47" w:rsidRPr="006F4971" w:rsidRDefault="00781A47" w:rsidP="006F4971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6F4971">
              <w:rPr>
                <w:rFonts w:eastAsia="Times New Roman"/>
                <w:sz w:val="18"/>
                <w:szCs w:val="18"/>
              </w:rPr>
              <w:t>Více rozvinuté</w:t>
            </w:r>
          </w:p>
        </w:tc>
        <w:tc>
          <w:tcPr>
            <w:tcW w:w="1385" w:type="dxa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781A47" w:rsidRPr="006F4971" w:rsidRDefault="00781A47" w:rsidP="006F4971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6F4971">
              <w:rPr>
                <w:rFonts w:eastAsia="Times New Roman"/>
                <w:sz w:val="18"/>
                <w:szCs w:val="18"/>
              </w:rPr>
              <w:t>2.1</w:t>
            </w:r>
          </w:p>
        </w:tc>
        <w:tc>
          <w:tcPr>
            <w:tcW w:w="1462" w:type="dxa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781A47" w:rsidRPr="006F4971" w:rsidRDefault="00781A47" w:rsidP="006F4971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6F4971">
              <w:rPr>
                <w:rFonts w:eastAsia="Times New Roman"/>
                <w:sz w:val="18"/>
                <w:szCs w:val="18"/>
              </w:rPr>
              <w:t>087</w:t>
            </w:r>
          </w:p>
        </w:tc>
        <w:tc>
          <w:tcPr>
            <w:tcW w:w="195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781A47" w:rsidRPr="006F4971" w:rsidRDefault="00781A47" w:rsidP="006F4971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6F4971">
              <w:rPr>
                <w:rFonts w:eastAsia="Times New Roman"/>
                <w:sz w:val="18"/>
                <w:szCs w:val="18"/>
              </w:rPr>
              <w:t>34 301 428</w:t>
            </w:r>
          </w:p>
        </w:tc>
      </w:tr>
      <w:tr w:rsidR="0022212B" w:rsidRPr="0022212B" w:rsidTr="006F4971">
        <w:trPr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81A47" w:rsidRPr="006F4971" w:rsidRDefault="00781A47" w:rsidP="006F4971">
            <w:pPr>
              <w:spacing w:before="0" w:after="0"/>
              <w:rPr>
                <w:rFonts w:eastAsia="Times New Roman"/>
                <w:b w:val="0"/>
                <w:sz w:val="18"/>
                <w:szCs w:val="18"/>
              </w:rPr>
            </w:pPr>
          </w:p>
        </w:tc>
        <w:tc>
          <w:tcPr>
            <w:tcW w:w="1047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81A47" w:rsidRPr="006F4971" w:rsidRDefault="00781A47" w:rsidP="006F4971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270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81A47" w:rsidRPr="006F4971" w:rsidRDefault="00781A47" w:rsidP="006F4971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6F4971">
              <w:rPr>
                <w:rFonts w:eastAsia="Times New Roman"/>
                <w:sz w:val="18"/>
                <w:szCs w:val="18"/>
              </w:rPr>
              <w:t>Přechodové</w:t>
            </w:r>
          </w:p>
        </w:tc>
        <w:tc>
          <w:tcPr>
            <w:tcW w:w="1385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781A47" w:rsidRPr="006F4971" w:rsidRDefault="00781A47" w:rsidP="006F4971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62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781A47" w:rsidRPr="006F4971" w:rsidRDefault="00781A47" w:rsidP="006F4971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781A47" w:rsidRPr="006F4971" w:rsidRDefault="00781A47" w:rsidP="006F4971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6F4971">
              <w:rPr>
                <w:rFonts w:eastAsia="Times New Roman"/>
                <w:sz w:val="18"/>
                <w:szCs w:val="18"/>
              </w:rPr>
              <w:t>142 463 571</w:t>
            </w:r>
          </w:p>
        </w:tc>
      </w:tr>
      <w:tr w:rsidR="0022212B" w:rsidRPr="0022212B" w:rsidTr="006F49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81A47" w:rsidRPr="006F4971" w:rsidRDefault="00781A47" w:rsidP="006F4971">
            <w:pPr>
              <w:spacing w:before="0" w:after="0"/>
              <w:rPr>
                <w:rFonts w:eastAsia="Times New Roman"/>
                <w:b w:val="0"/>
                <w:sz w:val="18"/>
                <w:szCs w:val="18"/>
              </w:rPr>
            </w:pPr>
          </w:p>
        </w:tc>
        <w:tc>
          <w:tcPr>
            <w:tcW w:w="1047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81A47" w:rsidRPr="006F4971" w:rsidRDefault="00781A47" w:rsidP="006F4971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70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81A47" w:rsidRPr="006F4971" w:rsidRDefault="00781A47" w:rsidP="006F4971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6F4971">
              <w:rPr>
                <w:rFonts w:eastAsia="Times New Roman"/>
                <w:sz w:val="18"/>
                <w:szCs w:val="18"/>
              </w:rPr>
              <w:t>Méně rozvinuté</w:t>
            </w:r>
          </w:p>
        </w:tc>
        <w:tc>
          <w:tcPr>
            <w:tcW w:w="1385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781A47" w:rsidRPr="006F4971" w:rsidRDefault="00781A47" w:rsidP="006F4971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62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781A47" w:rsidRPr="006F4971" w:rsidRDefault="00781A47" w:rsidP="006F4971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781A47" w:rsidRPr="006F4971" w:rsidRDefault="00781A47" w:rsidP="006F4971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6F4971">
              <w:rPr>
                <w:rFonts w:eastAsia="Times New Roman"/>
                <w:sz w:val="18"/>
                <w:szCs w:val="18"/>
              </w:rPr>
              <w:t>238 214 128</w:t>
            </w:r>
          </w:p>
        </w:tc>
      </w:tr>
    </w:tbl>
    <w:p w:rsidR="00C07F73" w:rsidRPr="00F6239D" w:rsidRDefault="00C07F73" w:rsidP="00C07F73">
      <w:pPr>
        <w:pStyle w:val="Titulek"/>
        <w:rPr>
          <w:rFonts w:ascii="Times New Roman" w:hAnsi="Times New Roman" w:cs="Times New Roman"/>
          <w:szCs w:val="22"/>
        </w:rPr>
      </w:pPr>
      <w:r w:rsidRPr="00B169F0">
        <w:rPr>
          <w:rFonts w:ascii="Times New Roman" w:hAnsi="Times New Roman" w:cs="Times New Roman"/>
        </w:rPr>
        <w:t xml:space="preserve">Tabulka </w:t>
      </w:r>
      <w:r w:rsidR="006E256B" w:rsidRPr="00B169F0">
        <w:rPr>
          <w:rFonts w:ascii="Times New Roman" w:hAnsi="Times New Roman" w:cs="Times New Roman"/>
        </w:rPr>
        <w:fldChar w:fldCharType="begin"/>
      </w:r>
      <w:r w:rsidR="006E256B" w:rsidRPr="00B169F0">
        <w:rPr>
          <w:rFonts w:ascii="Times New Roman" w:hAnsi="Times New Roman" w:cs="Times New Roman"/>
        </w:rPr>
        <w:instrText xml:space="preserve"> SEQ Tabulka \* ARABIC </w:instrText>
      </w:r>
      <w:r w:rsidR="006E256B" w:rsidRPr="00B169F0">
        <w:rPr>
          <w:rFonts w:ascii="Times New Roman" w:hAnsi="Times New Roman" w:cs="Times New Roman"/>
        </w:rPr>
        <w:fldChar w:fldCharType="separate"/>
      </w:r>
      <w:r w:rsidR="00235E28">
        <w:rPr>
          <w:rFonts w:ascii="Times New Roman" w:hAnsi="Times New Roman" w:cs="Times New Roman"/>
          <w:noProof/>
        </w:rPr>
        <w:t>18</w:t>
      </w:r>
      <w:r w:rsidR="006E256B" w:rsidRPr="00B169F0">
        <w:rPr>
          <w:rFonts w:ascii="Times New Roman" w:hAnsi="Times New Roman" w:cs="Times New Roman"/>
        </w:rPr>
        <w:fldChar w:fldCharType="end"/>
      </w:r>
      <w:r w:rsidR="006E256B" w:rsidRPr="00B169F0">
        <w:rPr>
          <w:rFonts w:ascii="Times New Roman" w:hAnsi="Times New Roman" w:cs="Times New Roman"/>
        </w:rPr>
        <w:t>:</w:t>
      </w:r>
      <w:r w:rsidRPr="00F6239D">
        <w:rPr>
          <w:rFonts w:ascii="Times New Roman" w:hAnsi="Times New Roman" w:cs="Times New Roman"/>
          <w:szCs w:val="22"/>
        </w:rPr>
        <w:t xml:space="preserve"> SC </w:t>
      </w:r>
      <w:r w:rsidR="00894133" w:rsidRPr="0022212B">
        <w:rPr>
          <w:rFonts w:ascii="Times New Roman" w:hAnsi="Times New Roman" w:cs="Times New Roman"/>
          <w:szCs w:val="22"/>
        </w:rPr>
        <w:t>2</w:t>
      </w:r>
      <w:r w:rsidRPr="00F6239D">
        <w:rPr>
          <w:rFonts w:ascii="Times New Roman" w:hAnsi="Times New Roman" w:cs="Times New Roman"/>
          <w:szCs w:val="22"/>
        </w:rPr>
        <w:t>.</w:t>
      </w:r>
      <w:r w:rsidR="00894133" w:rsidRPr="0022212B">
        <w:rPr>
          <w:rFonts w:ascii="Times New Roman" w:hAnsi="Times New Roman" w:cs="Times New Roman"/>
          <w:szCs w:val="22"/>
        </w:rPr>
        <w:t>1</w:t>
      </w:r>
      <w:r w:rsidRPr="00F6239D">
        <w:rPr>
          <w:rFonts w:ascii="Times New Roman" w:hAnsi="Times New Roman" w:cs="Times New Roman"/>
          <w:szCs w:val="22"/>
        </w:rPr>
        <w:t>: Dimenze 2 – forma financování</w:t>
      </w:r>
    </w:p>
    <w:tbl>
      <w:tblPr>
        <w:tblStyle w:val="Tabulkasmkou4zvraznn1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6"/>
        <w:gridCol w:w="1047"/>
        <w:gridCol w:w="2701"/>
        <w:gridCol w:w="1385"/>
        <w:gridCol w:w="1462"/>
        <w:gridCol w:w="1958"/>
      </w:tblGrid>
      <w:tr w:rsidR="0022212B" w:rsidRPr="0022212B" w:rsidTr="002C30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tcBorders>
              <w:right w:val="single" w:sz="4" w:space="0" w:color="4472C4" w:themeColor="accent1"/>
            </w:tcBorders>
            <w:shd w:val="clear" w:color="auto" w:fill="002060"/>
            <w:hideMark/>
          </w:tcPr>
          <w:p w:rsidR="00C07F73" w:rsidRPr="006F4971" w:rsidRDefault="00C07F73" w:rsidP="006F4971">
            <w:pPr>
              <w:jc w:val="center"/>
              <w:rPr>
                <w:rFonts w:eastAsia="Times New Roman"/>
                <w:color w:val="auto"/>
                <w:sz w:val="18"/>
                <w:szCs w:val="18"/>
              </w:rPr>
            </w:pPr>
            <w:r w:rsidRPr="006F4971">
              <w:rPr>
                <w:rFonts w:eastAsia="Times New Roman"/>
                <w:color w:val="auto"/>
                <w:sz w:val="18"/>
                <w:szCs w:val="18"/>
              </w:rPr>
              <w:t>Číslo priority</w:t>
            </w:r>
          </w:p>
        </w:tc>
        <w:tc>
          <w:tcPr>
            <w:tcW w:w="104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hideMark/>
          </w:tcPr>
          <w:p w:rsidR="00C07F73" w:rsidRPr="006F4971" w:rsidRDefault="00C07F73" w:rsidP="006F497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18"/>
                <w:szCs w:val="18"/>
              </w:rPr>
            </w:pPr>
            <w:r w:rsidRPr="006F4971">
              <w:rPr>
                <w:rFonts w:eastAsia="Times New Roman"/>
                <w:color w:val="auto"/>
                <w:sz w:val="18"/>
                <w:szCs w:val="18"/>
              </w:rPr>
              <w:t>Fond</w:t>
            </w:r>
          </w:p>
        </w:tc>
        <w:tc>
          <w:tcPr>
            <w:tcW w:w="2701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hideMark/>
          </w:tcPr>
          <w:p w:rsidR="00C07F73" w:rsidRPr="006F4971" w:rsidRDefault="00C07F73" w:rsidP="006F497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18"/>
                <w:szCs w:val="18"/>
              </w:rPr>
            </w:pPr>
            <w:r w:rsidRPr="006F4971">
              <w:rPr>
                <w:rFonts w:eastAsia="Times New Roman"/>
                <w:color w:val="auto"/>
                <w:sz w:val="18"/>
                <w:szCs w:val="18"/>
              </w:rPr>
              <w:t>Kategorie regionu</w:t>
            </w:r>
          </w:p>
        </w:tc>
        <w:tc>
          <w:tcPr>
            <w:tcW w:w="1385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</w:tcPr>
          <w:p w:rsidR="00C07F73" w:rsidRPr="006F4971" w:rsidRDefault="00C07F73" w:rsidP="006F497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18"/>
                <w:szCs w:val="18"/>
              </w:rPr>
            </w:pPr>
            <w:r w:rsidRPr="006F4971">
              <w:rPr>
                <w:rFonts w:eastAsia="Times New Roman"/>
                <w:color w:val="auto"/>
                <w:sz w:val="18"/>
                <w:szCs w:val="18"/>
              </w:rPr>
              <w:t>Specifický cíl</w:t>
            </w:r>
          </w:p>
        </w:tc>
        <w:tc>
          <w:tcPr>
            <w:tcW w:w="1462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hideMark/>
          </w:tcPr>
          <w:p w:rsidR="00C07F73" w:rsidRPr="006F4971" w:rsidRDefault="00C07F73" w:rsidP="006F497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18"/>
                <w:szCs w:val="18"/>
              </w:rPr>
            </w:pPr>
            <w:r w:rsidRPr="006F4971">
              <w:rPr>
                <w:rFonts w:eastAsia="Times New Roman"/>
                <w:color w:val="auto"/>
                <w:sz w:val="18"/>
                <w:szCs w:val="18"/>
              </w:rPr>
              <w:t xml:space="preserve">Kód </w:t>
            </w:r>
          </w:p>
        </w:tc>
        <w:tc>
          <w:tcPr>
            <w:tcW w:w="1958" w:type="dxa"/>
            <w:tcBorders>
              <w:left w:val="single" w:sz="4" w:space="0" w:color="4472C4" w:themeColor="accent1"/>
            </w:tcBorders>
            <w:shd w:val="clear" w:color="auto" w:fill="002060"/>
            <w:hideMark/>
          </w:tcPr>
          <w:p w:rsidR="00C07F73" w:rsidRPr="006F4971" w:rsidRDefault="00C07F73" w:rsidP="006F497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18"/>
                <w:szCs w:val="18"/>
              </w:rPr>
            </w:pPr>
            <w:r w:rsidRPr="006F4971">
              <w:rPr>
                <w:rFonts w:eastAsia="Times New Roman"/>
                <w:color w:val="auto"/>
                <w:sz w:val="18"/>
                <w:szCs w:val="18"/>
              </w:rPr>
              <w:t>Částka (v EUR)</w:t>
            </w:r>
          </w:p>
        </w:tc>
      </w:tr>
      <w:tr w:rsidR="0022212B" w:rsidRPr="0022212B" w:rsidTr="004360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 w:val="restart"/>
            <w:shd w:val="clear" w:color="auto" w:fill="DEEAF6" w:themeFill="accent5" w:themeFillTint="33"/>
          </w:tcPr>
          <w:p w:rsidR="00573E37" w:rsidRPr="004360D1" w:rsidRDefault="00573E37" w:rsidP="004360D1">
            <w:pPr>
              <w:spacing w:before="0" w:after="0"/>
              <w:rPr>
                <w:rFonts w:eastAsia="Times New Roman"/>
                <w:b w:val="0"/>
                <w:sz w:val="18"/>
                <w:szCs w:val="18"/>
              </w:rPr>
            </w:pPr>
            <w:r w:rsidRPr="004360D1">
              <w:rPr>
                <w:rFonts w:eastAsia="Times New Roman"/>
                <w:b w:val="0"/>
                <w:sz w:val="18"/>
                <w:szCs w:val="18"/>
              </w:rPr>
              <w:t>P</w:t>
            </w:r>
            <w:r w:rsidR="009C7168" w:rsidRPr="004360D1">
              <w:rPr>
                <w:rFonts w:eastAsia="Times New Roman"/>
                <w:b w:val="0"/>
                <w:sz w:val="18"/>
                <w:szCs w:val="18"/>
              </w:rPr>
              <w:t>2</w:t>
            </w:r>
          </w:p>
        </w:tc>
        <w:tc>
          <w:tcPr>
            <w:tcW w:w="1047" w:type="dxa"/>
            <w:vMerge w:val="restart"/>
            <w:shd w:val="clear" w:color="auto" w:fill="DEEAF6" w:themeFill="accent5" w:themeFillTint="33"/>
          </w:tcPr>
          <w:p w:rsidR="00573E37" w:rsidRPr="006F4971" w:rsidRDefault="00573E37" w:rsidP="004360D1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6F4971">
              <w:rPr>
                <w:rFonts w:eastAsia="Times New Roman"/>
                <w:sz w:val="18"/>
                <w:szCs w:val="18"/>
              </w:rPr>
              <w:t>ERDF</w:t>
            </w:r>
          </w:p>
        </w:tc>
        <w:tc>
          <w:tcPr>
            <w:tcW w:w="2701" w:type="dxa"/>
            <w:shd w:val="clear" w:color="auto" w:fill="DEEAF6" w:themeFill="accent5" w:themeFillTint="33"/>
          </w:tcPr>
          <w:p w:rsidR="00573E37" w:rsidRPr="006F4971" w:rsidRDefault="00573E37" w:rsidP="004360D1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6F4971">
              <w:rPr>
                <w:rFonts w:eastAsia="Times New Roman"/>
                <w:sz w:val="18"/>
                <w:szCs w:val="18"/>
              </w:rPr>
              <w:t>Více rozvinuté</w:t>
            </w:r>
          </w:p>
        </w:tc>
        <w:tc>
          <w:tcPr>
            <w:tcW w:w="1385" w:type="dxa"/>
            <w:vMerge w:val="restart"/>
            <w:shd w:val="clear" w:color="auto" w:fill="DEEAF6" w:themeFill="accent5" w:themeFillTint="33"/>
            <w:vAlign w:val="center"/>
          </w:tcPr>
          <w:p w:rsidR="00573E37" w:rsidRPr="006F4971" w:rsidRDefault="00573E37" w:rsidP="004C181A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6F4971">
              <w:rPr>
                <w:rFonts w:eastAsia="Times New Roman"/>
                <w:sz w:val="18"/>
                <w:szCs w:val="18"/>
              </w:rPr>
              <w:t>2.1</w:t>
            </w:r>
          </w:p>
        </w:tc>
        <w:tc>
          <w:tcPr>
            <w:tcW w:w="1462" w:type="dxa"/>
            <w:vMerge w:val="restart"/>
            <w:shd w:val="clear" w:color="auto" w:fill="DEEAF6" w:themeFill="accent5" w:themeFillTint="33"/>
            <w:vAlign w:val="center"/>
          </w:tcPr>
          <w:p w:rsidR="00573E37" w:rsidRPr="006F4971" w:rsidRDefault="00573E37" w:rsidP="004C181A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6F4971"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573E37" w:rsidRPr="006F4971" w:rsidRDefault="00573E37" w:rsidP="004360D1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6F4971">
              <w:rPr>
                <w:rFonts w:eastAsia="Times New Roman"/>
                <w:sz w:val="18"/>
                <w:szCs w:val="18"/>
              </w:rPr>
              <w:t>34 301 428</w:t>
            </w:r>
          </w:p>
        </w:tc>
      </w:tr>
      <w:tr w:rsidR="0022212B" w:rsidRPr="0022212B" w:rsidTr="004360D1">
        <w:trPr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573E37" w:rsidRPr="004360D1" w:rsidRDefault="00573E37" w:rsidP="004360D1">
            <w:pPr>
              <w:spacing w:before="0" w:after="0"/>
              <w:rPr>
                <w:rFonts w:eastAsia="Times New Roman"/>
                <w:b w:val="0"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573E37" w:rsidRPr="004360D1" w:rsidRDefault="00573E37" w:rsidP="004360D1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2701" w:type="dxa"/>
            <w:shd w:val="clear" w:color="auto" w:fill="DEEAF6" w:themeFill="accent5" w:themeFillTint="33"/>
          </w:tcPr>
          <w:p w:rsidR="00573E37" w:rsidRPr="006F4971" w:rsidRDefault="00573E37" w:rsidP="004360D1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6F4971">
              <w:rPr>
                <w:rFonts w:eastAsia="Times New Roman"/>
                <w:sz w:val="18"/>
                <w:szCs w:val="18"/>
              </w:rPr>
              <w:t>Přechodové</w:t>
            </w:r>
          </w:p>
        </w:tc>
        <w:tc>
          <w:tcPr>
            <w:tcW w:w="1385" w:type="dxa"/>
            <w:vMerge/>
            <w:shd w:val="clear" w:color="auto" w:fill="DEEAF6" w:themeFill="accent5" w:themeFillTint="33"/>
            <w:vAlign w:val="center"/>
          </w:tcPr>
          <w:p w:rsidR="00573E37" w:rsidRPr="006F4971" w:rsidRDefault="00573E37" w:rsidP="004360D1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573E37" w:rsidRPr="006F4971" w:rsidRDefault="00573E37" w:rsidP="004360D1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573E37" w:rsidRPr="006F4971" w:rsidRDefault="00573E37" w:rsidP="004360D1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6F4971">
              <w:rPr>
                <w:rFonts w:eastAsia="Times New Roman"/>
                <w:sz w:val="18"/>
                <w:szCs w:val="18"/>
              </w:rPr>
              <w:t>142 463 571</w:t>
            </w:r>
          </w:p>
        </w:tc>
      </w:tr>
      <w:tr w:rsidR="0022212B" w:rsidRPr="0022212B" w:rsidTr="004360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573E37" w:rsidRPr="004360D1" w:rsidRDefault="00573E37" w:rsidP="004360D1">
            <w:pPr>
              <w:spacing w:before="0" w:after="0"/>
              <w:rPr>
                <w:rFonts w:eastAsia="Times New Roman"/>
                <w:b w:val="0"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573E37" w:rsidRPr="006F4971" w:rsidRDefault="00573E37" w:rsidP="004360D1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701" w:type="dxa"/>
            <w:shd w:val="clear" w:color="auto" w:fill="DEEAF6" w:themeFill="accent5" w:themeFillTint="33"/>
          </w:tcPr>
          <w:p w:rsidR="00573E37" w:rsidRPr="006F4971" w:rsidRDefault="00573E37" w:rsidP="004360D1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6F4971">
              <w:rPr>
                <w:rFonts w:eastAsia="Times New Roman"/>
                <w:sz w:val="18"/>
                <w:szCs w:val="18"/>
              </w:rPr>
              <w:t>Méně rozvinuté</w:t>
            </w:r>
          </w:p>
        </w:tc>
        <w:tc>
          <w:tcPr>
            <w:tcW w:w="1385" w:type="dxa"/>
            <w:vMerge/>
            <w:shd w:val="clear" w:color="auto" w:fill="DEEAF6" w:themeFill="accent5" w:themeFillTint="33"/>
            <w:vAlign w:val="center"/>
          </w:tcPr>
          <w:p w:rsidR="00573E37" w:rsidRPr="006F4971" w:rsidRDefault="00573E37" w:rsidP="004360D1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573E37" w:rsidRPr="006F4971" w:rsidRDefault="00573E37" w:rsidP="004360D1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573E37" w:rsidRPr="006F4971" w:rsidRDefault="00573E37" w:rsidP="004360D1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6F4971">
              <w:rPr>
                <w:rFonts w:eastAsia="Times New Roman"/>
                <w:sz w:val="18"/>
                <w:szCs w:val="18"/>
              </w:rPr>
              <w:t>238 214 128</w:t>
            </w:r>
          </w:p>
        </w:tc>
      </w:tr>
    </w:tbl>
    <w:p w:rsidR="00C07F73" w:rsidRPr="00F6239D" w:rsidRDefault="00C07F73" w:rsidP="00C07F73">
      <w:pPr>
        <w:pStyle w:val="Titulek"/>
        <w:rPr>
          <w:rFonts w:ascii="Times New Roman" w:hAnsi="Times New Roman" w:cs="Times New Roman"/>
          <w:szCs w:val="22"/>
        </w:rPr>
      </w:pPr>
      <w:r w:rsidRPr="00B169F0">
        <w:rPr>
          <w:rFonts w:ascii="Times New Roman" w:hAnsi="Times New Roman" w:cs="Times New Roman"/>
        </w:rPr>
        <w:t xml:space="preserve">Tabulka </w:t>
      </w:r>
      <w:r w:rsidR="006E256B" w:rsidRPr="00B169F0">
        <w:rPr>
          <w:rFonts w:ascii="Times New Roman" w:hAnsi="Times New Roman" w:cs="Times New Roman"/>
        </w:rPr>
        <w:fldChar w:fldCharType="begin"/>
      </w:r>
      <w:r w:rsidR="006E256B" w:rsidRPr="00B169F0">
        <w:rPr>
          <w:rFonts w:ascii="Times New Roman" w:hAnsi="Times New Roman" w:cs="Times New Roman"/>
        </w:rPr>
        <w:instrText xml:space="preserve"> SEQ Tabulka \* ARABIC </w:instrText>
      </w:r>
      <w:r w:rsidR="006E256B" w:rsidRPr="00B169F0">
        <w:rPr>
          <w:rFonts w:ascii="Times New Roman" w:hAnsi="Times New Roman" w:cs="Times New Roman"/>
        </w:rPr>
        <w:fldChar w:fldCharType="separate"/>
      </w:r>
      <w:r w:rsidR="00235E28">
        <w:rPr>
          <w:rFonts w:ascii="Times New Roman" w:hAnsi="Times New Roman" w:cs="Times New Roman"/>
          <w:noProof/>
        </w:rPr>
        <w:t>19</w:t>
      </w:r>
      <w:r w:rsidR="006E256B" w:rsidRPr="00B169F0">
        <w:rPr>
          <w:rFonts w:ascii="Times New Roman" w:hAnsi="Times New Roman" w:cs="Times New Roman"/>
        </w:rPr>
        <w:fldChar w:fldCharType="end"/>
      </w:r>
      <w:r w:rsidR="006E256B" w:rsidRPr="00B169F0">
        <w:rPr>
          <w:rFonts w:ascii="Times New Roman" w:hAnsi="Times New Roman" w:cs="Times New Roman"/>
        </w:rPr>
        <w:t>:</w:t>
      </w:r>
      <w:r w:rsidRPr="00F6239D">
        <w:rPr>
          <w:rFonts w:ascii="Times New Roman" w:hAnsi="Times New Roman" w:cs="Times New Roman"/>
          <w:szCs w:val="22"/>
        </w:rPr>
        <w:t xml:space="preserve"> SC </w:t>
      </w:r>
      <w:r w:rsidR="00894133" w:rsidRPr="0022212B">
        <w:rPr>
          <w:rFonts w:ascii="Times New Roman" w:hAnsi="Times New Roman" w:cs="Times New Roman"/>
          <w:szCs w:val="22"/>
        </w:rPr>
        <w:t>2</w:t>
      </w:r>
      <w:r w:rsidRPr="00F6239D">
        <w:rPr>
          <w:rFonts w:ascii="Times New Roman" w:hAnsi="Times New Roman" w:cs="Times New Roman"/>
          <w:szCs w:val="22"/>
        </w:rPr>
        <w:t>.</w:t>
      </w:r>
      <w:r w:rsidR="00894133" w:rsidRPr="0022212B">
        <w:rPr>
          <w:rFonts w:ascii="Times New Roman" w:hAnsi="Times New Roman" w:cs="Times New Roman"/>
          <w:szCs w:val="22"/>
        </w:rPr>
        <w:t>1</w:t>
      </w:r>
      <w:r w:rsidRPr="00F6239D">
        <w:rPr>
          <w:rFonts w:ascii="Times New Roman" w:hAnsi="Times New Roman" w:cs="Times New Roman"/>
          <w:szCs w:val="22"/>
        </w:rPr>
        <w:t>: Dimenze 3 – mechanismus územního plnění a územní zaměření</w:t>
      </w:r>
    </w:p>
    <w:tbl>
      <w:tblPr>
        <w:tblStyle w:val="Tabulkasmkou4zvraznn1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6"/>
        <w:gridCol w:w="1047"/>
        <w:gridCol w:w="2701"/>
        <w:gridCol w:w="1385"/>
        <w:gridCol w:w="1462"/>
        <w:gridCol w:w="1958"/>
      </w:tblGrid>
      <w:tr w:rsidR="0022212B" w:rsidRPr="0022212B" w:rsidTr="002C30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tcBorders>
              <w:right w:val="single" w:sz="4" w:space="0" w:color="4472C4" w:themeColor="accent1"/>
            </w:tcBorders>
            <w:shd w:val="clear" w:color="auto" w:fill="002060"/>
            <w:hideMark/>
          </w:tcPr>
          <w:p w:rsidR="00C07F73" w:rsidRPr="006F4971" w:rsidRDefault="00C07F73" w:rsidP="00444E35">
            <w:pPr>
              <w:jc w:val="center"/>
              <w:rPr>
                <w:rFonts w:eastAsia="Times New Roman"/>
                <w:color w:val="auto"/>
                <w:sz w:val="18"/>
                <w:szCs w:val="18"/>
              </w:rPr>
            </w:pPr>
            <w:r w:rsidRPr="006F4971">
              <w:rPr>
                <w:rFonts w:eastAsia="Times New Roman"/>
                <w:color w:val="auto"/>
                <w:sz w:val="18"/>
                <w:szCs w:val="18"/>
              </w:rPr>
              <w:t>Číslo priority</w:t>
            </w:r>
          </w:p>
        </w:tc>
        <w:tc>
          <w:tcPr>
            <w:tcW w:w="104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hideMark/>
          </w:tcPr>
          <w:p w:rsidR="00C07F73" w:rsidRPr="006F4971" w:rsidRDefault="00C07F73" w:rsidP="004C6B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18"/>
                <w:szCs w:val="18"/>
              </w:rPr>
            </w:pPr>
            <w:r w:rsidRPr="006F4971">
              <w:rPr>
                <w:rFonts w:eastAsia="Times New Roman"/>
                <w:color w:val="auto"/>
                <w:sz w:val="18"/>
                <w:szCs w:val="18"/>
              </w:rPr>
              <w:t>Fond</w:t>
            </w:r>
          </w:p>
        </w:tc>
        <w:tc>
          <w:tcPr>
            <w:tcW w:w="2701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hideMark/>
          </w:tcPr>
          <w:p w:rsidR="00C07F73" w:rsidRPr="006F4971" w:rsidRDefault="00C07F73" w:rsidP="004C6B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18"/>
                <w:szCs w:val="18"/>
              </w:rPr>
            </w:pPr>
            <w:r w:rsidRPr="006F4971">
              <w:rPr>
                <w:rFonts w:eastAsia="Times New Roman"/>
                <w:color w:val="auto"/>
                <w:sz w:val="18"/>
                <w:szCs w:val="18"/>
              </w:rPr>
              <w:t>Kategorie regionu</w:t>
            </w:r>
          </w:p>
        </w:tc>
        <w:tc>
          <w:tcPr>
            <w:tcW w:w="1385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</w:tcPr>
          <w:p w:rsidR="00C07F73" w:rsidRPr="006F4971" w:rsidRDefault="00C07F73" w:rsidP="004C6B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18"/>
                <w:szCs w:val="18"/>
              </w:rPr>
            </w:pPr>
            <w:r w:rsidRPr="006F4971">
              <w:rPr>
                <w:rFonts w:eastAsia="Times New Roman"/>
                <w:color w:val="auto"/>
                <w:sz w:val="18"/>
                <w:szCs w:val="18"/>
              </w:rPr>
              <w:t>Specifický cíl</w:t>
            </w:r>
          </w:p>
        </w:tc>
        <w:tc>
          <w:tcPr>
            <w:tcW w:w="1462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hideMark/>
          </w:tcPr>
          <w:p w:rsidR="00C07F73" w:rsidRPr="006F4971" w:rsidRDefault="00C07F73" w:rsidP="004C6B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18"/>
                <w:szCs w:val="18"/>
              </w:rPr>
            </w:pPr>
            <w:r w:rsidRPr="006F4971">
              <w:rPr>
                <w:rFonts w:eastAsia="Times New Roman"/>
                <w:color w:val="auto"/>
                <w:sz w:val="18"/>
                <w:szCs w:val="18"/>
              </w:rPr>
              <w:t>Kód</w:t>
            </w:r>
          </w:p>
        </w:tc>
        <w:tc>
          <w:tcPr>
            <w:tcW w:w="1958" w:type="dxa"/>
            <w:tcBorders>
              <w:left w:val="single" w:sz="4" w:space="0" w:color="4472C4" w:themeColor="accent1"/>
            </w:tcBorders>
            <w:shd w:val="clear" w:color="auto" w:fill="002060"/>
            <w:hideMark/>
          </w:tcPr>
          <w:p w:rsidR="00C07F73" w:rsidRPr="006F4971" w:rsidRDefault="00C07F73" w:rsidP="004C6B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18"/>
                <w:szCs w:val="18"/>
              </w:rPr>
            </w:pPr>
            <w:r w:rsidRPr="006F4971">
              <w:rPr>
                <w:rFonts w:eastAsia="Times New Roman"/>
                <w:color w:val="auto"/>
                <w:sz w:val="18"/>
                <w:szCs w:val="18"/>
              </w:rPr>
              <w:t>Částka (v EUR)</w:t>
            </w:r>
          </w:p>
        </w:tc>
      </w:tr>
      <w:tr w:rsidR="0022212B" w:rsidRPr="0022212B" w:rsidTr="00645F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 w:val="restart"/>
            <w:shd w:val="clear" w:color="auto" w:fill="DEEAF6" w:themeFill="accent5" w:themeFillTint="33"/>
          </w:tcPr>
          <w:p w:rsidR="00573E37" w:rsidRPr="00645FB8" w:rsidRDefault="00573E37" w:rsidP="004C6BBD">
            <w:pPr>
              <w:spacing w:before="0" w:after="0"/>
              <w:rPr>
                <w:rFonts w:eastAsia="Times New Roman"/>
                <w:b w:val="0"/>
                <w:sz w:val="18"/>
                <w:szCs w:val="18"/>
              </w:rPr>
            </w:pPr>
            <w:r w:rsidRPr="00645FB8">
              <w:rPr>
                <w:rFonts w:eastAsia="Times New Roman"/>
                <w:b w:val="0"/>
                <w:sz w:val="18"/>
                <w:szCs w:val="18"/>
              </w:rPr>
              <w:t>P</w:t>
            </w:r>
            <w:r w:rsidR="009C7168" w:rsidRPr="00645FB8">
              <w:rPr>
                <w:rFonts w:eastAsia="Times New Roman"/>
                <w:b w:val="0"/>
                <w:sz w:val="18"/>
                <w:szCs w:val="18"/>
              </w:rPr>
              <w:t>2</w:t>
            </w:r>
          </w:p>
        </w:tc>
        <w:tc>
          <w:tcPr>
            <w:tcW w:w="1047" w:type="dxa"/>
            <w:vMerge w:val="restart"/>
            <w:shd w:val="clear" w:color="auto" w:fill="DEEAF6" w:themeFill="accent5" w:themeFillTint="33"/>
          </w:tcPr>
          <w:p w:rsidR="00573E37" w:rsidRPr="006F4971" w:rsidRDefault="00573E37" w:rsidP="006F4971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6F4971">
              <w:rPr>
                <w:rFonts w:eastAsia="Times New Roman"/>
                <w:sz w:val="18"/>
                <w:szCs w:val="18"/>
              </w:rPr>
              <w:t>ERDF</w:t>
            </w:r>
          </w:p>
        </w:tc>
        <w:tc>
          <w:tcPr>
            <w:tcW w:w="2701" w:type="dxa"/>
            <w:shd w:val="clear" w:color="auto" w:fill="DEEAF6" w:themeFill="accent5" w:themeFillTint="33"/>
          </w:tcPr>
          <w:p w:rsidR="00573E37" w:rsidRPr="006F4971" w:rsidRDefault="00573E37" w:rsidP="006F4971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6F4971">
              <w:rPr>
                <w:rFonts w:eastAsia="Times New Roman"/>
                <w:sz w:val="18"/>
                <w:szCs w:val="18"/>
              </w:rPr>
              <w:t>Více rozvinuté</w:t>
            </w:r>
          </w:p>
        </w:tc>
        <w:tc>
          <w:tcPr>
            <w:tcW w:w="1385" w:type="dxa"/>
            <w:vMerge w:val="restart"/>
            <w:shd w:val="clear" w:color="auto" w:fill="DEEAF6" w:themeFill="accent5" w:themeFillTint="33"/>
            <w:vAlign w:val="center"/>
          </w:tcPr>
          <w:p w:rsidR="00573E37" w:rsidRPr="006F4971" w:rsidRDefault="00573E37" w:rsidP="006F4971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6F4971">
              <w:rPr>
                <w:rFonts w:eastAsia="Times New Roman"/>
                <w:sz w:val="18"/>
                <w:szCs w:val="18"/>
              </w:rPr>
              <w:t>2.1</w:t>
            </w:r>
          </w:p>
        </w:tc>
        <w:tc>
          <w:tcPr>
            <w:tcW w:w="1462" w:type="dxa"/>
            <w:vMerge w:val="restart"/>
            <w:shd w:val="clear" w:color="auto" w:fill="DEEAF6" w:themeFill="accent5" w:themeFillTint="33"/>
            <w:vAlign w:val="center"/>
          </w:tcPr>
          <w:p w:rsidR="00573E37" w:rsidRPr="006F4971" w:rsidRDefault="00573E37" w:rsidP="006F4971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6F4971">
              <w:rPr>
                <w:rFonts w:eastAsia="Times New Roman"/>
                <w:sz w:val="18"/>
                <w:szCs w:val="18"/>
              </w:rPr>
              <w:t>48</w:t>
            </w: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573E37" w:rsidRPr="006F4971" w:rsidRDefault="00573E37" w:rsidP="006F4971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6F4971">
              <w:rPr>
                <w:rFonts w:eastAsia="Times New Roman"/>
                <w:sz w:val="18"/>
                <w:szCs w:val="18"/>
              </w:rPr>
              <w:t>34 301 428</w:t>
            </w:r>
          </w:p>
        </w:tc>
      </w:tr>
      <w:tr w:rsidR="0022212B" w:rsidRPr="0022212B" w:rsidTr="00645FB8">
        <w:trPr>
          <w:trHeight w:val="1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573E37" w:rsidRPr="006F4971" w:rsidRDefault="00573E37" w:rsidP="006F4971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573E37" w:rsidRPr="006F4971" w:rsidRDefault="00573E37" w:rsidP="006F4971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701" w:type="dxa"/>
            <w:shd w:val="clear" w:color="auto" w:fill="DEEAF6" w:themeFill="accent5" w:themeFillTint="33"/>
          </w:tcPr>
          <w:p w:rsidR="00573E37" w:rsidRPr="006F4971" w:rsidRDefault="00573E37" w:rsidP="006F4971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6F4971">
              <w:rPr>
                <w:rFonts w:eastAsia="Times New Roman"/>
                <w:sz w:val="18"/>
                <w:szCs w:val="18"/>
              </w:rPr>
              <w:t>Přechodové</w:t>
            </w:r>
          </w:p>
        </w:tc>
        <w:tc>
          <w:tcPr>
            <w:tcW w:w="1385" w:type="dxa"/>
            <w:vMerge/>
            <w:shd w:val="clear" w:color="auto" w:fill="DEEAF6" w:themeFill="accent5" w:themeFillTint="33"/>
            <w:vAlign w:val="center"/>
          </w:tcPr>
          <w:p w:rsidR="00573E37" w:rsidRPr="006F4971" w:rsidRDefault="00573E37" w:rsidP="006F4971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573E37" w:rsidRPr="006F4971" w:rsidRDefault="00573E37" w:rsidP="006F4971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573E37" w:rsidRPr="006F4971" w:rsidRDefault="00573E37" w:rsidP="006F4971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6F4971">
              <w:rPr>
                <w:rFonts w:eastAsia="Times New Roman"/>
                <w:sz w:val="18"/>
                <w:szCs w:val="18"/>
              </w:rPr>
              <w:t>142 463 571</w:t>
            </w:r>
          </w:p>
        </w:tc>
      </w:tr>
      <w:tr w:rsidR="0022212B" w:rsidRPr="0022212B" w:rsidTr="00645F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573E37" w:rsidRPr="006F4971" w:rsidRDefault="00573E37" w:rsidP="006F4971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573E37" w:rsidRPr="006F4971" w:rsidRDefault="00573E37" w:rsidP="006F4971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701" w:type="dxa"/>
            <w:shd w:val="clear" w:color="auto" w:fill="DEEAF6" w:themeFill="accent5" w:themeFillTint="33"/>
          </w:tcPr>
          <w:p w:rsidR="00573E37" w:rsidRPr="006F4971" w:rsidRDefault="00573E37" w:rsidP="006F4971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6F4971">
              <w:rPr>
                <w:rFonts w:eastAsia="Times New Roman"/>
                <w:sz w:val="18"/>
                <w:szCs w:val="18"/>
              </w:rPr>
              <w:t>Méně rozvinuté</w:t>
            </w:r>
          </w:p>
        </w:tc>
        <w:tc>
          <w:tcPr>
            <w:tcW w:w="1385" w:type="dxa"/>
            <w:vMerge/>
            <w:shd w:val="clear" w:color="auto" w:fill="DEEAF6" w:themeFill="accent5" w:themeFillTint="33"/>
            <w:vAlign w:val="center"/>
          </w:tcPr>
          <w:p w:rsidR="00573E37" w:rsidRPr="006F4971" w:rsidRDefault="00573E37" w:rsidP="006F4971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573E37" w:rsidRPr="006F4971" w:rsidRDefault="00573E37" w:rsidP="006F4971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573E37" w:rsidRPr="006F4971" w:rsidRDefault="00573E37" w:rsidP="006F4971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6F4971">
              <w:rPr>
                <w:rFonts w:eastAsia="Times New Roman"/>
                <w:sz w:val="18"/>
                <w:szCs w:val="18"/>
              </w:rPr>
              <w:t>238 214 128</w:t>
            </w:r>
          </w:p>
        </w:tc>
      </w:tr>
    </w:tbl>
    <w:p w:rsidR="00C07F73" w:rsidRPr="00F6239D" w:rsidRDefault="00C07F73" w:rsidP="00C07F73">
      <w:pPr>
        <w:pStyle w:val="Titulek"/>
        <w:rPr>
          <w:rFonts w:ascii="Times New Roman" w:hAnsi="Times New Roman" w:cs="Times New Roman"/>
          <w:szCs w:val="22"/>
        </w:rPr>
      </w:pPr>
      <w:r w:rsidRPr="00B169F0">
        <w:rPr>
          <w:rFonts w:ascii="Times New Roman" w:hAnsi="Times New Roman" w:cs="Times New Roman"/>
        </w:rPr>
        <w:t xml:space="preserve">Tabulka </w:t>
      </w:r>
      <w:r w:rsidR="006E256B" w:rsidRPr="00B169F0">
        <w:rPr>
          <w:rFonts w:ascii="Times New Roman" w:hAnsi="Times New Roman" w:cs="Times New Roman"/>
        </w:rPr>
        <w:fldChar w:fldCharType="begin"/>
      </w:r>
      <w:r w:rsidR="006E256B" w:rsidRPr="00B169F0">
        <w:rPr>
          <w:rFonts w:ascii="Times New Roman" w:hAnsi="Times New Roman" w:cs="Times New Roman"/>
        </w:rPr>
        <w:instrText xml:space="preserve"> SEQ Tabulka \* ARABIC </w:instrText>
      </w:r>
      <w:r w:rsidR="006E256B" w:rsidRPr="00B169F0">
        <w:rPr>
          <w:rFonts w:ascii="Times New Roman" w:hAnsi="Times New Roman" w:cs="Times New Roman"/>
        </w:rPr>
        <w:fldChar w:fldCharType="separate"/>
      </w:r>
      <w:r w:rsidR="00A17DA3">
        <w:rPr>
          <w:rFonts w:ascii="Times New Roman" w:hAnsi="Times New Roman" w:cs="Times New Roman"/>
          <w:noProof/>
        </w:rPr>
        <w:t>20</w:t>
      </w:r>
      <w:r w:rsidR="006E256B" w:rsidRPr="00B169F0">
        <w:rPr>
          <w:rFonts w:ascii="Times New Roman" w:hAnsi="Times New Roman" w:cs="Times New Roman"/>
        </w:rPr>
        <w:fldChar w:fldCharType="end"/>
      </w:r>
      <w:r w:rsidR="006E256B" w:rsidRPr="00B169F0">
        <w:rPr>
          <w:rFonts w:ascii="Times New Roman" w:hAnsi="Times New Roman" w:cs="Times New Roman"/>
        </w:rPr>
        <w:t>:</w:t>
      </w:r>
      <w:r w:rsidRPr="00F6239D">
        <w:rPr>
          <w:rFonts w:ascii="Times New Roman" w:hAnsi="Times New Roman" w:cs="Times New Roman"/>
          <w:szCs w:val="22"/>
        </w:rPr>
        <w:t xml:space="preserve"> SC </w:t>
      </w:r>
      <w:r w:rsidR="00894133" w:rsidRPr="0022212B">
        <w:rPr>
          <w:rFonts w:ascii="Times New Roman" w:hAnsi="Times New Roman" w:cs="Times New Roman"/>
          <w:szCs w:val="22"/>
        </w:rPr>
        <w:t>2</w:t>
      </w:r>
      <w:r w:rsidRPr="00F6239D">
        <w:rPr>
          <w:rFonts w:ascii="Times New Roman" w:hAnsi="Times New Roman" w:cs="Times New Roman"/>
          <w:szCs w:val="22"/>
        </w:rPr>
        <w:t>.</w:t>
      </w:r>
      <w:r w:rsidR="00894133" w:rsidRPr="0022212B">
        <w:rPr>
          <w:rFonts w:ascii="Times New Roman" w:hAnsi="Times New Roman" w:cs="Times New Roman"/>
          <w:szCs w:val="22"/>
        </w:rPr>
        <w:t>1</w:t>
      </w:r>
      <w:r w:rsidRPr="00F6239D">
        <w:rPr>
          <w:rFonts w:ascii="Times New Roman" w:hAnsi="Times New Roman" w:cs="Times New Roman"/>
          <w:szCs w:val="22"/>
        </w:rPr>
        <w:t xml:space="preserve">: Dimenze </w:t>
      </w:r>
      <w:r w:rsidRPr="0022212B">
        <w:rPr>
          <w:rFonts w:ascii="Times New Roman" w:hAnsi="Times New Roman" w:cs="Times New Roman"/>
          <w:szCs w:val="22"/>
        </w:rPr>
        <w:t>7</w:t>
      </w:r>
      <w:r w:rsidRPr="00F6239D">
        <w:rPr>
          <w:rFonts w:ascii="Times New Roman" w:hAnsi="Times New Roman" w:cs="Times New Roman"/>
          <w:szCs w:val="22"/>
        </w:rPr>
        <w:t xml:space="preserve"> – </w:t>
      </w:r>
      <w:r w:rsidRPr="0022212B">
        <w:rPr>
          <w:rFonts w:ascii="Times New Roman" w:hAnsi="Times New Roman" w:cs="Times New Roman"/>
          <w:szCs w:val="22"/>
        </w:rPr>
        <w:t>ESF+, ERDF, CF a JTF a dimenze rovnosti žen a mužů</w:t>
      </w:r>
    </w:p>
    <w:tbl>
      <w:tblPr>
        <w:tblStyle w:val="Tabulkasmkou4zvraznn1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6"/>
        <w:gridCol w:w="1047"/>
        <w:gridCol w:w="2701"/>
        <w:gridCol w:w="1385"/>
        <w:gridCol w:w="1462"/>
        <w:gridCol w:w="1958"/>
      </w:tblGrid>
      <w:tr w:rsidR="00C07F73" w:rsidRPr="00C07F73" w:rsidTr="008941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C07F73" w:rsidRPr="006F4971" w:rsidRDefault="00C07F73" w:rsidP="00444E35">
            <w:pPr>
              <w:jc w:val="center"/>
              <w:rPr>
                <w:rFonts w:eastAsia="Times New Roman"/>
                <w:color w:val="auto"/>
                <w:sz w:val="18"/>
                <w:szCs w:val="18"/>
              </w:rPr>
            </w:pPr>
            <w:r w:rsidRPr="006F4971">
              <w:rPr>
                <w:rFonts w:eastAsia="Times New Roman"/>
                <w:color w:val="auto"/>
                <w:sz w:val="18"/>
                <w:szCs w:val="18"/>
              </w:rPr>
              <w:t>Číslo priority</w:t>
            </w:r>
          </w:p>
        </w:tc>
        <w:tc>
          <w:tcPr>
            <w:tcW w:w="104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C07F73" w:rsidRPr="006F4971" w:rsidRDefault="00C07F73" w:rsidP="00444E3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18"/>
                <w:szCs w:val="18"/>
              </w:rPr>
            </w:pPr>
            <w:r w:rsidRPr="006F4971">
              <w:rPr>
                <w:rFonts w:eastAsia="Times New Roman"/>
                <w:color w:val="auto"/>
                <w:sz w:val="18"/>
                <w:szCs w:val="18"/>
              </w:rPr>
              <w:t>Fond</w:t>
            </w:r>
          </w:p>
        </w:tc>
        <w:tc>
          <w:tcPr>
            <w:tcW w:w="27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C07F73" w:rsidRPr="006F4971" w:rsidRDefault="00C07F73" w:rsidP="00444E3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18"/>
                <w:szCs w:val="18"/>
              </w:rPr>
            </w:pPr>
            <w:r w:rsidRPr="006F4971">
              <w:rPr>
                <w:rFonts w:eastAsia="Times New Roman"/>
                <w:color w:val="auto"/>
                <w:sz w:val="18"/>
                <w:szCs w:val="18"/>
              </w:rPr>
              <w:t>Kategorie regionu</w:t>
            </w:r>
          </w:p>
        </w:tc>
        <w:tc>
          <w:tcPr>
            <w:tcW w:w="13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</w:tcPr>
          <w:p w:rsidR="00C07F73" w:rsidRPr="006F4971" w:rsidRDefault="00C07F73" w:rsidP="00444E3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18"/>
                <w:szCs w:val="18"/>
              </w:rPr>
            </w:pPr>
            <w:r w:rsidRPr="006F4971">
              <w:rPr>
                <w:rFonts w:eastAsia="Times New Roman"/>
                <w:color w:val="auto"/>
                <w:sz w:val="18"/>
                <w:szCs w:val="18"/>
              </w:rPr>
              <w:t>Specifický cíl</w:t>
            </w:r>
          </w:p>
        </w:tc>
        <w:tc>
          <w:tcPr>
            <w:tcW w:w="14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C07F73" w:rsidRPr="006F4971" w:rsidRDefault="00C07F73" w:rsidP="00444E3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18"/>
                <w:szCs w:val="18"/>
              </w:rPr>
            </w:pPr>
            <w:r w:rsidRPr="006F4971">
              <w:rPr>
                <w:rFonts w:eastAsia="Times New Roman"/>
                <w:color w:val="auto"/>
                <w:sz w:val="18"/>
                <w:szCs w:val="18"/>
              </w:rPr>
              <w:t>Kód</w:t>
            </w:r>
          </w:p>
        </w:tc>
        <w:tc>
          <w:tcPr>
            <w:tcW w:w="19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C07F73" w:rsidRPr="006F4971" w:rsidRDefault="00C07F73" w:rsidP="00444E3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18"/>
                <w:szCs w:val="18"/>
              </w:rPr>
            </w:pPr>
            <w:r w:rsidRPr="006F4971">
              <w:rPr>
                <w:rFonts w:eastAsia="Times New Roman"/>
                <w:color w:val="auto"/>
                <w:sz w:val="18"/>
                <w:szCs w:val="18"/>
              </w:rPr>
              <w:t>Částka (v EUR)</w:t>
            </w:r>
          </w:p>
        </w:tc>
      </w:tr>
      <w:tr w:rsidR="00894133" w:rsidRPr="00C07F73" w:rsidTr="003F78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 w:val="restart"/>
            <w:shd w:val="clear" w:color="auto" w:fill="DEEAF6" w:themeFill="accent5" w:themeFillTint="33"/>
          </w:tcPr>
          <w:p w:rsidR="00894133" w:rsidRPr="003F7891" w:rsidRDefault="00894133" w:rsidP="003F7891">
            <w:pPr>
              <w:spacing w:before="0" w:after="0"/>
              <w:rPr>
                <w:rFonts w:eastAsia="Times New Roman"/>
                <w:b w:val="0"/>
                <w:sz w:val="18"/>
                <w:szCs w:val="18"/>
              </w:rPr>
            </w:pPr>
            <w:r w:rsidRPr="003F7891">
              <w:rPr>
                <w:rFonts w:eastAsia="Times New Roman"/>
                <w:b w:val="0"/>
                <w:sz w:val="18"/>
                <w:szCs w:val="18"/>
              </w:rPr>
              <w:t>P</w:t>
            </w:r>
            <w:r w:rsidR="009C7168" w:rsidRPr="003F7891">
              <w:rPr>
                <w:rFonts w:eastAsia="Times New Roman"/>
                <w:b w:val="0"/>
                <w:sz w:val="18"/>
                <w:szCs w:val="18"/>
              </w:rPr>
              <w:t>2</w:t>
            </w:r>
          </w:p>
        </w:tc>
        <w:tc>
          <w:tcPr>
            <w:tcW w:w="1047" w:type="dxa"/>
            <w:vMerge w:val="restart"/>
            <w:shd w:val="clear" w:color="auto" w:fill="DEEAF6" w:themeFill="accent5" w:themeFillTint="33"/>
          </w:tcPr>
          <w:p w:rsidR="00894133" w:rsidRPr="006F4971" w:rsidRDefault="00894133" w:rsidP="003F7891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6F4971">
              <w:rPr>
                <w:rFonts w:eastAsia="Times New Roman"/>
                <w:sz w:val="18"/>
                <w:szCs w:val="18"/>
              </w:rPr>
              <w:t>ERDF</w:t>
            </w:r>
          </w:p>
        </w:tc>
        <w:tc>
          <w:tcPr>
            <w:tcW w:w="2701" w:type="dxa"/>
            <w:shd w:val="clear" w:color="auto" w:fill="DEEAF6" w:themeFill="accent5" w:themeFillTint="33"/>
          </w:tcPr>
          <w:p w:rsidR="00894133" w:rsidRPr="006F4971" w:rsidRDefault="00894133" w:rsidP="003F7891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6F4971">
              <w:rPr>
                <w:rFonts w:eastAsia="Times New Roman"/>
                <w:sz w:val="18"/>
                <w:szCs w:val="18"/>
              </w:rPr>
              <w:t>Více rozvinuté</w:t>
            </w:r>
          </w:p>
        </w:tc>
        <w:tc>
          <w:tcPr>
            <w:tcW w:w="1385" w:type="dxa"/>
            <w:vMerge w:val="restart"/>
            <w:shd w:val="clear" w:color="auto" w:fill="DEEAF6" w:themeFill="accent5" w:themeFillTint="33"/>
            <w:vAlign w:val="center"/>
          </w:tcPr>
          <w:p w:rsidR="00894133" w:rsidRPr="006F4971" w:rsidRDefault="00894133" w:rsidP="003F7891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6F4971">
              <w:rPr>
                <w:rFonts w:eastAsia="Times New Roman"/>
                <w:sz w:val="18"/>
                <w:szCs w:val="18"/>
              </w:rPr>
              <w:t>2.1</w:t>
            </w:r>
          </w:p>
        </w:tc>
        <w:tc>
          <w:tcPr>
            <w:tcW w:w="1462" w:type="dxa"/>
            <w:vMerge w:val="restart"/>
            <w:shd w:val="clear" w:color="auto" w:fill="DEEAF6" w:themeFill="accent5" w:themeFillTint="33"/>
            <w:vAlign w:val="center"/>
          </w:tcPr>
          <w:p w:rsidR="00894133" w:rsidRPr="006F4971" w:rsidRDefault="00894133" w:rsidP="003F7891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6F4971">
              <w:rPr>
                <w:rFonts w:eastAsia="Times New Roman"/>
                <w:sz w:val="18"/>
                <w:szCs w:val="18"/>
              </w:rPr>
              <w:t>3</w:t>
            </w: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894133" w:rsidRPr="006F4971" w:rsidRDefault="00894133" w:rsidP="003F7891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6F4971">
              <w:rPr>
                <w:rFonts w:eastAsia="Times New Roman"/>
                <w:sz w:val="18"/>
                <w:szCs w:val="18"/>
              </w:rPr>
              <w:t>34 301 428</w:t>
            </w:r>
          </w:p>
        </w:tc>
      </w:tr>
      <w:tr w:rsidR="00894133" w:rsidRPr="00C07F73" w:rsidTr="003F7891">
        <w:trPr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894133" w:rsidRPr="003F7891" w:rsidRDefault="00894133" w:rsidP="003F7891">
            <w:pPr>
              <w:spacing w:before="0" w:after="0"/>
              <w:rPr>
                <w:rFonts w:eastAsia="Times New Roman"/>
                <w:b w:val="0"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894133" w:rsidRPr="003F7891" w:rsidRDefault="00894133" w:rsidP="003F7891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2701" w:type="dxa"/>
            <w:shd w:val="clear" w:color="auto" w:fill="DEEAF6" w:themeFill="accent5" w:themeFillTint="33"/>
          </w:tcPr>
          <w:p w:rsidR="00894133" w:rsidRPr="006F4971" w:rsidRDefault="00894133" w:rsidP="003F7891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6F4971">
              <w:rPr>
                <w:rFonts w:eastAsia="Times New Roman"/>
                <w:sz w:val="18"/>
                <w:szCs w:val="18"/>
              </w:rPr>
              <w:t>Přechodové</w:t>
            </w:r>
          </w:p>
        </w:tc>
        <w:tc>
          <w:tcPr>
            <w:tcW w:w="1385" w:type="dxa"/>
            <w:vMerge/>
            <w:shd w:val="clear" w:color="auto" w:fill="DEEAF6" w:themeFill="accent5" w:themeFillTint="33"/>
            <w:vAlign w:val="center"/>
          </w:tcPr>
          <w:p w:rsidR="00894133" w:rsidRPr="006F4971" w:rsidRDefault="00894133" w:rsidP="003F7891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894133" w:rsidRPr="006F4971" w:rsidRDefault="00894133" w:rsidP="003F7891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894133" w:rsidRPr="006F4971" w:rsidRDefault="00894133" w:rsidP="003F7891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6F4971">
              <w:rPr>
                <w:rFonts w:eastAsia="Times New Roman"/>
                <w:sz w:val="18"/>
                <w:szCs w:val="18"/>
              </w:rPr>
              <w:t>142 463 571</w:t>
            </w:r>
          </w:p>
        </w:tc>
      </w:tr>
      <w:tr w:rsidR="00894133" w:rsidRPr="00C07F73" w:rsidTr="003F78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894133" w:rsidRPr="003F7891" w:rsidRDefault="00894133" w:rsidP="003F7891">
            <w:pPr>
              <w:spacing w:before="0" w:after="0"/>
              <w:rPr>
                <w:rFonts w:eastAsia="Times New Roman"/>
                <w:b w:val="0"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894133" w:rsidRPr="006F4971" w:rsidRDefault="00894133" w:rsidP="003F7891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701" w:type="dxa"/>
            <w:shd w:val="clear" w:color="auto" w:fill="DEEAF6" w:themeFill="accent5" w:themeFillTint="33"/>
          </w:tcPr>
          <w:p w:rsidR="00894133" w:rsidRPr="006F4971" w:rsidRDefault="00894133" w:rsidP="003F7891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6F4971">
              <w:rPr>
                <w:rFonts w:eastAsia="Times New Roman"/>
                <w:sz w:val="18"/>
                <w:szCs w:val="18"/>
              </w:rPr>
              <w:t>Méně rozvinuté</w:t>
            </w:r>
          </w:p>
        </w:tc>
        <w:tc>
          <w:tcPr>
            <w:tcW w:w="1385" w:type="dxa"/>
            <w:vMerge/>
            <w:shd w:val="clear" w:color="auto" w:fill="DEEAF6" w:themeFill="accent5" w:themeFillTint="33"/>
            <w:vAlign w:val="center"/>
          </w:tcPr>
          <w:p w:rsidR="00894133" w:rsidRPr="006F4971" w:rsidRDefault="00894133" w:rsidP="003F7891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894133" w:rsidRPr="006F4971" w:rsidRDefault="00894133" w:rsidP="003F7891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894133" w:rsidRPr="006F4971" w:rsidRDefault="00894133" w:rsidP="003F7891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6F4971">
              <w:rPr>
                <w:rFonts w:eastAsia="Times New Roman"/>
                <w:sz w:val="18"/>
                <w:szCs w:val="18"/>
              </w:rPr>
              <w:t>238 214 128</w:t>
            </w:r>
          </w:p>
        </w:tc>
      </w:tr>
    </w:tbl>
    <w:p w:rsidR="00D10EA1" w:rsidRDefault="00D10EA1" w:rsidP="00636242">
      <w:pPr>
        <w:pStyle w:val="Nadpis3"/>
        <w:numPr>
          <w:ilvl w:val="0"/>
          <w:numId w:val="0"/>
        </w:numPr>
        <w:ind w:left="851"/>
        <w:rPr>
          <w:b/>
          <w:lang w:val="cs-CZ" w:eastAsia="cs-CZ" w:bidi="cs-CZ"/>
        </w:rPr>
      </w:pPr>
    </w:p>
    <w:p w:rsidR="004C55F4" w:rsidRPr="00B175FB" w:rsidRDefault="006C0FF9" w:rsidP="00636242">
      <w:pPr>
        <w:pStyle w:val="Nadpis3"/>
        <w:rPr>
          <w:b/>
          <w:color w:val="1F4E79" w:themeColor="accent5" w:themeShade="80"/>
          <w:lang w:val="cs-CZ" w:eastAsia="cs-CZ" w:bidi="cs-CZ"/>
        </w:rPr>
      </w:pPr>
      <w:bookmarkStart w:id="155" w:name="_Toc33000818"/>
      <w:bookmarkStart w:id="156" w:name="_Toc66476053"/>
      <w:bookmarkStart w:id="157" w:name="_Toc68611011"/>
      <w:r w:rsidRPr="00B175FB">
        <w:rPr>
          <w:b/>
          <w:color w:val="1F4E79" w:themeColor="accent5" w:themeShade="80"/>
          <w:lang w:val="cs-CZ" w:eastAsia="cs-CZ" w:bidi="cs-CZ"/>
        </w:rPr>
        <w:t xml:space="preserve">SC 2.2 </w:t>
      </w:r>
      <w:r w:rsidR="00F11989">
        <w:rPr>
          <w:b/>
          <w:color w:val="1F4E79" w:themeColor="accent5" w:themeShade="80"/>
          <w:lang w:val="cs-CZ" w:eastAsia="cs-CZ" w:bidi="cs-CZ"/>
        </w:rPr>
        <w:t>Z</w:t>
      </w:r>
      <w:r w:rsidR="00F11989" w:rsidRPr="00F11989">
        <w:rPr>
          <w:b/>
          <w:color w:val="1F4E79" w:themeColor="accent5" w:themeShade="80"/>
          <w:lang w:val="cs-CZ" w:eastAsia="cs-CZ" w:bidi="cs-CZ"/>
        </w:rPr>
        <w:t>výšit kvalitu, inkluzivitu a účinnost systémů vzdělávání a odborné přípravy a jejich relevantnosti pro trh práce, mimo jiné i uznáváním výsledků neformálního a informálního učení, s cílem podpořit získávání klíčových kompetencí včetně podnikatelských a</w:t>
      </w:r>
      <w:r w:rsidR="00891B77">
        <w:rPr>
          <w:b/>
          <w:color w:val="1F4E79" w:themeColor="accent5" w:themeShade="80"/>
          <w:lang w:val="cs-CZ" w:eastAsia="cs-CZ" w:bidi="cs-CZ"/>
        </w:rPr>
        <w:t> </w:t>
      </w:r>
      <w:r w:rsidR="00F11989" w:rsidRPr="00F11989">
        <w:rPr>
          <w:b/>
          <w:color w:val="1F4E79" w:themeColor="accent5" w:themeShade="80"/>
          <w:lang w:val="cs-CZ" w:eastAsia="cs-CZ" w:bidi="cs-CZ"/>
        </w:rPr>
        <w:t>digitálních dovedností, a prosazováním zavádění duálních systémů odborné přípravy a</w:t>
      </w:r>
      <w:r w:rsidR="00891B77">
        <w:rPr>
          <w:b/>
          <w:color w:val="1F4E79" w:themeColor="accent5" w:themeShade="80"/>
          <w:lang w:val="cs-CZ" w:eastAsia="cs-CZ" w:bidi="cs-CZ"/>
        </w:rPr>
        <w:t> </w:t>
      </w:r>
      <w:r w:rsidR="00F11989" w:rsidRPr="00F11989">
        <w:rPr>
          <w:b/>
          <w:color w:val="1F4E79" w:themeColor="accent5" w:themeShade="80"/>
          <w:lang w:val="cs-CZ" w:eastAsia="cs-CZ" w:bidi="cs-CZ"/>
        </w:rPr>
        <w:t>učňovské přípravy</w:t>
      </w:r>
      <w:bookmarkEnd w:id="155"/>
      <w:bookmarkEnd w:id="156"/>
      <w:bookmarkEnd w:id="157"/>
    </w:p>
    <w:p w:rsidR="004C55F4" w:rsidRPr="008B61D5" w:rsidRDefault="000774D7" w:rsidP="008B61D5">
      <w:pPr>
        <w:pStyle w:val="Nadpis4"/>
        <w:rPr>
          <w:b/>
          <w:color w:val="1F4E79" w:themeColor="accent5" w:themeShade="80"/>
          <w:lang w:val="cs-CZ" w:eastAsia="cs-CZ" w:bidi="cs-CZ"/>
        </w:rPr>
      </w:pPr>
      <w:bookmarkStart w:id="158" w:name="_Toc66476054"/>
      <w:bookmarkStart w:id="159" w:name="_Toc68611012"/>
      <w:r w:rsidRPr="008B61D5">
        <w:rPr>
          <w:b/>
          <w:color w:val="1F4E79" w:themeColor="accent5" w:themeShade="80"/>
          <w:lang w:val="cs-CZ" w:eastAsia="cs-CZ" w:bidi="cs-CZ"/>
        </w:rPr>
        <w:t>Intervence fondů</w:t>
      </w:r>
      <w:bookmarkEnd w:id="158"/>
      <w:bookmarkEnd w:id="159"/>
    </w:p>
    <w:p w:rsidR="004005FF" w:rsidRPr="00B175FB" w:rsidRDefault="004005FF" w:rsidP="00877041">
      <w:pPr>
        <w:spacing w:before="0" w:line="276" w:lineRule="auto"/>
        <w:rPr>
          <w:rFonts w:eastAsia="Times New Roman"/>
          <w:b/>
          <w:bCs/>
          <w:i/>
          <w:iCs/>
          <w:noProof/>
          <w:szCs w:val="24"/>
          <w:u w:val="single"/>
        </w:rPr>
      </w:pPr>
      <w:r w:rsidRPr="00B175FB">
        <w:rPr>
          <w:rFonts w:eastAsia="Times New Roman"/>
          <w:b/>
          <w:i/>
          <w:noProof/>
          <w:szCs w:val="24"/>
        </w:rPr>
        <w:t>Související druhy č</w:t>
      </w:r>
      <w:r w:rsidR="00595F28" w:rsidRPr="00B175FB">
        <w:rPr>
          <w:rFonts w:eastAsia="Times New Roman"/>
          <w:b/>
          <w:i/>
          <w:noProof/>
          <w:szCs w:val="24"/>
        </w:rPr>
        <w:t>i</w:t>
      </w:r>
      <w:r w:rsidRPr="00B175FB">
        <w:rPr>
          <w:rFonts w:eastAsia="Times New Roman"/>
          <w:b/>
          <w:i/>
          <w:noProof/>
          <w:szCs w:val="24"/>
        </w:rPr>
        <w:t xml:space="preserve">nností </w:t>
      </w:r>
      <w:r w:rsidRPr="00B175FB">
        <w:rPr>
          <w:rFonts w:eastAsia="Times New Roman"/>
          <w:i/>
          <w:noProof/>
          <w:szCs w:val="24"/>
        </w:rPr>
        <w:t xml:space="preserve"> </w:t>
      </w: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4C55F4" w:rsidRPr="00B175FB" w:rsidTr="000C0BC3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B6F" w:rsidRPr="00B175FB" w:rsidRDefault="001B1B04" w:rsidP="0015017F">
            <w:pPr>
              <w:spacing w:line="276" w:lineRule="auto"/>
              <w:jc w:val="both"/>
              <w:rPr>
                <w:rFonts w:eastAsia="Times New Roman"/>
                <w:sz w:val="22"/>
              </w:rPr>
            </w:pPr>
            <w:bookmarkStart w:id="160" w:name="_Hlk21333147"/>
            <w:r w:rsidRPr="00B175FB">
              <w:rPr>
                <w:rFonts w:eastAsia="Times New Roman"/>
                <w:sz w:val="22"/>
              </w:rPr>
              <w:t>Vzhledem k významným z</w:t>
            </w:r>
            <w:r w:rsidR="004B7C87" w:rsidRPr="00B175FB">
              <w:rPr>
                <w:rFonts w:eastAsia="Times New Roman"/>
                <w:sz w:val="22"/>
              </w:rPr>
              <w:t>měnám ve společnosti způsobený</w:t>
            </w:r>
            <w:r w:rsidR="00D219F6">
              <w:rPr>
                <w:rFonts w:eastAsia="Times New Roman"/>
                <w:sz w:val="22"/>
              </w:rPr>
              <w:t>m</w:t>
            </w:r>
            <w:r w:rsidRPr="00B175FB">
              <w:rPr>
                <w:rFonts w:eastAsia="Times New Roman"/>
                <w:sz w:val="22"/>
              </w:rPr>
              <w:t xml:space="preserve"> dynamickým rozvojem moderních technologií je nutné tomuto vývoji přizpůsobit</w:t>
            </w:r>
            <w:r w:rsidR="00BA0B6F" w:rsidRPr="00B175FB">
              <w:rPr>
                <w:rFonts w:eastAsia="Times New Roman"/>
                <w:sz w:val="22"/>
              </w:rPr>
              <w:t xml:space="preserve"> i</w:t>
            </w:r>
            <w:r w:rsidRPr="00B175FB">
              <w:rPr>
                <w:rFonts w:eastAsia="Times New Roman"/>
                <w:sz w:val="22"/>
              </w:rPr>
              <w:t xml:space="preserve"> obsah a metody vzdělávání.</w:t>
            </w:r>
            <w:r w:rsidR="00302BC0" w:rsidRPr="00524D6C">
              <w:rPr>
                <w:rStyle w:val="Znakapoznpodarou"/>
                <w:rFonts w:eastAsia="Times New Roman"/>
                <w:b w:val="0"/>
                <w:sz w:val="22"/>
              </w:rPr>
              <w:footnoteReference w:id="74"/>
            </w:r>
            <w:r w:rsidRPr="00B175FB">
              <w:rPr>
                <w:rFonts w:eastAsia="Times New Roman"/>
                <w:sz w:val="22"/>
              </w:rPr>
              <w:t xml:space="preserve"> </w:t>
            </w:r>
            <w:r w:rsidR="00BA0B6F" w:rsidRPr="00B175FB">
              <w:rPr>
                <w:rFonts w:eastAsia="Times New Roman"/>
                <w:sz w:val="22"/>
              </w:rPr>
              <w:t>Intervence umožní, aby</w:t>
            </w:r>
            <w:r w:rsidR="00E66336" w:rsidRPr="00B175FB">
              <w:rPr>
                <w:rFonts w:eastAsia="Times New Roman"/>
                <w:sz w:val="22"/>
              </w:rPr>
              <w:t xml:space="preserve"> žáci a studenti mohli maximálně dosahovat svého potenciálu </w:t>
            </w:r>
            <w:r w:rsidR="00BA0B6F" w:rsidRPr="00B175FB">
              <w:rPr>
                <w:rFonts w:eastAsia="Times New Roman"/>
                <w:sz w:val="22"/>
              </w:rPr>
              <w:t>ve</w:t>
            </w:r>
            <w:r w:rsidR="00E66336" w:rsidRPr="00B175FB">
              <w:rPr>
                <w:rFonts w:eastAsia="Times New Roman"/>
                <w:sz w:val="22"/>
              </w:rPr>
              <w:t xml:space="preserve"> škol</w:t>
            </w:r>
            <w:r w:rsidR="00BA0B6F" w:rsidRPr="00B175FB">
              <w:rPr>
                <w:rFonts w:eastAsia="Times New Roman"/>
                <w:sz w:val="22"/>
              </w:rPr>
              <w:t xml:space="preserve">e, která </w:t>
            </w:r>
            <w:r w:rsidR="00E66336" w:rsidRPr="00B175FB">
              <w:rPr>
                <w:rFonts w:eastAsia="Times New Roman"/>
                <w:sz w:val="22"/>
              </w:rPr>
              <w:t xml:space="preserve">dbá na přiměřený rozvoj </w:t>
            </w:r>
            <w:r w:rsidR="00BA0B6F" w:rsidRPr="00B175FB">
              <w:rPr>
                <w:rFonts w:eastAsia="Times New Roman"/>
                <w:sz w:val="22"/>
              </w:rPr>
              <w:t>jejich znalostí a dovedností</w:t>
            </w:r>
            <w:r w:rsidR="00E66336" w:rsidRPr="00B175FB">
              <w:rPr>
                <w:rFonts w:eastAsia="Times New Roman"/>
                <w:sz w:val="22"/>
              </w:rPr>
              <w:t xml:space="preserve">. </w:t>
            </w:r>
            <w:r w:rsidR="00BA0B6F" w:rsidRPr="00B175FB">
              <w:rPr>
                <w:rFonts w:eastAsia="Times New Roman"/>
                <w:sz w:val="22"/>
              </w:rPr>
              <w:t>Podporovány</w:t>
            </w:r>
            <w:r w:rsidR="00D6696E" w:rsidRPr="00B175FB">
              <w:rPr>
                <w:rFonts w:eastAsia="Times New Roman"/>
                <w:sz w:val="22"/>
              </w:rPr>
              <w:t> </w:t>
            </w:r>
            <w:r w:rsidR="00BA0B6F" w:rsidRPr="00B175FB">
              <w:rPr>
                <w:rFonts w:eastAsia="Times New Roman"/>
                <w:sz w:val="22"/>
              </w:rPr>
              <w:t xml:space="preserve">budou zejména ty aktivity, které budou reagovat na strategické a společensky potřebné oblasti definované </w:t>
            </w:r>
            <w:r w:rsidR="004A4692" w:rsidRPr="00B175FB">
              <w:rPr>
                <w:rFonts w:eastAsia="Times New Roman"/>
                <w:sz w:val="22"/>
              </w:rPr>
              <w:t xml:space="preserve">především </w:t>
            </w:r>
            <w:r w:rsidR="00BA0B6F" w:rsidRPr="00B175FB">
              <w:rPr>
                <w:rFonts w:eastAsia="Times New Roman"/>
                <w:sz w:val="22"/>
              </w:rPr>
              <w:t>Strategií vzdělávací politiky ČR do roku 2030+ nebo Národní RIS3 strategií.</w:t>
            </w:r>
          </w:p>
          <w:p w:rsidR="003E2738" w:rsidRPr="00B175FB" w:rsidRDefault="00CF2601" w:rsidP="005064E3">
            <w:pPr>
              <w:spacing w:line="276" w:lineRule="auto"/>
              <w:jc w:val="both"/>
              <w:rPr>
                <w:rFonts w:eastAsia="Times New Roman"/>
                <w:sz w:val="22"/>
              </w:rPr>
            </w:pPr>
            <w:r w:rsidRPr="00B175FB">
              <w:rPr>
                <w:rFonts w:eastAsia="Times New Roman"/>
                <w:sz w:val="22"/>
              </w:rPr>
              <w:t xml:space="preserve">Intervence budou cílit </w:t>
            </w:r>
            <w:r w:rsidR="00BA0B6F" w:rsidRPr="00B175FB">
              <w:rPr>
                <w:rFonts w:eastAsia="Times New Roman"/>
                <w:sz w:val="22"/>
              </w:rPr>
              <w:t xml:space="preserve">rovněž </w:t>
            </w:r>
            <w:r w:rsidR="00C94250" w:rsidRPr="00B175FB">
              <w:rPr>
                <w:rFonts w:eastAsia="Times New Roman"/>
                <w:sz w:val="22"/>
              </w:rPr>
              <w:t>na internacionalizaci a propagaci</w:t>
            </w:r>
            <w:r w:rsidRPr="00B175FB">
              <w:rPr>
                <w:rFonts w:eastAsia="Times New Roman"/>
                <w:sz w:val="22"/>
              </w:rPr>
              <w:t xml:space="preserve"> vzdělávání</w:t>
            </w:r>
            <w:r w:rsidR="00C94250" w:rsidRPr="00B175FB">
              <w:rPr>
                <w:rFonts w:eastAsia="Times New Roman"/>
                <w:sz w:val="22"/>
              </w:rPr>
              <w:t>,</w:t>
            </w:r>
            <w:r w:rsidRPr="00B175FB">
              <w:rPr>
                <w:rFonts w:eastAsia="Times New Roman"/>
                <w:sz w:val="22"/>
              </w:rPr>
              <w:t xml:space="preserve"> přípravu absolventů pro</w:t>
            </w:r>
            <w:r w:rsidR="00450F27" w:rsidRPr="00B175FB">
              <w:rPr>
                <w:rFonts w:eastAsia="Times New Roman"/>
                <w:sz w:val="22"/>
              </w:rPr>
              <w:t> </w:t>
            </w:r>
            <w:r w:rsidR="00BA0B6F" w:rsidRPr="00B175FB">
              <w:rPr>
                <w:rFonts w:eastAsia="Times New Roman"/>
                <w:sz w:val="22"/>
              </w:rPr>
              <w:t>dlouhodobou uplatnitelnost na trhu práce</w:t>
            </w:r>
            <w:r w:rsidRPr="00B175FB">
              <w:rPr>
                <w:rFonts w:eastAsia="Times New Roman"/>
                <w:sz w:val="22"/>
              </w:rPr>
              <w:t xml:space="preserve">, posílení kombinované/distanční formy studia (relevantní </w:t>
            </w:r>
            <w:r w:rsidRPr="00B175FB">
              <w:rPr>
                <w:sz w:val="22"/>
              </w:rPr>
              <w:t>pro</w:t>
            </w:r>
            <w:r w:rsidR="00450F27" w:rsidRPr="00B175FB">
              <w:rPr>
                <w:sz w:val="22"/>
              </w:rPr>
              <w:t> </w:t>
            </w:r>
            <w:r w:rsidRPr="00B175FB">
              <w:rPr>
                <w:sz w:val="22"/>
              </w:rPr>
              <w:t>vysokoškolské</w:t>
            </w:r>
            <w:r w:rsidRPr="00B175FB">
              <w:rPr>
                <w:rFonts w:eastAsia="Times New Roman"/>
                <w:sz w:val="22"/>
              </w:rPr>
              <w:t xml:space="preserve"> vzdělávání), </w:t>
            </w:r>
            <w:r w:rsidR="00821DDC" w:rsidRPr="00B175FB">
              <w:rPr>
                <w:rFonts w:eastAsia="Times New Roman"/>
                <w:sz w:val="22"/>
              </w:rPr>
              <w:t xml:space="preserve">posílení praxí ve studijních programech, </w:t>
            </w:r>
            <w:r w:rsidRPr="00B175FB">
              <w:rPr>
                <w:rFonts w:eastAsia="Times New Roman"/>
                <w:sz w:val="22"/>
              </w:rPr>
              <w:t>přechod mezi jednotlivými stupni vzdělávání a řešení studijní neúspěšnosti</w:t>
            </w:r>
            <w:r w:rsidR="008E6400" w:rsidRPr="00B175FB">
              <w:rPr>
                <w:rFonts w:eastAsia="Times New Roman"/>
                <w:sz w:val="22"/>
              </w:rPr>
              <w:t xml:space="preserve"> </w:t>
            </w:r>
            <w:r w:rsidR="00BA0B6F" w:rsidRPr="00B175FB">
              <w:rPr>
                <w:rFonts w:eastAsia="Times New Roman"/>
                <w:sz w:val="22"/>
              </w:rPr>
              <w:t>a předčasných odchodů ze vzdělávání</w:t>
            </w:r>
            <w:r w:rsidRPr="00B175FB">
              <w:rPr>
                <w:rFonts w:eastAsia="Times New Roman"/>
                <w:sz w:val="22"/>
              </w:rPr>
              <w:t>.</w:t>
            </w:r>
          </w:p>
          <w:p w:rsidR="003E2738" w:rsidRPr="00B175FB" w:rsidRDefault="007A01AE" w:rsidP="0015017F">
            <w:pPr>
              <w:spacing w:line="276" w:lineRule="auto"/>
              <w:jc w:val="both"/>
              <w:rPr>
                <w:rFonts w:eastAsia="Times New Roman"/>
                <w:sz w:val="22"/>
              </w:rPr>
            </w:pPr>
            <w:r w:rsidRPr="00B175FB">
              <w:rPr>
                <w:rFonts w:eastAsia="Times New Roman"/>
                <w:sz w:val="22"/>
              </w:rPr>
              <w:t xml:space="preserve">Internacionalizace studia </w:t>
            </w:r>
            <w:r w:rsidR="00D55C48" w:rsidRPr="00B175FB">
              <w:rPr>
                <w:rFonts w:eastAsia="Times New Roman"/>
                <w:sz w:val="22"/>
              </w:rPr>
              <w:t xml:space="preserve">by se měla stát neoddělitelnou součástí </w:t>
            </w:r>
            <w:r w:rsidR="006443DB" w:rsidRPr="00B175FB">
              <w:rPr>
                <w:rFonts w:eastAsia="Times New Roman"/>
                <w:sz w:val="22"/>
              </w:rPr>
              <w:t>vzdělávání každého jed</w:t>
            </w:r>
            <w:r w:rsidR="00BA0B6F" w:rsidRPr="00B175FB">
              <w:rPr>
                <w:rFonts w:eastAsia="Times New Roman"/>
                <w:sz w:val="22"/>
              </w:rPr>
              <w:t>notlivce</w:t>
            </w:r>
            <w:r w:rsidR="006443DB" w:rsidRPr="00B175FB">
              <w:rPr>
                <w:rFonts w:eastAsia="Times New Roman"/>
                <w:sz w:val="22"/>
              </w:rPr>
              <w:t xml:space="preserve">, k hlavním cílům by tak mělo patřit </w:t>
            </w:r>
            <w:r w:rsidR="0060697A" w:rsidRPr="00B175FB">
              <w:rPr>
                <w:rFonts w:eastAsia="Times New Roman"/>
                <w:sz w:val="22"/>
              </w:rPr>
              <w:t xml:space="preserve">nejen posilování jazykových kompetencí dětí, studentů a pracovníků, ale také podpora mobilit všech </w:t>
            </w:r>
            <w:r w:rsidR="004A4692" w:rsidRPr="00B175FB">
              <w:rPr>
                <w:rFonts w:eastAsia="Times New Roman"/>
                <w:sz w:val="22"/>
              </w:rPr>
              <w:t xml:space="preserve">skupin zainteresovaných </w:t>
            </w:r>
            <w:r w:rsidR="004B7C87" w:rsidRPr="00B175FB">
              <w:rPr>
                <w:rFonts w:eastAsia="Times New Roman"/>
                <w:sz w:val="22"/>
              </w:rPr>
              <w:t>na vzdělávání</w:t>
            </w:r>
            <w:r w:rsidR="0060697A" w:rsidRPr="00B175FB">
              <w:rPr>
                <w:rFonts w:eastAsia="Times New Roman"/>
                <w:sz w:val="22"/>
              </w:rPr>
              <w:t>. Specificky pro vysokoškolské prostředí bude nutno posílit nabídku předmětů vyučovaných v cizím jazyce a uskutečňování studijních programů ve spolupráci se</w:t>
            </w:r>
            <w:r w:rsidR="008160D7" w:rsidRPr="00B175FB">
              <w:rPr>
                <w:rFonts w:eastAsia="Times New Roman"/>
                <w:sz w:val="22"/>
              </w:rPr>
              <w:t> </w:t>
            </w:r>
            <w:r w:rsidR="0060697A" w:rsidRPr="00B175FB">
              <w:rPr>
                <w:rFonts w:eastAsia="Times New Roman"/>
                <w:sz w:val="22"/>
              </w:rPr>
              <w:t>zahraničními subjekty</w:t>
            </w:r>
            <w:r w:rsidR="00D52093" w:rsidRPr="00B175FB">
              <w:rPr>
                <w:rFonts w:eastAsia="Times New Roman"/>
                <w:sz w:val="22"/>
              </w:rPr>
              <w:t>.</w:t>
            </w:r>
            <w:r w:rsidR="00E422E2" w:rsidRPr="00B175FB">
              <w:rPr>
                <w:rStyle w:val="Znakapoznpodarou"/>
                <w:rFonts w:eastAsia="Times New Roman"/>
                <w:b w:val="0"/>
                <w:sz w:val="22"/>
              </w:rPr>
              <w:footnoteReference w:id="75"/>
            </w:r>
          </w:p>
          <w:p w:rsidR="008403B9" w:rsidRPr="00B175FB" w:rsidRDefault="008403B9" w:rsidP="0015017F">
            <w:pPr>
              <w:spacing w:line="276" w:lineRule="auto"/>
              <w:jc w:val="both"/>
              <w:rPr>
                <w:rFonts w:eastAsia="Times New Roman"/>
                <w:sz w:val="22"/>
              </w:rPr>
            </w:pPr>
            <w:r w:rsidRPr="00B175FB">
              <w:rPr>
                <w:rFonts w:eastAsia="Times New Roman"/>
                <w:sz w:val="22"/>
              </w:rPr>
              <w:t xml:space="preserve">Za </w:t>
            </w:r>
            <w:r w:rsidR="00621172" w:rsidRPr="00B175FB">
              <w:rPr>
                <w:rFonts w:eastAsia="Times New Roman"/>
                <w:sz w:val="22"/>
              </w:rPr>
              <w:t>neméně důležitou</w:t>
            </w:r>
            <w:r w:rsidRPr="00B175FB">
              <w:rPr>
                <w:rFonts w:eastAsia="Times New Roman"/>
                <w:sz w:val="22"/>
              </w:rPr>
              <w:t xml:space="preserve"> součást, která propojuje </w:t>
            </w:r>
            <w:r w:rsidR="00C9113C" w:rsidRPr="00B175FB">
              <w:rPr>
                <w:rFonts w:eastAsia="Times New Roman"/>
                <w:sz w:val="22"/>
              </w:rPr>
              <w:t>všechny úrovně</w:t>
            </w:r>
            <w:r w:rsidRPr="00B175FB">
              <w:rPr>
                <w:rFonts w:eastAsia="Times New Roman"/>
                <w:sz w:val="22"/>
              </w:rPr>
              <w:t xml:space="preserve"> vzdělávací soustavy, je třeba označit </w:t>
            </w:r>
            <w:r w:rsidR="00C9113C" w:rsidRPr="00B175FB">
              <w:rPr>
                <w:rFonts w:eastAsia="Times New Roman"/>
                <w:sz w:val="22"/>
              </w:rPr>
              <w:t>přípravu na</w:t>
            </w:r>
            <w:r w:rsidR="008160D7" w:rsidRPr="00B175FB">
              <w:rPr>
                <w:rFonts w:eastAsia="Times New Roman"/>
                <w:sz w:val="22"/>
              </w:rPr>
              <w:t> </w:t>
            </w:r>
            <w:r w:rsidR="00C9113C" w:rsidRPr="00B175FB">
              <w:rPr>
                <w:rFonts w:eastAsia="Times New Roman"/>
                <w:sz w:val="22"/>
              </w:rPr>
              <w:t>povolání</w:t>
            </w:r>
            <w:r w:rsidRPr="00B175FB">
              <w:rPr>
                <w:rFonts w:eastAsia="Times New Roman"/>
                <w:sz w:val="22"/>
              </w:rPr>
              <w:t>, která bude spočívat zejména v</w:t>
            </w:r>
            <w:r w:rsidR="004A4692" w:rsidRPr="00B175FB">
              <w:rPr>
                <w:rFonts w:eastAsia="Times New Roman"/>
                <w:sz w:val="22"/>
              </w:rPr>
              <w:t> </w:t>
            </w:r>
            <w:r w:rsidRPr="00B175FB">
              <w:rPr>
                <w:rFonts w:eastAsia="Times New Roman"/>
                <w:sz w:val="22"/>
              </w:rPr>
              <w:t>dlouhodob</w:t>
            </w:r>
            <w:r w:rsidR="00B810CD" w:rsidRPr="00B175FB">
              <w:rPr>
                <w:rFonts w:eastAsia="Times New Roman"/>
                <w:sz w:val="22"/>
              </w:rPr>
              <w:t>é</w:t>
            </w:r>
            <w:r w:rsidR="004A4692" w:rsidRPr="00B175FB">
              <w:rPr>
                <w:rFonts w:eastAsia="Times New Roman"/>
                <w:sz w:val="22"/>
              </w:rPr>
              <w:t>, kreativní</w:t>
            </w:r>
            <w:r w:rsidR="00B810CD" w:rsidRPr="00B175FB">
              <w:rPr>
                <w:rFonts w:eastAsia="Times New Roman"/>
                <w:sz w:val="22"/>
              </w:rPr>
              <w:t xml:space="preserve"> </w:t>
            </w:r>
            <w:r w:rsidR="008B4DEB" w:rsidRPr="00B175FB">
              <w:rPr>
                <w:rFonts w:eastAsia="Times New Roman"/>
                <w:sz w:val="22"/>
              </w:rPr>
              <w:t xml:space="preserve">a nestereotypní </w:t>
            </w:r>
            <w:r w:rsidR="00B810CD" w:rsidRPr="00B175FB">
              <w:rPr>
                <w:rFonts w:eastAsia="Times New Roman"/>
                <w:sz w:val="22"/>
              </w:rPr>
              <w:t>práci s</w:t>
            </w:r>
            <w:r w:rsidR="00C34A39" w:rsidRPr="00B175FB">
              <w:rPr>
                <w:rFonts w:eastAsia="Times New Roman"/>
                <w:sz w:val="22"/>
              </w:rPr>
              <w:t>e</w:t>
            </w:r>
            <w:r w:rsidR="00B810CD" w:rsidRPr="00B175FB">
              <w:rPr>
                <w:rFonts w:eastAsia="Times New Roman"/>
                <w:sz w:val="22"/>
              </w:rPr>
              <w:t> žáky, čímž dojde k jejich motiv</w:t>
            </w:r>
            <w:r w:rsidR="001E729A" w:rsidRPr="00B175FB">
              <w:rPr>
                <w:rFonts w:eastAsia="Times New Roman"/>
                <w:sz w:val="22"/>
              </w:rPr>
              <w:t>aci</w:t>
            </w:r>
            <w:r w:rsidR="00C34A39" w:rsidRPr="00B175FB">
              <w:rPr>
                <w:rFonts w:eastAsia="Times New Roman"/>
                <w:sz w:val="22"/>
              </w:rPr>
              <w:t>,</w:t>
            </w:r>
            <w:r w:rsidR="001E729A" w:rsidRPr="00B175FB">
              <w:rPr>
                <w:rFonts w:eastAsia="Times New Roman"/>
                <w:sz w:val="22"/>
              </w:rPr>
              <w:t xml:space="preserve"> přípravě k dalšímu </w:t>
            </w:r>
            <w:r w:rsidR="00C9113C" w:rsidRPr="00B175FB">
              <w:rPr>
                <w:rFonts w:eastAsia="Times New Roman"/>
                <w:sz w:val="22"/>
              </w:rPr>
              <w:t>vzdělávání</w:t>
            </w:r>
            <w:r w:rsidR="00C34A39" w:rsidRPr="00B175FB">
              <w:rPr>
                <w:rFonts w:eastAsia="Times New Roman"/>
                <w:sz w:val="22"/>
              </w:rPr>
              <w:t xml:space="preserve"> a volbě studia</w:t>
            </w:r>
            <w:r w:rsidR="001E729A" w:rsidRPr="00B175FB">
              <w:rPr>
                <w:rFonts w:eastAsia="Times New Roman"/>
                <w:sz w:val="22"/>
              </w:rPr>
              <w:t>.</w:t>
            </w:r>
            <w:r w:rsidR="009B6817" w:rsidRPr="0071632F">
              <w:rPr>
                <w:rStyle w:val="Znakapoznpodarou"/>
                <w:b w:val="0"/>
                <w:sz w:val="22"/>
              </w:rPr>
              <w:footnoteReference w:id="76"/>
            </w:r>
            <w:r w:rsidR="001E729A" w:rsidRPr="00B175FB">
              <w:rPr>
                <w:rFonts w:eastAsia="Times New Roman"/>
                <w:sz w:val="22"/>
              </w:rPr>
              <w:t xml:space="preserve"> </w:t>
            </w:r>
            <w:r w:rsidR="004A4692" w:rsidRPr="00B175FB">
              <w:rPr>
                <w:rFonts w:eastAsia="Times New Roman"/>
                <w:sz w:val="22"/>
              </w:rPr>
              <w:t>Vzdělávací proces by měl podporovat autenticitu, autonomii, kritické myšlení a překonávat adornovskou polovzdělanost</w:t>
            </w:r>
            <w:r w:rsidR="00BF1EDD" w:rsidRPr="00B175FB">
              <w:rPr>
                <w:rFonts w:eastAsia="Times New Roman"/>
                <w:sz w:val="22"/>
              </w:rPr>
              <w:t>.</w:t>
            </w:r>
            <w:r w:rsidR="004A4692" w:rsidRPr="00B175FB">
              <w:rPr>
                <w:rStyle w:val="Znakapoznpodarou"/>
                <w:rFonts w:eastAsia="Times New Roman"/>
                <w:b w:val="0"/>
                <w:sz w:val="22"/>
              </w:rPr>
              <w:footnoteReference w:id="77"/>
            </w:r>
          </w:p>
          <w:p w:rsidR="00C07407" w:rsidRPr="00B175FB" w:rsidRDefault="00C07407" w:rsidP="0015017F">
            <w:pPr>
              <w:spacing w:line="276" w:lineRule="auto"/>
              <w:jc w:val="both"/>
              <w:rPr>
                <w:rFonts w:eastAsia="Times New Roman"/>
                <w:sz w:val="22"/>
              </w:rPr>
            </w:pPr>
            <w:r w:rsidRPr="00B175FB">
              <w:rPr>
                <w:rFonts w:eastAsia="Times New Roman"/>
                <w:sz w:val="22"/>
              </w:rPr>
              <w:t xml:space="preserve">Spojujícím prvkem by pak měla být oblast akčního plánování a spolupráce. Tento koncept byl již zahájen </w:t>
            </w:r>
            <w:r w:rsidR="00F57F05" w:rsidRPr="00B175FB">
              <w:rPr>
                <w:rFonts w:eastAsia="Times New Roman"/>
                <w:sz w:val="22"/>
              </w:rPr>
              <w:t>v</w:t>
            </w:r>
            <w:r w:rsidR="008160D7" w:rsidRPr="00B175FB">
              <w:rPr>
                <w:rFonts w:eastAsia="Times New Roman"/>
                <w:sz w:val="22"/>
              </w:rPr>
              <w:t> </w:t>
            </w:r>
            <w:r w:rsidRPr="00B175FB">
              <w:rPr>
                <w:rFonts w:eastAsia="Times New Roman"/>
                <w:sz w:val="22"/>
              </w:rPr>
              <w:t>OP</w:t>
            </w:r>
            <w:r w:rsidR="008160D7" w:rsidRPr="00B175FB">
              <w:rPr>
                <w:rFonts w:eastAsia="Times New Roman"/>
                <w:sz w:val="22"/>
              </w:rPr>
              <w:t> </w:t>
            </w:r>
            <w:r w:rsidRPr="00B175FB">
              <w:rPr>
                <w:rFonts w:eastAsia="Times New Roman"/>
                <w:sz w:val="22"/>
              </w:rPr>
              <w:t xml:space="preserve">VVV prostřednictvím nástrojů </w:t>
            </w:r>
            <w:r w:rsidR="00BA2396" w:rsidRPr="00B175FB">
              <w:rPr>
                <w:rFonts w:eastAsia="Times New Roman"/>
                <w:sz w:val="22"/>
              </w:rPr>
              <w:t>Místní akční plánování (</w:t>
            </w:r>
            <w:r w:rsidRPr="00B175FB">
              <w:rPr>
                <w:rFonts w:eastAsia="Times New Roman"/>
                <w:sz w:val="22"/>
              </w:rPr>
              <w:t>MAP</w:t>
            </w:r>
            <w:r w:rsidR="00BA2396" w:rsidRPr="00B175FB">
              <w:rPr>
                <w:rFonts w:eastAsia="Times New Roman"/>
                <w:sz w:val="22"/>
              </w:rPr>
              <w:t>)</w:t>
            </w:r>
            <w:r w:rsidRPr="00B175FB">
              <w:rPr>
                <w:rFonts w:eastAsia="Times New Roman"/>
                <w:sz w:val="22"/>
              </w:rPr>
              <w:t xml:space="preserve"> a </w:t>
            </w:r>
            <w:r w:rsidR="00BA2396" w:rsidRPr="00B175FB">
              <w:rPr>
                <w:rFonts w:eastAsia="Times New Roman"/>
                <w:sz w:val="22"/>
              </w:rPr>
              <w:t>Krajské akční plánování (</w:t>
            </w:r>
            <w:r w:rsidRPr="00B175FB">
              <w:rPr>
                <w:rFonts w:eastAsia="Times New Roman"/>
                <w:sz w:val="22"/>
              </w:rPr>
              <w:t>KAP</w:t>
            </w:r>
            <w:r w:rsidR="00BA2396" w:rsidRPr="00B175FB">
              <w:rPr>
                <w:rFonts w:eastAsia="Times New Roman"/>
                <w:sz w:val="22"/>
              </w:rPr>
              <w:t>)</w:t>
            </w:r>
            <w:r w:rsidRPr="00B175FB">
              <w:rPr>
                <w:rFonts w:eastAsia="Times New Roman"/>
                <w:sz w:val="22"/>
              </w:rPr>
              <w:t xml:space="preserve">. </w:t>
            </w:r>
          </w:p>
          <w:p w:rsidR="007131B1" w:rsidRDefault="007131B1" w:rsidP="0015017F">
            <w:pPr>
              <w:spacing w:line="276" w:lineRule="auto"/>
              <w:jc w:val="both"/>
              <w:rPr>
                <w:rFonts w:eastAsia="Times New Roman"/>
                <w:b/>
                <w:sz w:val="22"/>
              </w:rPr>
            </w:pPr>
            <w:bookmarkStart w:id="161" w:name="_Hlk21333456"/>
          </w:p>
          <w:p w:rsidR="007131B1" w:rsidRDefault="007131B1" w:rsidP="0015017F">
            <w:pPr>
              <w:spacing w:line="276" w:lineRule="auto"/>
              <w:jc w:val="both"/>
              <w:rPr>
                <w:rFonts w:eastAsia="Times New Roman"/>
                <w:b/>
                <w:sz w:val="22"/>
              </w:rPr>
            </w:pPr>
          </w:p>
          <w:p w:rsidR="00CF2601" w:rsidRPr="00B175FB" w:rsidRDefault="00CF2601" w:rsidP="0015017F">
            <w:pPr>
              <w:spacing w:line="276" w:lineRule="auto"/>
              <w:jc w:val="both"/>
              <w:rPr>
                <w:rFonts w:eastAsia="Times New Roman"/>
                <w:b/>
                <w:sz w:val="22"/>
              </w:rPr>
            </w:pPr>
            <w:r w:rsidRPr="00B175FB">
              <w:rPr>
                <w:rFonts w:eastAsia="Times New Roman"/>
                <w:b/>
                <w:sz w:val="22"/>
              </w:rPr>
              <w:t>Výsledkem intervencí bude:</w:t>
            </w:r>
          </w:p>
          <w:p w:rsidR="00572EB8" w:rsidRPr="00B175FB" w:rsidRDefault="00060BEF" w:rsidP="006A2F6A">
            <w:pPr>
              <w:pStyle w:val="Odstavecseseznamem"/>
              <w:numPr>
                <w:ilvl w:val="0"/>
                <w:numId w:val="63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p</w:t>
            </w:r>
            <w:r w:rsidR="00BA2396" w:rsidRPr="00B175FB">
              <w:rPr>
                <w:rFonts w:eastAsia="Times New Roman" w:cs="Times New Roman"/>
                <w:sz w:val="22"/>
              </w:rPr>
              <w:t>ři</w:t>
            </w:r>
            <w:r w:rsidR="00572EB8" w:rsidRPr="00B175FB">
              <w:rPr>
                <w:rFonts w:eastAsia="Times New Roman" w:cs="Times New Roman"/>
                <w:sz w:val="22"/>
              </w:rPr>
              <w:t xml:space="preserve">způsobení </w:t>
            </w:r>
            <w:r w:rsidR="009E43CF" w:rsidRPr="00B175FB">
              <w:rPr>
                <w:rFonts w:eastAsia="Times New Roman" w:cs="Times New Roman"/>
                <w:sz w:val="22"/>
              </w:rPr>
              <w:t>vzdělávací soustavy</w:t>
            </w:r>
            <w:r w:rsidR="00391DC8" w:rsidRPr="00B175FB">
              <w:rPr>
                <w:rFonts w:eastAsia="Times New Roman" w:cs="Times New Roman"/>
                <w:sz w:val="22"/>
              </w:rPr>
              <w:t xml:space="preserve"> tak</w:t>
            </w:r>
            <w:r w:rsidR="00572EB8" w:rsidRPr="00B175FB">
              <w:rPr>
                <w:rFonts w:eastAsia="Times New Roman" w:cs="Times New Roman"/>
                <w:sz w:val="22"/>
              </w:rPr>
              <w:t>, aby se dokázal</w:t>
            </w:r>
            <w:r w:rsidR="00383024" w:rsidRPr="00B175FB">
              <w:rPr>
                <w:rFonts w:eastAsia="Times New Roman" w:cs="Times New Roman"/>
                <w:sz w:val="22"/>
              </w:rPr>
              <w:t>a</w:t>
            </w:r>
            <w:r w:rsidR="00572EB8" w:rsidRPr="00B175FB">
              <w:rPr>
                <w:rFonts w:eastAsia="Times New Roman" w:cs="Times New Roman"/>
                <w:sz w:val="22"/>
              </w:rPr>
              <w:t xml:space="preserve"> rychleji adaptovat na dynamické prostředí a</w:t>
            </w:r>
            <w:r w:rsidR="004D49BF" w:rsidRPr="00B175FB">
              <w:rPr>
                <w:rFonts w:eastAsia="Times New Roman" w:cs="Times New Roman"/>
                <w:sz w:val="22"/>
              </w:rPr>
              <w:t> </w:t>
            </w:r>
            <w:r w:rsidR="00572EB8" w:rsidRPr="00B175FB">
              <w:rPr>
                <w:rFonts w:eastAsia="Times New Roman" w:cs="Times New Roman"/>
                <w:sz w:val="22"/>
              </w:rPr>
              <w:t>vývoj</w:t>
            </w:r>
            <w:r w:rsidRPr="00B175FB">
              <w:rPr>
                <w:rFonts w:eastAsia="Times New Roman" w:cs="Times New Roman"/>
                <w:sz w:val="22"/>
              </w:rPr>
              <w:t>;</w:t>
            </w:r>
          </w:p>
          <w:p w:rsidR="00F71D1A" w:rsidRPr="00B175FB" w:rsidRDefault="00060BEF" w:rsidP="006A2F6A">
            <w:pPr>
              <w:pStyle w:val="Odstavecseseznamem"/>
              <w:numPr>
                <w:ilvl w:val="0"/>
                <w:numId w:val="63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z</w:t>
            </w:r>
            <w:r w:rsidR="00F71D1A" w:rsidRPr="00B175FB">
              <w:rPr>
                <w:rFonts w:eastAsia="Times New Roman" w:cs="Times New Roman"/>
                <w:sz w:val="22"/>
              </w:rPr>
              <w:t>výšení úrovně digitální gramo</w:t>
            </w:r>
            <w:r w:rsidRPr="00B175FB">
              <w:rPr>
                <w:rFonts w:eastAsia="Times New Roman" w:cs="Times New Roman"/>
                <w:sz w:val="22"/>
              </w:rPr>
              <w:t>tnosti a informatického myšlení;</w:t>
            </w:r>
          </w:p>
          <w:p w:rsidR="00572EB8" w:rsidRPr="00B175FB" w:rsidRDefault="00060BEF" w:rsidP="006A2F6A">
            <w:pPr>
              <w:pStyle w:val="Odstavecseseznamem"/>
              <w:numPr>
                <w:ilvl w:val="0"/>
                <w:numId w:val="63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z</w:t>
            </w:r>
            <w:r w:rsidR="00572EB8" w:rsidRPr="00B175FB">
              <w:rPr>
                <w:rFonts w:eastAsia="Times New Roman" w:cs="Times New Roman"/>
                <w:sz w:val="22"/>
              </w:rPr>
              <w:t>výšení relevance výuky, modernizace a inovace v oblasti vzděláv</w:t>
            </w:r>
            <w:r w:rsidR="006D1BF2" w:rsidRPr="00B175FB">
              <w:rPr>
                <w:rFonts w:eastAsia="Times New Roman" w:cs="Times New Roman"/>
                <w:sz w:val="22"/>
              </w:rPr>
              <w:t>ání</w:t>
            </w:r>
            <w:r w:rsidRPr="00B175FB">
              <w:rPr>
                <w:rFonts w:eastAsia="Times New Roman" w:cs="Times New Roman"/>
                <w:sz w:val="22"/>
              </w:rPr>
              <w:t>;</w:t>
            </w:r>
          </w:p>
          <w:p w:rsidR="002547C2" w:rsidRPr="00B175FB" w:rsidRDefault="00060BEF" w:rsidP="006A2F6A">
            <w:pPr>
              <w:pStyle w:val="Odstavecseseznamem"/>
              <w:numPr>
                <w:ilvl w:val="0"/>
                <w:numId w:val="63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z</w:t>
            </w:r>
            <w:r w:rsidR="002547C2" w:rsidRPr="00B175FB">
              <w:rPr>
                <w:rFonts w:eastAsia="Times New Roman" w:cs="Times New Roman"/>
                <w:sz w:val="22"/>
              </w:rPr>
              <w:t>ajištění profesního rozvoje vedení škol a školských zařízení k řízení a vedení institucí a vedení z</w:t>
            </w:r>
            <w:r w:rsidRPr="00B175FB">
              <w:rPr>
                <w:rFonts w:eastAsia="Times New Roman" w:cs="Times New Roman"/>
                <w:sz w:val="22"/>
              </w:rPr>
              <w:t>aměřeného na kvalitu vzdělávání;</w:t>
            </w:r>
          </w:p>
          <w:p w:rsidR="002547C2" w:rsidRPr="00B175FB" w:rsidRDefault="00060BEF" w:rsidP="006A2F6A">
            <w:pPr>
              <w:pStyle w:val="Odstavecseseznamem"/>
              <w:numPr>
                <w:ilvl w:val="0"/>
                <w:numId w:val="63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z</w:t>
            </w:r>
            <w:r w:rsidR="002547C2" w:rsidRPr="00B175FB">
              <w:rPr>
                <w:rFonts w:eastAsia="Times New Roman" w:cs="Times New Roman"/>
                <w:sz w:val="22"/>
              </w:rPr>
              <w:t>výšení profesních kompetencí, rozvoj komunikace, kvalitnější spolupráce a budování</w:t>
            </w:r>
            <w:r w:rsidR="00C5010D" w:rsidRPr="00B175FB">
              <w:rPr>
                <w:rFonts w:eastAsia="Times New Roman" w:cs="Times New Roman"/>
                <w:sz w:val="22"/>
              </w:rPr>
              <w:t xml:space="preserve"> vzájemné</w:t>
            </w:r>
            <w:r w:rsidR="002547C2" w:rsidRPr="00B175FB">
              <w:rPr>
                <w:rFonts w:eastAsia="Times New Roman" w:cs="Times New Roman"/>
                <w:sz w:val="22"/>
              </w:rPr>
              <w:t xml:space="preserve"> důvěry všech</w:t>
            </w:r>
            <w:r w:rsidRPr="00B175FB">
              <w:rPr>
                <w:rFonts w:eastAsia="Times New Roman" w:cs="Times New Roman"/>
                <w:sz w:val="22"/>
              </w:rPr>
              <w:t xml:space="preserve"> klíčových aktérů ve vzdělávání;</w:t>
            </w:r>
          </w:p>
          <w:p w:rsidR="00E47B3D" w:rsidRPr="00B175FB" w:rsidRDefault="00060BEF" w:rsidP="006A2F6A">
            <w:pPr>
              <w:pStyle w:val="Odstavecseseznamem"/>
              <w:numPr>
                <w:ilvl w:val="0"/>
                <w:numId w:val="63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z</w:t>
            </w:r>
            <w:r w:rsidR="00E47B3D" w:rsidRPr="00B175FB">
              <w:rPr>
                <w:rFonts w:eastAsia="Times New Roman" w:cs="Times New Roman"/>
                <w:sz w:val="22"/>
              </w:rPr>
              <w:t xml:space="preserve">kvalitnění vzdělávací činnosti </w:t>
            </w:r>
            <w:r w:rsidR="00595F28" w:rsidRPr="00B175FB">
              <w:rPr>
                <w:rFonts w:eastAsia="Times New Roman" w:cs="Times New Roman"/>
                <w:sz w:val="22"/>
              </w:rPr>
              <w:t>VŠ</w:t>
            </w:r>
            <w:r w:rsidR="00E47B3D" w:rsidRPr="00B175FB">
              <w:rPr>
                <w:rFonts w:eastAsia="Times New Roman" w:cs="Times New Roman"/>
                <w:sz w:val="22"/>
              </w:rPr>
              <w:t xml:space="preserve"> pomocí zintenzivnění internacionalizace a aplikací mode</w:t>
            </w:r>
            <w:r w:rsidRPr="00B175FB">
              <w:rPr>
                <w:rFonts w:eastAsia="Times New Roman" w:cs="Times New Roman"/>
                <w:sz w:val="22"/>
              </w:rPr>
              <w:t>rních výukových trendů do výuky;</w:t>
            </w:r>
          </w:p>
          <w:p w:rsidR="00821DDC" w:rsidRPr="00B175FB" w:rsidRDefault="00060BEF" w:rsidP="006A2F6A">
            <w:pPr>
              <w:pStyle w:val="Odstavecseseznamem"/>
              <w:numPr>
                <w:ilvl w:val="0"/>
                <w:numId w:val="63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z</w:t>
            </w:r>
            <w:r w:rsidR="00E11DD9" w:rsidRPr="00B175FB">
              <w:rPr>
                <w:rFonts w:eastAsia="Times New Roman" w:cs="Times New Roman"/>
                <w:sz w:val="22"/>
              </w:rPr>
              <w:t>výšení</w:t>
            </w:r>
            <w:r w:rsidR="00821DDC" w:rsidRPr="00B175FB">
              <w:rPr>
                <w:rFonts w:eastAsia="Times New Roman" w:cs="Times New Roman"/>
                <w:sz w:val="22"/>
              </w:rPr>
              <w:t xml:space="preserve"> kompetencí </w:t>
            </w:r>
            <w:r w:rsidR="00B340DD" w:rsidRPr="00B175FB">
              <w:rPr>
                <w:rFonts w:eastAsia="Times New Roman" w:cs="Times New Roman"/>
                <w:sz w:val="22"/>
              </w:rPr>
              <w:t>studentů</w:t>
            </w:r>
            <w:r w:rsidR="00821DDC" w:rsidRPr="00B175FB">
              <w:rPr>
                <w:rFonts w:eastAsia="Times New Roman" w:cs="Times New Roman"/>
                <w:sz w:val="22"/>
              </w:rPr>
              <w:t xml:space="preserve"> </w:t>
            </w:r>
            <w:r w:rsidR="00BA2396" w:rsidRPr="00B175FB">
              <w:rPr>
                <w:rFonts w:eastAsia="Times New Roman" w:cs="Times New Roman"/>
                <w:sz w:val="22"/>
              </w:rPr>
              <w:t>VŠ</w:t>
            </w:r>
            <w:r w:rsidR="00E11DD9" w:rsidRPr="00B175FB">
              <w:rPr>
                <w:rFonts w:eastAsia="Times New Roman" w:cs="Times New Roman"/>
                <w:sz w:val="22"/>
              </w:rPr>
              <w:t xml:space="preserve"> pomocí </w:t>
            </w:r>
            <w:r w:rsidR="00362F63" w:rsidRPr="00B175FB">
              <w:rPr>
                <w:rFonts w:eastAsia="Times New Roman" w:cs="Times New Roman"/>
                <w:sz w:val="22"/>
              </w:rPr>
              <w:t>tvorby nových</w:t>
            </w:r>
            <w:r w:rsidR="00821DDC" w:rsidRPr="00B175FB">
              <w:rPr>
                <w:rFonts w:eastAsia="Times New Roman" w:cs="Times New Roman"/>
                <w:sz w:val="22"/>
              </w:rPr>
              <w:t xml:space="preserve"> a rozvoje </w:t>
            </w:r>
            <w:r w:rsidR="00362F63" w:rsidRPr="00B175FB">
              <w:rPr>
                <w:rFonts w:eastAsia="Times New Roman" w:cs="Times New Roman"/>
                <w:sz w:val="22"/>
              </w:rPr>
              <w:t xml:space="preserve">stávajících </w:t>
            </w:r>
            <w:r w:rsidR="00821DDC" w:rsidRPr="00B175FB">
              <w:rPr>
                <w:rFonts w:eastAsia="Times New Roman" w:cs="Times New Roman"/>
                <w:sz w:val="22"/>
              </w:rPr>
              <w:t>studijních programů</w:t>
            </w:r>
            <w:r w:rsidR="00AF7E8E">
              <w:rPr>
                <w:rFonts w:eastAsia="Times New Roman" w:cs="Times New Roman"/>
                <w:sz w:val="22"/>
              </w:rPr>
              <w:t>, včetně studijních programů zaměřených na praxi</w:t>
            </w:r>
            <w:r w:rsidR="009F72C8">
              <w:rPr>
                <w:rFonts w:eastAsia="Times New Roman" w:cs="Times New Roman"/>
                <w:sz w:val="22"/>
              </w:rPr>
              <w:t xml:space="preserve"> a zahrnujících praxi v rámci kurikula</w:t>
            </w:r>
            <w:r w:rsidRPr="00B175FB">
              <w:rPr>
                <w:rFonts w:eastAsia="Times New Roman" w:cs="Times New Roman"/>
                <w:sz w:val="22"/>
              </w:rPr>
              <w:t>;</w:t>
            </w:r>
          </w:p>
          <w:p w:rsidR="003E6929" w:rsidRPr="00B175FB" w:rsidRDefault="003E6929" w:rsidP="006A2F6A">
            <w:pPr>
              <w:pStyle w:val="Odstavecseseznamem"/>
              <w:numPr>
                <w:ilvl w:val="0"/>
                <w:numId w:val="63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/>
                <w:iCs/>
                <w:sz w:val="22"/>
              </w:rPr>
              <w:t>snížení studijní neúspěšnosti a podílu předčasných odchodů ze vzdělávání;</w:t>
            </w:r>
          </w:p>
          <w:p w:rsidR="00E47B3D" w:rsidRPr="00B175FB" w:rsidRDefault="00060BEF" w:rsidP="006A2F6A">
            <w:pPr>
              <w:pStyle w:val="Odstavecseseznamem"/>
              <w:numPr>
                <w:ilvl w:val="0"/>
                <w:numId w:val="63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z</w:t>
            </w:r>
            <w:r w:rsidR="00E47B3D" w:rsidRPr="00B175FB">
              <w:rPr>
                <w:rFonts w:eastAsia="Times New Roman" w:cs="Times New Roman"/>
                <w:sz w:val="22"/>
              </w:rPr>
              <w:t xml:space="preserve">lepšení práce se zájemci o studium na </w:t>
            </w:r>
            <w:r w:rsidR="00BA2396" w:rsidRPr="00B175FB">
              <w:rPr>
                <w:rFonts w:eastAsia="Times New Roman" w:cs="Times New Roman"/>
                <w:sz w:val="22"/>
              </w:rPr>
              <w:t>VŠ</w:t>
            </w:r>
            <w:r w:rsidR="00E47B3D" w:rsidRPr="00B175FB">
              <w:rPr>
                <w:rFonts w:eastAsia="Times New Roman" w:cs="Times New Roman"/>
                <w:sz w:val="22"/>
              </w:rPr>
              <w:t xml:space="preserve"> a snadnější orientace v nabízených studijních programech.</w:t>
            </w:r>
          </w:p>
          <w:p w:rsidR="00CF2601" w:rsidRPr="00B175FB" w:rsidRDefault="00B46D33" w:rsidP="0015017F">
            <w:pPr>
              <w:spacing w:line="276" w:lineRule="auto"/>
              <w:jc w:val="both"/>
              <w:rPr>
                <w:rFonts w:eastAsia="Times New Roman"/>
                <w:b/>
                <w:sz w:val="22"/>
              </w:rPr>
            </w:pPr>
            <w:r w:rsidRPr="00B175FB">
              <w:rPr>
                <w:rFonts w:eastAsia="Times New Roman"/>
                <w:b/>
                <w:sz w:val="22"/>
              </w:rPr>
              <w:t>Příklady t</w:t>
            </w:r>
            <w:r w:rsidR="00CF2601" w:rsidRPr="00B175FB">
              <w:rPr>
                <w:rFonts w:eastAsia="Times New Roman"/>
                <w:b/>
                <w:sz w:val="22"/>
              </w:rPr>
              <w:t>yp</w:t>
            </w:r>
            <w:r w:rsidRPr="00B175FB">
              <w:rPr>
                <w:rFonts w:eastAsia="Times New Roman"/>
                <w:b/>
                <w:sz w:val="22"/>
              </w:rPr>
              <w:t>ových</w:t>
            </w:r>
            <w:r w:rsidR="00CF2601" w:rsidRPr="00B175FB">
              <w:rPr>
                <w:rFonts w:eastAsia="Times New Roman"/>
                <w:b/>
                <w:sz w:val="22"/>
              </w:rPr>
              <w:t xml:space="preserve"> podporovaných aktivit:</w:t>
            </w:r>
          </w:p>
          <w:p w:rsidR="005A55BF" w:rsidRPr="00B175FB" w:rsidRDefault="000E2809" w:rsidP="0015017F">
            <w:pPr>
              <w:spacing w:line="276" w:lineRule="auto"/>
              <w:rPr>
                <w:rFonts w:eastAsia="Times New Roman"/>
                <w:b/>
                <w:sz w:val="22"/>
              </w:rPr>
            </w:pPr>
            <w:r w:rsidRPr="00B175FB">
              <w:rPr>
                <w:rFonts w:eastAsia="Times New Roman"/>
                <w:b/>
                <w:sz w:val="22"/>
              </w:rPr>
              <w:t>Regionální vzdělávání</w:t>
            </w:r>
          </w:p>
          <w:p w:rsidR="00A91EAD" w:rsidRPr="00B175FB" w:rsidRDefault="00A91EAD" w:rsidP="0015017F">
            <w:pPr>
              <w:spacing w:line="276" w:lineRule="auto"/>
              <w:rPr>
                <w:rFonts w:eastAsia="Times New Roman"/>
                <w:sz w:val="22"/>
              </w:rPr>
            </w:pPr>
            <w:r w:rsidRPr="00B175FB">
              <w:rPr>
                <w:rFonts w:eastAsia="Times New Roman"/>
                <w:sz w:val="22"/>
              </w:rPr>
              <w:t>Proměna obsahu vzdělávání:</w:t>
            </w:r>
          </w:p>
          <w:p w:rsidR="00E675F5" w:rsidRPr="00B175FB" w:rsidRDefault="00060BEF" w:rsidP="006A2F6A">
            <w:pPr>
              <w:pStyle w:val="Odstavecseseznamem"/>
              <w:numPr>
                <w:ilvl w:val="0"/>
                <w:numId w:val="63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p</w:t>
            </w:r>
            <w:r w:rsidR="00E675F5" w:rsidRPr="00B175FB">
              <w:rPr>
                <w:rFonts w:eastAsia="Times New Roman" w:cs="Times New Roman"/>
                <w:sz w:val="22"/>
              </w:rPr>
              <w:t>odpora pregramo</w:t>
            </w:r>
            <w:r w:rsidRPr="00B175FB">
              <w:rPr>
                <w:rFonts w:eastAsia="Times New Roman" w:cs="Times New Roman"/>
                <w:sz w:val="22"/>
              </w:rPr>
              <w:t>tností v předškolním vzdělávání;</w:t>
            </w:r>
          </w:p>
          <w:p w:rsidR="0012667F" w:rsidRPr="00B175FB" w:rsidRDefault="00060BEF" w:rsidP="006A2F6A">
            <w:pPr>
              <w:pStyle w:val="Odstavecseseznamem"/>
              <w:numPr>
                <w:ilvl w:val="0"/>
                <w:numId w:val="63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r</w:t>
            </w:r>
            <w:r w:rsidR="0012667F" w:rsidRPr="00B175FB">
              <w:rPr>
                <w:rFonts w:eastAsia="Times New Roman" w:cs="Times New Roman"/>
                <w:sz w:val="22"/>
              </w:rPr>
              <w:t>ozvoj klíčových kompetencí</w:t>
            </w:r>
            <w:r w:rsidR="00F04CDD">
              <w:rPr>
                <w:rFonts w:eastAsia="Times New Roman" w:cs="Times New Roman"/>
                <w:sz w:val="22"/>
              </w:rPr>
              <w:t xml:space="preserve"> a </w:t>
            </w:r>
            <w:r w:rsidR="00F767DB">
              <w:rPr>
                <w:rFonts w:eastAsia="Times New Roman" w:cs="Times New Roman"/>
                <w:sz w:val="22"/>
              </w:rPr>
              <w:t xml:space="preserve">podpora </w:t>
            </w:r>
            <w:r w:rsidR="00F04CDD">
              <w:rPr>
                <w:rFonts w:eastAsia="Times New Roman" w:cs="Times New Roman"/>
                <w:sz w:val="22"/>
              </w:rPr>
              <w:t>základních gramotností</w:t>
            </w:r>
            <w:r w:rsidRPr="00B175FB">
              <w:rPr>
                <w:rFonts w:eastAsia="Times New Roman" w:cs="Times New Roman"/>
                <w:sz w:val="22"/>
              </w:rPr>
              <w:t>;</w:t>
            </w:r>
          </w:p>
          <w:p w:rsidR="0012667F" w:rsidRPr="00B175FB" w:rsidRDefault="00060BEF" w:rsidP="006A2F6A">
            <w:pPr>
              <w:pStyle w:val="Odstavecseseznamem"/>
              <w:numPr>
                <w:ilvl w:val="0"/>
                <w:numId w:val="63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p</w:t>
            </w:r>
            <w:r w:rsidR="0012667F" w:rsidRPr="00B175FB">
              <w:rPr>
                <w:rFonts w:eastAsia="Times New Roman" w:cs="Times New Roman"/>
                <w:sz w:val="22"/>
              </w:rPr>
              <w:t>odpora všeobecné složky vzdělání s důrazem na zajištění kvalit</w:t>
            </w:r>
            <w:r w:rsidRPr="00B175FB">
              <w:rPr>
                <w:rFonts w:eastAsia="Times New Roman" w:cs="Times New Roman"/>
                <w:sz w:val="22"/>
              </w:rPr>
              <w:t>y na všech úrovních vzdělávání;</w:t>
            </w:r>
          </w:p>
          <w:p w:rsidR="003150F4" w:rsidRPr="00B175FB" w:rsidRDefault="00060BEF" w:rsidP="006A2F6A">
            <w:pPr>
              <w:pStyle w:val="Odstavecseseznamem"/>
              <w:numPr>
                <w:ilvl w:val="0"/>
                <w:numId w:val="63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i</w:t>
            </w:r>
            <w:r w:rsidR="003150F4" w:rsidRPr="00B175FB">
              <w:rPr>
                <w:rFonts w:eastAsia="Times New Roman" w:cs="Times New Roman"/>
                <w:sz w:val="22"/>
              </w:rPr>
              <w:t xml:space="preserve">novace ve výuce a modernizace vyučovacích metod a forem vedoucích k rozvoji kritického </w:t>
            </w:r>
            <w:r w:rsidR="003150F4" w:rsidRPr="00B175FB">
              <w:rPr>
                <w:rFonts w:eastAsia="Times New Roman" w:cs="Times New Roman"/>
                <w:sz w:val="22"/>
              </w:rPr>
              <w:br/>
              <w:t>a kreativního myšlení dětí, žáků a studentů a posílení formativního hod</w:t>
            </w:r>
            <w:r w:rsidRPr="00B175FB">
              <w:rPr>
                <w:rFonts w:eastAsia="Times New Roman" w:cs="Times New Roman"/>
                <w:sz w:val="22"/>
              </w:rPr>
              <w:t>nocení;</w:t>
            </w:r>
          </w:p>
          <w:p w:rsidR="0002424F" w:rsidRPr="00B175FB" w:rsidRDefault="00060BEF" w:rsidP="006A2F6A">
            <w:pPr>
              <w:pStyle w:val="Odstavecseseznamem"/>
              <w:numPr>
                <w:ilvl w:val="0"/>
                <w:numId w:val="63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r</w:t>
            </w:r>
            <w:r w:rsidR="0002424F" w:rsidRPr="00B175FB">
              <w:rPr>
                <w:rFonts w:eastAsia="Times New Roman" w:cs="Times New Roman"/>
                <w:sz w:val="22"/>
              </w:rPr>
              <w:t>ozvoj digitální gramo</w:t>
            </w:r>
            <w:r w:rsidRPr="00B175FB">
              <w:rPr>
                <w:rFonts w:eastAsia="Times New Roman" w:cs="Times New Roman"/>
                <w:sz w:val="22"/>
              </w:rPr>
              <w:t>tnosti a informatického myšlení;</w:t>
            </w:r>
          </w:p>
          <w:p w:rsidR="0006318E" w:rsidRPr="00B175FB" w:rsidRDefault="00060BEF" w:rsidP="006A2F6A">
            <w:pPr>
              <w:pStyle w:val="Odstavecseseznamem"/>
              <w:numPr>
                <w:ilvl w:val="0"/>
                <w:numId w:val="63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p</w:t>
            </w:r>
            <w:r w:rsidR="0006318E" w:rsidRPr="00B175FB">
              <w:rPr>
                <w:rFonts w:eastAsia="Times New Roman" w:cs="Times New Roman"/>
                <w:sz w:val="22"/>
              </w:rPr>
              <w:t xml:space="preserve">odpora STEM dovedností a základních odborných znalostí na </w:t>
            </w:r>
            <w:r w:rsidR="00F57F05" w:rsidRPr="00B175FB">
              <w:rPr>
                <w:rFonts w:eastAsia="Times New Roman" w:cs="Times New Roman"/>
                <w:sz w:val="22"/>
              </w:rPr>
              <w:t>ZŠ a SŠ</w:t>
            </w:r>
            <w:r w:rsidRPr="00B175FB">
              <w:rPr>
                <w:rFonts w:eastAsia="Times New Roman" w:cs="Times New Roman"/>
                <w:sz w:val="22"/>
              </w:rPr>
              <w:t>;</w:t>
            </w:r>
          </w:p>
          <w:p w:rsidR="00E675F5" w:rsidRPr="00B175FB" w:rsidRDefault="00060BEF" w:rsidP="006A2F6A">
            <w:pPr>
              <w:pStyle w:val="Odstavecseseznamem"/>
              <w:numPr>
                <w:ilvl w:val="0"/>
                <w:numId w:val="63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r</w:t>
            </w:r>
            <w:r w:rsidR="00E675F5" w:rsidRPr="00B175FB">
              <w:rPr>
                <w:rFonts w:eastAsia="Times New Roman" w:cs="Times New Roman"/>
                <w:sz w:val="22"/>
              </w:rPr>
              <w:t>ozšíření a zajištění kvality výuky v cizích jazycích</w:t>
            </w:r>
            <w:r w:rsidRPr="00B175FB">
              <w:rPr>
                <w:rFonts w:eastAsia="Times New Roman" w:cs="Times New Roman"/>
                <w:sz w:val="22"/>
              </w:rPr>
              <w:t>;</w:t>
            </w:r>
          </w:p>
          <w:p w:rsidR="0006318E" w:rsidRPr="00B175FB" w:rsidRDefault="00060BEF" w:rsidP="006A2F6A">
            <w:pPr>
              <w:pStyle w:val="Odstavecseseznamem"/>
              <w:numPr>
                <w:ilvl w:val="0"/>
                <w:numId w:val="63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r</w:t>
            </w:r>
            <w:r w:rsidR="0006318E" w:rsidRPr="00B175FB">
              <w:rPr>
                <w:rFonts w:eastAsia="Times New Roman" w:cs="Times New Roman"/>
                <w:sz w:val="22"/>
              </w:rPr>
              <w:t>ozvoj podnikavosti a podnikatelských dovedností ve školách</w:t>
            </w:r>
            <w:r w:rsidRPr="00B175FB">
              <w:rPr>
                <w:rFonts w:eastAsia="Times New Roman" w:cs="Times New Roman"/>
                <w:sz w:val="22"/>
              </w:rPr>
              <w:t>;</w:t>
            </w:r>
          </w:p>
          <w:p w:rsidR="00313D35" w:rsidRPr="00B175FB" w:rsidRDefault="00060BEF" w:rsidP="006A2F6A">
            <w:pPr>
              <w:pStyle w:val="Odstavecseseznamem"/>
              <w:numPr>
                <w:ilvl w:val="0"/>
                <w:numId w:val="63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rozvoj kariérového poradenství;</w:t>
            </w:r>
          </w:p>
          <w:p w:rsidR="0012667F" w:rsidRPr="00B175FB" w:rsidRDefault="00060BEF" w:rsidP="006A2F6A">
            <w:pPr>
              <w:pStyle w:val="Odstavecseseznamem"/>
              <w:numPr>
                <w:ilvl w:val="0"/>
                <w:numId w:val="63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p</w:t>
            </w:r>
            <w:r w:rsidR="0012667F" w:rsidRPr="00B175FB">
              <w:rPr>
                <w:rFonts w:eastAsia="Times New Roman" w:cs="Times New Roman"/>
                <w:sz w:val="22"/>
              </w:rPr>
              <w:t>odpora spolupráce škol se zaměstnavateli a sociálními partnery při přípravě a realizaci výuky</w:t>
            </w:r>
            <w:r w:rsidR="009A3D8D" w:rsidRPr="00B175FB">
              <w:rPr>
                <w:rFonts w:eastAsia="Times New Roman" w:cs="Times New Roman"/>
                <w:sz w:val="22"/>
              </w:rPr>
              <w:t xml:space="preserve"> včetně praktické výuky </w:t>
            </w:r>
            <w:r w:rsidR="00434B7D" w:rsidRPr="00B175FB">
              <w:rPr>
                <w:rFonts w:eastAsia="Times New Roman" w:cs="Times New Roman"/>
                <w:sz w:val="22"/>
              </w:rPr>
              <w:t>v mimoškolním prostředí</w:t>
            </w:r>
            <w:r w:rsidRPr="00B175FB">
              <w:rPr>
                <w:rFonts w:eastAsia="Times New Roman" w:cs="Times New Roman"/>
                <w:sz w:val="22"/>
              </w:rPr>
              <w:t>;</w:t>
            </w:r>
          </w:p>
          <w:p w:rsidR="00A23348" w:rsidRPr="00A23348" w:rsidRDefault="00060BEF" w:rsidP="00D5789D">
            <w:pPr>
              <w:pStyle w:val="Odstavecseseznamem"/>
              <w:numPr>
                <w:ilvl w:val="0"/>
                <w:numId w:val="63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p</w:t>
            </w:r>
            <w:r w:rsidR="0099764A" w:rsidRPr="00B175FB">
              <w:rPr>
                <w:rFonts w:eastAsia="Times New Roman" w:cs="Times New Roman"/>
                <w:sz w:val="22"/>
              </w:rPr>
              <w:t>odpora identifikace a nástrojů řešících genderové nerovnost</w:t>
            </w:r>
            <w:r w:rsidR="00F06645" w:rsidRPr="00B175FB">
              <w:rPr>
                <w:rFonts w:eastAsia="Times New Roman" w:cs="Times New Roman"/>
                <w:sz w:val="22"/>
              </w:rPr>
              <w:t>i</w:t>
            </w:r>
            <w:r w:rsidR="0099764A" w:rsidRPr="00B175FB">
              <w:rPr>
                <w:rFonts w:eastAsia="Times New Roman" w:cs="Times New Roman"/>
                <w:sz w:val="22"/>
              </w:rPr>
              <w:t xml:space="preserve"> ve vzdělávání</w:t>
            </w:r>
            <w:r w:rsidR="00A23348" w:rsidRPr="007B6783">
              <w:rPr>
                <w:rFonts w:eastAsia="Times New Roman" w:cs="Times New Roman"/>
                <w:sz w:val="22"/>
              </w:rPr>
              <w:t xml:space="preserve"> a</w:t>
            </w:r>
            <w:r w:rsidR="00A23348" w:rsidRPr="00D5789D">
              <w:rPr>
                <w:rFonts w:eastAsia="Times New Roman" w:cs="Times New Roman"/>
                <w:sz w:val="22"/>
              </w:rPr>
              <w:t xml:space="preserve"> </w:t>
            </w:r>
            <w:r w:rsidR="00A23348" w:rsidRPr="00A23348">
              <w:rPr>
                <w:rFonts w:eastAsia="Times New Roman" w:cs="Times New Roman"/>
                <w:sz w:val="22"/>
              </w:rPr>
              <w:t>zapojení genderové perspektivy do obsahů vzdělávání</w:t>
            </w:r>
            <w:r w:rsidR="00A23348">
              <w:rPr>
                <w:rFonts w:eastAsia="Times New Roman" w:cs="Times New Roman"/>
                <w:sz w:val="22"/>
              </w:rPr>
              <w:t>;</w:t>
            </w:r>
          </w:p>
          <w:p w:rsidR="0012667F" w:rsidRPr="00B175FB" w:rsidRDefault="00060BEF" w:rsidP="006A2F6A">
            <w:pPr>
              <w:pStyle w:val="Odstavecseseznamem"/>
              <w:numPr>
                <w:ilvl w:val="0"/>
                <w:numId w:val="63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p</w:t>
            </w:r>
            <w:r w:rsidR="0012667F" w:rsidRPr="00B175FB">
              <w:rPr>
                <w:rFonts w:eastAsia="Times New Roman" w:cs="Times New Roman"/>
                <w:sz w:val="22"/>
              </w:rPr>
              <w:t>odpora škol a školských zařízení vedoucí ke zvýšení schopnosti realizovat celoživotní učení</w:t>
            </w:r>
            <w:r w:rsidRPr="00B175FB">
              <w:rPr>
                <w:rFonts w:eastAsia="Times New Roman" w:cs="Times New Roman"/>
                <w:sz w:val="22"/>
              </w:rPr>
              <w:t>;</w:t>
            </w:r>
          </w:p>
          <w:p w:rsidR="000B7DA9" w:rsidRPr="00B175FB" w:rsidRDefault="00060BEF" w:rsidP="006A2F6A">
            <w:pPr>
              <w:pStyle w:val="Odstavecseseznamem"/>
              <w:numPr>
                <w:ilvl w:val="0"/>
                <w:numId w:val="63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p</w:t>
            </w:r>
            <w:r w:rsidR="000B7DA9" w:rsidRPr="00B175FB">
              <w:rPr>
                <w:rFonts w:eastAsia="Times New Roman" w:cs="Times New Roman"/>
                <w:sz w:val="22"/>
              </w:rPr>
              <w:t>odpora otevřeného vzdělávání</w:t>
            </w:r>
            <w:r w:rsidRPr="00B175FB">
              <w:rPr>
                <w:rFonts w:eastAsia="Times New Roman" w:cs="Times New Roman"/>
                <w:sz w:val="22"/>
              </w:rPr>
              <w:t>;</w:t>
            </w:r>
          </w:p>
          <w:p w:rsidR="0002424F" w:rsidRPr="00B175FB" w:rsidRDefault="00060BEF" w:rsidP="006A2F6A">
            <w:pPr>
              <w:pStyle w:val="Odstavecseseznamem"/>
              <w:numPr>
                <w:ilvl w:val="0"/>
                <w:numId w:val="63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p</w:t>
            </w:r>
            <w:r w:rsidR="0002424F" w:rsidRPr="00B175FB">
              <w:rPr>
                <w:rFonts w:eastAsia="Times New Roman" w:cs="Times New Roman"/>
                <w:sz w:val="22"/>
              </w:rPr>
              <w:t>ropojování formálního a neformálního (včetně zájmového</w:t>
            </w:r>
            <w:r w:rsidR="00E6017D">
              <w:rPr>
                <w:rFonts w:eastAsia="Times New Roman" w:cs="Times New Roman"/>
                <w:sz w:val="22"/>
              </w:rPr>
              <w:t xml:space="preserve"> </w:t>
            </w:r>
            <w:r w:rsidR="0064546A">
              <w:rPr>
                <w:rFonts w:eastAsia="Times New Roman" w:cs="Times New Roman"/>
                <w:sz w:val="22"/>
              </w:rPr>
              <w:t>či uměleckého</w:t>
            </w:r>
            <w:r w:rsidR="0002424F" w:rsidRPr="00B175FB">
              <w:rPr>
                <w:rFonts w:eastAsia="Times New Roman" w:cs="Times New Roman"/>
                <w:sz w:val="22"/>
              </w:rPr>
              <w:t>) vzdělávání včetně tvorby podpůrných profesionálních sítí</w:t>
            </w:r>
            <w:r w:rsidRPr="00B175FB">
              <w:rPr>
                <w:rFonts w:eastAsia="Times New Roman" w:cs="Times New Roman"/>
                <w:sz w:val="22"/>
              </w:rPr>
              <w:t>;</w:t>
            </w:r>
          </w:p>
          <w:p w:rsidR="009354B8" w:rsidRPr="00B175FB" w:rsidRDefault="00060BEF" w:rsidP="006A2F6A">
            <w:pPr>
              <w:pStyle w:val="Odstavecseseznamem"/>
              <w:numPr>
                <w:ilvl w:val="0"/>
                <w:numId w:val="63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v</w:t>
            </w:r>
            <w:r w:rsidR="004B5D18" w:rsidRPr="00B175FB">
              <w:rPr>
                <w:rFonts w:eastAsia="Times New Roman" w:cs="Times New Roman"/>
                <w:sz w:val="22"/>
              </w:rPr>
              <w:t>ytvoření podmínek pro zvýšení možnosti účasti dětí, žáků a studentů v mezinárodních programech.</w:t>
            </w:r>
          </w:p>
          <w:p w:rsidR="0098519A" w:rsidRPr="00B175FB" w:rsidRDefault="00357ECD" w:rsidP="007F0709">
            <w:pPr>
              <w:spacing w:line="276" w:lineRule="auto"/>
              <w:jc w:val="both"/>
              <w:rPr>
                <w:rFonts w:eastAsia="Times New Roman"/>
                <w:sz w:val="22"/>
              </w:rPr>
            </w:pPr>
            <w:r w:rsidRPr="00B175FB">
              <w:rPr>
                <w:sz w:val="22"/>
              </w:rPr>
              <w:t>Pracovníci</w:t>
            </w:r>
            <w:r w:rsidR="00AA49F2">
              <w:rPr>
                <w:sz w:val="22"/>
              </w:rPr>
              <w:t xml:space="preserve"> ve vzdělávání</w:t>
            </w:r>
            <w:r w:rsidRPr="00B175FB">
              <w:rPr>
                <w:sz w:val="22"/>
              </w:rPr>
              <w:t>:</w:t>
            </w:r>
          </w:p>
          <w:p w:rsidR="00CD3DF4" w:rsidRPr="00B175FB" w:rsidRDefault="00060BEF" w:rsidP="006A2F6A">
            <w:pPr>
              <w:pStyle w:val="Odstavecseseznamem"/>
              <w:numPr>
                <w:ilvl w:val="0"/>
                <w:numId w:val="63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z</w:t>
            </w:r>
            <w:r w:rsidR="002E765C" w:rsidRPr="00B175FB">
              <w:rPr>
                <w:rFonts w:eastAsia="Times New Roman" w:cs="Times New Roman"/>
                <w:sz w:val="22"/>
              </w:rPr>
              <w:t>ajištění s</w:t>
            </w:r>
            <w:r w:rsidR="00CD3DF4" w:rsidRPr="00B175FB">
              <w:rPr>
                <w:rFonts w:eastAsia="Times New Roman" w:cs="Times New Roman"/>
                <w:sz w:val="22"/>
              </w:rPr>
              <w:t>ystém</w:t>
            </w:r>
            <w:r w:rsidR="002E765C" w:rsidRPr="00B175FB">
              <w:rPr>
                <w:rFonts w:eastAsia="Times New Roman" w:cs="Times New Roman"/>
                <w:sz w:val="22"/>
              </w:rPr>
              <w:t>u</w:t>
            </w:r>
            <w:r w:rsidR="00CD3DF4" w:rsidRPr="00B175FB">
              <w:rPr>
                <w:rFonts w:eastAsia="Times New Roman" w:cs="Times New Roman"/>
                <w:sz w:val="22"/>
              </w:rPr>
              <w:t xml:space="preserve"> podpory profesního rozvoje vedoucích pracovníků škol</w:t>
            </w:r>
            <w:r w:rsidR="00626B21" w:rsidRPr="00B175FB">
              <w:rPr>
                <w:rFonts w:eastAsia="Times New Roman" w:cs="Times New Roman"/>
                <w:sz w:val="22"/>
              </w:rPr>
              <w:t xml:space="preserve"> a školských zařízení</w:t>
            </w:r>
            <w:r w:rsidRPr="00B175FB">
              <w:rPr>
                <w:rFonts w:eastAsia="Times New Roman" w:cs="Times New Roman"/>
                <w:sz w:val="22"/>
              </w:rPr>
              <w:t xml:space="preserve"> se</w:t>
            </w:r>
            <w:r w:rsidR="005F6833" w:rsidRPr="00B175FB">
              <w:rPr>
                <w:rFonts w:eastAsia="Times New Roman" w:cs="Times New Roman"/>
                <w:sz w:val="22"/>
              </w:rPr>
              <w:t> </w:t>
            </w:r>
            <w:r w:rsidRPr="00B175FB">
              <w:rPr>
                <w:rFonts w:eastAsia="Times New Roman" w:cs="Times New Roman"/>
                <w:sz w:val="22"/>
              </w:rPr>
              <w:t>zaměřením na kvalitu;</w:t>
            </w:r>
          </w:p>
          <w:p w:rsidR="00A5701A" w:rsidRPr="00B175FB" w:rsidRDefault="00060BEF" w:rsidP="006A2F6A">
            <w:pPr>
              <w:pStyle w:val="Odstavecseseznamem"/>
              <w:numPr>
                <w:ilvl w:val="0"/>
                <w:numId w:val="63"/>
              </w:numPr>
              <w:spacing w:line="276" w:lineRule="auto"/>
              <w:jc w:val="both"/>
              <w:rPr>
                <w:rFonts w:eastAsia="Times New Roman"/>
                <w:sz w:val="22"/>
              </w:rPr>
            </w:pPr>
            <w:r w:rsidRPr="00B175FB">
              <w:rPr>
                <w:rFonts w:eastAsia="Times New Roman"/>
                <w:iCs/>
                <w:sz w:val="22"/>
              </w:rPr>
              <w:t>p</w:t>
            </w:r>
            <w:r w:rsidR="00A5701A" w:rsidRPr="00B175FB">
              <w:rPr>
                <w:rFonts w:eastAsia="Times New Roman"/>
                <w:iCs/>
                <w:sz w:val="22"/>
              </w:rPr>
              <w:t>odpora komplexního profesního rozvoje pedagogických a akademických pracovníků prostřednictvím uceleného systému podpory, který zahrnuje všechny oblasti tzv. profesionalizačního kontinua</w:t>
            </w:r>
            <w:r w:rsidRPr="00B175FB">
              <w:rPr>
                <w:rFonts w:eastAsia="Times New Roman"/>
                <w:iCs/>
                <w:sz w:val="22"/>
              </w:rPr>
              <w:t>;</w:t>
            </w:r>
          </w:p>
          <w:p w:rsidR="00990733" w:rsidRPr="00B175FB" w:rsidRDefault="00060BEF" w:rsidP="006A2F6A">
            <w:pPr>
              <w:pStyle w:val="Odstavecseseznamem"/>
              <w:numPr>
                <w:ilvl w:val="0"/>
                <w:numId w:val="63"/>
              </w:numPr>
              <w:spacing w:line="276" w:lineRule="auto"/>
              <w:jc w:val="both"/>
              <w:rPr>
                <w:rFonts w:eastAsia="Times New Roman"/>
                <w:sz w:val="22"/>
              </w:rPr>
            </w:pPr>
            <w:r w:rsidRPr="00B175FB">
              <w:rPr>
                <w:rFonts w:eastAsia="Times New Roman"/>
                <w:iCs/>
                <w:sz w:val="22"/>
              </w:rPr>
              <w:t>p</w:t>
            </w:r>
            <w:r w:rsidR="00990733" w:rsidRPr="00B175FB">
              <w:rPr>
                <w:rFonts w:eastAsia="Times New Roman"/>
                <w:iCs/>
                <w:sz w:val="22"/>
              </w:rPr>
              <w:t xml:space="preserve">odpora účasti </w:t>
            </w:r>
            <w:r w:rsidR="00C315CF" w:rsidRPr="00B175FB">
              <w:rPr>
                <w:rFonts w:eastAsia="Times New Roman"/>
                <w:iCs/>
                <w:sz w:val="22"/>
              </w:rPr>
              <w:t>zaměstnanců ve vzdělávání</w:t>
            </w:r>
            <w:r w:rsidR="00990733" w:rsidRPr="00B175FB">
              <w:rPr>
                <w:rFonts w:eastAsia="Times New Roman"/>
                <w:iCs/>
                <w:sz w:val="22"/>
              </w:rPr>
              <w:t xml:space="preserve"> na méně využívaných formách</w:t>
            </w:r>
            <w:r w:rsidR="00334E35" w:rsidRPr="00B175FB">
              <w:rPr>
                <w:rFonts w:eastAsia="Times New Roman"/>
                <w:iCs/>
                <w:sz w:val="22"/>
              </w:rPr>
              <w:t xml:space="preserve"> a tématech</w:t>
            </w:r>
            <w:r w:rsidR="00990733" w:rsidRPr="00B175FB">
              <w:rPr>
                <w:rFonts w:eastAsia="Times New Roman"/>
                <w:iCs/>
                <w:sz w:val="22"/>
              </w:rPr>
              <w:t xml:space="preserve"> jejich dalšího vzdělávání</w:t>
            </w:r>
            <w:r w:rsidRPr="00B175FB">
              <w:rPr>
                <w:rFonts w:eastAsia="Times New Roman"/>
                <w:iCs/>
                <w:sz w:val="22"/>
              </w:rPr>
              <w:t>;</w:t>
            </w:r>
          </w:p>
          <w:p w:rsidR="003150F4" w:rsidRPr="00B175FB" w:rsidRDefault="00060BEF" w:rsidP="006A2F6A">
            <w:pPr>
              <w:pStyle w:val="Odstavecseseznamem"/>
              <w:numPr>
                <w:ilvl w:val="0"/>
                <w:numId w:val="63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z</w:t>
            </w:r>
            <w:r w:rsidR="003150F4" w:rsidRPr="00B175FB">
              <w:rPr>
                <w:rFonts w:eastAsia="Times New Roman" w:cs="Times New Roman"/>
                <w:sz w:val="22"/>
              </w:rPr>
              <w:t>ajištění komplexní podpory pedagogického leadershipu a odborných kapacit v oblasti využití digitá</w:t>
            </w:r>
            <w:r w:rsidRPr="00B175FB">
              <w:rPr>
                <w:rFonts w:eastAsia="Times New Roman" w:cs="Times New Roman"/>
                <w:sz w:val="22"/>
              </w:rPr>
              <w:t>lních technologií ve vzdělávání;</w:t>
            </w:r>
          </w:p>
          <w:p w:rsidR="00535E47" w:rsidRPr="00B175FB" w:rsidRDefault="00060BEF" w:rsidP="006A2F6A">
            <w:pPr>
              <w:pStyle w:val="Odstavecseseznamem"/>
              <w:numPr>
                <w:ilvl w:val="0"/>
                <w:numId w:val="63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p</w:t>
            </w:r>
            <w:r w:rsidR="00CD3DF4" w:rsidRPr="00B175FB">
              <w:rPr>
                <w:rFonts w:eastAsia="Times New Roman" w:cs="Times New Roman"/>
                <w:sz w:val="22"/>
              </w:rPr>
              <w:t>odpo</w:t>
            </w:r>
            <w:r w:rsidR="002E765C" w:rsidRPr="00B175FB">
              <w:rPr>
                <w:rFonts w:eastAsia="Times New Roman" w:cs="Times New Roman"/>
                <w:sz w:val="22"/>
              </w:rPr>
              <w:t>ra</w:t>
            </w:r>
            <w:r w:rsidR="00CD3DF4" w:rsidRPr="00B175FB">
              <w:rPr>
                <w:rFonts w:eastAsia="Times New Roman" w:cs="Times New Roman"/>
                <w:sz w:val="22"/>
              </w:rPr>
              <w:t xml:space="preserve"> alternativní</w:t>
            </w:r>
            <w:r w:rsidR="002E765C" w:rsidRPr="00B175FB">
              <w:rPr>
                <w:rFonts w:eastAsia="Times New Roman" w:cs="Times New Roman"/>
                <w:sz w:val="22"/>
              </w:rPr>
              <w:t>ch</w:t>
            </w:r>
            <w:r w:rsidR="00CD3DF4" w:rsidRPr="00B175FB">
              <w:rPr>
                <w:rFonts w:eastAsia="Times New Roman" w:cs="Times New Roman"/>
                <w:sz w:val="22"/>
              </w:rPr>
              <w:t xml:space="preserve"> vzdělávací</w:t>
            </w:r>
            <w:r w:rsidR="002E765C" w:rsidRPr="00B175FB">
              <w:rPr>
                <w:rFonts w:eastAsia="Times New Roman" w:cs="Times New Roman"/>
                <w:sz w:val="22"/>
              </w:rPr>
              <w:t>ch</w:t>
            </w:r>
            <w:r w:rsidR="00CD3DF4" w:rsidRPr="00B175FB">
              <w:rPr>
                <w:rFonts w:eastAsia="Times New Roman" w:cs="Times New Roman"/>
                <w:sz w:val="22"/>
              </w:rPr>
              <w:t xml:space="preserve"> cest k získání pedagogické kvalifikace (</w:t>
            </w:r>
            <w:r w:rsidR="00322360" w:rsidRPr="00B175FB">
              <w:rPr>
                <w:rFonts w:eastAsia="Times New Roman" w:cs="Times New Roman"/>
                <w:sz w:val="22"/>
              </w:rPr>
              <w:t>doplňující pedagogické studium</w:t>
            </w:r>
            <w:r w:rsidRPr="00B175FB">
              <w:rPr>
                <w:rFonts w:eastAsia="Times New Roman" w:cs="Times New Roman"/>
                <w:sz w:val="22"/>
              </w:rPr>
              <w:t>);</w:t>
            </w:r>
          </w:p>
          <w:p w:rsidR="00F63594" w:rsidRPr="00B175FB" w:rsidRDefault="00060BEF" w:rsidP="006A2F6A">
            <w:pPr>
              <w:pStyle w:val="Odstavecseseznamem"/>
              <w:numPr>
                <w:ilvl w:val="0"/>
                <w:numId w:val="63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p</w:t>
            </w:r>
            <w:r w:rsidR="00F63594" w:rsidRPr="00B175FB">
              <w:rPr>
                <w:rFonts w:eastAsia="Times New Roman" w:cs="Times New Roman"/>
                <w:sz w:val="22"/>
              </w:rPr>
              <w:t>odpora získávání a doplnění odborné kvalifikace neaprobovaných učitelů zejména v základním a</w:t>
            </w:r>
            <w:r w:rsidR="004D49BF" w:rsidRPr="00B175FB">
              <w:rPr>
                <w:rFonts w:eastAsia="Times New Roman" w:cs="Times New Roman"/>
                <w:sz w:val="22"/>
              </w:rPr>
              <w:t> </w:t>
            </w:r>
            <w:r w:rsidR="00F63594" w:rsidRPr="00B175FB">
              <w:rPr>
                <w:rFonts w:eastAsia="Times New Roman" w:cs="Times New Roman"/>
                <w:sz w:val="22"/>
              </w:rPr>
              <w:t>středním vzdělávání</w:t>
            </w:r>
            <w:r w:rsidRPr="00B175FB">
              <w:rPr>
                <w:rFonts w:eastAsia="Times New Roman" w:cs="Times New Roman"/>
                <w:sz w:val="22"/>
              </w:rPr>
              <w:t>;</w:t>
            </w:r>
          </w:p>
          <w:p w:rsidR="004B5D18" w:rsidRPr="00B175FB" w:rsidRDefault="00060BEF" w:rsidP="006A2F6A">
            <w:pPr>
              <w:pStyle w:val="Odstavecseseznamem"/>
              <w:numPr>
                <w:ilvl w:val="0"/>
                <w:numId w:val="63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v</w:t>
            </w:r>
            <w:r w:rsidR="004B5D18" w:rsidRPr="00B175FB">
              <w:rPr>
                <w:rFonts w:eastAsia="Times New Roman" w:cs="Times New Roman"/>
                <w:sz w:val="22"/>
              </w:rPr>
              <w:t xml:space="preserve">ytvoření podmínek pro zvýšení možnosti účasti </w:t>
            </w:r>
            <w:r w:rsidR="0001738B" w:rsidRPr="00B175FB">
              <w:rPr>
                <w:rFonts w:eastAsia="Times New Roman" w:cs="Times New Roman"/>
                <w:sz w:val="22"/>
              </w:rPr>
              <w:t>zaměstnanců ve vzdělávání</w:t>
            </w:r>
            <w:r w:rsidR="004B5D18" w:rsidRPr="00B175FB">
              <w:rPr>
                <w:rFonts w:eastAsia="Times New Roman" w:cs="Times New Roman"/>
                <w:sz w:val="22"/>
              </w:rPr>
              <w:t xml:space="preserve"> na vzdělávacích programech v systému dalšího vzdělávání, včetně účasti na mezinárodních aktivitách.</w:t>
            </w:r>
          </w:p>
          <w:p w:rsidR="00535E47" w:rsidRPr="00B175FB" w:rsidRDefault="00535E47" w:rsidP="007F0709">
            <w:pPr>
              <w:spacing w:line="276" w:lineRule="auto"/>
              <w:jc w:val="both"/>
              <w:rPr>
                <w:rFonts w:eastAsia="Times New Roman"/>
                <w:sz w:val="22"/>
              </w:rPr>
            </w:pPr>
            <w:r w:rsidRPr="00B175FB">
              <w:rPr>
                <w:rFonts w:eastAsia="Times New Roman"/>
                <w:sz w:val="22"/>
              </w:rPr>
              <w:t>Řízení vzdělávání:</w:t>
            </w:r>
          </w:p>
          <w:p w:rsidR="00535E47" w:rsidRPr="00B175FB" w:rsidRDefault="00060BEF" w:rsidP="006A2F6A">
            <w:pPr>
              <w:pStyle w:val="Odstavecseseznamem"/>
              <w:numPr>
                <w:ilvl w:val="0"/>
                <w:numId w:val="63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p</w:t>
            </w:r>
            <w:r w:rsidR="00535E47" w:rsidRPr="00B175FB">
              <w:rPr>
                <w:rFonts w:eastAsia="Times New Roman" w:cs="Times New Roman"/>
                <w:sz w:val="22"/>
              </w:rPr>
              <w:t>odpora procesů akčního plánování rozvoje vzdělávání v územích a funkční spoluprác</w:t>
            </w:r>
            <w:r w:rsidR="00A4291A" w:rsidRPr="00B175FB">
              <w:rPr>
                <w:rFonts w:eastAsia="Times New Roman" w:cs="Times New Roman"/>
                <w:sz w:val="22"/>
              </w:rPr>
              <w:t>e</w:t>
            </w:r>
            <w:r w:rsidRPr="00B175FB">
              <w:rPr>
                <w:rFonts w:eastAsia="Times New Roman" w:cs="Times New Roman"/>
                <w:sz w:val="22"/>
              </w:rPr>
              <w:t xml:space="preserve"> </w:t>
            </w:r>
            <w:r w:rsidRPr="00B175FB">
              <w:rPr>
                <w:rFonts w:eastAsia="Times New Roman" w:cs="Times New Roman"/>
                <w:sz w:val="22"/>
              </w:rPr>
              <w:br/>
              <w:t>v územích;</w:t>
            </w:r>
          </w:p>
          <w:p w:rsidR="00CD3DF4" w:rsidRPr="00B175FB" w:rsidRDefault="00060BEF" w:rsidP="006A2F6A">
            <w:pPr>
              <w:pStyle w:val="Odstavecseseznamem"/>
              <w:numPr>
                <w:ilvl w:val="0"/>
                <w:numId w:val="63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z</w:t>
            </w:r>
            <w:r w:rsidR="00CD3DF4" w:rsidRPr="00B175FB">
              <w:rPr>
                <w:rFonts w:eastAsia="Times New Roman" w:cs="Times New Roman"/>
                <w:sz w:val="22"/>
              </w:rPr>
              <w:t>lepš</w:t>
            </w:r>
            <w:r w:rsidR="004073A5" w:rsidRPr="00B175FB">
              <w:rPr>
                <w:rFonts w:eastAsia="Times New Roman" w:cs="Times New Roman"/>
                <w:sz w:val="22"/>
              </w:rPr>
              <w:t>ení</w:t>
            </w:r>
            <w:r w:rsidR="00CD3DF4" w:rsidRPr="00B175FB">
              <w:rPr>
                <w:rFonts w:eastAsia="Times New Roman" w:cs="Times New Roman"/>
                <w:sz w:val="22"/>
              </w:rPr>
              <w:t xml:space="preserve"> dostupnost</w:t>
            </w:r>
            <w:r w:rsidR="002E765C" w:rsidRPr="00B175FB">
              <w:rPr>
                <w:rFonts w:eastAsia="Times New Roman" w:cs="Times New Roman"/>
                <w:sz w:val="22"/>
              </w:rPr>
              <w:t>i</w:t>
            </w:r>
            <w:r w:rsidR="00CD3DF4" w:rsidRPr="00B175FB">
              <w:rPr>
                <w:rFonts w:eastAsia="Times New Roman" w:cs="Times New Roman"/>
                <w:sz w:val="22"/>
              </w:rPr>
              <w:t xml:space="preserve"> datové základny pro všechny aktéry ve vš</w:t>
            </w:r>
            <w:r w:rsidRPr="00B175FB">
              <w:rPr>
                <w:rFonts w:eastAsia="Times New Roman" w:cs="Times New Roman"/>
                <w:sz w:val="22"/>
              </w:rPr>
              <w:t>ech typech a formách vzdělávání;</w:t>
            </w:r>
          </w:p>
          <w:p w:rsidR="00CD3DF4" w:rsidRPr="00B175FB" w:rsidRDefault="00060BEF" w:rsidP="006A2F6A">
            <w:pPr>
              <w:pStyle w:val="Odstavecseseznamem"/>
              <w:numPr>
                <w:ilvl w:val="0"/>
                <w:numId w:val="63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/>
                <w:sz w:val="22"/>
              </w:rPr>
              <w:t>p</w:t>
            </w:r>
            <w:r w:rsidR="002E765C" w:rsidRPr="00B175FB">
              <w:rPr>
                <w:rFonts w:eastAsia="Times New Roman"/>
                <w:sz w:val="22"/>
              </w:rPr>
              <w:t>osílení</w:t>
            </w:r>
            <w:r w:rsidR="00CD3DF4" w:rsidRPr="00B175FB">
              <w:rPr>
                <w:rFonts w:eastAsia="Times New Roman"/>
                <w:sz w:val="22"/>
              </w:rPr>
              <w:t xml:space="preserve"> systém</w:t>
            </w:r>
            <w:r w:rsidR="002E765C" w:rsidRPr="00B175FB">
              <w:rPr>
                <w:rFonts w:eastAsia="Times New Roman"/>
                <w:sz w:val="22"/>
              </w:rPr>
              <w:t>u</w:t>
            </w:r>
            <w:r w:rsidR="00CD3DF4" w:rsidRPr="00B175FB">
              <w:rPr>
                <w:rFonts w:eastAsia="Times New Roman"/>
                <w:sz w:val="22"/>
              </w:rPr>
              <w:t xml:space="preserve"> </w:t>
            </w:r>
            <w:r w:rsidR="00F57F05" w:rsidRPr="00B175FB">
              <w:rPr>
                <w:rFonts w:eastAsia="Times New Roman"/>
                <w:sz w:val="22"/>
              </w:rPr>
              <w:t>VaV</w:t>
            </w:r>
            <w:r w:rsidR="00CD3DF4" w:rsidRPr="00B175FB">
              <w:rPr>
                <w:rFonts w:eastAsia="Times New Roman"/>
                <w:sz w:val="22"/>
              </w:rPr>
              <w:t xml:space="preserve"> v oblasti vzdělávání</w:t>
            </w:r>
            <w:r w:rsidR="00552975" w:rsidRPr="00B175FB">
              <w:rPr>
                <w:rFonts w:eastAsia="Times New Roman"/>
                <w:sz w:val="22"/>
              </w:rPr>
              <w:t xml:space="preserve"> a podpora pedagogického výzkumu v oblasti modernizace </w:t>
            </w:r>
            <w:r w:rsidR="0019427C" w:rsidRPr="00B175FB">
              <w:rPr>
                <w:rFonts w:eastAsia="Times New Roman"/>
                <w:sz w:val="22"/>
              </w:rPr>
              <w:t>cílů, obsahu a metod vzdělávání</w:t>
            </w:r>
            <w:r w:rsidR="005B62A2" w:rsidRPr="00B175FB">
              <w:rPr>
                <w:rFonts w:eastAsia="Times New Roman"/>
                <w:sz w:val="22"/>
              </w:rPr>
              <w:t>,</w:t>
            </w:r>
            <w:r w:rsidR="0001738B" w:rsidRPr="00B175FB">
              <w:rPr>
                <w:rFonts w:eastAsia="Times New Roman"/>
                <w:sz w:val="22"/>
              </w:rPr>
              <w:t xml:space="preserve"> </w:t>
            </w:r>
            <w:r w:rsidR="0001738B" w:rsidRPr="00B175FB">
              <w:rPr>
                <w:rFonts w:eastAsia="Times New Roman" w:cs="Times New Roman"/>
                <w:sz w:val="22"/>
              </w:rPr>
              <w:t>podmínek práce pedagogických pracovníků, struktury a</w:t>
            </w:r>
            <w:r w:rsidR="007E01C5" w:rsidRPr="00B175FB">
              <w:rPr>
                <w:rFonts w:eastAsia="Times New Roman" w:cs="Times New Roman"/>
                <w:sz w:val="22"/>
              </w:rPr>
              <w:t> </w:t>
            </w:r>
            <w:r w:rsidR="0001738B" w:rsidRPr="00B175FB">
              <w:rPr>
                <w:rFonts w:eastAsia="Times New Roman" w:cs="Times New Roman"/>
                <w:sz w:val="22"/>
              </w:rPr>
              <w:t>řízení vzdělávací soustavy</w:t>
            </w:r>
            <w:r w:rsidR="005B62A2" w:rsidRPr="00B175FB">
              <w:rPr>
                <w:rFonts w:eastAsia="Times New Roman" w:cs="Times New Roman"/>
                <w:sz w:val="22"/>
              </w:rPr>
              <w:t xml:space="preserve"> včetně ov</w:t>
            </w:r>
            <w:r w:rsidRPr="00B175FB">
              <w:rPr>
                <w:rFonts w:eastAsia="Times New Roman" w:cs="Times New Roman"/>
                <w:sz w:val="22"/>
              </w:rPr>
              <w:t>ěření a využití nových poznatků;</w:t>
            </w:r>
          </w:p>
          <w:p w:rsidR="005A3AB0" w:rsidRPr="00B175FB" w:rsidRDefault="00060BEF" w:rsidP="006A2F6A">
            <w:pPr>
              <w:pStyle w:val="Odstavecseseznamem"/>
              <w:numPr>
                <w:ilvl w:val="0"/>
                <w:numId w:val="63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p</w:t>
            </w:r>
            <w:r w:rsidR="005A3AB0" w:rsidRPr="00B175FB">
              <w:rPr>
                <w:rFonts w:eastAsia="Times New Roman" w:cs="Times New Roman"/>
                <w:sz w:val="22"/>
              </w:rPr>
              <w:t>odpora vzniku opatření vedoucích ke snižování administrativní z</w:t>
            </w:r>
            <w:r w:rsidRPr="00B175FB">
              <w:rPr>
                <w:rFonts w:eastAsia="Times New Roman" w:cs="Times New Roman"/>
                <w:sz w:val="22"/>
              </w:rPr>
              <w:t>átěže škol a školských zařízení;</w:t>
            </w:r>
          </w:p>
          <w:p w:rsidR="00CD3DF4" w:rsidRPr="00B175FB" w:rsidRDefault="00060BEF" w:rsidP="006A2F6A">
            <w:pPr>
              <w:pStyle w:val="Odstavecseseznamem"/>
              <w:numPr>
                <w:ilvl w:val="0"/>
                <w:numId w:val="63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p</w:t>
            </w:r>
            <w:r w:rsidR="00CD3DF4" w:rsidRPr="00B175FB">
              <w:rPr>
                <w:rFonts w:eastAsia="Times New Roman" w:cs="Times New Roman"/>
                <w:sz w:val="22"/>
              </w:rPr>
              <w:t>odpo</w:t>
            </w:r>
            <w:r w:rsidR="004073A5" w:rsidRPr="00B175FB">
              <w:rPr>
                <w:rFonts w:eastAsia="Times New Roman" w:cs="Times New Roman"/>
                <w:sz w:val="22"/>
              </w:rPr>
              <w:t>ra</w:t>
            </w:r>
            <w:r w:rsidR="00CD3DF4" w:rsidRPr="00B175FB">
              <w:rPr>
                <w:rFonts w:eastAsia="Times New Roman" w:cs="Times New Roman"/>
                <w:sz w:val="22"/>
              </w:rPr>
              <w:t xml:space="preserve"> vznik</w:t>
            </w:r>
            <w:r w:rsidR="004073A5" w:rsidRPr="00B175FB">
              <w:rPr>
                <w:rFonts w:eastAsia="Times New Roman" w:cs="Times New Roman"/>
                <w:sz w:val="22"/>
              </w:rPr>
              <w:t>u</w:t>
            </w:r>
            <w:r w:rsidR="00CD3DF4" w:rsidRPr="00B175FB">
              <w:rPr>
                <w:rFonts w:eastAsia="Times New Roman" w:cs="Times New Roman"/>
                <w:sz w:val="22"/>
              </w:rPr>
              <w:t xml:space="preserve"> opatření, která povedou k úzké profesní spolupráci mezi školami a </w:t>
            </w:r>
            <w:r w:rsidR="00595F28" w:rsidRPr="00B175FB">
              <w:rPr>
                <w:rFonts w:eastAsia="Times New Roman" w:cs="Times New Roman"/>
                <w:sz w:val="22"/>
              </w:rPr>
              <w:t>VŠ</w:t>
            </w:r>
            <w:r w:rsidR="00CD3DF4" w:rsidRPr="00B175FB">
              <w:rPr>
                <w:rFonts w:eastAsia="Times New Roman" w:cs="Times New Roman"/>
                <w:sz w:val="22"/>
              </w:rPr>
              <w:t xml:space="preserve"> vzdělávajícími učitele</w:t>
            </w:r>
            <w:r w:rsidR="00BF2946" w:rsidRPr="00B175FB">
              <w:rPr>
                <w:rFonts w:eastAsia="Times New Roman" w:cs="Times New Roman"/>
                <w:sz w:val="22"/>
              </w:rPr>
              <w:t xml:space="preserve"> se zaměřením </w:t>
            </w:r>
            <w:r w:rsidRPr="00B175FB">
              <w:rPr>
                <w:rFonts w:eastAsia="Times New Roman" w:cs="Times New Roman"/>
                <w:sz w:val="22"/>
              </w:rPr>
              <w:t>na oblast pedagogických praxí;</w:t>
            </w:r>
          </w:p>
          <w:p w:rsidR="00607EA8" w:rsidRPr="00B175FB" w:rsidRDefault="00060BEF" w:rsidP="006A2F6A">
            <w:pPr>
              <w:pStyle w:val="Odstavecseseznamem"/>
              <w:numPr>
                <w:ilvl w:val="0"/>
                <w:numId w:val="63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p</w:t>
            </w:r>
            <w:r w:rsidR="00607EA8" w:rsidRPr="00B175FB">
              <w:rPr>
                <w:rFonts w:eastAsia="Times New Roman" w:cs="Times New Roman"/>
                <w:sz w:val="22"/>
              </w:rPr>
              <w:t>odpora zapojení škol do mezinárodních vzdělávacích programů za účelem získávání zkušeností a přenosu inovativních metod.</w:t>
            </w:r>
          </w:p>
          <w:p w:rsidR="005A55BF" w:rsidRPr="00B175FB" w:rsidRDefault="005A55BF" w:rsidP="0015017F">
            <w:pPr>
              <w:spacing w:line="276" w:lineRule="auto"/>
              <w:jc w:val="both"/>
              <w:rPr>
                <w:rFonts w:eastAsia="Times New Roman"/>
                <w:b/>
                <w:sz w:val="22"/>
              </w:rPr>
            </w:pPr>
            <w:r w:rsidRPr="00B175FB">
              <w:rPr>
                <w:rFonts w:eastAsia="Times New Roman"/>
                <w:b/>
                <w:sz w:val="22"/>
              </w:rPr>
              <w:t>Vysoké školy</w:t>
            </w:r>
          </w:p>
          <w:p w:rsidR="00CF2601" w:rsidRPr="00B175FB" w:rsidRDefault="00060BEF" w:rsidP="006A2F6A">
            <w:pPr>
              <w:pStyle w:val="Odstavecseseznamem"/>
              <w:numPr>
                <w:ilvl w:val="0"/>
                <w:numId w:val="63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p</w:t>
            </w:r>
            <w:r w:rsidR="0060697A" w:rsidRPr="00B175FB">
              <w:rPr>
                <w:rFonts w:eastAsia="Times New Roman" w:cs="Times New Roman"/>
                <w:sz w:val="22"/>
              </w:rPr>
              <w:t>osilování jazykových</w:t>
            </w:r>
            <w:r w:rsidR="00695925" w:rsidRPr="00B175FB">
              <w:rPr>
                <w:rFonts w:eastAsia="Times New Roman" w:cs="Times New Roman"/>
                <w:sz w:val="22"/>
              </w:rPr>
              <w:t xml:space="preserve"> a jiných</w:t>
            </w:r>
            <w:r w:rsidR="0060697A" w:rsidRPr="00B175FB">
              <w:rPr>
                <w:rFonts w:eastAsia="Times New Roman" w:cs="Times New Roman"/>
                <w:sz w:val="22"/>
              </w:rPr>
              <w:t xml:space="preserve"> kompetencí </w:t>
            </w:r>
            <w:r w:rsidR="00456958" w:rsidRPr="00B175FB">
              <w:rPr>
                <w:rFonts w:eastAsia="Times New Roman" w:cs="Times New Roman"/>
                <w:sz w:val="22"/>
              </w:rPr>
              <w:t xml:space="preserve">pracovníků </w:t>
            </w:r>
            <w:r w:rsidR="00595F28" w:rsidRPr="00B175FB">
              <w:rPr>
                <w:rFonts w:eastAsia="Times New Roman" w:cs="Times New Roman"/>
                <w:sz w:val="22"/>
              </w:rPr>
              <w:t>VŠ</w:t>
            </w:r>
            <w:r w:rsidR="00456958" w:rsidRPr="00B175FB">
              <w:rPr>
                <w:rFonts w:eastAsia="Times New Roman" w:cs="Times New Roman"/>
                <w:sz w:val="22"/>
              </w:rPr>
              <w:t xml:space="preserve"> (</w:t>
            </w:r>
            <w:r w:rsidR="0060697A" w:rsidRPr="00B175FB">
              <w:rPr>
                <w:rFonts w:eastAsia="Times New Roman" w:cs="Times New Roman"/>
                <w:sz w:val="22"/>
              </w:rPr>
              <w:t>akademický</w:t>
            </w:r>
            <w:r w:rsidR="00B810CD" w:rsidRPr="00B175FB">
              <w:rPr>
                <w:rFonts w:eastAsia="Times New Roman" w:cs="Times New Roman"/>
                <w:sz w:val="22"/>
              </w:rPr>
              <w:t xml:space="preserve">ch </w:t>
            </w:r>
            <w:r w:rsidR="006275A7" w:rsidRPr="00B175FB">
              <w:rPr>
                <w:rFonts w:eastAsia="Times New Roman" w:cs="Times New Roman"/>
                <w:sz w:val="22"/>
              </w:rPr>
              <w:t>a </w:t>
            </w:r>
            <w:r w:rsidR="00B810CD" w:rsidRPr="00B175FB">
              <w:rPr>
                <w:rFonts w:eastAsia="Times New Roman" w:cs="Times New Roman"/>
                <w:sz w:val="22"/>
              </w:rPr>
              <w:t>neakademických</w:t>
            </w:r>
            <w:r w:rsidR="00456958" w:rsidRPr="00B175FB">
              <w:rPr>
                <w:rFonts w:eastAsia="Times New Roman" w:cs="Times New Roman"/>
                <w:sz w:val="22"/>
              </w:rPr>
              <w:t>)</w:t>
            </w:r>
            <w:r w:rsidR="00B810CD" w:rsidRPr="00B175FB">
              <w:rPr>
                <w:rFonts w:eastAsia="Times New Roman" w:cs="Times New Roman"/>
                <w:sz w:val="22"/>
              </w:rPr>
              <w:t>, které jsou nezbytné pro účinnou internaciona</w:t>
            </w:r>
            <w:r w:rsidRPr="00B175FB">
              <w:rPr>
                <w:rFonts w:eastAsia="Times New Roman" w:cs="Times New Roman"/>
                <w:sz w:val="22"/>
              </w:rPr>
              <w:t>lizaci;</w:t>
            </w:r>
          </w:p>
          <w:p w:rsidR="0060697A" w:rsidRPr="00B175FB" w:rsidRDefault="00060BEF" w:rsidP="006A2F6A">
            <w:pPr>
              <w:pStyle w:val="Odstavecseseznamem"/>
              <w:numPr>
                <w:ilvl w:val="0"/>
                <w:numId w:val="63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t</w:t>
            </w:r>
            <w:r w:rsidR="00362F63" w:rsidRPr="00B175FB">
              <w:rPr>
                <w:rFonts w:eastAsia="Times New Roman" w:cs="Times New Roman"/>
                <w:sz w:val="22"/>
              </w:rPr>
              <w:t>vorba</w:t>
            </w:r>
            <w:r w:rsidR="0060697A" w:rsidRPr="00B175FB">
              <w:rPr>
                <w:rFonts w:eastAsia="Times New Roman" w:cs="Times New Roman"/>
                <w:sz w:val="22"/>
              </w:rPr>
              <w:t xml:space="preserve"> a rozvoj studijních programů vyučovaných v cizím jazyce a zvýšení nabídky předmětů vyučovaných v cizím jazyce</w:t>
            </w:r>
            <w:r w:rsidRPr="00B175FB">
              <w:rPr>
                <w:rFonts w:eastAsia="Times New Roman" w:cs="Times New Roman"/>
                <w:sz w:val="22"/>
              </w:rPr>
              <w:t>;</w:t>
            </w:r>
          </w:p>
          <w:p w:rsidR="0060697A" w:rsidRPr="00B175FB" w:rsidRDefault="00060BEF" w:rsidP="006A2F6A">
            <w:pPr>
              <w:pStyle w:val="Odstavecseseznamem"/>
              <w:numPr>
                <w:ilvl w:val="0"/>
                <w:numId w:val="63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z</w:t>
            </w:r>
            <w:r w:rsidR="0060697A" w:rsidRPr="00B175FB">
              <w:rPr>
                <w:rFonts w:eastAsia="Times New Roman" w:cs="Times New Roman"/>
                <w:sz w:val="22"/>
              </w:rPr>
              <w:t xml:space="preserve">řízení welcome </w:t>
            </w:r>
            <w:r w:rsidR="00E06640" w:rsidRPr="00B175FB">
              <w:rPr>
                <w:rFonts w:eastAsia="Times New Roman" w:cs="Times New Roman"/>
                <w:sz w:val="22"/>
              </w:rPr>
              <w:t>office</w:t>
            </w:r>
            <w:r w:rsidR="00455168">
              <w:rPr>
                <w:rFonts w:eastAsia="Times New Roman" w:cs="Times New Roman"/>
                <w:sz w:val="22"/>
              </w:rPr>
              <w:t>s</w:t>
            </w:r>
            <w:r w:rsidR="0060697A" w:rsidRPr="00B175FB">
              <w:rPr>
                <w:rFonts w:eastAsia="Times New Roman" w:cs="Times New Roman"/>
                <w:sz w:val="22"/>
              </w:rPr>
              <w:t>, je</w:t>
            </w:r>
            <w:r w:rsidR="00391DC8" w:rsidRPr="00B175FB">
              <w:rPr>
                <w:rFonts w:eastAsia="Times New Roman" w:cs="Times New Roman"/>
                <w:sz w:val="22"/>
              </w:rPr>
              <w:t>jich</w:t>
            </w:r>
            <w:r w:rsidR="0060697A" w:rsidRPr="00B175FB">
              <w:rPr>
                <w:rFonts w:eastAsia="Times New Roman" w:cs="Times New Roman"/>
                <w:sz w:val="22"/>
              </w:rPr>
              <w:t>ž pracovníci poskytnou účinnou pomoc zahraničním studentům a</w:t>
            </w:r>
            <w:r w:rsidR="00E33E10" w:rsidRPr="00B175FB">
              <w:rPr>
                <w:rFonts w:eastAsia="Times New Roman" w:cs="Times New Roman"/>
                <w:sz w:val="22"/>
              </w:rPr>
              <w:t> </w:t>
            </w:r>
            <w:r w:rsidR="0060697A" w:rsidRPr="00B175FB">
              <w:rPr>
                <w:rFonts w:eastAsia="Times New Roman" w:cs="Times New Roman"/>
                <w:sz w:val="22"/>
              </w:rPr>
              <w:t>akademickým pracovníkům po jejich příjezdu</w:t>
            </w:r>
            <w:r w:rsidRPr="00B175FB">
              <w:rPr>
                <w:rFonts w:eastAsia="Times New Roman" w:cs="Times New Roman"/>
                <w:sz w:val="22"/>
              </w:rPr>
              <w:t>;</w:t>
            </w:r>
          </w:p>
          <w:p w:rsidR="002B447A" w:rsidRPr="00B175FB" w:rsidRDefault="00060BEF" w:rsidP="006A2F6A">
            <w:pPr>
              <w:pStyle w:val="Odstavecseseznamem"/>
              <w:numPr>
                <w:ilvl w:val="0"/>
                <w:numId w:val="63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p</w:t>
            </w:r>
            <w:r w:rsidR="002B447A" w:rsidRPr="00B175FB">
              <w:rPr>
                <w:rFonts w:eastAsia="Times New Roman" w:cs="Times New Roman"/>
                <w:sz w:val="22"/>
              </w:rPr>
              <w:t xml:space="preserve">osilování didaktických, </w:t>
            </w:r>
            <w:r w:rsidR="002F26AB" w:rsidRPr="00B175FB">
              <w:rPr>
                <w:rFonts w:eastAsia="Times New Roman" w:cs="Times New Roman"/>
                <w:sz w:val="22"/>
              </w:rPr>
              <w:t xml:space="preserve">jiných měkkých dovedností a </w:t>
            </w:r>
            <w:r w:rsidR="002B447A" w:rsidRPr="00B175FB">
              <w:rPr>
                <w:rFonts w:eastAsia="Times New Roman" w:cs="Times New Roman"/>
                <w:sz w:val="22"/>
              </w:rPr>
              <w:t xml:space="preserve">digitální </w:t>
            </w:r>
            <w:r w:rsidR="002F26AB" w:rsidRPr="00B175FB">
              <w:rPr>
                <w:rFonts w:eastAsia="Times New Roman" w:cs="Times New Roman"/>
                <w:sz w:val="22"/>
              </w:rPr>
              <w:t>gramotnosti</w:t>
            </w:r>
            <w:r w:rsidR="002B447A" w:rsidRPr="00B175FB">
              <w:rPr>
                <w:rFonts w:eastAsia="Times New Roman" w:cs="Times New Roman"/>
                <w:sz w:val="22"/>
              </w:rPr>
              <w:t xml:space="preserve"> pracovníků </w:t>
            </w:r>
            <w:r w:rsidR="00BA2396" w:rsidRPr="00B175FB">
              <w:rPr>
                <w:rFonts w:eastAsia="Times New Roman" w:cs="Times New Roman"/>
                <w:sz w:val="22"/>
              </w:rPr>
              <w:t>VŠ</w:t>
            </w:r>
            <w:r w:rsidR="009825EB" w:rsidRPr="00B175FB">
              <w:rPr>
                <w:rFonts w:eastAsia="Times New Roman" w:cs="Times New Roman"/>
                <w:sz w:val="22"/>
              </w:rPr>
              <w:t xml:space="preserve"> za účelem úspěšné aplikace nových </w:t>
            </w:r>
            <w:r w:rsidR="00527091" w:rsidRPr="00B175FB">
              <w:rPr>
                <w:rFonts w:eastAsia="Times New Roman" w:cs="Times New Roman"/>
                <w:sz w:val="22"/>
              </w:rPr>
              <w:t xml:space="preserve">vzdělávacích </w:t>
            </w:r>
            <w:r w:rsidRPr="00B175FB">
              <w:rPr>
                <w:rFonts w:eastAsia="Times New Roman" w:cs="Times New Roman"/>
                <w:sz w:val="22"/>
              </w:rPr>
              <w:t>metod ve výuce</w:t>
            </w:r>
            <w:r w:rsidR="00982665">
              <w:rPr>
                <w:rFonts w:eastAsia="Times New Roman" w:cs="Times New Roman"/>
                <w:sz w:val="22"/>
              </w:rPr>
              <w:t>,</w:t>
            </w:r>
            <w:r w:rsidR="00084FEC">
              <w:rPr>
                <w:rFonts w:eastAsia="Times New Roman" w:cs="Times New Roman"/>
                <w:sz w:val="22"/>
              </w:rPr>
              <w:t xml:space="preserve"> </w:t>
            </w:r>
            <w:r w:rsidR="003947BB">
              <w:rPr>
                <w:rFonts w:eastAsia="Times New Roman" w:cs="Times New Roman"/>
                <w:sz w:val="22"/>
              </w:rPr>
              <w:t>včetně</w:t>
            </w:r>
            <w:r w:rsidR="00084FEC" w:rsidRPr="00D206AA">
              <w:rPr>
                <w:rFonts w:eastAsia="Times New Roman" w:cs="Times New Roman"/>
                <w:sz w:val="22"/>
              </w:rPr>
              <w:t xml:space="preserve"> </w:t>
            </w:r>
            <w:r w:rsidR="006B5658">
              <w:rPr>
                <w:rFonts w:eastAsia="Times New Roman" w:cs="Times New Roman"/>
                <w:sz w:val="22"/>
              </w:rPr>
              <w:t>reflektování</w:t>
            </w:r>
            <w:r w:rsidR="00084FEC" w:rsidRPr="00D206AA">
              <w:rPr>
                <w:rFonts w:eastAsia="Times New Roman" w:cs="Times New Roman"/>
                <w:sz w:val="22"/>
              </w:rPr>
              <w:t xml:space="preserve"> genderové</w:t>
            </w:r>
            <w:r w:rsidR="00470813">
              <w:rPr>
                <w:rFonts w:eastAsia="Times New Roman" w:cs="Times New Roman"/>
                <w:sz w:val="22"/>
              </w:rPr>
              <w:t xml:space="preserve"> dimenze</w:t>
            </w:r>
            <w:r w:rsidR="00EA4549">
              <w:rPr>
                <w:rFonts w:eastAsia="Times New Roman" w:cs="Times New Roman"/>
                <w:sz w:val="22"/>
              </w:rPr>
              <w:t>, např. v obsahu, formě a metodách výuky</w:t>
            </w:r>
            <w:r w:rsidRPr="00B175FB">
              <w:rPr>
                <w:rFonts w:eastAsia="Times New Roman" w:cs="Times New Roman"/>
                <w:sz w:val="22"/>
              </w:rPr>
              <w:t>;</w:t>
            </w:r>
          </w:p>
          <w:p w:rsidR="00563291" w:rsidRPr="00B175FB" w:rsidRDefault="00060BEF" w:rsidP="006A2F6A">
            <w:pPr>
              <w:pStyle w:val="Odstavecseseznamem"/>
              <w:numPr>
                <w:ilvl w:val="0"/>
                <w:numId w:val="63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t</w:t>
            </w:r>
            <w:r w:rsidR="00362F63" w:rsidRPr="00B175FB">
              <w:rPr>
                <w:rFonts w:eastAsia="Times New Roman" w:cs="Times New Roman"/>
                <w:sz w:val="22"/>
              </w:rPr>
              <w:t>vorba</w:t>
            </w:r>
            <w:r w:rsidR="00563291" w:rsidRPr="00B175FB">
              <w:rPr>
                <w:rFonts w:eastAsia="Times New Roman" w:cs="Times New Roman"/>
                <w:sz w:val="22"/>
              </w:rPr>
              <w:t xml:space="preserve"> a rozvoj studijních programů s mezioborovým základem, podpora tvorby studijních modulů a</w:t>
            </w:r>
            <w:r w:rsidR="00E33E10" w:rsidRPr="00B175FB">
              <w:rPr>
                <w:rFonts w:eastAsia="Times New Roman" w:cs="Times New Roman"/>
                <w:sz w:val="22"/>
              </w:rPr>
              <w:t> </w:t>
            </w:r>
            <w:r w:rsidR="00563291" w:rsidRPr="00B175FB">
              <w:rPr>
                <w:rFonts w:eastAsia="Times New Roman" w:cs="Times New Roman"/>
                <w:sz w:val="22"/>
              </w:rPr>
              <w:t>modularizace výuky</w:t>
            </w:r>
            <w:r w:rsidRPr="00B175FB">
              <w:rPr>
                <w:rFonts w:eastAsia="Times New Roman" w:cs="Times New Roman"/>
                <w:sz w:val="22"/>
              </w:rPr>
              <w:t>;</w:t>
            </w:r>
          </w:p>
          <w:p w:rsidR="00FA2741" w:rsidRPr="00B175FB" w:rsidRDefault="00060BEF" w:rsidP="006A2F6A">
            <w:pPr>
              <w:pStyle w:val="Odstavecseseznamem"/>
              <w:numPr>
                <w:ilvl w:val="0"/>
                <w:numId w:val="63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t</w:t>
            </w:r>
            <w:r w:rsidR="00362F63" w:rsidRPr="00B175FB">
              <w:rPr>
                <w:rFonts w:eastAsia="Times New Roman" w:cs="Times New Roman"/>
                <w:sz w:val="22"/>
              </w:rPr>
              <w:t>vorba</w:t>
            </w:r>
            <w:r w:rsidR="00FA2741" w:rsidRPr="00B175FB">
              <w:rPr>
                <w:rFonts w:eastAsia="Times New Roman" w:cs="Times New Roman"/>
                <w:sz w:val="22"/>
              </w:rPr>
              <w:t xml:space="preserve"> a rozvoj studijních programů reflektujících</w:t>
            </w:r>
            <w:r w:rsidR="00A21693" w:rsidRPr="00B175FB">
              <w:rPr>
                <w:rFonts w:eastAsia="Times New Roman" w:cs="Times New Roman"/>
                <w:sz w:val="22"/>
              </w:rPr>
              <w:t xml:space="preserve"> nové metody výuky</w:t>
            </w:r>
            <w:r w:rsidR="00B1286C">
              <w:rPr>
                <w:rFonts w:eastAsia="Times New Roman" w:cs="Times New Roman"/>
                <w:sz w:val="22"/>
              </w:rPr>
              <w:t>, potřeby trhu práce</w:t>
            </w:r>
            <w:r w:rsidR="000524C2">
              <w:rPr>
                <w:rFonts w:eastAsia="Times New Roman" w:cs="Times New Roman"/>
                <w:sz w:val="22"/>
              </w:rPr>
              <w:t xml:space="preserve"> /</w:t>
            </w:r>
            <w:r w:rsidR="007716E2">
              <w:rPr>
                <w:rFonts w:eastAsia="Times New Roman" w:cs="Times New Roman"/>
                <w:sz w:val="22"/>
              </w:rPr>
              <w:t xml:space="preserve"> </w:t>
            </w:r>
            <w:r w:rsidR="003638A1">
              <w:rPr>
                <w:rFonts w:eastAsia="Times New Roman" w:cs="Times New Roman"/>
                <w:sz w:val="22"/>
              </w:rPr>
              <w:t>podnikání</w:t>
            </w:r>
            <w:r w:rsidR="003201D9">
              <w:rPr>
                <w:rFonts w:eastAsia="Times New Roman" w:cs="Times New Roman"/>
                <w:sz w:val="22"/>
              </w:rPr>
              <w:t xml:space="preserve"> </w:t>
            </w:r>
            <w:r w:rsidR="003201D9" w:rsidRPr="000C0DDB">
              <w:rPr>
                <w:rFonts w:eastAsia="Times New Roman" w:cs="Times New Roman"/>
                <w:sz w:val="22"/>
              </w:rPr>
              <w:t>/ regionu</w:t>
            </w:r>
            <w:r w:rsidR="00A23E22">
              <w:rPr>
                <w:rFonts w:eastAsia="Times New Roman" w:cs="Times New Roman"/>
                <w:sz w:val="22"/>
              </w:rPr>
              <w:t>,</w:t>
            </w:r>
            <w:r w:rsidR="00B1286C" w:rsidRPr="00B175FB">
              <w:rPr>
                <w:rFonts w:eastAsia="Times New Roman" w:cs="Times New Roman"/>
                <w:sz w:val="22"/>
              </w:rPr>
              <w:t xml:space="preserve"> </w:t>
            </w:r>
            <w:r w:rsidR="009D0583" w:rsidRPr="00B175FB">
              <w:rPr>
                <w:rFonts w:eastAsia="Times New Roman" w:cs="Times New Roman"/>
                <w:sz w:val="22"/>
              </w:rPr>
              <w:t>zav</w:t>
            </w:r>
            <w:r w:rsidR="009D0583">
              <w:rPr>
                <w:rFonts w:eastAsia="Times New Roman" w:cs="Times New Roman"/>
                <w:sz w:val="22"/>
              </w:rPr>
              <w:t>á</w:t>
            </w:r>
            <w:r w:rsidR="009D0583" w:rsidRPr="00B175FB">
              <w:rPr>
                <w:rFonts w:eastAsia="Times New Roman" w:cs="Times New Roman"/>
                <w:sz w:val="22"/>
              </w:rPr>
              <w:t>dění</w:t>
            </w:r>
            <w:r w:rsidR="00B1286C" w:rsidRPr="00B175FB">
              <w:rPr>
                <w:rFonts w:eastAsia="Times New Roman" w:cs="Times New Roman"/>
                <w:sz w:val="22"/>
              </w:rPr>
              <w:t xml:space="preserve"> praxe ve výuce</w:t>
            </w:r>
            <w:r w:rsidR="00A23E22">
              <w:rPr>
                <w:rFonts w:eastAsia="Times New Roman" w:cs="Times New Roman"/>
                <w:sz w:val="22"/>
              </w:rPr>
              <w:t>,</w:t>
            </w:r>
            <w:r w:rsidR="00B1286C" w:rsidRPr="00B175FB">
              <w:rPr>
                <w:rFonts w:eastAsia="Times New Roman" w:cs="Times New Roman"/>
                <w:sz w:val="22"/>
              </w:rPr>
              <w:t xml:space="preserve"> </w:t>
            </w:r>
            <w:r w:rsidR="00A23E22">
              <w:rPr>
                <w:rFonts w:eastAsia="Times New Roman" w:cs="Times New Roman"/>
                <w:sz w:val="22"/>
              </w:rPr>
              <w:t>rozvoj</w:t>
            </w:r>
            <w:r w:rsidR="00B1286C">
              <w:rPr>
                <w:rFonts w:eastAsia="Times New Roman" w:cs="Times New Roman"/>
                <w:sz w:val="22"/>
              </w:rPr>
              <w:t xml:space="preserve"> </w:t>
            </w:r>
            <w:r w:rsidR="002B478B" w:rsidRPr="00B175FB">
              <w:rPr>
                <w:rFonts w:eastAsia="Times New Roman" w:cs="Times New Roman"/>
                <w:sz w:val="22"/>
              </w:rPr>
              <w:t xml:space="preserve">digitální </w:t>
            </w:r>
            <w:r w:rsidR="002F26AB" w:rsidRPr="00B175FB">
              <w:rPr>
                <w:rFonts w:eastAsia="Times New Roman" w:cs="Times New Roman"/>
                <w:sz w:val="22"/>
              </w:rPr>
              <w:t>gramotnosti</w:t>
            </w:r>
            <w:r w:rsidR="00B1286C">
              <w:rPr>
                <w:rFonts w:eastAsia="Times New Roman" w:cs="Times New Roman"/>
                <w:sz w:val="22"/>
              </w:rPr>
              <w:t xml:space="preserve"> a</w:t>
            </w:r>
            <w:r w:rsidR="002B478B" w:rsidRPr="00B175FB">
              <w:rPr>
                <w:rFonts w:eastAsia="Times New Roman" w:cs="Times New Roman"/>
                <w:sz w:val="22"/>
              </w:rPr>
              <w:t xml:space="preserve"> kompetence k podnikavosti</w:t>
            </w:r>
            <w:r w:rsidRPr="00B175FB">
              <w:rPr>
                <w:rFonts w:eastAsia="Times New Roman" w:cs="Times New Roman"/>
                <w:sz w:val="22"/>
              </w:rPr>
              <w:t>;</w:t>
            </w:r>
          </w:p>
          <w:p w:rsidR="00090BFF" w:rsidRPr="00B175FB" w:rsidRDefault="00090BFF" w:rsidP="006A2F6A">
            <w:pPr>
              <w:pStyle w:val="Odstavecseseznamem"/>
              <w:numPr>
                <w:ilvl w:val="0"/>
                <w:numId w:val="63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rozvoj systému zajištění praxí a stáží studentů, síťování odborníků a výměna zkušeností v oblasti spolupráce vysokých škol s praxí;</w:t>
            </w:r>
          </w:p>
          <w:p w:rsidR="00A21693" w:rsidRPr="00B175FB" w:rsidRDefault="00060BEF" w:rsidP="006A2F6A">
            <w:pPr>
              <w:pStyle w:val="Odstavecseseznamem"/>
              <w:numPr>
                <w:ilvl w:val="0"/>
                <w:numId w:val="63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k</w:t>
            </w:r>
            <w:r w:rsidR="00A21693" w:rsidRPr="00B175FB">
              <w:rPr>
                <w:rFonts w:eastAsia="Times New Roman" w:cs="Times New Roman"/>
                <w:sz w:val="22"/>
              </w:rPr>
              <w:t>rátkodobé zapo</w:t>
            </w:r>
            <w:r w:rsidRPr="00B175FB">
              <w:rPr>
                <w:rFonts w:eastAsia="Times New Roman" w:cs="Times New Roman"/>
                <w:sz w:val="22"/>
              </w:rPr>
              <w:t>jení odborníků z praxe do výuky;</w:t>
            </w:r>
          </w:p>
          <w:p w:rsidR="00FA2741" w:rsidRPr="00B175FB" w:rsidRDefault="00060BEF" w:rsidP="006A2F6A">
            <w:pPr>
              <w:pStyle w:val="Odstavecseseznamem"/>
              <w:numPr>
                <w:ilvl w:val="0"/>
                <w:numId w:val="63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t</w:t>
            </w:r>
            <w:r w:rsidR="00362F63" w:rsidRPr="00B175FB">
              <w:rPr>
                <w:rFonts w:eastAsia="Times New Roman" w:cs="Times New Roman"/>
                <w:sz w:val="22"/>
              </w:rPr>
              <w:t>vorba</w:t>
            </w:r>
            <w:r w:rsidR="00FA2741" w:rsidRPr="00B175FB">
              <w:rPr>
                <w:rFonts w:eastAsia="Times New Roman" w:cs="Times New Roman"/>
                <w:sz w:val="22"/>
              </w:rPr>
              <w:t xml:space="preserve"> a rozvoj studijních programů vyučovaných v kom</w:t>
            </w:r>
            <w:r w:rsidRPr="00B175FB">
              <w:rPr>
                <w:rFonts w:eastAsia="Times New Roman" w:cs="Times New Roman"/>
                <w:sz w:val="22"/>
              </w:rPr>
              <w:t>binované/distanční formě studia;</w:t>
            </w:r>
          </w:p>
          <w:p w:rsidR="00FA2741" w:rsidRPr="00B175FB" w:rsidRDefault="00060BEF" w:rsidP="006A2F6A">
            <w:pPr>
              <w:pStyle w:val="Odstavecseseznamem"/>
              <w:numPr>
                <w:ilvl w:val="0"/>
                <w:numId w:val="63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r</w:t>
            </w:r>
            <w:r w:rsidR="00FA2741" w:rsidRPr="00B175FB">
              <w:rPr>
                <w:rFonts w:eastAsia="Times New Roman" w:cs="Times New Roman"/>
                <w:sz w:val="22"/>
              </w:rPr>
              <w:t>ozvoj poradenství</w:t>
            </w:r>
            <w:r w:rsidR="00C86097" w:rsidRPr="00B175FB">
              <w:rPr>
                <w:rFonts w:eastAsia="Times New Roman" w:cs="Times New Roman"/>
                <w:sz w:val="22"/>
              </w:rPr>
              <w:t xml:space="preserve"> </w:t>
            </w:r>
            <w:r w:rsidRPr="00B175FB">
              <w:rPr>
                <w:rFonts w:eastAsia="Times New Roman" w:cs="Times New Roman"/>
                <w:sz w:val="22"/>
              </w:rPr>
              <w:t xml:space="preserve">(i kariérového) </w:t>
            </w:r>
            <w:r w:rsidR="00C86097" w:rsidRPr="00B175FB">
              <w:rPr>
                <w:rFonts w:eastAsia="Times New Roman" w:cs="Times New Roman"/>
                <w:sz w:val="22"/>
              </w:rPr>
              <w:t>pro studenty a uchazeče o studium</w:t>
            </w:r>
            <w:r w:rsidRPr="00B175FB">
              <w:rPr>
                <w:rFonts w:eastAsia="Times New Roman" w:cs="Times New Roman"/>
                <w:sz w:val="22"/>
              </w:rPr>
              <w:t>;</w:t>
            </w:r>
          </w:p>
          <w:p w:rsidR="00563291" w:rsidRPr="00B175FB" w:rsidRDefault="00060BEF" w:rsidP="006A2F6A">
            <w:pPr>
              <w:pStyle w:val="Odstavecseseznamem"/>
              <w:numPr>
                <w:ilvl w:val="0"/>
                <w:numId w:val="63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p</w:t>
            </w:r>
            <w:r w:rsidR="00563291" w:rsidRPr="00B175FB">
              <w:rPr>
                <w:rFonts w:eastAsia="Times New Roman" w:cs="Times New Roman"/>
                <w:sz w:val="22"/>
              </w:rPr>
              <w:t xml:space="preserve">odpora tzv. </w:t>
            </w:r>
            <w:r w:rsidR="0021455A" w:rsidRPr="00B175FB">
              <w:rPr>
                <w:rFonts w:eastAsia="Times New Roman" w:cs="Times New Roman"/>
                <w:sz w:val="22"/>
              </w:rPr>
              <w:t>letních škol</w:t>
            </w:r>
            <w:r w:rsidRPr="00B175FB">
              <w:rPr>
                <w:rFonts w:eastAsia="Times New Roman" w:cs="Times New Roman"/>
                <w:sz w:val="22"/>
              </w:rPr>
              <w:t>;</w:t>
            </w:r>
          </w:p>
          <w:p w:rsidR="00C34A39" w:rsidRDefault="00060BEF" w:rsidP="006A2F6A">
            <w:pPr>
              <w:pStyle w:val="Odstavecseseznamem"/>
              <w:numPr>
                <w:ilvl w:val="0"/>
                <w:numId w:val="63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p</w:t>
            </w:r>
            <w:r w:rsidR="00C34A39" w:rsidRPr="00B175FB">
              <w:rPr>
                <w:rFonts w:eastAsia="Times New Roman" w:cs="Times New Roman"/>
                <w:sz w:val="22"/>
              </w:rPr>
              <w:t xml:space="preserve">odpora práce se zájemci o studium </w:t>
            </w:r>
            <w:r w:rsidR="002B447A" w:rsidRPr="00B175FB">
              <w:rPr>
                <w:rFonts w:eastAsia="Times New Roman" w:cs="Times New Roman"/>
                <w:sz w:val="22"/>
              </w:rPr>
              <w:t>pomocí dlouhodobé činnosti v rámci tzv.</w:t>
            </w:r>
            <w:r w:rsidR="003357C7" w:rsidRPr="00B175FB">
              <w:rPr>
                <w:rFonts w:eastAsia="Times New Roman" w:cs="Times New Roman"/>
                <w:sz w:val="22"/>
              </w:rPr>
              <w:t> </w:t>
            </w:r>
            <w:r w:rsidR="002B447A" w:rsidRPr="00B175FB">
              <w:rPr>
                <w:rFonts w:eastAsia="Times New Roman" w:cs="Times New Roman"/>
                <w:sz w:val="22"/>
              </w:rPr>
              <w:t>dětských univerzit / laboratoří pro studenty</w:t>
            </w:r>
            <w:r w:rsidR="005971A7" w:rsidRPr="00B175FB">
              <w:rPr>
                <w:rFonts w:eastAsia="Times New Roman" w:cs="Times New Roman"/>
                <w:sz w:val="22"/>
              </w:rPr>
              <w:t xml:space="preserve"> a</w:t>
            </w:r>
            <w:r w:rsidR="009D4A94" w:rsidRPr="00B175FB">
              <w:rPr>
                <w:rFonts w:eastAsia="Times New Roman" w:cs="Times New Roman"/>
                <w:sz w:val="22"/>
              </w:rPr>
              <w:t xml:space="preserve"> motivace zájemců o studium</w:t>
            </w:r>
            <w:r w:rsidR="005971A7" w:rsidRPr="00B175FB">
              <w:rPr>
                <w:rFonts w:eastAsia="Times New Roman" w:cs="Times New Roman"/>
                <w:sz w:val="22"/>
              </w:rPr>
              <w:t xml:space="preserve"> na </w:t>
            </w:r>
            <w:r w:rsidR="00BA2396" w:rsidRPr="00B175FB">
              <w:rPr>
                <w:rFonts w:eastAsia="Times New Roman" w:cs="Times New Roman"/>
                <w:sz w:val="22"/>
              </w:rPr>
              <w:t>VŠ</w:t>
            </w:r>
            <w:r w:rsidR="000B3E15" w:rsidRPr="00B175FB">
              <w:rPr>
                <w:rFonts w:eastAsia="Times New Roman"/>
                <w:sz w:val="22"/>
              </w:rPr>
              <w:t xml:space="preserve"> včetně nestereotypní volby studia</w:t>
            </w:r>
            <w:r w:rsidRPr="00B175FB">
              <w:rPr>
                <w:rFonts w:eastAsia="Times New Roman" w:cs="Times New Roman"/>
                <w:sz w:val="22"/>
              </w:rPr>
              <w:t>;</w:t>
            </w:r>
          </w:p>
          <w:p w:rsidR="002C5CE5" w:rsidRPr="00B175FB" w:rsidRDefault="00060BEF" w:rsidP="006A2F6A">
            <w:pPr>
              <w:pStyle w:val="Odstavecseseznamem"/>
              <w:numPr>
                <w:ilvl w:val="0"/>
                <w:numId w:val="63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s</w:t>
            </w:r>
            <w:r w:rsidR="002C5CE5" w:rsidRPr="00B175FB">
              <w:rPr>
                <w:rFonts w:eastAsia="Times New Roman" w:cs="Times New Roman"/>
                <w:sz w:val="22"/>
              </w:rPr>
              <w:t xml:space="preserve">běr a vyhodnocování dat (kvantitativních i kvalitativních) o bariérách v průchodu studiem, identifikace studentů ohrožených neúspěchem, vyhodnocení účinnosti opatření přijatých za účelem </w:t>
            </w:r>
            <w:r w:rsidRPr="00B175FB">
              <w:rPr>
                <w:rFonts w:eastAsia="Times New Roman" w:cs="Times New Roman"/>
                <w:sz w:val="22"/>
              </w:rPr>
              <w:t>snižování studijní neúspěšnosti;</w:t>
            </w:r>
          </w:p>
          <w:p w:rsidR="00B1750B" w:rsidRPr="00B175FB" w:rsidRDefault="00B1750B" w:rsidP="006A2F6A">
            <w:pPr>
              <w:pStyle w:val="Odstavecseseznamem"/>
              <w:numPr>
                <w:ilvl w:val="0"/>
                <w:numId w:val="63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podpora sociální inte</w:t>
            </w:r>
            <w:r w:rsidR="00F06CF3" w:rsidRPr="00B175FB">
              <w:rPr>
                <w:rFonts w:eastAsia="Times New Roman" w:cs="Times New Roman"/>
                <w:sz w:val="22"/>
              </w:rPr>
              <w:t>gra</w:t>
            </w:r>
            <w:r w:rsidRPr="00B175FB">
              <w:rPr>
                <w:rFonts w:eastAsia="Times New Roman" w:cs="Times New Roman"/>
                <w:sz w:val="22"/>
              </w:rPr>
              <w:t xml:space="preserve">ce </w:t>
            </w:r>
            <w:r w:rsidR="00202FCA" w:rsidRPr="00B175FB">
              <w:rPr>
                <w:rFonts w:eastAsia="Times New Roman" w:cs="Times New Roman"/>
                <w:sz w:val="22"/>
              </w:rPr>
              <w:t xml:space="preserve">studentů </w:t>
            </w:r>
            <w:r w:rsidR="00473AB4" w:rsidRPr="00B175FB">
              <w:rPr>
                <w:rFonts w:eastAsia="Times New Roman" w:cs="Times New Roman"/>
                <w:sz w:val="22"/>
              </w:rPr>
              <w:t xml:space="preserve">(např. </w:t>
            </w:r>
            <w:r w:rsidR="00AA34B8" w:rsidRPr="00B175FB">
              <w:rPr>
                <w:rFonts w:eastAsia="Times New Roman" w:cs="Times New Roman"/>
                <w:sz w:val="22"/>
              </w:rPr>
              <w:t xml:space="preserve">za účelem </w:t>
            </w:r>
            <w:r w:rsidR="00E47FCF" w:rsidRPr="00B175FB">
              <w:rPr>
                <w:rFonts w:eastAsia="Times New Roman" w:cs="Times New Roman"/>
                <w:sz w:val="22"/>
              </w:rPr>
              <w:t>snížení studijní neúspěšnosti, zvyš</w:t>
            </w:r>
            <w:r w:rsidR="00473AB4" w:rsidRPr="00B175FB">
              <w:rPr>
                <w:rFonts w:eastAsia="Times New Roman" w:cs="Times New Roman"/>
                <w:sz w:val="22"/>
              </w:rPr>
              <w:t>ování kvality a</w:t>
            </w:r>
            <w:r w:rsidR="00AC1493" w:rsidRPr="00B175FB">
              <w:rPr>
                <w:rFonts w:eastAsia="Times New Roman" w:cs="Times New Roman"/>
                <w:sz w:val="22"/>
              </w:rPr>
              <w:t> </w:t>
            </w:r>
            <w:r w:rsidR="00473AB4" w:rsidRPr="00B175FB">
              <w:rPr>
                <w:rFonts w:eastAsia="Times New Roman" w:cs="Times New Roman"/>
                <w:sz w:val="22"/>
              </w:rPr>
              <w:t>relevance učení, a to za pomoc</w:t>
            </w:r>
            <w:r w:rsidR="00D329AF">
              <w:rPr>
                <w:rFonts w:eastAsia="Times New Roman" w:cs="Times New Roman"/>
                <w:sz w:val="22"/>
              </w:rPr>
              <w:t>i</w:t>
            </w:r>
            <w:r w:rsidR="00473AB4" w:rsidRPr="00B175FB">
              <w:rPr>
                <w:rFonts w:eastAsia="Times New Roman" w:cs="Times New Roman"/>
                <w:sz w:val="22"/>
              </w:rPr>
              <w:t xml:space="preserve"> studentských spolků</w:t>
            </w:r>
            <w:r w:rsidR="00B8751E" w:rsidRPr="00B175FB">
              <w:rPr>
                <w:rFonts w:eastAsia="Times New Roman" w:cs="Times New Roman"/>
                <w:sz w:val="22"/>
              </w:rPr>
              <w:t>,</w:t>
            </w:r>
            <w:r w:rsidR="00BC0D09" w:rsidRPr="00B175FB">
              <w:rPr>
                <w:rFonts w:eastAsia="Times New Roman" w:cs="Times New Roman"/>
                <w:sz w:val="22"/>
              </w:rPr>
              <w:t xml:space="preserve"> organizac</w:t>
            </w:r>
            <w:r w:rsidR="00473AB4" w:rsidRPr="00B175FB">
              <w:rPr>
                <w:rFonts w:eastAsia="Times New Roman" w:cs="Times New Roman"/>
                <w:sz w:val="22"/>
              </w:rPr>
              <w:t>í</w:t>
            </w:r>
            <w:r w:rsidR="00B8751E" w:rsidRPr="00B175FB">
              <w:rPr>
                <w:rFonts w:eastAsia="Times New Roman" w:cs="Times New Roman"/>
                <w:sz w:val="22"/>
              </w:rPr>
              <w:t xml:space="preserve"> apod.</w:t>
            </w:r>
            <w:r w:rsidR="00E47FCF" w:rsidRPr="00B175FB">
              <w:rPr>
                <w:rFonts w:eastAsia="Times New Roman" w:cs="Times New Roman"/>
                <w:sz w:val="22"/>
              </w:rPr>
              <w:t>)</w:t>
            </w:r>
            <w:r w:rsidRPr="00B175FB">
              <w:rPr>
                <w:rFonts w:eastAsia="Times New Roman" w:cs="Times New Roman"/>
                <w:sz w:val="22"/>
              </w:rPr>
              <w:t>;</w:t>
            </w:r>
          </w:p>
          <w:p w:rsidR="007A7D42" w:rsidRPr="00B175FB" w:rsidRDefault="00060BEF" w:rsidP="006A2F6A">
            <w:pPr>
              <w:pStyle w:val="Odstavecseseznamem"/>
              <w:numPr>
                <w:ilvl w:val="0"/>
                <w:numId w:val="63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r</w:t>
            </w:r>
            <w:r w:rsidR="001D01F6" w:rsidRPr="00B175FB">
              <w:rPr>
                <w:rFonts w:eastAsia="Times New Roman" w:cs="Times New Roman"/>
                <w:sz w:val="22"/>
              </w:rPr>
              <w:t>ozvoj poradenských center, jejichž pracovníci mohou poskytnout účinnou a individuální podporu studentům, kteří jsou ohroženi studijní neúspěšností</w:t>
            </w:r>
            <w:bookmarkEnd w:id="160"/>
            <w:bookmarkEnd w:id="161"/>
            <w:r w:rsidRPr="00B175FB">
              <w:rPr>
                <w:rFonts w:eastAsia="Times New Roman" w:cs="Times New Roman"/>
                <w:sz w:val="22"/>
              </w:rPr>
              <w:t>;</w:t>
            </w:r>
          </w:p>
          <w:p w:rsidR="005D206F" w:rsidRPr="00B175FB" w:rsidRDefault="00060BEF" w:rsidP="006A2F6A">
            <w:pPr>
              <w:pStyle w:val="Odstavecseseznamem"/>
              <w:numPr>
                <w:ilvl w:val="0"/>
                <w:numId w:val="63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e</w:t>
            </w:r>
            <w:r w:rsidR="00667BDC" w:rsidRPr="00B175FB">
              <w:rPr>
                <w:rFonts w:eastAsia="Times New Roman" w:cs="Times New Roman"/>
                <w:sz w:val="22"/>
              </w:rPr>
              <w:t>valuace a revize struktury studia a vnitřních systémů řízení školy</w:t>
            </w:r>
            <w:r w:rsidR="002F4CDA" w:rsidRPr="00B175FB">
              <w:rPr>
                <w:rFonts w:eastAsia="Times New Roman" w:cs="Times New Roman"/>
                <w:sz w:val="22"/>
              </w:rPr>
              <w:t>, včetně pilotního ověření nastavených procesů</w:t>
            </w:r>
            <w:r w:rsidR="004B6394" w:rsidRPr="00B175FB">
              <w:rPr>
                <w:rFonts w:eastAsia="Times New Roman" w:cs="Times New Roman"/>
                <w:sz w:val="22"/>
              </w:rPr>
              <w:t>;</w:t>
            </w:r>
          </w:p>
          <w:p w:rsidR="002F4CDA" w:rsidRPr="00B175FB" w:rsidRDefault="002F4CDA" w:rsidP="006A2F6A">
            <w:pPr>
              <w:pStyle w:val="Odstavecseseznamem"/>
              <w:numPr>
                <w:ilvl w:val="0"/>
                <w:numId w:val="63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vzdělávání vedoucích pracovníků a rozvoj jejich manažerských dovedností;</w:t>
            </w:r>
          </w:p>
          <w:p w:rsidR="002F4CDA" w:rsidRPr="00B175FB" w:rsidRDefault="002F4CDA" w:rsidP="006A2F6A">
            <w:pPr>
              <w:pStyle w:val="Odstavecseseznamem"/>
              <w:numPr>
                <w:ilvl w:val="0"/>
                <w:numId w:val="63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 xml:space="preserve">podpora přenosu dobré praxe mezi </w:t>
            </w:r>
            <w:r w:rsidR="004B6394" w:rsidRPr="00B175FB">
              <w:rPr>
                <w:rFonts w:eastAsia="Times New Roman" w:cs="Times New Roman"/>
                <w:sz w:val="22"/>
              </w:rPr>
              <w:t>VŠ</w:t>
            </w:r>
            <w:r w:rsidRPr="00B175FB">
              <w:rPr>
                <w:rFonts w:eastAsia="Times New Roman" w:cs="Times New Roman"/>
                <w:sz w:val="22"/>
              </w:rPr>
              <w:t xml:space="preserve"> či jejich součástmi;</w:t>
            </w:r>
          </w:p>
          <w:p w:rsidR="00735588" w:rsidRPr="00B175FB" w:rsidRDefault="00735588" w:rsidP="006A2F6A">
            <w:pPr>
              <w:pStyle w:val="Odstavecseseznamem"/>
              <w:numPr>
                <w:ilvl w:val="0"/>
                <w:numId w:val="63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 xml:space="preserve">rozvoj podpůrných služeb pro studující doktorských studijních programů, centralizace těchto služeb na úrovni fakulty či </w:t>
            </w:r>
            <w:r w:rsidR="004B6394" w:rsidRPr="00B175FB">
              <w:rPr>
                <w:rFonts w:eastAsia="Times New Roman" w:cs="Times New Roman"/>
                <w:sz w:val="22"/>
              </w:rPr>
              <w:t>VŠ</w:t>
            </w:r>
            <w:r w:rsidRPr="00B175FB">
              <w:rPr>
                <w:rFonts w:eastAsia="Times New Roman" w:cs="Times New Roman"/>
                <w:sz w:val="22"/>
              </w:rPr>
              <w:t xml:space="preserve"> („doctoral schools“) a posilování vzájemné spoluprác</w:t>
            </w:r>
            <w:r w:rsidR="004B6394" w:rsidRPr="00B175FB">
              <w:rPr>
                <w:rFonts w:eastAsia="Times New Roman" w:cs="Times New Roman"/>
                <w:sz w:val="22"/>
              </w:rPr>
              <w:t>e</w:t>
            </w:r>
            <w:r w:rsidRPr="00B175FB">
              <w:rPr>
                <w:rFonts w:eastAsia="Times New Roman" w:cs="Times New Roman"/>
                <w:sz w:val="22"/>
              </w:rPr>
              <w:t xml:space="preserve"> útvarů, které tyto služby poskytují;</w:t>
            </w:r>
          </w:p>
          <w:p w:rsidR="00667BDC" w:rsidRPr="00B175FB" w:rsidRDefault="002F4CDA" w:rsidP="006A2F6A">
            <w:pPr>
              <w:pStyle w:val="Odstavecseseznamem"/>
              <w:numPr>
                <w:ilvl w:val="0"/>
                <w:numId w:val="63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 xml:space="preserve">nastavení procesů, které by předcházely odchodu pečujících osob z kariér na </w:t>
            </w:r>
            <w:r w:rsidR="004B6394" w:rsidRPr="00B175FB">
              <w:rPr>
                <w:rFonts w:eastAsia="Times New Roman" w:cs="Times New Roman"/>
                <w:sz w:val="22"/>
              </w:rPr>
              <w:t>VŠ</w:t>
            </w:r>
            <w:r w:rsidRPr="00B175FB">
              <w:rPr>
                <w:rFonts w:eastAsia="Times New Roman" w:cs="Times New Roman"/>
                <w:sz w:val="22"/>
              </w:rPr>
              <w:t>, podpora slaďování pracovního a osobního života akademických a neakademických pracovníků.</w:t>
            </w:r>
          </w:p>
        </w:tc>
      </w:tr>
    </w:tbl>
    <w:p w:rsidR="004005FF" w:rsidRPr="00B175FB" w:rsidRDefault="004005FF" w:rsidP="004005FF">
      <w:pPr>
        <w:rPr>
          <w:rFonts w:eastAsia="Times New Roman"/>
          <w:i/>
          <w:iCs/>
          <w:noProof/>
          <w:szCs w:val="24"/>
        </w:rPr>
      </w:pPr>
      <w:r w:rsidRPr="00B175FB">
        <w:rPr>
          <w:rFonts w:eastAsia="Times New Roman"/>
          <w:b/>
          <w:i/>
          <w:noProof/>
          <w:szCs w:val="24"/>
        </w:rPr>
        <w:t>Hlavní cílové skupiny</w:t>
      </w:r>
      <w:r w:rsidRPr="00B175FB">
        <w:rPr>
          <w:rFonts w:eastAsia="Times New Roman"/>
          <w:i/>
          <w:noProof/>
          <w:szCs w:val="24"/>
        </w:rPr>
        <w:t xml:space="preserve"> </w:t>
      </w:r>
    </w:p>
    <w:p w:rsidR="00BD2AAA" w:rsidRPr="00B175FB" w:rsidRDefault="00BD2AAA" w:rsidP="001501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/>
          <w:b/>
          <w:sz w:val="22"/>
        </w:rPr>
      </w:pPr>
      <w:r w:rsidRPr="00B175FB">
        <w:rPr>
          <w:rFonts w:eastAsia="Times New Roman"/>
          <w:b/>
          <w:sz w:val="22"/>
        </w:rPr>
        <w:t>Hlavními cílovými skupinami jsou:</w:t>
      </w:r>
    </w:p>
    <w:p w:rsidR="007F1ECC" w:rsidRPr="00B175FB" w:rsidRDefault="00C1539D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 w:cs="Times New Roman"/>
          <w:sz w:val="22"/>
        </w:rPr>
      </w:pPr>
      <w:r w:rsidRPr="00B175FB">
        <w:rPr>
          <w:rFonts w:eastAsia="Times New Roman" w:cs="Times New Roman"/>
          <w:sz w:val="22"/>
        </w:rPr>
        <w:t>p</w:t>
      </w:r>
      <w:r w:rsidR="007F1ECC" w:rsidRPr="00B175FB">
        <w:rPr>
          <w:rFonts w:eastAsia="Times New Roman" w:cs="Times New Roman"/>
          <w:sz w:val="22"/>
        </w:rPr>
        <w:t>edagogičtí</w:t>
      </w:r>
      <w:r w:rsidR="00DD4210" w:rsidRPr="00B175FB">
        <w:rPr>
          <w:rFonts w:eastAsia="Times New Roman" w:cs="Times New Roman"/>
          <w:sz w:val="22"/>
        </w:rPr>
        <w:t xml:space="preserve"> a nepedagogičtí</w:t>
      </w:r>
      <w:r w:rsidR="007F1ECC" w:rsidRPr="00B175FB">
        <w:rPr>
          <w:rFonts w:eastAsia="Times New Roman" w:cs="Times New Roman"/>
          <w:sz w:val="22"/>
        </w:rPr>
        <w:t xml:space="preserve"> pracovníci</w:t>
      </w:r>
      <w:r w:rsidR="00C43BB3" w:rsidRPr="00B175FB">
        <w:rPr>
          <w:rFonts w:eastAsia="Times New Roman" w:cs="Times New Roman"/>
          <w:sz w:val="22"/>
        </w:rPr>
        <w:t>;</w:t>
      </w:r>
    </w:p>
    <w:p w:rsidR="007F1ECC" w:rsidRPr="00B175FB" w:rsidRDefault="00C43BB3" w:rsidP="0015017F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 w:cs="Times New Roman"/>
          <w:sz w:val="22"/>
        </w:rPr>
      </w:pPr>
      <w:r w:rsidRPr="00B175FB">
        <w:rPr>
          <w:rFonts w:eastAsia="Times New Roman" w:cs="Times New Roman"/>
          <w:sz w:val="22"/>
        </w:rPr>
        <w:t>v</w:t>
      </w:r>
      <w:r w:rsidR="007F1ECC" w:rsidRPr="00B175FB">
        <w:rPr>
          <w:rFonts w:eastAsia="Times New Roman" w:cs="Times New Roman"/>
          <w:sz w:val="22"/>
        </w:rPr>
        <w:t>edení škol a školských zařízení a zřizovatelé</w:t>
      </w:r>
      <w:r w:rsidRPr="00B175FB">
        <w:rPr>
          <w:rFonts w:eastAsia="Times New Roman" w:cs="Times New Roman"/>
          <w:sz w:val="22"/>
        </w:rPr>
        <w:t>;</w:t>
      </w:r>
    </w:p>
    <w:p w:rsidR="007F1ECC" w:rsidRPr="00B175FB" w:rsidRDefault="00AC2F6A" w:rsidP="0015017F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 w:cs="Times New Roman"/>
          <w:sz w:val="22"/>
        </w:rPr>
      </w:pPr>
      <w:bookmarkStart w:id="162" w:name="_Hlk20303932"/>
      <w:r w:rsidRPr="00B175FB">
        <w:rPr>
          <w:rFonts w:eastAsia="Times New Roman" w:cs="Times New Roman"/>
          <w:sz w:val="22"/>
        </w:rPr>
        <w:t>VŠ a jejich</w:t>
      </w:r>
      <w:r w:rsidR="007F1ECC" w:rsidRPr="00B175FB">
        <w:rPr>
          <w:rFonts w:eastAsia="Times New Roman" w:cs="Times New Roman"/>
          <w:sz w:val="22"/>
        </w:rPr>
        <w:t xml:space="preserve"> součásti realizující studijní programy připravující budoucí pedagogické pracovníky</w:t>
      </w:r>
      <w:r w:rsidR="00C43BB3" w:rsidRPr="00B175FB">
        <w:rPr>
          <w:rFonts w:eastAsia="Times New Roman" w:cs="Times New Roman"/>
          <w:sz w:val="22"/>
        </w:rPr>
        <w:t>;</w:t>
      </w:r>
    </w:p>
    <w:bookmarkEnd w:id="162"/>
    <w:p w:rsidR="007F1ECC" w:rsidRPr="00B175FB" w:rsidRDefault="00C43BB3" w:rsidP="0015017F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 w:cs="Times New Roman"/>
          <w:sz w:val="22"/>
        </w:rPr>
      </w:pPr>
      <w:r w:rsidRPr="00B175FB">
        <w:rPr>
          <w:rFonts w:eastAsia="Times New Roman" w:cs="Times New Roman"/>
          <w:sz w:val="22"/>
        </w:rPr>
        <w:t xml:space="preserve">pracovníci </w:t>
      </w:r>
      <w:r w:rsidR="00AC2F6A" w:rsidRPr="00B175FB">
        <w:rPr>
          <w:rFonts w:eastAsia="Times New Roman" w:cs="Times New Roman"/>
          <w:sz w:val="22"/>
        </w:rPr>
        <w:t>ČŠI</w:t>
      </w:r>
      <w:r w:rsidRPr="00B175FB">
        <w:rPr>
          <w:rFonts w:eastAsia="Times New Roman" w:cs="Times New Roman"/>
          <w:sz w:val="22"/>
        </w:rPr>
        <w:t xml:space="preserve"> a školských poradenských zařízení;</w:t>
      </w:r>
    </w:p>
    <w:p w:rsidR="00C43BB3" w:rsidRPr="00B175FB" w:rsidRDefault="00C43BB3" w:rsidP="0015017F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 w:cs="Times New Roman"/>
          <w:sz w:val="22"/>
        </w:rPr>
      </w:pPr>
      <w:r w:rsidRPr="00B175FB">
        <w:rPr>
          <w:rFonts w:eastAsia="Times New Roman" w:cs="Times New Roman"/>
          <w:sz w:val="22"/>
        </w:rPr>
        <w:t>úředníci územních samosprávných celků</w:t>
      </w:r>
      <w:r w:rsidR="002B4DBC" w:rsidRPr="00B175FB">
        <w:rPr>
          <w:rFonts w:eastAsia="Times New Roman" w:cs="Times New Roman"/>
          <w:sz w:val="22"/>
        </w:rPr>
        <w:t>, zaměstnanci státní správy</w:t>
      </w:r>
      <w:r w:rsidRPr="00B175FB">
        <w:rPr>
          <w:rFonts w:eastAsia="Times New Roman" w:cs="Times New Roman"/>
          <w:sz w:val="22"/>
        </w:rPr>
        <w:t>;</w:t>
      </w:r>
    </w:p>
    <w:p w:rsidR="00C43BB3" w:rsidRPr="00B175FB" w:rsidRDefault="00C43BB3" w:rsidP="0015017F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 w:cs="Times New Roman"/>
          <w:sz w:val="22"/>
        </w:rPr>
      </w:pPr>
      <w:r w:rsidRPr="00B175FB">
        <w:rPr>
          <w:rFonts w:eastAsia="Times New Roman" w:cs="Times New Roman"/>
          <w:sz w:val="22"/>
        </w:rPr>
        <w:t>děti</w:t>
      </w:r>
      <w:r w:rsidR="00A20A1E" w:rsidRPr="00B175FB">
        <w:rPr>
          <w:rFonts w:eastAsia="Times New Roman" w:cs="Times New Roman"/>
          <w:sz w:val="22"/>
        </w:rPr>
        <w:t>,</w:t>
      </w:r>
      <w:r w:rsidRPr="00B175FB">
        <w:rPr>
          <w:rFonts w:eastAsia="Times New Roman" w:cs="Times New Roman"/>
          <w:sz w:val="22"/>
        </w:rPr>
        <w:t xml:space="preserve"> žáci</w:t>
      </w:r>
      <w:r w:rsidR="00A20A1E" w:rsidRPr="00B175FB">
        <w:rPr>
          <w:rFonts w:eastAsia="Times New Roman" w:cs="Times New Roman"/>
          <w:sz w:val="22"/>
        </w:rPr>
        <w:t xml:space="preserve"> a studenti </w:t>
      </w:r>
      <w:r w:rsidR="00813E50" w:rsidRPr="00B175FB">
        <w:rPr>
          <w:rFonts w:eastAsia="Times New Roman" w:cs="Times New Roman"/>
          <w:sz w:val="22"/>
        </w:rPr>
        <w:t>VOŠ</w:t>
      </w:r>
      <w:r w:rsidR="00397944" w:rsidRPr="00B175FB">
        <w:rPr>
          <w:rFonts w:eastAsia="Times New Roman" w:cs="Times New Roman"/>
          <w:sz w:val="22"/>
        </w:rPr>
        <w:t>;</w:t>
      </w:r>
    </w:p>
    <w:p w:rsidR="00C43BB3" w:rsidRPr="00B175FB" w:rsidRDefault="00C43BB3" w:rsidP="0015017F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 w:cs="Times New Roman"/>
          <w:sz w:val="22"/>
        </w:rPr>
      </w:pPr>
      <w:r w:rsidRPr="00B175FB">
        <w:rPr>
          <w:rFonts w:eastAsia="Times New Roman" w:cs="Times New Roman"/>
          <w:sz w:val="22"/>
        </w:rPr>
        <w:t>rodiče dětí</w:t>
      </w:r>
      <w:r w:rsidR="00397944" w:rsidRPr="00B175FB">
        <w:rPr>
          <w:rFonts w:eastAsia="Times New Roman" w:cs="Times New Roman"/>
          <w:sz w:val="22"/>
        </w:rPr>
        <w:t xml:space="preserve"> a</w:t>
      </w:r>
      <w:r w:rsidRPr="00B175FB">
        <w:rPr>
          <w:rFonts w:eastAsia="Times New Roman" w:cs="Times New Roman"/>
          <w:sz w:val="22"/>
        </w:rPr>
        <w:t xml:space="preserve"> žáků (případně zákonní zástupci), veřejnost;</w:t>
      </w:r>
    </w:p>
    <w:p w:rsidR="00C43BB3" w:rsidRPr="00B175FB" w:rsidRDefault="00C43BB3" w:rsidP="0015017F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 w:cs="Times New Roman"/>
          <w:sz w:val="22"/>
        </w:rPr>
      </w:pPr>
      <w:r w:rsidRPr="00B175FB">
        <w:rPr>
          <w:rFonts w:eastAsia="Times New Roman" w:cs="Times New Roman"/>
          <w:sz w:val="22"/>
        </w:rPr>
        <w:t>ostatní aktéři v oblasti vzdělávání (</w:t>
      </w:r>
      <w:r w:rsidR="00AC2F6A" w:rsidRPr="00B175FB">
        <w:rPr>
          <w:rFonts w:eastAsia="Times New Roman" w:cs="Times New Roman"/>
          <w:sz w:val="22"/>
        </w:rPr>
        <w:t>nestátní neziskové organizace</w:t>
      </w:r>
      <w:r w:rsidRPr="00B175FB">
        <w:rPr>
          <w:rFonts w:eastAsia="Times New Roman" w:cs="Times New Roman"/>
          <w:sz w:val="22"/>
        </w:rPr>
        <w:t xml:space="preserve">, </w:t>
      </w:r>
      <w:r w:rsidR="00E03AF9" w:rsidRPr="00B175FB">
        <w:rPr>
          <w:rFonts w:eastAsia="Times New Roman" w:cs="Times New Roman"/>
          <w:sz w:val="22"/>
        </w:rPr>
        <w:t>muzea nebo jiné paměťové instituce,</w:t>
      </w:r>
      <w:r w:rsidRPr="00B175FB">
        <w:rPr>
          <w:rFonts w:eastAsia="Times New Roman" w:cs="Times New Roman"/>
          <w:sz w:val="22"/>
        </w:rPr>
        <w:t xml:space="preserve"> poskytovatelé </w:t>
      </w:r>
      <w:r w:rsidR="00AC2F6A" w:rsidRPr="00B175FB">
        <w:rPr>
          <w:rFonts w:eastAsia="Times New Roman" w:cs="Times New Roman"/>
          <w:sz w:val="22"/>
        </w:rPr>
        <w:t xml:space="preserve">dalšího vzdělávání </w:t>
      </w:r>
      <w:r w:rsidRPr="00B175FB">
        <w:rPr>
          <w:rFonts w:eastAsia="Times New Roman" w:cs="Times New Roman"/>
          <w:sz w:val="22"/>
        </w:rPr>
        <w:t>apod.);</w:t>
      </w:r>
    </w:p>
    <w:p w:rsidR="00C43BB3" w:rsidRPr="00B175FB" w:rsidRDefault="00C43BB3" w:rsidP="0015017F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 w:cs="Times New Roman"/>
          <w:sz w:val="22"/>
        </w:rPr>
      </w:pPr>
      <w:r w:rsidRPr="00B175FB">
        <w:rPr>
          <w:rFonts w:eastAsia="Times New Roman" w:cs="Times New Roman"/>
          <w:sz w:val="22"/>
        </w:rPr>
        <w:t>soukromý sektor</w:t>
      </w:r>
      <w:r w:rsidR="00C1539D" w:rsidRPr="00B175FB">
        <w:rPr>
          <w:rFonts w:eastAsia="Times New Roman" w:cs="Times New Roman"/>
          <w:sz w:val="22"/>
        </w:rPr>
        <w:t>;</w:t>
      </w:r>
    </w:p>
    <w:p w:rsidR="00C1539D" w:rsidRPr="00B175FB" w:rsidRDefault="00C1539D" w:rsidP="0015017F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 w:cs="Times New Roman"/>
          <w:sz w:val="22"/>
        </w:rPr>
      </w:pPr>
      <w:r w:rsidRPr="00B175FB">
        <w:rPr>
          <w:rFonts w:eastAsia="Times New Roman" w:cs="Times New Roman"/>
          <w:sz w:val="22"/>
        </w:rPr>
        <w:t xml:space="preserve">akademičtí a neakademičtí pracovníci </w:t>
      </w:r>
      <w:r w:rsidR="00AC2F6A" w:rsidRPr="00B175FB">
        <w:rPr>
          <w:rFonts w:eastAsia="Times New Roman" w:cs="Times New Roman"/>
          <w:sz w:val="22"/>
        </w:rPr>
        <w:t>VŠ</w:t>
      </w:r>
      <w:r w:rsidRPr="00B175FB">
        <w:rPr>
          <w:rFonts w:eastAsia="Times New Roman" w:cs="Times New Roman"/>
          <w:sz w:val="22"/>
        </w:rPr>
        <w:t>;</w:t>
      </w:r>
    </w:p>
    <w:p w:rsidR="00C1539D" w:rsidRPr="00B175FB" w:rsidRDefault="00C1539D" w:rsidP="0015017F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 w:cs="Times New Roman"/>
          <w:sz w:val="22"/>
        </w:rPr>
      </w:pPr>
      <w:r w:rsidRPr="00B175FB">
        <w:rPr>
          <w:rFonts w:eastAsia="Times New Roman" w:cs="Times New Roman"/>
          <w:sz w:val="22"/>
        </w:rPr>
        <w:t xml:space="preserve">studenti </w:t>
      </w:r>
      <w:r w:rsidR="00AC2F6A" w:rsidRPr="00B175FB">
        <w:rPr>
          <w:rFonts w:eastAsia="Times New Roman" w:cs="Times New Roman"/>
          <w:sz w:val="22"/>
        </w:rPr>
        <w:t>na VŠ</w:t>
      </w:r>
      <w:r w:rsidRPr="00B175FB">
        <w:rPr>
          <w:rFonts w:eastAsia="Times New Roman" w:cs="Times New Roman"/>
          <w:sz w:val="22"/>
        </w:rPr>
        <w:t>;</w:t>
      </w:r>
    </w:p>
    <w:p w:rsidR="004C7D4F" w:rsidRPr="00B175FB" w:rsidRDefault="00C1539D" w:rsidP="00595C5C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 w:cs="Times New Roman"/>
          <w:sz w:val="22"/>
        </w:rPr>
      </w:pPr>
      <w:r w:rsidRPr="00B175FB">
        <w:rPr>
          <w:rFonts w:eastAsia="Times New Roman" w:cs="Times New Roman"/>
          <w:sz w:val="22"/>
        </w:rPr>
        <w:t xml:space="preserve">zájemci o studium na </w:t>
      </w:r>
      <w:r w:rsidR="00AC2F6A" w:rsidRPr="00B175FB">
        <w:rPr>
          <w:rFonts w:eastAsia="Times New Roman" w:cs="Times New Roman"/>
          <w:sz w:val="22"/>
        </w:rPr>
        <w:t>VŠ</w:t>
      </w:r>
      <w:r w:rsidR="00A147A2" w:rsidRPr="00B175FB">
        <w:rPr>
          <w:rFonts w:eastAsia="Times New Roman" w:cs="Times New Roman"/>
          <w:sz w:val="22"/>
        </w:rPr>
        <w:t>.</w:t>
      </w:r>
    </w:p>
    <w:p w:rsidR="00331F49" w:rsidRPr="00B175FB" w:rsidRDefault="00227AF7" w:rsidP="00331F49">
      <w:pPr>
        <w:rPr>
          <w:rFonts w:eastAsia="Times New Roman"/>
          <w:b/>
          <w:i/>
          <w:noProof/>
          <w:szCs w:val="24"/>
        </w:rPr>
      </w:pPr>
      <w:r w:rsidRPr="00B175FB">
        <w:rPr>
          <w:rFonts w:eastAsia="Times New Roman"/>
          <w:b/>
          <w:i/>
          <w:noProof/>
          <w:szCs w:val="24"/>
        </w:rPr>
        <w:t xml:space="preserve">Akce zajišťující rovnost, začlenění a nediskriminaci </w:t>
      </w:r>
      <w:r w:rsidR="00331F49" w:rsidRPr="00B175FB">
        <w:rPr>
          <w:rFonts w:eastAsia="Times New Roman"/>
          <w:i/>
          <w:noProof/>
          <w:szCs w:val="24"/>
        </w:rPr>
        <w:t xml:space="preserve"> </w:t>
      </w:r>
      <w:r w:rsidR="00331F49" w:rsidRPr="00B175FB">
        <w:rPr>
          <w:rFonts w:eastAsia="Times New Roman"/>
          <w:i/>
          <w:iCs/>
          <w:noProof/>
          <w:szCs w:val="24"/>
        </w:rPr>
        <w:t> </w:t>
      </w:r>
    </w:p>
    <w:p w:rsidR="00331F49" w:rsidRDefault="00551672" w:rsidP="000C0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both"/>
        <w:rPr>
          <w:rFonts w:eastAsia="Times New Roman"/>
          <w:sz w:val="22"/>
        </w:rPr>
      </w:pPr>
      <w:r>
        <w:rPr>
          <w:rFonts w:eastAsia="Times New Roman"/>
          <w:sz w:val="22"/>
        </w:rPr>
        <w:t xml:space="preserve">Plánované aktivity zahrnují podporu snižování nerovností a diskriminace ve vzdělávání, a to například prostřednictvím podpory poradenských služeb, </w:t>
      </w:r>
      <w:r w:rsidR="005D0B02">
        <w:rPr>
          <w:rFonts w:eastAsia="Times New Roman"/>
          <w:sz w:val="22"/>
        </w:rPr>
        <w:t xml:space="preserve">vzdělávání pedagogických pracovníků, </w:t>
      </w:r>
      <w:r>
        <w:rPr>
          <w:rFonts w:eastAsia="Times New Roman"/>
          <w:sz w:val="22"/>
        </w:rPr>
        <w:t>kariérového poradenství, aktivit zacílených na zájemce o studium na vysokých školách a zavádění genderové dimenze do obsahu výuky.</w:t>
      </w:r>
    </w:p>
    <w:p w:rsidR="00551672" w:rsidRPr="00B175FB" w:rsidRDefault="00551672" w:rsidP="009E1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both"/>
        <w:rPr>
          <w:rFonts w:eastAsia="Times New Roman"/>
          <w:noProof/>
          <w:sz w:val="22"/>
        </w:rPr>
      </w:pPr>
      <w:r>
        <w:rPr>
          <w:rFonts w:eastAsia="Times New Roman"/>
          <w:sz w:val="22"/>
        </w:rPr>
        <w:t>V obecné rovině bude u každého projektu posuzován soulad s horizontálními principy.</w:t>
      </w:r>
    </w:p>
    <w:p w:rsidR="002412DC" w:rsidRPr="00B175FB" w:rsidRDefault="004005FF" w:rsidP="004C55F4">
      <w:pPr>
        <w:rPr>
          <w:rFonts w:eastAsia="Times New Roman"/>
          <w:b/>
          <w:noProof/>
          <w:color w:val="D0CECE" w:themeColor="background2" w:themeShade="E6"/>
          <w:szCs w:val="24"/>
        </w:rPr>
      </w:pPr>
      <w:r w:rsidRPr="00B175FB">
        <w:rPr>
          <w:rFonts w:eastAsia="Times New Roman"/>
          <w:b/>
          <w:i/>
          <w:noProof/>
          <w:szCs w:val="24"/>
        </w:rPr>
        <w:t>Konkrétní cílová území včetně plánovaného použití územních nástrojů</w:t>
      </w:r>
      <w:r w:rsidRPr="00B175FB">
        <w:rPr>
          <w:rFonts w:eastAsia="Times New Roman"/>
          <w:i/>
          <w:noProof/>
          <w:szCs w:val="24"/>
        </w:rPr>
        <w:t xml:space="preserve">  </w:t>
      </w:r>
    </w:p>
    <w:p w:rsidR="00066391" w:rsidRPr="00B175FB" w:rsidRDefault="00066391" w:rsidP="000663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eastAsia="Batang" w:hAnsi="Arial" w:cstheme="minorBidi"/>
          <w:sz w:val="22"/>
          <w:lang w:eastAsia="cs-CZ"/>
        </w:rPr>
      </w:pPr>
      <w:r w:rsidRPr="00B175FB">
        <w:rPr>
          <w:rFonts w:eastAsia="Times New Roman"/>
          <w:i/>
          <w:sz w:val="22"/>
        </w:rPr>
        <w:t>Popis zapojení územních nástrojů a zohlednění územní dimenze plánovaných intervencí – bude doplněno v další fázi, ve vazbě na přípravu Národního dokumentu k územní dimenzi a integrovaným nástrojům</w:t>
      </w:r>
      <w:r w:rsidRPr="00B175FB">
        <w:rPr>
          <w:rFonts w:ascii="Arial" w:eastAsia="Batang" w:hAnsi="Arial" w:cstheme="minorBidi"/>
          <w:sz w:val="22"/>
          <w:lang w:eastAsia="cs-CZ"/>
        </w:rPr>
        <w:t xml:space="preserve"> </w:t>
      </w:r>
    </w:p>
    <w:p w:rsidR="00066391" w:rsidRPr="00B175FB" w:rsidRDefault="00066391" w:rsidP="007961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/>
          <w:i/>
          <w:noProof/>
        </w:rPr>
      </w:pPr>
      <w:r w:rsidRPr="00B175FB">
        <w:rPr>
          <w:rFonts w:eastAsia="Times New Roman"/>
          <w:sz w:val="22"/>
        </w:rPr>
        <w:t>Aktivity podporované ve specifickém cíli budou realizovány ve všech regionech České republiky včetně</w:t>
      </w:r>
      <w:r w:rsidR="00047E65" w:rsidRPr="00B175FB">
        <w:rPr>
          <w:rFonts w:eastAsia="Times New Roman"/>
          <w:sz w:val="22"/>
        </w:rPr>
        <w:t xml:space="preserve"> hlavního </w:t>
      </w:r>
      <w:r w:rsidRPr="00B175FB">
        <w:rPr>
          <w:rFonts w:eastAsia="Times New Roman"/>
          <w:sz w:val="22"/>
        </w:rPr>
        <w:t>města Prahy, tj. ve více rozvinutých, méně rozvinutých a přechodových regionech ČR.</w:t>
      </w:r>
    </w:p>
    <w:p w:rsidR="00900204" w:rsidRPr="00B175FB" w:rsidRDefault="00900204" w:rsidP="007961CE">
      <w:pPr>
        <w:spacing w:line="276" w:lineRule="auto"/>
        <w:rPr>
          <w:rFonts w:eastAsia="Times New Roman"/>
          <w:b/>
          <w:i/>
          <w:szCs w:val="24"/>
        </w:rPr>
      </w:pPr>
      <w:r w:rsidRPr="00B175FB">
        <w:rPr>
          <w:rFonts w:eastAsia="Times New Roman"/>
          <w:b/>
          <w:i/>
          <w:szCs w:val="24"/>
        </w:rPr>
        <w:t>Meziregionální a nadnárodní činnosti</w:t>
      </w:r>
      <w:r w:rsidRPr="00B175FB">
        <w:rPr>
          <w:rFonts w:eastAsia="Times New Roman"/>
          <w:b/>
          <w:noProof/>
          <w:color w:val="D0CECE" w:themeColor="background2" w:themeShade="E6"/>
          <w:szCs w:val="24"/>
        </w:rPr>
        <w:t xml:space="preserve"> </w:t>
      </w:r>
      <w:r w:rsidRPr="00B175FB">
        <w:rPr>
          <w:rFonts w:eastAsia="Times New Roman"/>
          <w:i/>
          <w:noProof/>
          <w:szCs w:val="24"/>
        </w:rPr>
        <w:t xml:space="preserve"> </w:t>
      </w:r>
      <w:r w:rsidRPr="00B175FB">
        <w:rPr>
          <w:rFonts w:eastAsia="Times New Roman"/>
          <w:i/>
          <w:iCs/>
          <w:noProof/>
          <w:szCs w:val="24"/>
        </w:rPr>
        <w:t> </w:t>
      </w:r>
    </w:p>
    <w:p w:rsidR="00066391" w:rsidRPr="00B175FB" w:rsidRDefault="00066391" w:rsidP="00D220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/>
          <w:i/>
          <w:noProof/>
          <w:sz w:val="22"/>
        </w:rPr>
      </w:pPr>
      <w:r w:rsidRPr="00B175FB">
        <w:rPr>
          <w:rFonts w:eastAsia="Times New Roman"/>
          <w:noProof/>
          <w:sz w:val="22"/>
        </w:rPr>
        <w:t>Plánované aktivity ve specifickém cíli nepředpokládají zapojení příjemců z dalších členských států</w:t>
      </w:r>
      <w:r w:rsidR="001C3A12" w:rsidRPr="00B175FB">
        <w:rPr>
          <w:rFonts w:eastAsia="Times New Roman"/>
          <w:noProof/>
          <w:sz w:val="22"/>
        </w:rPr>
        <w:t xml:space="preserve"> EU</w:t>
      </w:r>
      <w:r w:rsidRPr="00B175FB">
        <w:rPr>
          <w:rFonts w:eastAsia="Times New Roman"/>
          <w:noProof/>
          <w:sz w:val="22"/>
        </w:rPr>
        <w:t xml:space="preserve"> nebo států mimo EU</w:t>
      </w:r>
      <w:r w:rsidR="000D7D5B">
        <w:rPr>
          <w:rFonts w:eastAsia="Times New Roman"/>
          <w:noProof/>
          <w:sz w:val="22"/>
        </w:rPr>
        <w:t xml:space="preserve">, ale předpokládají </w:t>
      </w:r>
      <w:r w:rsidR="00D2202D">
        <w:rPr>
          <w:rFonts w:eastAsia="Times New Roman"/>
          <w:noProof/>
          <w:sz w:val="22"/>
        </w:rPr>
        <w:t>rozvoj účinné spolupráce</w:t>
      </w:r>
      <w:r w:rsidR="000D7D5B">
        <w:rPr>
          <w:rFonts w:eastAsia="Times New Roman"/>
          <w:noProof/>
          <w:sz w:val="22"/>
        </w:rPr>
        <w:t xml:space="preserve">  s</w:t>
      </w:r>
      <w:r w:rsidR="00391B4F">
        <w:rPr>
          <w:rFonts w:eastAsia="Times New Roman"/>
          <w:noProof/>
          <w:sz w:val="22"/>
        </w:rPr>
        <w:t>e subjekty pocházejícími z</w:t>
      </w:r>
      <w:r w:rsidR="000D7D5B">
        <w:rPr>
          <w:rFonts w:eastAsia="Times New Roman"/>
          <w:noProof/>
          <w:sz w:val="22"/>
        </w:rPr>
        <w:t> tě</w:t>
      </w:r>
      <w:r w:rsidR="00391B4F">
        <w:rPr>
          <w:rFonts w:eastAsia="Times New Roman"/>
          <w:noProof/>
          <w:sz w:val="22"/>
        </w:rPr>
        <w:t>ch</w:t>
      </w:r>
      <w:r w:rsidR="000D7D5B">
        <w:rPr>
          <w:rFonts w:eastAsia="Times New Roman"/>
          <w:noProof/>
          <w:sz w:val="22"/>
        </w:rPr>
        <w:t>to zem</w:t>
      </w:r>
      <w:r w:rsidR="00391B4F">
        <w:rPr>
          <w:rFonts w:eastAsia="Times New Roman"/>
          <w:noProof/>
          <w:sz w:val="22"/>
        </w:rPr>
        <w:t>í</w:t>
      </w:r>
      <w:r w:rsidR="00D2202D">
        <w:rPr>
          <w:rFonts w:eastAsia="Times New Roman"/>
          <w:noProof/>
          <w:sz w:val="22"/>
        </w:rPr>
        <w:t>. Tato spolupráce povede k účinné</w:t>
      </w:r>
      <w:r w:rsidR="000D7D5B">
        <w:rPr>
          <w:rFonts w:eastAsia="Times New Roman"/>
          <w:noProof/>
          <w:sz w:val="22"/>
        </w:rPr>
        <w:t xml:space="preserve"> internacionalizaci českého vysokoškolského prostředí</w:t>
      </w:r>
      <w:r w:rsidR="00D329AF">
        <w:rPr>
          <w:rFonts w:eastAsia="Times New Roman"/>
          <w:noProof/>
          <w:sz w:val="22"/>
        </w:rPr>
        <w:t>.</w:t>
      </w:r>
    </w:p>
    <w:p w:rsidR="00515379" w:rsidRDefault="00515379" w:rsidP="007961CE">
      <w:pPr>
        <w:spacing w:line="276" w:lineRule="auto"/>
        <w:rPr>
          <w:rFonts w:eastAsia="Times New Roman"/>
          <w:b/>
          <w:i/>
          <w:noProof/>
          <w:szCs w:val="24"/>
        </w:rPr>
      </w:pPr>
    </w:p>
    <w:p w:rsidR="00515379" w:rsidRDefault="00515379" w:rsidP="007961CE">
      <w:pPr>
        <w:spacing w:line="276" w:lineRule="auto"/>
        <w:rPr>
          <w:rFonts w:eastAsia="Times New Roman"/>
          <w:b/>
          <w:i/>
          <w:noProof/>
          <w:szCs w:val="24"/>
        </w:rPr>
      </w:pPr>
    </w:p>
    <w:p w:rsidR="00900204" w:rsidRPr="00B175FB" w:rsidRDefault="00900204" w:rsidP="007961CE">
      <w:pPr>
        <w:spacing w:line="276" w:lineRule="auto"/>
        <w:rPr>
          <w:rFonts w:eastAsia="Times New Roman"/>
          <w:b/>
          <w:i/>
          <w:iCs/>
          <w:noProof/>
          <w:szCs w:val="24"/>
        </w:rPr>
      </w:pPr>
      <w:r w:rsidRPr="00B175FB">
        <w:rPr>
          <w:rFonts w:eastAsia="Times New Roman"/>
          <w:b/>
          <w:i/>
          <w:noProof/>
          <w:szCs w:val="24"/>
        </w:rPr>
        <w:t>Plánované využití finančních nástrojů</w:t>
      </w:r>
      <w:r w:rsidRPr="00B175FB">
        <w:rPr>
          <w:rFonts w:eastAsia="Times New Roman"/>
          <w:i/>
          <w:noProof/>
          <w:szCs w:val="24"/>
        </w:rPr>
        <w:t xml:space="preserve">  </w:t>
      </w:r>
      <w:r w:rsidRPr="00B175FB">
        <w:rPr>
          <w:rFonts w:eastAsia="Times New Roman"/>
          <w:i/>
          <w:iCs/>
          <w:noProof/>
          <w:szCs w:val="24"/>
        </w:rPr>
        <w:t> </w:t>
      </w:r>
      <w:r w:rsidRPr="00B175FB">
        <w:rPr>
          <w:rFonts w:eastAsia="Times New Roman"/>
          <w:i/>
          <w:noProof/>
          <w:szCs w:val="24"/>
        </w:rPr>
        <w:t xml:space="preserve"> </w:t>
      </w:r>
    </w:p>
    <w:p w:rsidR="009346DC" w:rsidRPr="00B175FB" w:rsidRDefault="009346DC" w:rsidP="00934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/>
          <w:sz w:val="22"/>
        </w:rPr>
      </w:pPr>
      <w:r w:rsidRPr="00B175FB">
        <w:rPr>
          <w:rFonts w:eastAsia="Times New Roman"/>
          <w:sz w:val="22"/>
        </w:rPr>
        <w:t>Možnosti vy</w:t>
      </w:r>
      <w:r w:rsidR="00D45AC1">
        <w:rPr>
          <w:rFonts w:eastAsia="Times New Roman"/>
          <w:sz w:val="22"/>
        </w:rPr>
        <w:t>u</w:t>
      </w:r>
      <w:r w:rsidRPr="00B175FB">
        <w:rPr>
          <w:rFonts w:eastAsia="Times New Roman"/>
          <w:sz w:val="22"/>
        </w:rPr>
        <w:t>žití FN jsou v tomto SC omezené. V roce 2018 provedl ŘO předběžné posouzení pilotního využití FN v OP VVV</w:t>
      </w:r>
      <w:r w:rsidRPr="00B175FB">
        <w:rPr>
          <w:rStyle w:val="Znakapoznpodarou"/>
          <w:rFonts w:eastAsia="Times New Roman"/>
          <w:b w:val="0"/>
          <w:sz w:val="22"/>
        </w:rPr>
        <w:footnoteReference w:id="78"/>
      </w:r>
      <w:r w:rsidR="00793988" w:rsidRPr="00B175FB">
        <w:rPr>
          <w:rFonts w:eastAsia="Times New Roman"/>
          <w:sz w:val="22"/>
        </w:rPr>
        <w:t xml:space="preserve"> (</w:t>
      </w:r>
      <w:r w:rsidRPr="00B175FB">
        <w:rPr>
          <w:rFonts w:eastAsia="Times New Roman"/>
          <w:sz w:val="22"/>
        </w:rPr>
        <w:t>v souladu s nařízením Evropského parlamentu a Rady (EU) č.</w:t>
      </w:r>
      <w:r w:rsidR="007E01C5" w:rsidRPr="00B175FB">
        <w:rPr>
          <w:rFonts w:eastAsia="Times New Roman"/>
          <w:sz w:val="22"/>
        </w:rPr>
        <w:t> </w:t>
      </w:r>
      <w:r w:rsidRPr="00B175FB">
        <w:rPr>
          <w:rFonts w:eastAsia="Times New Roman"/>
          <w:sz w:val="22"/>
        </w:rPr>
        <w:t>1303/2013</w:t>
      </w:r>
      <w:r w:rsidR="00793988" w:rsidRPr="00B175FB">
        <w:rPr>
          <w:rFonts w:eastAsia="Times New Roman"/>
          <w:sz w:val="22"/>
        </w:rPr>
        <w:t>)</w:t>
      </w:r>
      <w:r w:rsidRPr="00B175FB">
        <w:rPr>
          <w:rFonts w:eastAsia="Times New Roman"/>
          <w:sz w:val="22"/>
        </w:rPr>
        <w:t xml:space="preserve">. </w:t>
      </w:r>
    </w:p>
    <w:p w:rsidR="0031124F" w:rsidRPr="00B175FB" w:rsidRDefault="0031124F" w:rsidP="003112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/>
          <w:sz w:val="22"/>
        </w:rPr>
      </w:pPr>
      <w:r w:rsidRPr="00B175FB">
        <w:rPr>
          <w:rFonts w:eastAsia="Times New Roman"/>
          <w:sz w:val="22"/>
        </w:rPr>
        <w:t xml:space="preserve">Z předběžného posouzení vyplynulo, že v oblasti vzdělávání a podpory VaV jsou vhodné pro pilotní ověření FN pouze </w:t>
      </w:r>
      <w:r>
        <w:rPr>
          <w:rFonts w:eastAsia="Times New Roman"/>
          <w:sz w:val="22"/>
        </w:rPr>
        <w:t>dvě oblasti</w:t>
      </w:r>
      <w:r w:rsidRPr="00B175FB">
        <w:rPr>
          <w:rFonts w:eastAsia="Times New Roman"/>
          <w:sz w:val="22"/>
        </w:rPr>
        <w:t>, a to podpor</w:t>
      </w:r>
      <w:r>
        <w:rPr>
          <w:rFonts w:eastAsia="Times New Roman"/>
          <w:sz w:val="22"/>
        </w:rPr>
        <w:t>a</w:t>
      </w:r>
      <w:r w:rsidRPr="00B175FB">
        <w:rPr>
          <w:rFonts w:eastAsia="Times New Roman"/>
          <w:sz w:val="22"/>
        </w:rPr>
        <w:t xml:space="preserve"> mobilit a získání pracovních zkušeností v zahraničí.</w:t>
      </w:r>
    </w:p>
    <w:p w:rsidR="009346DC" w:rsidRPr="00B175FB" w:rsidRDefault="009346DC" w:rsidP="00934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/>
          <w:sz w:val="22"/>
        </w:rPr>
      </w:pPr>
      <w:r w:rsidRPr="00B175FB">
        <w:rPr>
          <w:rFonts w:eastAsia="Times New Roman"/>
          <w:sz w:val="22"/>
        </w:rPr>
        <w:t xml:space="preserve">Na základě analýzy a po pečlivém zvážení všech souvisejících rizik (právní rizika, nezájem potenciálních </w:t>
      </w:r>
      <w:r w:rsidR="00D329AF">
        <w:rPr>
          <w:rFonts w:eastAsia="Times New Roman"/>
          <w:sz w:val="22"/>
        </w:rPr>
        <w:t>správců FN</w:t>
      </w:r>
      <w:r w:rsidRPr="00B175FB">
        <w:rPr>
          <w:rFonts w:eastAsia="Times New Roman"/>
          <w:sz w:val="22"/>
        </w:rPr>
        <w:t xml:space="preserve"> a nedostatečná absorpční kapacita) a současného stavu implementace OP VVV se ŘO rozhodl nepokračovat v implementaci FN. </w:t>
      </w:r>
    </w:p>
    <w:p w:rsidR="009346DC" w:rsidRPr="00B175FB" w:rsidRDefault="009346DC" w:rsidP="00DA44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/>
          <w:sz w:val="22"/>
        </w:rPr>
      </w:pPr>
      <w:r w:rsidRPr="00B175FB">
        <w:rPr>
          <w:rFonts w:eastAsia="Times New Roman"/>
          <w:sz w:val="22"/>
        </w:rPr>
        <w:t>Pro programové období 2021</w:t>
      </w:r>
      <w:r w:rsidR="00D329AF">
        <w:rPr>
          <w:rFonts w:eastAsia="Times New Roman"/>
          <w:noProof/>
          <w:sz w:val="22"/>
        </w:rPr>
        <w:t>-</w:t>
      </w:r>
      <w:r w:rsidRPr="00B175FB">
        <w:rPr>
          <w:rFonts w:eastAsia="Times New Roman"/>
          <w:sz w:val="22"/>
        </w:rPr>
        <w:t>2027 ŘO předpokládá zajištění aktualizace ex-ante posouzení v průběhu roku</w:t>
      </w:r>
      <w:r w:rsidR="00BC4364" w:rsidRPr="00B175FB">
        <w:rPr>
          <w:rFonts w:eastAsia="Times New Roman"/>
          <w:sz w:val="22"/>
        </w:rPr>
        <w:t> </w:t>
      </w:r>
      <w:r w:rsidR="0031124F" w:rsidRPr="00B175FB">
        <w:rPr>
          <w:rFonts w:eastAsia="Times New Roman"/>
          <w:sz w:val="22"/>
        </w:rPr>
        <w:t>202</w:t>
      </w:r>
      <w:r w:rsidR="0031124F">
        <w:rPr>
          <w:rFonts w:eastAsia="Times New Roman"/>
          <w:sz w:val="22"/>
        </w:rPr>
        <w:t>1</w:t>
      </w:r>
      <w:r w:rsidRPr="00B175FB">
        <w:rPr>
          <w:rFonts w:eastAsia="Times New Roman"/>
          <w:sz w:val="22"/>
        </w:rPr>
        <w:t xml:space="preserve">. Na základě tohoto posouzení mohou být identifikovány relevantní oblasti vhodné pro využití FN. </w:t>
      </w:r>
    </w:p>
    <w:p w:rsidR="004C55F4" w:rsidRDefault="004C55F4" w:rsidP="004C55F4">
      <w:pPr>
        <w:spacing w:line="240" w:lineRule="auto"/>
        <w:rPr>
          <w:rFonts w:eastAsia="Times New Roman"/>
          <w:b/>
          <w:iCs/>
          <w:noProof/>
          <w:szCs w:val="24"/>
        </w:rPr>
      </w:pPr>
    </w:p>
    <w:p w:rsidR="00900204" w:rsidRPr="007671B1" w:rsidRDefault="00900204" w:rsidP="007671B1">
      <w:pPr>
        <w:pStyle w:val="Nadpis4"/>
        <w:rPr>
          <w:b/>
          <w:color w:val="1F4E79" w:themeColor="accent5" w:themeShade="80"/>
          <w:lang w:val="cs-CZ" w:eastAsia="cs-CZ" w:bidi="cs-CZ"/>
        </w:rPr>
      </w:pPr>
      <w:bookmarkStart w:id="163" w:name="_Toc66476055"/>
      <w:bookmarkStart w:id="164" w:name="_Toc68611013"/>
      <w:bookmarkEnd w:id="151"/>
      <w:r w:rsidRPr="007671B1">
        <w:rPr>
          <w:b/>
          <w:color w:val="1F4E79" w:themeColor="accent5" w:themeShade="80"/>
          <w:lang w:val="cs-CZ" w:eastAsia="cs-CZ" w:bidi="cs-CZ"/>
        </w:rPr>
        <w:t>Ukazatel</w:t>
      </w:r>
      <w:r w:rsidR="005B64A1">
        <w:rPr>
          <w:b/>
          <w:color w:val="1F4E79" w:themeColor="accent5" w:themeShade="80"/>
          <w:lang w:val="cs-CZ" w:eastAsia="cs-CZ" w:bidi="cs-CZ"/>
        </w:rPr>
        <w:t>e</w:t>
      </w:r>
      <w:bookmarkEnd w:id="163"/>
      <w:bookmarkEnd w:id="164"/>
    </w:p>
    <w:p w:rsidR="00B82797" w:rsidRPr="00B169F0" w:rsidRDefault="00B82797" w:rsidP="00B82797">
      <w:pPr>
        <w:pStyle w:val="Titulek"/>
        <w:rPr>
          <w:rFonts w:ascii="Times New Roman" w:hAnsi="Times New Roman" w:cs="Times New Roman"/>
          <w:szCs w:val="22"/>
        </w:rPr>
      </w:pPr>
      <w:bookmarkStart w:id="165" w:name="_Toc66346573"/>
      <w:bookmarkStart w:id="166" w:name="_Toc33000819"/>
      <w:bookmarkStart w:id="167" w:name="_Hlk20819000"/>
      <w:r w:rsidRPr="00B169F0">
        <w:rPr>
          <w:rFonts w:ascii="Times New Roman" w:hAnsi="Times New Roman" w:cs="Times New Roman"/>
          <w:szCs w:val="22"/>
        </w:rPr>
        <w:t xml:space="preserve">Tabulka </w:t>
      </w:r>
      <w:r w:rsidRPr="00B169F0">
        <w:rPr>
          <w:rFonts w:ascii="Times New Roman" w:hAnsi="Times New Roman" w:cs="Times New Roman"/>
          <w:szCs w:val="22"/>
        </w:rPr>
        <w:fldChar w:fldCharType="begin"/>
      </w:r>
      <w:r w:rsidRPr="00B169F0">
        <w:rPr>
          <w:rFonts w:ascii="Times New Roman" w:hAnsi="Times New Roman" w:cs="Times New Roman"/>
          <w:szCs w:val="22"/>
        </w:rPr>
        <w:instrText xml:space="preserve"> SEQ Tabulka \* ARABIC </w:instrText>
      </w:r>
      <w:r w:rsidRPr="00B169F0">
        <w:rPr>
          <w:rFonts w:ascii="Times New Roman" w:hAnsi="Times New Roman" w:cs="Times New Roman"/>
          <w:szCs w:val="22"/>
        </w:rPr>
        <w:fldChar w:fldCharType="separate"/>
      </w:r>
      <w:r w:rsidR="00A17DA3">
        <w:rPr>
          <w:rFonts w:ascii="Times New Roman" w:hAnsi="Times New Roman" w:cs="Times New Roman"/>
          <w:noProof/>
          <w:szCs w:val="22"/>
        </w:rPr>
        <w:t>21</w:t>
      </w:r>
      <w:r w:rsidRPr="00B169F0">
        <w:rPr>
          <w:rFonts w:ascii="Times New Roman" w:hAnsi="Times New Roman" w:cs="Times New Roman"/>
          <w:szCs w:val="22"/>
        </w:rPr>
        <w:fldChar w:fldCharType="end"/>
      </w:r>
      <w:r w:rsidRPr="00B169F0">
        <w:rPr>
          <w:rFonts w:ascii="Times New Roman" w:hAnsi="Times New Roman" w:cs="Times New Roman"/>
          <w:szCs w:val="22"/>
        </w:rPr>
        <w:t>: Ukazatel</w:t>
      </w:r>
      <w:r w:rsidR="005B64A1">
        <w:rPr>
          <w:rFonts w:ascii="Times New Roman" w:hAnsi="Times New Roman" w:cs="Times New Roman"/>
          <w:szCs w:val="22"/>
        </w:rPr>
        <w:t>e</w:t>
      </w:r>
      <w:r w:rsidRPr="00B169F0">
        <w:rPr>
          <w:rFonts w:ascii="Times New Roman" w:hAnsi="Times New Roman" w:cs="Times New Roman"/>
          <w:szCs w:val="22"/>
        </w:rPr>
        <w:t xml:space="preserve"> výstupů</w:t>
      </w:r>
      <w:bookmarkEnd w:id="165"/>
    </w:p>
    <w:tbl>
      <w:tblPr>
        <w:tblStyle w:val="Tabulkasmkou4zvraznn1"/>
        <w:tblW w:w="5000" w:type="pct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1134"/>
        <w:gridCol w:w="709"/>
        <w:gridCol w:w="1134"/>
        <w:gridCol w:w="849"/>
        <w:gridCol w:w="1985"/>
        <w:gridCol w:w="1134"/>
        <w:gridCol w:w="851"/>
        <w:gridCol w:w="844"/>
      </w:tblGrid>
      <w:tr w:rsidR="00B631E7" w:rsidRPr="00B175FB" w:rsidTr="002609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pct"/>
            <w:shd w:val="clear" w:color="auto" w:fill="002060"/>
            <w:hideMark/>
          </w:tcPr>
          <w:p w:rsidR="00B82797" w:rsidRPr="00047FBB" w:rsidRDefault="00B82797" w:rsidP="0032415A">
            <w:pPr>
              <w:pStyle w:val="Text1"/>
              <w:ind w:left="0"/>
              <w:jc w:val="center"/>
              <w:rPr>
                <w:b w:val="0"/>
                <w:noProof/>
                <w:sz w:val="18"/>
                <w:szCs w:val="18"/>
              </w:rPr>
            </w:pPr>
            <w:r w:rsidRPr="00047FBB">
              <w:rPr>
                <w:noProof/>
                <w:sz w:val="18"/>
                <w:szCs w:val="18"/>
              </w:rPr>
              <w:t>Priorita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89" w:type="pct"/>
            <w:shd w:val="clear" w:color="auto" w:fill="002060"/>
            <w:hideMark/>
          </w:tcPr>
          <w:p w:rsidR="00B82797" w:rsidRPr="00047FBB" w:rsidRDefault="00B82797" w:rsidP="0032415A">
            <w:pPr>
              <w:pStyle w:val="Text1"/>
              <w:ind w:left="0"/>
              <w:jc w:val="center"/>
              <w:rPr>
                <w:b w:val="0"/>
                <w:noProof/>
                <w:sz w:val="18"/>
                <w:szCs w:val="18"/>
              </w:rPr>
            </w:pPr>
            <w:r w:rsidRPr="00047FBB">
              <w:rPr>
                <w:noProof/>
                <w:sz w:val="18"/>
                <w:szCs w:val="18"/>
              </w:rPr>
              <w:t>Specifický cíl</w:t>
            </w:r>
          </w:p>
        </w:tc>
        <w:tc>
          <w:tcPr>
            <w:tcW w:w="368" w:type="pct"/>
            <w:shd w:val="clear" w:color="auto" w:fill="002060"/>
            <w:hideMark/>
          </w:tcPr>
          <w:p w:rsidR="00B82797" w:rsidRPr="00047FBB" w:rsidRDefault="00B82797" w:rsidP="0032415A">
            <w:pPr>
              <w:pStyle w:val="Text1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noProof/>
                <w:sz w:val="18"/>
                <w:szCs w:val="18"/>
              </w:rPr>
            </w:pPr>
            <w:r w:rsidRPr="00047FBB">
              <w:rPr>
                <w:noProof/>
                <w:sz w:val="18"/>
                <w:szCs w:val="18"/>
              </w:rPr>
              <w:t>Fond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89" w:type="pct"/>
            <w:shd w:val="clear" w:color="auto" w:fill="002060"/>
            <w:hideMark/>
          </w:tcPr>
          <w:p w:rsidR="00B82797" w:rsidRPr="00047FBB" w:rsidRDefault="00B82797" w:rsidP="0032415A">
            <w:pPr>
              <w:pStyle w:val="Text1"/>
              <w:ind w:left="0"/>
              <w:jc w:val="center"/>
              <w:rPr>
                <w:b w:val="0"/>
                <w:noProof/>
                <w:sz w:val="18"/>
                <w:szCs w:val="18"/>
              </w:rPr>
            </w:pPr>
            <w:r w:rsidRPr="00047FBB">
              <w:rPr>
                <w:noProof/>
                <w:sz w:val="18"/>
                <w:szCs w:val="18"/>
              </w:rPr>
              <w:t>Kategorie regionu</w:t>
            </w:r>
          </w:p>
        </w:tc>
        <w:tc>
          <w:tcPr>
            <w:tcW w:w="441" w:type="pct"/>
            <w:tcBorders>
              <w:right w:val="single" w:sz="4" w:space="0" w:color="4472C4" w:themeColor="accent1"/>
            </w:tcBorders>
            <w:shd w:val="clear" w:color="auto" w:fill="002060"/>
            <w:hideMark/>
          </w:tcPr>
          <w:p w:rsidR="00B82797" w:rsidRPr="00047FBB" w:rsidRDefault="00B82797" w:rsidP="0032415A">
            <w:pPr>
              <w:pStyle w:val="Text1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noProof/>
                <w:sz w:val="18"/>
                <w:szCs w:val="18"/>
              </w:rPr>
            </w:pPr>
            <w:r w:rsidRPr="00047FBB">
              <w:rPr>
                <w:noProof/>
                <w:sz w:val="18"/>
                <w:szCs w:val="18"/>
              </w:rPr>
              <w:t>ID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31" w:type="pct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hideMark/>
          </w:tcPr>
          <w:p w:rsidR="00B82797" w:rsidRPr="00047FBB" w:rsidRDefault="00B82797" w:rsidP="0032415A">
            <w:pPr>
              <w:pStyle w:val="Text1"/>
              <w:ind w:left="0"/>
              <w:jc w:val="center"/>
              <w:rPr>
                <w:b w:val="0"/>
                <w:noProof/>
                <w:sz w:val="18"/>
                <w:szCs w:val="18"/>
              </w:rPr>
            </w:pPr>
            <w:r w:rsidRPr="00047FBB">
              <w:rPr>
                <w:noProof/>
                <w:sz w:val="18"/>
                <w:szCs w:val="18"/>
              </w:rPr>
              <w:t>Ukazatel</w:t>
            </w:r>
          </w:p>
        </w:tc>
        <w:tc>
          <w:tcPr>
            <w:tcW w:w="589" w:type="pct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hideMark/>
          </w:tcPr>
          <w:p w:rsidR="00B82797" w:rsidRPr="00047FBB" w:rsidRDefault="00B82797" w:rsidP="0032415A">
            <w:pPr>
              <w:pStyle w:val="Text1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noProof/>
                <w:sz w:val="18"/>
                <w:szCs w:val="18"/>
              </w:rPr>
            </w:pPr>
            <w:r w:rsidRPr="00047FBB">
              <w:rPr>
                <w:noProof/>
                <w:sz w:val="18"/>
                <w:szCs w:val="18"/>
              </w:rPr>
              <w:t>Jednotka měření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2" w:type="pct"/>
            <w:tcBorders>
              <w:left w:val="single" w:sz="4" w:space="0" w:color="4472C4" w:themeColor="accent1"/>
            </w:tcBorders>
            <w:shd w:val="clear" w:color="auto" w:fill="002060"/>
          </w:tcPr>
          <w:p w:rsidR="00B82797" w:rsidRPr="00047FBB" w:rsidRDefault="00B82797" w:rsidP="0032415A">
            <w:pPr>
              <w:pStyle w:val="Text1"/>
              <w:ind w:left="0"/>
              <w:jc w:val="center"/>
              <w:rPr>
                <w:b w:val="0"/>
                <w:noProof/>
                <w:sz w:val="18"/>
                <w:szCs w:val="18"/>
              </w:rPr>
            </w:pPr>
            <w:r w:rsidRPr="00047FBB">
              <w:rPr>
                <w:noProof/>
                <w:sz w:val="18"/>
                <w:szCs w:val="18"/>
              </w:rPr>
              <w:t>Milník (2024)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8" w:type="pct"/>
            <w:shd w:val="clear" w:color="auto" w:fill="002060"/>
          </w:tcPr>
          <w:p w:rsidR="00B82797" w:rsidRPr="00047FBB" w:rsidRDefault="00B82797" w:rsidP="0032415A">
            <w:pPr>
              <w:pStyle w:val="Text1"/>
              <w:ind w:left="0"/>
              <w:jc w:val="center"/>
              <w:rPr>
                <w:b w:val="0"/>
                <w:noProof/>
                <w:sz w:val="18"/>
                <w:szCs w:val="18"/>
              </w:rPr>
            </w:pPr>
            <w:r w:rsidRPr="00047FBB">
              <w:rPr>
                <w:noProof/>
                <w:sz w:val="18"/>
                <w:szCs w:val="18"/>
              </w:rPr>
              <w:t>Cíl</w:t>
            </w:r>
            <w:r w:rsidR="00E95DBE">
              <w:rPr>
                <w:noProof/>
                <w:sz w:val="18"/>
                <w:szCs w:val="18"/>
              </w:rPr>
              <w:br/>
            </w:r>
            <w:r w:rsidRPr="00047FBB">
              <w:rPr>
                <w:noProof/>
                <w:sz w:val="18"/>
                <w:szCs w:val="18"/>
              </w:rPr>
              <w:t>(2029)</w:t>
            </w:r>
          </w:p>
        </w:tc>
      </w:tr>
      <w:tr w:rsidR="004C64EB" w:rsidRPr="00746F88" w:rsidTr="00260941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pct"/>
            <w:vMerge w:val="restart"/>
            <w:shd w:val="clear" w:color="auto" w:fill="DEEAF6" w:themeFill="accent5" w:themeFillTint="33"/>
          </w:tcPr>
          <w:p w:rsidR="004C64EB" w:rsidRPr="0032415A" w:rsidRDefault="002A6A89" w:rsidP="00AA316F">
            <w:pPr>
              <w:pStyle w:val="Default"/>
              <w:rPr>
                <w:rFonts w:ascii="Times New Roman" w:hAnsi="Times New Roman" w:cs="Times New Roman"/>
                <w:b w:val="0"/>
                <w:i/>
                <w:noProof/>
                <w:sz w:val="18"/>
                <w:szCs w:val="18"/>
              </w:rPr>
            </w:pPr>
            <w:r w:rsidRPr="0032415A">
              <w:rPr>
                <w:rFonts w:ascii="Times New Roman" w:hAnsi="Times New Roman" w:cs="Times New Roman"/>
                <w:b w:val="0"/>
                <w:sz w:val="18"/>
                <w:szCs w:val="18"/>
                <w:lang w:eastAsia="cs-CZ" w:bidi="cs-CZ"/>
              </w:rPr>
              <w:t>P</w:t>
            </w:r>
            <w:r w:rsidR="004C64EB" w:rsidRPr="0032415A">
              <w:rPr>
                <w:rFonts w:ascii="Times New Roman" w:hAnsi="Times New Roman" w:cs="Times New Roman"/>
                <w:b w:val="0"/>
                <w:sz w:val="18"/>
                <w:szCs w:val="18"/>
                <w:lang w:eastAsia="cs-CZ" w:bidi="cs-CZ"/>
              </w:rPr>
              <w:t>2</w:t>
            </w:r>
          </w:p>
        </w:tc>
        <w:tc>
          <w:tcPr>
            <w:tcW w:w="589" w:type="pct"/>
            <w:vMerge w:val="restart"/>
            <w:shd w:val="clear" w:color="auto" w:fill="DEEAF6" w:themeFill="accent5" w:themeFillTint="33"/>
          </w:tcPr>
          <w:p w:rsidR="0086584A" w:rsidRPr="00022862" w:rsidRDefault="004C64EB" w:rsidP="0002286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  <w:r w:rsidRPr="00022862"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  <w:t xml:space="preserve">2.2 </w:t>
            </w:r>
          </w:p>
          <w:p w:rsidR="004C64EB" w:rsidRPr="00022862" w:rsidRDefault="004C64EB" w:rsidP="0002286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</w:p>
        </w:tc>
        <w:tc>
          <w:tcPr>
            <w:tcW w:w="368" w:type="pct"/>
            <w:vMerge w:val="restart"/>
            <w:shd w:val="clear" w:color="auto" w:fill="DEEAF6" w:themeFill="accent5" w:themeFillTint="33"/>
          </w:tcPr>
          <w:p w:rsidR="004C64EB" w:rsidRPr="00047FBB" w:rsidRDefault="00A16EF0" w:rsidP="00AA316F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  <w:r w:rsidRPr="00A16EF0"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  <w:t>ESF+</w:t>
            </w:r>
          </w:p>
        </w:tc>
        <w:tc>
          <w:tcPr>
            <w:tcW w:w="589" w:type="pct"/>
            <w:shd w:val="clear" w:color="auto" w:fill="DEEAF6" w:themeFill="accent5" w:themeFillTint="33"/>
          </w:tcPr>
          <w:p w:rsidR="004C64EB" w:rsidRPr="00022862" w:rsidRDefault="004C64EB" w:rsidP="004E348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  <w:r w:rsidRPr="00022862"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  <w:t>Více rozvinuté</w:t>
            </w:r>
          </w:p>
        </w:tc>
        <w:tc>
          <w:tcPr>
            <w:tcW w:w="441" w:type="pct"/>
            <w:vMerge w:val="restart"/>
            <w:shd w:val="clear" w:color="auto" w:fill="DEEAF6" w:themeFill="accent5" w:themeFillTint="33"/>
          </w:tcPr>
          <w:p w:rsidR="004C64EB" w:rsidRPr="00047FBB" w:rsidRDefault="004C64EB" w:rsidP="00AA316F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  <w:r w:rsidRPr="00047FBB"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  <w:t>6 00 00</w:t>
            </w:r>
          </w:p>
          <w:p w:rsidR="004C64EB" w:rsidRPr="00047FBB" w:rsidRDefault="004C64EB" w:rsidP="00AA316F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</w:p>
        </w:tc>
        <w:tc>
          <w:tcPr>
            <w:tcW w:w="1031" w:type="pct"/>
            <w:vMerge w:val="restart"/>
            <w:tcBorders>
              <w:top w:val="single" w:sz="4" w:space="0" w:color="4472C4" w:themeColor="accent1"/>
            </w:tcBorders>
            <w:shd w:val="clear" w:color="auto" w:fill="DEEAF6" w:themeFill="accent5" w:themeFillTint="33"/>
          </w:tcPr>
          <w:p w:rsidR="004C64EB" w:rsidRPr="00047FBB" w:rsidRDefault="004C64EB" w:rsidP="00AA316F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  <w:r w:rsidRPr="00022862"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  <w:t>Celkový počet účastníků</w:t>
            </w:r>
          </w:p>
        </w:tc>
        <w:tc>
          <w:tcPr>
            <w:tcW w:w="589" w:type="pct"/>
            <w:vMerge w:val="restart"/>
            <w:tcBorders>
              <w:top w:val="single" w:sz="4" w:space="0" w:color="4472C4" w:themeColor="accent1"/>
            </w:tcBorders>
            <w:shd w:val="clear" w:color="auto" w:fill="DEEAF6" w:themeFill="accent5" w:themeFillTint="33"/>
          </w:tcPr>
          <w:p w:rsidR="004C64EB" w:rsidRPr="00022862" w:rsidRDefault="00444E35" w:rsidP="0002286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  <w:r w:rsidRPr="00022862"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  <w:t>O</w:t>
            </w:r>
            <w:r w:rsidR="004C64EB" w:rsidRPr="00022862"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  <w:t>soby</w:t>
            </w:r>
          </w:p>
        </w:tc>
        <w:tc>
          <w:tcPr>
            <w:tcW w:w="442" w:type="pct"/>
            <w:shd w:val="clear" w:color="auto" w:fill="DEEAF6" w:themeFill="accent5" w:themeFillTint="33"/>
          </w:tcPr>
          <w:p w:rsidR="004C64EB" w:rsidRPr="002C3094" w:rsidRDefault="002C3094" w:rsidP="005D04F0">
            <w:pPr>
              <w:pStyle w:val="Text1"/>
              <w:spacing w:before="0" w:after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  <w:r w:rsidRPr="002C3094">
              <w:rPr>
                <w:b/>
                <w:noProof/>
                <w:sz w:val="18"/>
                <w:szCs w:val="18"/>
              </w:rPr>
              <w:t>-</w:t>
            </w:r>
          </w:p>
        </w:tc>
        <w:tc>
          <w:tcPr>
            <w:tcW w:w="438" w:type="pct"/>
            <w:shd w:val="clear" w:color="auto" w:fill="DEEAF6" w:themeFill="accent5" w:themeFillTint="33"/>
          </w:tcPr>
          <w:p w:rsidR="004C64EB" w:rsidRPr="00047FBB" w:rsidRDefault="004C64EB" w:rsidP="005D04F0">
            <w:pPr>
              <w:pStyle w:val="Text1"/>
              <w:spacing w:before="0" w:after="0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  <w:highlight w:val="yellow"/>
              </w:rPr>
            </w:pPr>
            <w:r w:rsidRPr="00047FBB">
              <w:rPr>
                <w:bCs/>
                <w:color w:val="000000"/>
                <w:sz w:val="18"/>
                <w:szCs w:val="18"/>
              </w:rPr>
              <w:t>311</w:t>
            </w:r>
          </w:p>
        </w:tc>
      </w:tr>
      <w:tr w:rsidR="00047FBB" w:rsidRPr="00746F88" w:rsidTr="00260941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pct"/>
            <w:vMerge/>
            <w:shd w:val="clear" w:color="auto" w:fill="DEEAF6" w:themeFill="accent5" w:themeFillTint="33"/>
          </w:tcPr>
          <w:p w:rsidR="004C64EB" w:rsidRPr="00047FBB" w:rsidRDefault="004C64EB" w:rsidP="00AA316F">
            <w:pPr>
              <w:pStyle w:val="Default"/>
              <w:rPr>
                <w:rFonts w:ascii="Times New Roman" w:hAnsi="Times New Roman" w:cs="Times New Roman"/>
                <w:b w:val="0"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589" w:type="pct"/>
            <w:vMerge/>
            <w:shd w:val="clear" w:color="auto" w:fill="DEEAF6" w:themeFill="accent5" w:themeFillTint="33"/>
          </w:tcPr>
          <w:p w:rsidR="004C64EB" w:rsidRPr="00047FBB" w:rsidRDefault="004C64EB" w:rsidP="005D04F0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368" w:type="pct"/>
            <w:vMerge/>
            <w:shd w:val="clear" w:color="auto" w:fill="DEEAF6" w:themeFill="accent5" w:themeFillTint="33"/>
          </w:tcPr>
          <w:p w:rsidR="004C64EB" w:rsidRPr="00047FBB" w:rsidRDefault="004C64EB" w:rsidP="005D04F0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589" w:type="pct"/>
            <w:shd w:val="clear" w:color="auto" w:fill="DEEAF6" w:themeFill="accent5" w:themeFillTint="33"/>
          </w:tcPr>
          <w:p w:rsidR="004C64EB" w:rsidRPr="00047FBB" w:rsidRDefault="004C64EB" w:rsidP="005D04F0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047FBB">
              <w:rPr>
                <w:color w:val="000000"/>
                <w:sz w:val="18"/>
                <w:szCs w:val="18"/>
                <w:lang w:eastAsia="cs-CZ" w:bidi="cs-CZ"/>
              </w:rPr>
              <w:t>Přechodové</w:t>
            </w:r>
          </w:p>
        </w:tc>
        <w:tc>
          <w:tcPr>
            <w:tcW w:w="441" w:type="pct"/>
            <w:vMerge/>
            <w:shd w:val="clear" w:color="auto" w:fill="DEEAF6" w:themeFill="accent5" w:themeFillTint="33"/>
          </w:tcPr>
          <w:p w:rsidR="004C64EB" w:rsidRPr="00047FBB" w:rsidRDefault="004C64EB" w:rsidP="00AA316F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</w:p>
        </w:tc>
        <w:tc>
          <w:tcPr>
            <w:tcW w:w="1031" w:type="pct"/>
            <w:vMerge/>
            <w:shd w:val="clear" w:color="auto" w:fill="DEEAF6" w:themeFill="accent5" w:themeFillTint="33"/>
          </w:tcPr>
          <w:p w:rsidR="004C64EB" w:rsidRPr="00047FBB" w:rsidRDefault="004C64EB" w:rsidP="00AA316F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</w:p>
        </w:tc>
        <w:tc>
          <w:tcPr>
            <w:tcW w:w="589" w:type="pct"/>
            <w:vMerge/>
            <w:shd w:val="clear" w:color="auto" w:fill="DEEAF6" w:themeFill="accent5" w:themeFillTint="33"/>
          </w:tcPr>
          <w:p w:rsidR="004C64EB" w:rsidRPr="00047FBB" w:rsidRDefault="004C64EB" w:rsidP="005D04F0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</w:p>
        </w:tc>
        <w:tc>
          <w:tcPr>
            <w:tcW w:w="442" w:type="pct"/>
            <w:shd w:val="clear" w:color="auto" w:fill="DEEAF6" w:themeFill="accent5" w:themeFillTint="33"/>
          </w:tcPr>
          <w:p w:rsidR="004C64EB" w:rsidRPr="002C3094" w:rsidRDefault="002C3094" w:rsidP="005D04F0">
            <w:pPr>
              <w:pStyle w:val="Text1"/>
              <w:spacing w:before="0" w:after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  <w:r w:rsidRPr="002C3094">
              <w:rPr>
                <w:b/>
                <w:noProof/>
                <w:sz w:val="18"/>
                <w:szCs w:val="18"/>
              </w:rPr>
              <w:t>-</w:t>
            </w:r>
          </w:p>
        </w:tc>
        <w:tc>
          <w:tcPr>
            <w:tcW w:w="438" w:type="pct"/>
            <w:shd w:val="clear" w:color="auto" w:fill="DEEAF6" w:themeFill="accent5" w:themeFillTint="33"/>
          </w:tcPr>
          <w:p w:rsidR="004C64EB" w:rsidRPr="00047FBB" w:rsidRDefault="004C64EB" w:rsidP="005D04F0">
            <w:pPr>
              <w:pStyle w:val="Text1"/>
              <w:spacing w:before="0" w:after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  <w:highlight w:val="yellow"/>
              </w:rPr>
            </w:pPr>
            <w:r w:rsidRPr="00047FBB">
              <w:rPr>
                <w:bCs/>
                <w:color w:val="000000"/>
                <w:sz w:val="18"/>
                <w:szCs w:val="18"/>
              </w:rPr>
              <w:t>14 596</w:t>
            </w:r>
          </w:p>
        </w:tc>
      </w:tr>
      <w:tr w:rsidR="004C64EB" w:rsidRPr="00746F88" w:rsidTr="00260941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pct"/>
            <w:vMerge/>
            <w:shd w:val="clear" w:color="auto" w:fill="DEEAF6" w:themeFill="accent5" w:themeFillTint="33"/>
          </w:tcPr>
          <w:p w:rsidR="004C64EB" w:rsidRPr="00047FBB" w:rsidRDefault="004C64EB" w:rsidP="00AA316F">
            <w:pPr>
              <w:pStyle w:val="Default"/>
              <w:rPr>
                <w:rFonts w:ascii="Times New Roman" w:hAnsi="Times New Roman" w:cs="Times New Roman"/>
                <w:b w:val="0"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589" w:type="pct"/>
            <w:vMerge/>
            <w:shd w:val="clear" w:color="auto" w:fill="DEEAF6" w:themeFill="accent5" w:themeFillTint="33"/>
          </w:tcPr>
          <w:p w:rsidR="004C64EB" w:rsidRPr="00047FBB" w:rsidRDefault="004C64EB" w:rsidP="005D04F0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368" w:type="pct"/>
            <w:vMerge/>
            <w:shd w:val="clear" w:color="auto" w:fill="DEEAF6" w:themeFill="accent5" w:themeFillTint="33"/>
          </w:tcPr>
          <w:p w:rsidR="004C64EB" w:rsidRPr="00047FBB" w:rsidRDefault="004C64EB" w:rsidP="005D04F0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589" w:type="pct"/>
            <w:shd w:val="clear" w:color="auto" w:fill="DEEAF6" w:themeFill="accent5" w:themeFillTint="33"/>
          </w:tcPr>
          <w:p w:rsidR="004C64EB" w:rsidRPr="00047FBB" w:rsidRDefault="004C64EB" w:rsidP="005D04F0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047FBB">
              <w:rPr>
                <w:color w:val="000000"/>
                <w:sz w:val="18"/>
                <w:szCs w:val="18"/>
                <w:lang w:eastAsia="cs-CZ" w:bidi="cs-CZ"/>
              </w:rPr>
              <w:t>Méně rozvinuté</w:t>
            </w:r>
          </w:p>
        </w:tc>
        <w:tc>
          <w:tcPr>
            <w:tcW w:w="441" w:type="pct"/>
            <w:vMerge/>
            <w:shd w:val="clear" w:color="auto" w:fill="DEEAF6" w:themeFill="accent5" w:themeFillTint="33"/>
          </w:tcPr>
          <w:p w:rsidR="004C64EB" w:rsidRPr="00047FBB" w:rsidRDefault="004C64EB" w:rsidP="00AA316F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</w:p>
        </w:tc>
        <w:tc>
          <w:tcPr>
            <w:tcW w:w="1031" w:type="pct"/>
            <w:vMerge/>
            <w:shd w:val="clear" w:color="auto" w:fill="DEEAF6" w:themeFill="accent5" w:themeFillTint="33"/>
          </w:tcPr>
          <w:p w:rsidR="004C64EB" w:rsidRPr="00047FBB" w:rsidRDefault="004C64EB" w:rsidP="00AA316F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</w:p>
        </w:tc>
        <w:tc>
          <w:tcPr>
            <w:tcW w:w="589" w:type="pct"/>
            <w:vMerge/>
            <w:shd w:val="clear" w:color="auto" w:fill="DEEAF6" w:themeFill="accent5" w:themeFillTint="33"/>
          </w:tcPr>
          <w:p w:rsidR="004C64EB" w:rsidRPr="00047FBB" w:rsidRDefault="004C64EB" w:rsidP="005D04F0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</w:p>
        </w:tc>
        <w:tc>
          <w:tcPr>
            <w:tcW w:w="442" w:type="pct"/>
            <w:shd w:val="clear" w:color="auto" w:fill="DEEAF6" w:themeFill="accent5" w:themeFillTint="33"/>
          </w:tcPr>
          <w:p w:rsidR="004C64EB" w:rsidRPr="002C3094" w:rsidRDefault="002C3094" w:rsidP="005D04F0">
            <w:pPr>
              <w:pStyle w:val="Text1"/>
              <w:spacing w:before="0" w:after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  <w:r w:rsidRPr="002C3094">
              <w:rPr>
                <w:b/>
                <w:noProof/>
                <w:sz w:val="18"/>
                <w:szCs w:val="18"/>
              </w:rPr>
              <w:t>-</w:t>
            </w:r>
          </w:p>
        </w:tc>
        <w:tc>
          <w:tcPr>
            <w:tcW w:w="438" w:type="pct"/>
            <w:shd w:val="clear" w:color="auto" w:fill="DEEAF6" w:themeFill="accent5" w:themeFillTint="33"/>
          </w:tcPr>
          <w:p w:rsidR="004C64EB" w:rsidRPr="00047FBB" w:rsidRDefault="004C64EB" w:rsidP="005D04F0">
            <w:pPr>
              <w:pStyle w:val="Text1"/>
              <w:spacing w:before="0" w:after="0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  <w:highlight w:val="yellow"/>
              </w:rPr>
            </w:pPr>
            <w:r w:rsidRPr="00047FBB">
              <w:rPr>
                <w:bCs/>
                <w:color w:val="000000"/>
                <w:sz w:val="18"/>
                <w:szCs w:val="18"/>
              </w:rPr>
              <w:t>16 149</w:t>
            </w:r>
          </w:p>
        </w:tc>
      </w:tr>
      <w:tr w:rsidR="00047FBB" w:rsidRPr="00746F88" w:rsidTr="00260941">
        <w:tblPrEx>
          <w:tblLook w:val="04A0" w:firstRow="1" w:lastRow="0" w:firstColumn="1" w:lastColumn="0" w:noHBand="0" w:noVBand="1"/>
        </w:tblPrEx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pct"/>
            <w:vMerge/>
            <w:shd w:val="clear" w:color="auto" w:fill="DEEAF6" w:themeFill="accent5" w:themeFillTint="33"/>
          </w:tcPr>
          <w:p w:rsidR="004C64EB" w:rsidRPr="00047FBB" w:rsidRDefault="004C64EB" w:rsidP="005D04F0">
            <w:pPr>
              <w:pStyle w:val="Text1"/>
              <w:spacing w:before="0" w:after="0"/>
              <w:ind w:left="0"/>
              <w:rPr>
                <w:b w:val="0"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589" w:type="pct"/>
            <w:vMerge/>
            <w:shd w:val="clear" w:color="auto" w:fill="DEEAF6" w:themeFill="accent5" w:themeFillTint="33"/>
          </w:tcPr>
          <w:p w:rsidR="004C64EB" w:rsidRPr="00047FBB" w:rsidRDefault="004C64EB" w:rsidP="005D04F0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368" w:type="pct"/>
            <w:vMerge/>
            <w:shd w:val="clear" w:color="auto" w:fill="DEEAF6" w:themeFill="accent5" w:themeFillTint="33"/>
          </w:tcPr>
          <w:p w:rsidR="004C64EB" w:rsidRPr="00047FBB" w:rsidRDefault="004C64EB" w:rsidP="005D04F0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589" w:type="pct"/>
            <w:shd w:val="clear" w:color="auto" w:fill="DEEAF6" w:themeFill="accent5" w:themeFillTint="33"/>
          </w:tcPr>
          <w:p w:rsidR="004C64EB" w:rsidRPr="00047FBB" w:rsidRDefault="004C64EB" w:rsidP="005D04F0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047FBB">
              <w:rPr>
                <w:color w:val="000000"/>
                <w:sz w:val="18"/>
                <w:szCs w:val="18"/>
                <w:lang w:eastAsia="cs-CZ" w:bidi="cs-CZ"/>
              </w:rPr>
              <w:t>Více rozvinuté</w:t>
            </w:r>
          </w:p>
        </w:tc>
        <w:tc>
          <w:tcPr>
            <w:tcW w:w="441" w:type="pct"/>
            <w:vMerge w:val="restart"/>
            <w:shd w:val="clear" w:color="auto" w:fill="DEEAF6" w:themeFill="accent5" w:themeFillTint="33"/>
          </w:tcPr>
          <w:p w:rsidR="004C64EB" w:rsidRPr="00047FBB" w:rsidRDefault="004C64EB" w:rsidP="00AA316F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  <w:r w:rsidRPr="00047FBB"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  <w:t>5 21 00</w:t>
            </w:r>
          </w:p>
        </w:tc>
        <w:tc>
          <w:tcPr>
            <w:tcW w:w="1031" w:type="pct"/>
            <w:vMerge w:val="restart"/>
            <w:shd w:val="clear" w:color="auto" w:fill="DEEAF6" w:themeFill="accent5" w:themeFillTint="33"/>
          </w:tcPr>
          <w:p w:rsidR="004C64EB" w:rsidRPr="00047FBB" w:rsidRDefault="004C64EB" w:rsidP="00AA316F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  <w:r w:rsidRPr="00047FBB">
              <w:rPr>
                <w:rFonts w:ascii="Times New Roman" w:hAnsi="Times New Roman" w:cs="Times New Roman"/>
                <w:sz w:val="18"/>
                <w:szCs w:val="18"/>
              </w:rPr>
              <w:t>Počet vytvořených produktů</w:t>
            </w:r>
          </w:p>
        </w:tc>
        <w:tc>
          <w:tcPr>
            <w:tcW w:w="589" w:type="pct"/>
            <w:vMerge w:val="restart"/>
            <w:shd w:val="clear" w:color="auto" w:fill="DEEAF6" w:themeFill="accent5" w:themeFillTint="33"/>
          </w:tcPr>
          <w:p w:rsidR="004C64EB" w:rsidRPr="00047FBB" w:rsidRDefault="00444E35" w:rsidP="005D04F0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>
              <w:rPr>
                <w:color w:val="000000"/>
                <w:sz w:val="18"/>
                <w:szCs w:val="18"/>
                <w:lang w:eastAsia="cs-CZ" w:bidi="cs-CZ"/>
              </w:rPr>
              <w:t>P</w:t>
            </w:r>
            <w:r w:rsidR="004C64EB" w:rsidRPr="00047FBB">
              <w:rPr>
                <w:color w:val="000000"/>
                <w:sz w:val="18"/>
                <w:szCs w:val="18"/>
                <w:lang w:eastAsia="cs-CZ" w:bidi="cs-CZ"/>
              </w:rPr>
              <w:t>rodukty</w:t>
            </w:r>
          </w:p>
        </w:tc>
        <w:tc>
          <w:tcPr>
            <w:tcW w:w="442" w:type="pct"/>
            <w:shd w:val="clear" w:color="auto" w:fill="DEEAF6" w:themeFill="accent5" w:themeFillTint="33"/>
          </w:tcPr>
          <w:p w:rsidR="004C64EB" w:rsidRPr="002C3094" w:rsidRDefault="002C3094" w:rsidP="005D04F0">
            <w:pPr>
              <w:pStyle w:val="Text1"/>
              <w:spacing w:before="0" w:after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  <w:r w:rsidRPr="002C3094">
              <w:rPr>
                <w:b/>
                <w:noProof/>
                <w:sz w:val="18"/>
                <w:szCs w:val="18"/>
              </w:rPr>
              <w:t>-</w:t>
            </w:r>
          </w:p>
        </w:tc>
        <w:tc>
          <w:tcPr>
            <w:tcW w:w="438" w:type="pct"/>
            <w:shd w:val="clear" w:color="auto" w:fill="DEEAF6" w:themeFill="accent5" w:themeFillTint="33"/>
          </w:tcPr>
          <w:p w:rsidR="004C64EB" w:rsidRPr="00047FBB" w:rsidRDefault="004C64EB" w:rsidP="005D04F0">
            <w:pPr>
              <w:pStyle w:val="Text1"/>
              <w:spacing w:before="0" w:after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  <w:highlight w:val="yellow"/>
              </w:rPr>
            </w:pPr>
            <w:r w:rsidRPr="00047FBB">
              <w:rPr>
                <w:bCs/>
                <w:color w:val="000000"/>
                <w:sz w:val="18"/>
                <w:szCs w:val="18"/>
              </w:rPr>
              <w:t>7</w:t>
            </w:r>
          </w:p>
        </w:tc>
      </w:tr>
      <w:tr w:rsidR="004C64EB" w:rsidRPr="00746F88" w:rsidTr="00260941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pct"/>
            <w:vMerge/>
            <w:shd w:val="clear" w:color="auto" w:fill="DEEAF6" w:themeFill="accent5" w:themeFillTint="33"/>
          </w:tcPr>
          <w:p w:rsidR="004C64EB" w:rsidRPr="00047FBB" w:rsidRDefault="004C64EB" w:rsidP="005D04F0">
            <w:pPr>
              <w:pStyle w:val="Text1"/>
              <w:spacing w:before="0" w:after="0"/>
              <w:ind w:left="0"/>
              <w:rPr>
                <w:b w:val="0"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589" w:type="pct"/>
            <w:vMerge/>
            <w:shd w:val="clear" w:color="auto" w:fill="DEEAF6" w:themeFill="accent5" w:themeFillTint="33"/>
          </w:tcPr>
          <w:p w:rsidR="004C64EB" w:rsidRPr="00047FBB" w:rsidRDefault="004C64EB" w:rsidP="005D04F0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368" w:type="pct"/>
            <w:vMerge/>
            <w:shd w:val="clear" w:color="auto" w:fill="DEEAF6" w:themeFill="accent5" w:themeFillTint="33"/>
          </w:tcPr>
          <w:p w:rsidR="004C64EB" w:rsidRPr="00047FBB" w:rsidRDefault="004C64EB" w:rsidP="005D04F0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589" w:type="pct"/>
            <w:shd w:val="clear" w:color="auto" w:fill="DEEAF6" w:themeFill="accent5" w:themeFillTint="33"/>
          </w:tcPr>
          <w:p w:rsidR="004C64EB" w:rsidRPr="00047FBB" w:rsidRDefault="004C64EB" w:rsidP="005D04F0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047FBB">
              <w:rPr>
                <w:color w:val="000000"/>
                <w:sz w:val="18"/>
                <w:szCs w:val="18"/>
                <w:lang w:eastAsia="cs-CZ" w:bidi="cs-CZ"/>
              </w:rPr>
              <w:t>Přechodové</w:t>
            </w:r>
          </w:p>
        </w:tc>
        <w:tc>
          <w:tcPr>
            <w:tcW w:w="441" w:type="pct"/>
            <w:vMerge/>
            <w:shd w:val="clear" w:color="auto" w:fill="DEEAF6" w:themeFill="accent5" w:themeFillTint="33"/>
          </w:tcPr>
          <w:p w:rsidR="004C64EB" w:rsidRPr="00047FBB" w:rsidRDefault="004C64EB" w:rsidP="00AA316F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trike/>
                <w:sz w:val="18"/>
                <w:szCs w:val="18"/>
                <w:lang w:eastAsia="cs-CZ" w:bidi="cs-CZ"/>
              </w:rPr>
            </w:pPr>
          </w:p>
        </w:tc>
        <w:tc>
          <w:tcPr>
            <w:tcW w:w="1031" w:type="pct"/>
            <w:vMerge/>
            <w:shd w:val="clear" w:color="auto" w:fill="DEEAF6" w:themeFill="accent5" w:themeFillTint="33"/>
          </w:tcPr>
          <w:p w:rsidR="004C64EB" w:rsidRPr="00047FBB" w:rsidRDefault="004C64EB" w:rsidP="00AA316F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trike/>
                <w:sz w:val="18"/>
                <w:szCs w:val="18"/>
                <w:lang w:eastAsia="cs-CZ" w:bidi="cs-CZ"/>
              </w:rPr>
            </w:pPr>
          </w:p>
        </w:tc>
        <w:tc>
          <w:tcPr>
            <w:tcW w:w="589" w:type="pct"/>
            <w:vMerge/>
            <w:shd w:val="clear" w:color="auto" w:fill="DEEAF6" w:themeFill="accent5" w:themeFillTint="33"/>
          </w:tcPr>
          <w:p w:rsidR="004C64EB" w:rsidRPr="00047FBB" w:rsidRDefault="004C64EB" w:rsidP="005D04F0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442" w:type="pct"/>
            <w:shd w:val="clear" w:color="auto" w:fill="DEEAF6" w:themeFill="accent5" w:themeFillTint="33"/>
          </w:tcPr>
          <w:p w:rsidR="004C64EB" w:rsidRPr="002C3094" w:rsidRDefault="002C3094" w:rsidP="005D04F0">
            <w:pPr>
              <w:pStyle w:val="Text1"/>
              <w:spacing w:before="0" w:after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  <w:r w:rsidRPr="002C3094">
              <w:rPr>
                <w:b/>
                <w:noProof/>
                <w:sz w:val="18"/>
                <w:szCs w:val="18"/>
              </w:rPr>
              <w:t>-</w:t>
            </w:r>
          </w:p>
        </w:tc>
        <w:tc>
          <w:tcPr>
            <w:tcW w:w="438" w:type="pct"/>
            <w:shd w:val="clear" w:color="auto" w:fill="DEEAF6" w:themeFill="accent5" w:themeFillTint="33"/>
          </w:tcPr>
          <w:p w:rsidR="004C64EB" w:rsidRPr="00047FBB" w:rsidRDefault="004C64EB" w:rsidP="005D04F0">
            <w:pPr>
              <w:pStyle w:val="Text1"/>
              <w:spacing w:before="0" w:after="0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  <w:highlight w:val="yellow"/>
              </w:rPr>
            </w:pPr>
            <w:r w:rsidRPr="00047FBB">
              <w:rPr>
                <w:bCs/>
                <w:color w:val="000000"/>
                <w:sz w:val="18"/>
                <w:szCs w:val="18"/>
              </w:rPr>
              <w:t>344</w:t>
            </w:r>
          </w:p>
        </w:tc>
      </w:tr>
      <w:tr w:rsidR="00047FBB" w:rsidRPr="00746F88" w:rsidTr="00260941">
        <w:tblPrEx>
          <w:tblLook w:val="04A0" w:firstRow="1" w:lastRow="0" w:firstColumn="1" w:lastColumn="0" w:noHBand="0" w:noVBand="1"/>
        </w:tblPrEx>
        <w:trPr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pct"/>
            <w:vMerge/>
            <w:shd w:val="clear" w:color="auto" w:fill="DEEAF6" w:themeFill="accent5" w:themeFillTint="33"/>
          </w:tcPr>
          <w:p w:rsidR="004C64EB" w:rsidRPr="00047FBB" w:rsidRDefault="004C64EB" w:rsidP="005D04F0">
            <w:pPr>
              <w:pStyle w:val="Text1"/>
              <w:spacing w:before="0" w:after="0"/>
              <w:ind w:left="0"/>
              <w:rPr>
                <w:b w:val="0"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589" w:type="pct"/>
            <w:vMerge/>
            <w:shd w:val="clear" w:color="auto" w:fill="DEEAF6" w:themeFill="accent5" w:themeFillTint="33"/>
          </w:tcPr>
          <w:p w:rsidR="004C64EB" w:rsidRPr="00047FBB" w:rsidRDefault="004C64EB" w:rsidP="005D04F0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368" w:type="pct"/>
            <w:vMerge/>
            <w:shd w:val="clear" w:color="auto" w:fill="DEEAF6" w:themeFill="accent5" w:themeFillTint="33"/>
          </w:tcPr>
          <w:p w:rsidR="004C64EB" w:rsidRPr="00047FBB" w:rsidRDefault="004C64EB" w:rsidP="005D04F0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589" w:type="pct"/>
            <w:shd w:val="clear" w:color="auto" w:fill="DEEAF6" w:themeFill="accent5" w:themeFillTint="33"/>
          </w:tcPr>
          <w:p w:rsidR="004C64EB" w:rsidRPr="00047FBB" w:rsidRDefault="004C64EB" w:rsidP="005D04F0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047FBB">
              <w:rPr>
                <w:color w:val="000000"/>
                <w:sz w:val="18"/>
                <w:szCs w:val="18"/>
                <w:lang w:eastAsia="cs-CZ" w:bidi="cs-CZ"/>
              </w:rPr>
              <w:t>Méně rozvinuté</w:t>
            </w:r>
          </w:p>
        </w:tc>
        <w:tc>
          <w:tcPr>
            <w:tcW w:w="441" w:type="pct"/>
            <w:vMerge/>
            <w:shd w:val="clear" w:color="auto" w:fill="DEEAF6" w:themeFill="accent5" w:themeFillTint="33"/>
          </w:tcPr>
          <w:p w:rsidR="004C64EB" w:rsidRPr="00047FBB" w:rsidRDefault="004C64EB" w:rsidP="00AA316F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trike/>
                <w:sz w:val="18"/>
                <w:szCs w:val="18"/>
                <w:lang w:eastAsia="cs-CZ" w:bidi="cs-CZ"/>
              </w:rPr>
            </w:pPr>
          </w:p>
        </w:tc>
        <w:tc>
          <w:tcPr>
            <w:tcW w:w="1031" w:type="pct"/>
            <w:vMerge/>
            <w:shd w:val="clear" w:color="auto" w:fill="DEEAF6" w:themeFill="accent5" w:themeFillTint="33"/>
          </w:tcPr>
          <w:p w:rsidR="004C64EB" w:rsidRPr="00047FBB" w:rsidRDefault="004C64EB" w:rsidP="00AA316F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trike/>
                <w:sz w:val="18"/>
                <w:szCs w:val="18"/>
                <w:lang w:eastAsia="cs-CZ" w:bidi="cs-CZ"/>
              </w:rPr>
            </w:pPr>
          </w:p>
        </w:tc>
        <w:tc>
          <w:tcPr>
            <w:tcW w:w="589" w:type="pct"/>
            <w:vMerge/>
            <w:shd w:val="clear" w:color="auto" w:fill="DEEAF6" w:themeFill="accent5" w:themeFillTint="33"/>
          </w:tcPr>
          <w:p w:rsidR="004C64EB" w:rsidRPr="00047FBB" w:rsidRDefault="004C64EB" w:rsidP="005D04F0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442" w:type="pct"/>
            <w:shd w:val="clear" w:color="auto" w:fill="DEEAF6" w:themeFill="accent5" w:themeFillTint="33"/>
          </w:tcPr>
          <w:p w:rsidR="004C64EB" w:rsidRPr="002C3094" w:rsidRDefault="002C3094" w:rsidP="005D04F0">
            <w:pPr>
              <w:pStyle w:val="Text1"/>
              <w:spacing w:before="0" w:after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  <w:r w:rsidRPr="002C3094">
              <w:rPr>
                <w:b/>
                <w:noProof/>
                <w:sz w:val="18"/>
                <w:szCs w:val="18"/>
              </w:rPr>
              <w:t>-</w:t>
            </w:r>
          </w:p>
        </w:tc>
        <w:tc>
          <w:tcPr>
            <w:tcW w:w="438" w:type="pct"/>
            <w:shd w:val="clear" w:color="auto" w:fill="DEEAF6" w:themeFill="accent5" w:themeFillTint="33"/>
          </w:tcPr>
          <w:p w:rsidR="004C64EB" w:rsidRPr="00047FBB" w:rsidRDefault="004C64EB" w:rsidP="005D04F0">
            <w:pPr>
              <w:pStyle w:val="Text1"/>
              <w:spacing w:before="0" w:after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  <w:highlight w:val="yellow"/>
              </w:rPr>
            </w:pPr>
            <w:r w:rsidRPr="00047FBB">
              <w:rPr>
                <w:bCs/>
                <w:color w:val="000000"/>
                <w:sz w:val="18"/>
                <w:szCs w:val="18"/>
              </w:rPr>
              <w:t>381</w:t>
            </w:r>
          </w:p>
        </w:tc>
      </w:tr>
      <w:tr w:rsidR="004C64EB" w:rsidRPr="00746F88" w:rsidTr="00260941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pct"/>
            <w:vMerge/>
            <w:shd w:val="clear" w:color="auto" w:fill="DEEAF6" w:themeFill="accent5" w:themeFillTint="33"/>
          </w:tcPr>
          <w:p w:rsidR="004C64EB" w:rsidRPr="00047FBB" w:rsidRDefault="004C64EB" w:rsidP="0032415A">
            <w:pPr>
              <w:pStyle w:val="Text1"/>
              <w:spacing w:before="0" w:after="0"/>
              <w:ind w:left="0"/>
              <w:rPr>
                <w:b w:val="0"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589" w:type="pct"/>
            <w:vMerge/>
            <w:shd w:val="clear" w:color="auto" w:fill="DEEAF6" w:themeFill="accent5" w:themeFillTint="33"/>
          </w:tcPr>
          <w:p w:rsidR="004C64EB" w:rsidRPr="00047FBB" w:rsidRDefault="004C64EB" w:rsidP="0032415A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368" w:type="pct"/>
            <w:vMerge/>
            <w:shd w:val="clear" w:color="auto" w:fill="DEEAF6" w:themeFill="accent5" w:themeFillTint="33"/>
          </w:tcPr>
          <w:p w:rsidR="004C64EB" w:rsidRPr="00047FBB" w:rsidRDefault="004C64EB" w:rsidP="0032415A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589" w:type="pct"/>
            <w:shd w:val="clear" w:color="auto" w:fill="DEEAF6" w:themeFill="accent5" w:themeFillTint="33"/>
          </w:tcPr>
          <w:p w:rsidR="004C64EB" w:rsidRPr="00047FBB" w:rsidRDefault="004C64EB" w:rsidP="004E3489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047FBB">
              <w:rPr>
                <w:color w:val="000000"/>
                <w:sz w:val="18"/>
                <w:szCs w:val="18"/>
                <w:lang w:eastAsia="cs-CZ" w:bidi="cs-CZ"/>
              </w:rPr>
              <w:t>Více rozvinuté</w:t>
            </w:r>
          </w:p>
        </w:tc>
        <w:tc>
          <w:tcPr>
            <w:tcW w:w="441" w:type="pct"/>
            <w:vMerge w:val="restart"/>
            <w:shd w:val="clear" w:color="auto" w:fill="DEEAF6" w:themeFill="accent5" w:themeFillTint="33"/>
          </w:tcPr>
          <w:p w:rsidR="004C64EB" w:rsidRPr="00047FBB" w:rsidRDefault="004C64EB" w:rsidP="0032415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  <w:r w:rsidRPr="00047FBB"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  <w:t>CO16</w:t>
            </w:r>
          </w:p>
        </w:tc>
        <w:tc>
          <w:tcPr>
            <w:tcW w:w="1031" w:type="pct"/>
            <w:vMerge w:val="restart"/>
            <w:shd w:val="clear" w:color="auto" w:fill="DEEAF6" w:themeFill="accent5" w:themeFillTint="33"/>
          </w:tcPr>
          <w:p w:rsidR="004C64EB" w:rsidRPr="00047FBB" w:rsidRDefault="004C64EB" w:rsidP="0032415A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cs-CZ" w:bidi="cs-CZ"/>
              </w:rPr>
            </w:pPr>
            <w:r w:rsidRPr="00047FBB">
              <w:rPr>
                <w:color w:val="000000"/>
                <w:sz w:val="18"/>
                <w:szCs w:val="18"/>
              </w:rPr>
              <w:t>Počet podporovaných orgánů veřejné správy nebo veřejných služeb na vnitrostátní, regionální a</w:t>
            </w:r>
            <w:r w:rsidR="0032415A">
              <w:rPr>
                <w:color w:val="000000"/>
                <w:sz w:val="18"/>
                <w:szCs w:val="18"/>
              </w:rPr>
              <w:t> </w:t>
            </w:r>
            <w:r w:rsidRPr="00047FBB">
              <w:rPr>
                <w:color w:val="000000"/>
                <w:sz w:val="18"/>
                <w:szCs w:val="18"/>
              </w:rPr>
              <w:t>místní úrovni</w:t>
            </w:r>
          </w:p>
        </w:tc>
        <w:tc>
          <w:tcPr>
            <w:tcW w:w="589" w:type="pct"/>
            <w:vMerge w:val="restart"/>
            <w:shd w:val="clear" w:color="auto" w:fill="DEEAF6" w:themeFill="accent5" w:themeFillTint="33"/>
          </w:tcPr>
          <w:p w:rsidR="004C64EB" w:rsidRPr="00047FBB" w:rsidRDefault="004C64EB" w:rsidP="0032415A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</w:p>
          <w:p w:rsidR="004C64EB" w:rsidRPr="00047FBB" w:rsidRDefault="004C64EB" w:rsidP="0032415A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  <w:highlight w:val="yellow"/>
              </w:rPr>
            </w:pPr>
          </w:p>
          <w:p w:rsidR="004C64EB" w:rsidRPr="00047FBB" w:rsidRDefault="002A6A89" w:rsidP="0032415A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  <w:highlight w:val="yellow"/>
              </w:rPr>
            </w:pPr>
            <w:r w:rsidRPr="00047FBB">
              <w:rPr>
                <w:color w:val="000000"/>
                <w:sz w:val="18"/>
                <w:szCs w:val="18"/>
                <w:lang w:eastAsia="cs-CZ" w:bidi="cs-CZ"/>
              </w:rPr>
              <w:t>O</w:t>
            </w:r>
            <w:r w:rsidR="004C64EB" w:rsidRPr="00047FBB">
              <w:rPr>
                <w:color w:val="000000"/>
                <w:sz w:val="18"/>
                <w:szCs w:val="18"/>
                <w:lang w:eastAsia="cs-CZ" w:bidi="cs-CZ"/>
              </w:rPr>
              <w:t>rganizace</w:t>
            </w:r>
          </w:p>
        </w:tc>
        <w:tc>
          <w:tcPr>
            <w:tcW w:w="442" w:type="pct"/>
            <w:shd w:val="clear" w:color="auto" w:fill="DEEAF6" w:themeFill="accent5" w:themeFillTint="33"/>
          </w:tcPr>
          <w:p w:rsidR="004C64EB" w:rsidRPr="002C3094" w:rsidRDefault="002C3094" w:rsidP="0032415A">
            <w:pPr>
              <w:pStyle w:val="Text1"/>
              <w:spacing w:before="0" w:after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  <w:r w:rsidRPr="002C3094">
              <w:rPr>
                <w:b/>
                <w:noProof/>
                <w:sz w:val="18"/>
                <w:szCs w:val="18"/>
              </w:rPr>
              <w:t>-</w:t>
            </w:r>
          </w:p>
        </w:tc>
        <w:tc>
          <w:tcPr>
            <w:tcW w:w="438" w:type="pct"/>
            <w:shd w:val="clear" w:color="auto" w:fill="DEEAF6" w:themeFill="accent5" w:themeFillTint="33"/>
          </w:tcPr>
          <w:p w:rsidR="004C64EB" w:rsidRPr="00047FBB" w:rsidRDefault="004C64EB" w:rsidP="0032415A">
            <w:pPr>
              <w:pStyle w:val="Text1"/>
              <w:spacing w:before="0" w:after="0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  <w:highlight w:val="yellow"/>
              </w:rPr>
            </w:pPr>
            <w:r w:rsidRPr="00047FBB">
              <w:rPr>
                <w:bCs/>
                <w:color w:val="000000"/>
                <w:sz w:val="18"/>
                <w:szCs w:val="18"/>
              </w:rPr>
              <w:t>41</w:t>
            </w:r>
          </w:p>
        </w:tc>
      </w:tr>
      <w:tr w:rsidR="00047FBB" w:rsidRPr="00746F88" w:rsidTr="00260941">
        <w:tblPrEx>
          <w:tblLook w:val="04A0" w:firstRow="1" w:lastRow="0" w:firstColumn="1" w:lastColumn="0" w:noHBand="0" w:noVBand="1"/>
        </w:tblPrEx>
        <w:trPr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pct"/>
            <w:vMerge/>
            <w:shd w:val="clear" w:color="auto" w:fill="DEEAF6" w:themeFill="accent5" w:themeFillTint="33"/>
          </w:tcPr>
          <w:p w:rsidR="004C64EB" w:rsidRPr="00047FBB" w:rsidRDefault="004C64EB" w:rsidP="005D04F0">
            <w:pPr>
              <w:pStyle w:val="Text1"/>
              <w:spacing w:before="0" w:after="0"/>
              <w:ind w:left="0"/>
              <w:rPr>
                <w:b w:val="0"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589" w:type="pct"/>
            <w:vMerge/>
            <w:shd w:val="clear" w:color="auto" w:fill="DEEAF6" w:themeFill="accent5" w:themeFillTint="33"/>
          </w:tcPr>
          <w:p w:rsidR="004C64EB" w:rsidRPr="00047FBB" w:rsidRDefault="004C64EB" w:rsidP="005D04F0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368" w:type="pct"/>
            <w:vMerge/>
            <w:shd w:val="clear" w:color="auto" w:fill="DEEAF6" w:themeFill="accent5" w:themeFillTint="33"/>
          </w:tcPr>
          <w:p w:rsidR="004C64EB" w:rsidRPr="00047FBB" w:rsidRDefault="004C64EB" w:rsidP="005D04F0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589" w:type="pct"/>
            <w:shd w:val="clear" w:color="auto" w:fill="DEEAF6" w:themeFill="accent5" w:themeFillTint="33"/>
          </w:tcPr>
          <w:p w:rsidR="004C64EB" w:rsidRPr="00047FBB" w:rsidRDefault="004C64EB" w:rsidP="005D04F0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047FBB">
              <w:rPr>
                <w:color w:val="000000"/>
                <w:sz w:val="18"/>
                <w:szCs w:val="18"/>
                <w:lang w:eastAsia="cs-CZ" w:bidi="cs-CZ"/>
              </w:rPr>
              <w:t>Přechodové</w:t>
            </w:r>
          </w:p>
        </w:tc>
        <w:tc>
          <w:tcPr>
            <w:tcW w:w="441" w:type="pct"/>
            <w:vMerge/>
            <w:shd w:val="clear" w:color="auto" w:fill="DEEAF6" w:themeFill="accent5" w:themeFillTint="33"/>
          </w:tcPr>
          <w:p w:rsidR="004C64EB" w:rsidRPr="00047FBB" w:rsidRDefault="004C64EB" w:rsidP="00AA316F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trike/>
                <w:sz w:val="18"/>
                <w:szCs w:val="18"/>
                <w:lang w:eastAsia="cs-CZ" w:bidi="cs-CZ"/>
              </w:rPr>
            </w:pPr>
          </w:p>
        </w:tc>
        <w:tc>
          <w:tcPr>
            <w:tcW w:w="1031" w:type="pct"/>
            <w:vMerge/>
            <w:shd w:val="clear" w:color="auto" w:fill="DEEAF6" w:themeFill="accent5" w:themeFillTint="33"/>
          </w:tcPr>
          <w:p w:rsidR="004C64EB" w:rsidRPr="00047FBB" w:rsidRDefault="004C64EB" w:rsidP="00AA316F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trike/>
                <w:sz w:val="18"/>
                <w:szCs w:val="18"/>
                <w:lang w:eastAsia="cs-CZ" w:bidi="cs-CZ"/>
              </w:rPr>
            </w:pPr>
          </w:p>
        </w:tc>
        <w:tc>
          <w:tcPr>
            <w:tcW w:w="589" w:type="pct"/>
            <w:vMerge/>
            <w:shd w:val="clear" w:color="auto" w:fill="DEEAF6" w:themeFill="accent5" w:themeFillTint="33"/>
          </w:tcPr>
          <w:p w:rsidR="004C64EB" w:rsidRPr="00047FBB" w:rsidRDefault="004C64EB" w:rsidP="005D04F0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442" w:type="pct"/>
            <w:shd w:val="clear" w:color="auto" w:fill="DEEAF6" w:themeFill="accent5" w:themeFillTint="33"/>
          </w:tcPr>
          <w:p w:rsidR="004C64EB" w:rsidRPr="002C3094" w:rsidRDefault="002C3094" w:rsidP="005D04F0">
            <w:pPr>
              <w:pStyle w:val="Text1"/>
              <w:spacing w:before="0" w:after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  <w:r w:rsidRPr="002C3094">
              <w:rPr>
                <w:b/>
                <w:noProof/>
                <w:sz w:val="18"/>
                <w:szCs w:val="18"/>
              </w:rPr>
              <w:t>-</w:t>
            </w:r>
          </w:p>
        </w:tc>
        <w:tc>
          <w:tcPr>
            <w:tcW w:w="438" w:type="pct"/>
            <w:shd w:val="clear" w:color="auto" w:fill="DEEAF6" w:themeFill="accent5" w:themeFillTint="33"/>
          </w:tcPr>
          <w:p w:rsidR="004C64EB" w:rsidRPr="00047FBB" w:rsidRDefault="004C64EB" w:rsidP="005D04F0">
            <w:pPr>
              <w:pStyle w:val="Text1"/>
              <w:spacing w:before="0" w:after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  <w:highlight w:val="yellow"/>
              </w:rPr>
            </w:pPr>
            <w:r w:rsidRPr="00047FBB">
              <w:rPr>
                <w:bCs/>
                <w:color w:val="000000"/>
                <w:sz w:val="18"/>
                <w:szCs w:val="18"/>
              </w:rPr>
              <w:t>1 920</w:t>
            </w:r>
          </w:p>
        </w:tc>
      </w:tr>
      <w:tr w:rsidR="004C64EB" w:rsidRPr="00746F88" w:rsidTr="00260941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pct"/>
            <w:vMerge/>
            <w:shd w:val="clear" w:color="auto" w:fill="DEEAF6" w:themeFill="accent5" w:themeFillTint="33"/>
          </w:tcPr>
          <w:p w:rsidR="004C64EB" w:rsidRPr="00047FBB" w:rsidRDefault="004C64EB" w:rsidP="005D04F0">
            <w:pPr>
              <w:pStyle w:val="Text1"/>
              <w:spacing w:before="0" w:after="0"/>
              <w:ind w:left="0"/>
              <w:rPr>
                <w:b w:val="0"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589" w:type="pct"/>
            <w:vMerge/>
            <w:shd w:val="clear" w:color="auto" w:fill="DEEAF6" w:themeFill="accent5" w:themeFillTint="33"/>
          </w:tcPr>
          <w:p w:rsidR="004C64EB" w:rsidRPr="00047FBB" w:rsidRDefault="004C64EB" w:rsidP="005D04F0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368" w:type="pct"/>
            <w:vMerge/>
            <w:shd w:val="clear" w:color="auto" w:fill="DEEAF6" w:themeFill="accent5" w:themeFillTint="33"/>
          </w:tcPr>
          <w:p w:rsidR="004C64EB" w:rsidRPr="00047FBB" w:rsidRDefault="004C64EB" w:rsidP="005D04F0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589" w:type="pct"/>
            <w:shd w:val="clear" w:color="auto" w:fill="DEEAF6" w:themeFill="accent5" w:themeFillTint="33"/>
          </w:tcPr>
          <w:p w:rsidR="004C64EB" w:rsidRPr="00047FBB" w:rsidRDefault="004C64EB" w:rsidP="005D04F0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047FBB">
              <w:rPr>
                <w:color w:val="000000"/>
                <w:sz w:val="18"/>
                <w:szCs w:val="18"/>
                <w:lang w:eastAsia="cs-CZ" w:bidi="cs-CZ"/>
              </w:rPr>
              <w:t>Méně rozvinuté</w:t>
            </w:r>
          </w:p>
        </w:tc>
        <w:tc>
          <w:tcPr>
            <w:tcW w:w="441" w:type="pct"/>
            <w:vMerge/>
            <w:shd w:val="clear" w:color="auto" w:fill="DEEAF6" w:themeFill="accent5" w:themeFillTint="33"/>
          </w:tcPr>
          <w:p w:rsidR="004C64EB" w:rsidRPr="00047FBB" w:rsidRDefault="004C64EB" w:rsidP="00AA316F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trike/>
                <w:sz w:val="18"/>
                <w:szCs w:val="18"/>
                <w:lang w:eastAsia="cs-CZ" w:bidi="cs-CZ"/>
              </w:rPr>
            </w:pPr>
          </w:p>
        </w:tc>
        <w:tc>
          <w:tcPr>
            <w:tcW w:w="1031" w:type="pct"/>
            <w:vMerge/>
            <w:shd w:val="clear" w:color="auto" w:fill="DEEAF6" w:themeFill="accent5" w:themeFillTint="33"/>
          </w:tcPr>
          <w:p w:rsidR="004C64EB" w:rsidRPr="00047FBB" w:rsidRDefault="004C64EB" w:rsidP="00AA316F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trike/>
                <w:sz w:val="18"/>
                <w:szCs w:val="18"/>
                <w:lang w:eastAsia="cs-CZ" w:bidi="cs-CZ"/>
              </w:rPr>
            </w:pPr>
          </w:p>
        </w:tc>
        <w:tc>
          <w:tcPr>
            <w:tcW w:w="589" w:type="pct"/>
            <w:vMerge/>
            <w:shd w:val="clear" w:color="auto" w:fill="DEEAF6" w:themeFill="accent5" w:themeFillTint="33"/>
          </w:tcPr>
          <w:p w:rsidR="004C64EB" w:rsidRPr="00047FBB" w:rsidRDefault="004C64EB" w:rsidP="005D04F0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442" w:type="pct"/>
            <w:shd w:val="clear" w:color="auto" w:fill="DEEAF6" w:themeFill="accent5" w:themeFillTint="33"/>
          </w:tcPr>
          <w:p w:rsidR="004C64EB" w:rsidRPr="002C3094" w:rsidRDefault="002C3094" w:rsidP="005D04F0">
            <w:pPr>
              <w:pStyle w:val="Text1"/>
              <w:spacing w:before="0" w:after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  <w:r w:rsidRPr="002C3094">
              <w:rPr>
                <w:b/>
                <w:noProof/>
                <w:sz w:val="18"/>
                <w:szCs w:val="18"/>
              </w:rPr>
              <w:t>-</w:t>
            </w:r>
          </w:p>
        </w:tc>
        <w:tc>
          <w:tcPr>
            <w:tcW w:w="438" w:type="pct"/>
            <w:shd w:val="clear" w:color="auto" w:fill="DEEAF6" w:themeFill="accent5" w:themeFillTint="33"/>
          </w:tcPr>
          <w:p w:rsidR="004C64EB" w:rsidRPr="00047FBB" w:rsidRDefault="004C64EB" w:rsidP="005D04F0">
            <w:pPr>
              <w:pStyle w:val="Text1"/>
              <w:spacing w:before="0" w:after="0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  <w:highlight w:val="yellow"/>
              </w:rPr>
            </w:pPr>
            <w:r w:rsidRPr="00047FBB">
              <w:rPr>
                <w:bCs/>
                <w:color w:val="000000"/>
                <w:sz w:val="18"/>
                <w:szCs w:val="18"/>
              </w:rPr>
              <w:t>2 124</w:t>
            </w:r>
          </w:p>
        </w:tc>
      </w:tr>
    </w:tbl>
    <w:p w:rsidR="00515379" w:rsidRDefault="00515379" w:rsidP="00B82797">
      <w:pPr>
        <w:pStyle w:val="Titulek"/>
        <w:rPr>
          <w:rFonts w:ascii="Times New Roman" w:hAnsi="Times New Roman" w:cs="Times New Roman"/>
        </w:rPr>
      </w:pPr>
      <w:bookmarkStart w:id="168" w:name="_Toc66346574"/>
    </w:p>
    <w:p w:rsidR="00515379" w:rsidRDefault="00515379" w:rsidP="00B82797">
      <w:pPr>
        <w:pStyle w:val="Titulek"/>
        <w:rPr>
          <w:rFonts w:ascii="Times New Roman" w:hAnsi="Times New Roman" w:cs="Times New Roman"/>
        </w:rPr>
      </w:pPr>
    </w:p>
    <w:p w:rsidR="00515379" w:rsidRPr="00515379" w:rsidRDefault="00515379" w:rsidP="00515379">
      <w:pPr>
        <w:rPr>
          <w:lang w:eastAsia="cs-CZ"/>
        </w:rPr>
      </w:pPr>
    </w:p>
    <w:p w:rsidR="00B82797" w:rsidRPr="00B169F0" w:rsidRDefault="00B82797" w:rsidP="00B82797">
      <w:pPr>
        <w:pStyle w:val="Titulek"/>
        <w:rPr>
          <w:rFonts w:ascii="Times New Roman" w:hAnsi="Times New Roman" w:cs="Times New Roman"/>
        </w:rPr>
      </w:pPr>
      <w:r w:rsidRPr="00B169F0">
        <w:rPr>
          <w:rFonts w:ascii="Times New Roman" w:hAnsi="Times New Roman" w:cs="Times New Roman"/>
        </w:rPr>
        <w:t xml:space="preserve">Tabulka </w:t>
      </w:r>
      <w:r w:rsidRPr="00B169F0">
        <w:rPr>
          <w:rFonts w:ascii="Times New Roman" w:hAnsi="Times New Roman" w:cs="Times New Roman"/>
        </w:rPr>
        <w:fldChar w:fldCharType="begin"/>
      </w:r>
      <w:r w:rsidRPr="00B169F0">
        <w:rPr>
          <w:rFonts w:ascii="Times New Roman" w:hAnsi="Times New Roman" w:cs="Times New Roman"/>
        </w:rPr>
        <w:instrText xml:space="preserve"> SEQ Tabulka \* ARABIC </w:instrText>
      </w:r>
      <w:r w:rsidRPr="00B169F0">
        <w:rPr>
          <w:rFonts w:ascii="Times New Roman" w:hAnsi="Times New Roman" w:cs="Times New Roman"/>
        </w:rPr>
        <w:fldChar w:fldCharType="separate"/>
      </w:r>
      <w:r w:rsidR="00A17DA3">
        <w:rPr>
          <w:rFonts w:ascii="Times New Roman" w:hAnsi="Times New Roman" w:cs="Times New Roman"/>
          <w:noProof/>
        </w:rPr>
        <w:t>22</w:t>
      </w:r>
      <w:r w:rsidRPr="00B169F0">
        <w:rPr>
          <w:rFonts w:ascii="Times New Roman" w:hAnsi="Times New Roman" w:cs="Times New Roman"/>
        </w:rPr>
        <w:fldChar w:fldCharType="end"/>
      </w:r>
      <w:r w:rsidRPr="00B169F0">
        <w:rPr>
          <w:rFonts w:ascii="Times New Roman" w:hAnsi="Times New Roman" w:cs="Times New Roman"/>
        </w:rPr>
        <w:t>: Ukazatel</w:t>
      </w:r>
      <w:r w:rsidR="005B64A1">
        <w:rPr>
          <w:rFonts w:ascii="Times New Roman" w:hAnsi="Times New Roman" w:cs="Times New Roman"/>
        </w:rPr>
        <w:t>e</w:t>
      </w:r>
      <w:r w:rsidRPr="00B169F0">
        <w:rPr>
          <w:rFonts w:ascii="Times New Roman" w:hAnsi="Times New Roman" w:cs="Times New Roman"/>
        </w:rPr>
        <w:t xml:space="preserve"> výsledků</w:t>
      </w:r>
      <w:bookmarkEnd w:id="168"/>
    </w:p>
    <w:tbl>
      <w:tblPr>
        <w:tblStyle w:val="Tabulkasmkou4zvraznn1"/>
        <w:tblW w:w="5000" w:type="pct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1E0" w:firstRow="1" w:lastRow="1" w:firstColumn="1" w:lastColumn="1" w:noHBand="0" w:noVBand="0"/>
      </w:tblPr>
      <w:tblGrid>
        <w:gridCol w:w="436"/>
        <w:gridCol w:w="694"/>
        <w:gridCol w:w="709"/>
        <w:gridCol w:w="1134"/>
        <w:gridCol w:w="851"/>
        <w:gridCol w:w="1448"/>
        <w:gridCol w:w="1061"/>
        <w:gridCol w:w="558"/>
        <w:gridCol w:w="435"/>
        <w:gridCol w:w="907"/>
        <w:gridCol w:w="961"/>
        <w:gridCol w:w="435"/>
      </w:tblGrid>
      <w:tr w:rsidR="0071632F" w:rsidRPr="00B175FB" w:rsidTr="00220F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7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" w:type="pct"/>
            <w:tcBorders>
              <w:right w:val="single" w:sz="4" w:space="0" w:color="4472C4" w:themeColor="accent1"/>
            </w:tcBorders>
            <w:shd w:val="clear" w:color="auto" w:fill="002060"/>
            <w:textDirection w:val="btLr"/>
            <w:vAlign w:val="center"/>
            <w:hideMark/>
          </w:tcPr>
          <w:p w:rsidR="00B82797" w:rsidRPr="00301E31" w:rsidRDefault="00B82797" w:rsidP="00356673">
            <w:pPr>
              <w:pStyle w:val="Text1"/>
              <w:spacing w:before="0" w:after="0" w:line="240" w:lineRule="auto"/>
              <w:ind w:left="113" w:right="113"/>
              <w:jc w:val="center"/>
              <w:rPr>
                <w:b w:val="0"/>
                <w:noProof/>
                <w:sz w:val="18"/>
                <w:szCs w:val="18"/>
              </w:rPr>
            </w:pPr>
            <w:r w:rsidRPr="00301E31">
              <w:rPr>
                <w:noProof/>
                <w:sz w:val="18"/>
                <w:szCs w:val="18"/>
              </w:rPr>
              <w:t>Priorita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0" w:type="pct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textDirection w:val="btLr"/>
            <w:vAlign w:val="center"/>
          </w:tcPr>
          <w:p w:rsidR="00B82797" w:rsidRPr="00301E31" w:rsidRDefault="00B82797" w:rsidP="00356673">
            <w:pPr>
              <w:pStyle w:val="Text1"/>
              <w:spacing w:before="0" w:after="0" w:line="240" w:lineRule="auto"/>
              <w:ind w:left="113" w:right="113"/>
              <w:jc w:val="center"/>
              <w:rPr>
                <w:b w:val="0"/>
                <w:noProof/>
                <w:sz w:val="18"/>
                <w:szCs w:val="18"/>
              </w:rPr>
            </w:pPr>
            <w:r w:rsidRPr="00301E31">
              <w:rPr>
                <w:noProof/>
                <w:sz w:val="18"/>
                <w:szCs w:val="18"/>
              </w:rPr>
              <w:t>Specifický cíl</w:t>
            </w:r>
          </w:p>
        </w:tc>
        <w:tc>
          <w:tcPr>
            <w:tcW w:w="368" w:type="pct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textDirection w:val="btLr"/>
            <w:vAlign w:val="center"/>
            <w:hideMark/>
          </w:tcPr>
          <w:p w:rsidR="00B82797" w:rsidRPr="00301E31" w:rsidRDefault="00B82797" w:rsidP="00356673">
            <w:pPr>
              <w:pStyle w:val="Text1"/>
              <w:spacing w:before="0" w:after="0" w:line="240" w:lineRule="auto"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noProof/>
                <w:sz w:val="18"/>
                <w:szCs w:val="18"/>
              </w:rPr>
            </w:pPr>
            <w:r w:rsidRPr="00301E31">
              <w:rPr>
                <w:noProof/>
                <w:sz w:val="18"/>
                <w:szCs w:val="18"/>
              </w:rPr>
              <w:t>Fond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89" w:type="pct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textDirection w:val="btLr"/>
            <w:vAlign w:val="center"/>
            <w:hideMark/>
          </w:tcPr>
          <w:p w:rsidR="00B82797" w:rsidRPr="00301E31" w:rsidRDefault="00B82797" w:rsidP="00356673">
            <w:pPr>
              <w:pStyle w:val="Textkomente"/>
              <w:spacing w:line="240" w:lineRule="auto"/>
              <w:ind w:left="113" w:right="113"/>
              <w:jc w:val="center"/>
              <w:rPr>
                <w:rFonts w:cs="Times New Roman"/>
                <w:b w:val="0"/>
                <w:noProof/>
                <w:sz w:val="18"/>
                <w:szCs w:val="18"/>
                <w:lang w:val="cs-CZ"/>
              </w:rPr>
            </w:pPr>
            <w:r w:rsidRPr="00301E31">
              <w:rPr>
                <w:rFonts w:cs="Times New Roman"/>
                <w:noProof/>
                <w:sz w:val="18"/>
                <w:szCs w:val="18"/>
                <w:lang w:val="cs-CZ"/>
              </w:rPr>
              <w:t>Kategorie regionu</w:t>
            </w:r>
          </w:p>
        </w:tc>
        <w:tc>
          <w:tcPr>
            <w:tcW w:w="442" w:type="pct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textDirection w:val="btLr"/>
            <w:vAlign w:val="center"/>
            <w:hideMark/>
          </w:tcPr>
          <w:p w:rsidR="00B82797" w:rsidRPr="00301E31" w:rsidRDefault="00B82797" w:rsidP="00356673">
            <w:pPr>
              <w:pStyle w:val="Text1"/>
              <w:spacing w:before="0" w:after="0" w:line="240" w:lineRule="auto"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noProof/>
                <w:sz w:val="18"/>
                <w:szCs w:val="18"/>
              </w:rPr>
            </w:pPr>
            <w:r w:rsidRPr="00301E31">
              <w:rPr>
                <w:noProof/>
                <w:sz w:val="18"/>
                <w:szCs w:val="18"/>
              </w:rPr>
              <w:t>ID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2" w:type="pct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textDirection w:val="btLr"/>
            <w:vAlign w:val="center"/>
            <w:hideMark/>
          </w:tcPr>
          <w:p w:rsidR="00B82797" w:rsidRPr="00301E31" w:rsidRDefault="00B82797" w:rsidP="00356673">
            <w:pPr>
              <w:pStyle w:val="Text1"/>
              <w:spacing w:before="0" w:after="0" w:line="240" w:lineRule="auto"/>
              <w:ind w:left="113" w:right="113"/>
              <w:jc w:val="center"/>
              <w:rPr>
                <w:b w:val="0"/>
                <w:noProof/>
                <w:sz w:val="18"/>
                <w:szCs w:val="18"/>
              </w:rPr>
            </w:pPr>
            <w:r w:rsidRPr="00301E31">
              <w:rPr>
                <w:noProof/>
                <w:sz w:val="18"/>
                <w:szCs w:val="18"/>
              </w:rPr>
              <w:t>Ukazatel</w:t>
            </w:r>
          </w:p>
        </w:tc>
        <w:tc>
          <w:tcPr>
            <w:tcW w:w="551" w:type="pct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textDirection w:val="btLr"/>
            <w:vAlign w:val="center"/>
            <w:hideMark/>
          </w:tcPr>
          <w:p w:rsidR="00B82797" w:rsidRPr="00301E31" w:rsidRDefault="00B82797" w:rsidP="00356673">
            <w:pPr>
              <w:pStyle w:val="Text1"/>
              <w:spacing w:before="0" w:after="0" w:line="240" w:lineRule="auto"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noProof/>
                <w:sz w:val="18"/>
                <w:szCs w:val="18"/>
              </w:rPr>
            </w:pPr>
            <w:r w:rsidRPr="00301E31">
              <w:rPr>
                <w:noProof/>
                <w:sz w:val="18"/>
                <w:szCs w:val="18"/>
              </w:rPr>
              <w:t>Jednotka měření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0" w:type="pct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textDirection w:val="btLr"/>
            <w:vAlign w:val="center"/>
          </w:tcPr>
          <w:p w:rsidR="00B82797" w:rsidRPr="00301E31" w:rsidRDefault="00B82797" w:rsidP="00356673">
            <w:pPr>
              <w:pStyle w:val="Text1"/>
              <w:spacing w:before="0" w:after="0" w:line="240" w:lineRule="auto"/>
              <w:ind w:left="113" w:right="113"/>
              <w:jc w:val="center"/>
              <w:rPr>
                <w:b w:val="0"/>
                <w:noProof/>
                <w:sz w:val="18"/>
                <w:szCs w:val="18"/>
              </w:rPr>
            </w:pPr>
            <w:r w:rsidRPr="00301E31">
              <w:rPr>
                <w:noProof/>
                <w:sz w:val="18"/>
                <w:szCs w:val="18"/>
              </w:rPr>
              <w:t>Základní nebo referenční hodnota</w:t>
            </w:r>
          </w:p>
        </w:tc>
        <w:tc>
          <w:tcPr>
            <w:tcW w:w="226" w:type="pct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textDirection w:val="btLr"/>
            <w:vAlign w:val="center"/>
            <w:hideMark/>
          </w:tcPr>
          <w:p w:rsidR="00B82797" w:rsidRPr="00301E31" w:rsidRDefault="00B82797" w:rsidP="00356673">
            <w:pPr>
              <w:pStyle w:val="Text1"/>
              <w:spacing w:before="0" w:after="0" w:line="240" w:lineRule="auto"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noProof/>
                <w:sz w:val="18"/>
                <w:szCs w:val="18"/>
              </w:rPr>
            </w:pPr>
            <w:r w:rsidRPr="00301E31">
              <w:rPr>
                <w:noProof/>
                <w:sz w:val="18"/>
                <w:szCs w:val="18"/>
              </w:rPr>
              <w:t>Referenční rok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1" w:type="pct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textDirection w:val="btLr"/>
            <w:vAlign w:val="center"/>
          </w:tcPr>
          <w:p w:rsidR="00B82797" w:rsidRPr="00301E31" w:rsidRDefault="00B82797" w:rsidP="00356673">
            <w:pPr>
              <w:pStyle w:val="Text1"/>
              <w:spacing w:before="0" w:after="0" w:line="240" w:lineRule="auto"/>
              <w:ind w:left="113" w:right="113"/>
              <w:jc w:val="center"/>
              <w:rPr>
                <w:b w:val="0"/>
                <w:noProof/>
                <w:sz w:val="18"/>
                <w:szCs w:val="18"/>
              </w:rPr>
            </w:pPr>
            <w:r w:rsidRPr="00301E31">
              <w:rPr>
                <w:noProof/>
                <w:sz w:val="18"/>
                <w:szCs w:val="18"/>
              </w:rPr>
              <w:t>Cíl (2029)</w:t>
            </w:r>
          </w:p>
          <w:p w:rsidR="00B82797" w:rsidRPr="00301E31" w:rsidRDefault="00B82797" w:rsidP="00356673">
            <w:pPr>
              <w:pStyle w:val="Text1"/>
              <w:spacing w:before="0" w:after="0" w:line="240" w:lineRule="auto"/>
              <w:ind w:left="113" w:right="113"/>
              <w:jc w:val="center"/>
              <w:rPr>
                <w:b w:val="0"/>
                <w:noProof/>
                <w:sz w:val="18"/>
                <w:szCs w:val="18"/>
              </w:rPr>
            </w:pPr>
          </w:p>
        </w:tc>
        <w:tc>
          <w:tcPr>
            <w:tcW w:w="499" w:type="pct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textDirection w:val="btLr"/>
            <w:vAlign w:val="center"/>
            <w:hideMark/>
          </w:tcPr>
          <w:p w:rsidR="00B82797" w:rsidRPr="00301E31" w:rsidRDefault="00B82797" w:rsidP="00356673">
            <w:pPr>
              <w:pStyle w:val="Text1"/>
              <w:spacing w:before="0" w:after="0" w:line="240" w:lineRule="auto"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noProof/>
                <w:sz w:val="18"/>
                <w:szCs w:val="18"/>
              </w:rPr>
            </w:pPr>
            <w:r w:rsidRPr="00301E31">
              <w:rPr>
                <w:noProof/>
                <w:sz w:val="18"/>
                <w:szCs w:val="18"/>
              </w:rPr>
              <w:t>Zdroj údajů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6" w:type="pct"/>
            <w:tcBorders>
              <w:left w:val="single" w:sz="4" w:space="0" w:color="4472C4" w:themeColor="accent1"/>
            </w:tcBorders>
            <w:shd w:val="clear" w:color="auto" w:fill="002060"/>
            <w:textDirection w:val="btLr"/>
            <w:vAlign w:val="center"/>
            <w:hideMark/>
          </w:tcPr>
          <w:p w:rsidR="00B82797" w:rsidRPr="00301E31" w:rsidRDefault="00B82797" w:rsidP="00356673">
            <w:pPr>
              <w:pStyle w:val="Text1"/>
              <w:spacing w:before="0" w:after="0" w:line="240" w:lineRule="auto"/>
              <w:ind w:left="113" w:right="113"/>
              <w:jc w:val="center"/>
              <w:rPr>
                <w:b w:val="0"/>
                <w:noProof/>
                <w:sz w:val="18"/>
                <w:szCs w:val="18"/>
              </w:rPr>
            </w:pPr>
            <w:r w:rsidRPr="00301E31">
              <w:rPr>
                <w:noProof/>
                <w:sz w:val="18"/>
                <w:szCs w:val="18"/>
              </w:rPr>
              <w:t>Poznámky</w:t>
            </w:r>
          </w:p>
        </w:tc>
      </w:tr>
      <w:tr w:rsidR="0071632F" w:rsidRPr="003B3D2F" w:rsidTr="00220F71">
        <w:tblPrEx>
          <w:tblBorders>
            <w:top w:val="single" w:sz="4" w:space="0" w:color="8EAADB" w:themeColor="accent1" w:themeTint="99"/>
            <w:left w:val="single" w:sz="4" w:space="0" w:color="8EAADB" w:themeColor="accent1" w:themeTint="99"/>
            <w:bottom w:val="single" w:sz="4" w:space="0" w:color="8EAADB" w:themeColor="accent1" w:themeTint="99"/>
            <w:right w:val="single" w:sz="4" w:space="0" w:color="8EAADB" w:themeColor="accent1" w:themeTint="99"/>
            <w:insideH w:val="single" w:sz="4" w:space="0" w:color="8EAADB" w:themeColor="accent1" w:themeTint="99"/>
            <w:insideV w:val="single" w:sz="4" w:space="0" w:color="8EAADB" w:themeColor="accent1" w:themeTint="99"/>
          </w:tblBorders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32415A" w:rsidRDefault="003A574F" w:rsidP="00FC0030">
            <w:pPr>
              <w:pStyle w:val="Text1"/>
              <w:spacing w:before="0" w:after="0"/>
              <w:ind w:left="0"/>
              <w:jc w:val="center"/>
              <w:rPr>
                <w:b w:val="0"/>
                <w:i/>
                <w:noProof/>
                <w:sz w:val="18"/>
                <w:szCs w:val="18"/>
              </w:rPr>
            </w:pPr>
            <w:r w:rsidRPr="0032415A">
              <w:rPr>
                <w:b w:val="0"/>
                <w:noProof/>
                <w:sz w:val="18"/>
                <w:szCs w:val="18"/>
              </w:rPr>
              <w:t>P</w:t>
            </w:r>
            <w:r w:rsidR="002A0BF2" w:rsidRPr="0032415A">
              <w:rPr>
                <w:b w:val="0"/>
                <w:noProof/>
                <w:sz w:val="18"/>
                <w:szCs w:val="18"/>
              </w:rPr>
              <w:t>2</w:t>
            </w:r>
          </w:p>
        </w:tc>
        <w:tc>
          <w:tcPr>
            <w:tcW w:w="360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60941" w:rsidRDefault="002A0BF2" w:rsidP="00FC0030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301E31">
              <w:rPr>
                <w:color w:val="000000"/>
                <w:sz w:val="18"/>
                <w:szCs w:val="18"/>
                <w:lang w:eastAsia="cs-CZ" w:bidi="cs-CZ"/>
              </w:rPr>
              <w:t>2.2</w:t>
            </w:r>
            <w:r w:rsidR="0086584A" w:rsidRPr="00301E31">
              <w:rPr>
                <w:color w:val="000000"/>
                <w:sz w:val="18"/>
                <w:szCs w:val="18"/>
                <w:lang w:eastAsia="cs-CZ" w:bidi="cs-CZ"/>
              </w:rPr>
              <w:t xml:space="preserve"> </w:t>
            </w:r>
          </w:p>
          <w:p w:rsidR="002A0BF2" w:rsidRPr="00301E31" w:rsidRDefault="002A0BF2" w:rsidP="00FC0030">
            <w:pPr>
              <w:spacing w:before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</w:p>
        </w:tc>
        <w:tc>
          <w:tcPr>
            <w:tcW w:w="368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301E31" w:rsidRDefault="00A16EF0" w:rsidP="00FC0030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301E31">
              <w:rPr>
                <w:noProof/>
                <w:sz w:val="18"/>
                <w:szCs w:val="18"/>
              </w:rPr>
              <w:t>ESF+</w:t>
            </w:r>
          </w:p>
        </w:tc>
        <w:tc>
          <w:tcPr>
            <w:tcW w:w="589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301E31" w:rsidRDefault="002A0BF2" w:rsidP="00FC0030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301E31">
              <w:rPr>
                <w:color w:val="000000"/>
                <w:sz w:val="18"/>
                <w:szCs w:val="18"/>
                <w:lang w:eastAsia="cs-CZ" w:bidi="cs-CZ"/>
              </w:rPr>
              <w:t>Více rozvinuté</w:t>
            </w:r>
          </w:p>
        </w:tc>
        <w:tc>
          <w:tcPr>
            <w:tcW w:w="442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301E31" w:rsidRDefault="002A0BF2" w:rsidP="00FC0030">
            <w:pPr>
              <w:pStyle w:val="Text1"/>
              <w:spacing w:before="0" w:after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301E31">
              <w:rPr>
                <w:noProof/>
                <w:sz w:val="18"/>
                <w:szCs w:val="18"/>
              </w:rPr>
              <w:t>5 08 10</w:t>
            </w:r>
          </w:p>
        </w:tc>
        <w:tc>
          <w:tcPr>
            <w:tcW w:w="752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301E31" w:rsidRDefault="002A0BF2" w:rsidP="00FC0030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301E31">
              <w:rPr>
                <w:color w:val="000000"/>
                <w:sz w:val="18"/>
                <w:szCs w:val="18"/>
                <w:lang w:eastAsia="cs-CZ" w:bidi="cs-CZ"/>
              </w:rPr>
              <w:t>Počet organizací</w:t>
            </w:r>
            <w:r w:rsidR="0032415A">
              <w:rPr>
                <w:color w:val="000000"/>
                <w:sz w:val="18"/>
                <w:szCs w:val="18"/>
                <w:lang w:eastAsia="cs-CZ" w:bidi="cs-CZ"/>
              </w:rPr>
              <w:t xml:space="preserve"> </w:t>
            </w:r>
            <w:r w:rsidRPr="00301E31">
              <w:rPr>
                <w:color w:val="000000"/>
                <w:sz w:val="18"/>
                <w:szCs w:val="18"/>
                <w:lang w:eastAsia="cs-CZ" w:bidi="cs-CZ"/>
              </w:rPr>
              <w:t>ovlivněných intervencí</w:t>
            </w:r>
          </w:p>
        </w:tc>
        <w:tc>
          <w:tcPr>
            <w:tcW w:w="551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301E31" w:rsidRDefault="002A0BF2" w:rsidP="00FC0030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301E31">
              <w:rPr>
                <w:color w:val="000000"/>
                <w:sz w:val="18"/>
                <w:szCs w:val="18"/>
                <w:lang w:eastAsia="cs-CZ" w:bidi="cs-CZ"/>
              </w:rPr>
              <w:t>Organizace</w:t>
            </w:r>
          </w:p>
        </w:tc>
        <w:tc>
          <w:tcPr>
            <w:tcW w:w="290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301E31" w:rsidRDefault="00E91B54" w:rsidP="00FC0030">
            <w:pPr>
              <w:pStyle w:val="Text1"/>
              <w:spacing w:before="0" w:after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301E31">
              <w:rPr>
                <w:noProof/>
                <w:sz w:val="18"/>
                <w:szCs w:val="18"/>
              </w:rPr>
              <w:t>-</w:t>
            </w:r>
          </w:p>
        </w:tc>
        <w:tc>
          <w:tcPr>
            <w:tcW w:w="226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301E31" w:rsidRDefault="002A0BF2" w:rsidP="00FC0030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471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301E31" w:rsidRDefault="002A0BF2" w:rsidP="00FC0030">
            <w:pPr>
              <w:pStyle w:val="Text1"/>
              <w:spacing w:before="0" w:after="0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301E31">
              <w:rPr>
                <w:bCs/>
                <w:color w:val="000000"/>
                <w:sz w:val="18"/>
                <w:szCs w:val="18"/>
              </w:rPr>
              <w:t>183</w:t>
            </w:r>
          </w:p>
        </w:tc>
        <w:tc>
          <w:tcPr>
            <w:tcW w:w="499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301E31" w:rsidRDefault="002A0BF2" w:rsidP="003F702A">
            <w:pPr>
              <w:pStyle w:val="Text1"/>
              <w:spacing w:before="0" w:after="0" w:line="24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  <w:r w:rsidRPr="00301E31">
              <w:rPr>
                <w:color w:val="000000"/>
                <w:sz w:val="18"/>
                <w:szCs w:val="18"/>
              </w:rPr>
              <w:t>Zpráva o</w:t>
            </w:r>
            <w:r w:rsidR="004A74E8">
              <w:rPr>
                <w:color w:val="000000"/>
                <w:sz w:val="18"/>
                <w:szCs w:val="18"/>
              </w:rPr>
              <w:t> </w:t>
            </w:r>
            <w:r w:rsidRPr="00301E31">
              <w:rPr>
                <w:color w:val="000000"/>
                <w:sz w:val="18"/>
                <w:szCs w:val="18"/>
              </w:rPr>
              <w:t>realizaci projektu</w:t>
            </w:r>
          </w:p>
        </w:tc>
        <w:tc>
          <w:tcPr>
            <w:tcW w:w="226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301E31" w:rsidRDefault="002A0BF2" w:rsidP="00FC0030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</w:p>
        </w:tc>
      </w:tr>
      <w:tr w:rsidR="0071632F" w:rsidRPr="003B3D2F" w:rsidTr="00220F71">
        <w:tblPrEx>
          <w:tblBorders>
            <w:top w:val="single" w:sz="4" w:space="0" w:color="8EAADB" w:themeColor="accent1" w:themeTint="99"/>
            <w:left w:val="single" w:sz="4" w:space="0" w:color="8EAADB" w:themeColor="accent1" w:themeTint="99"/>
            <w:bottom w:val="single" w:sz="4" w:space="0" w:color="8EAADB" w:themeColor="accent1" w:themeTint="99"/>
            <w:right w:val="single" w:sz="4" w:space="0" w:color="8EAADB" w:themeColor="accent1" w:themeTint="99"/>
            <w:insideH w:val="single" w:sz="4" w:space="0" w:color="8EAADB" w:themeColor="accent1" w:themeTint="99"/>
            <w:insideV w:val="single" w:sz="4" w:space="0" w:color="8EAADB" w:themeColor="accent1" w:themeTint="99"/>
          </w:tblBorders>
          <w:tblLook w:val="04A0" w:firstRow="1" w:lastRow="0" w:firstColumn="1" w:lastColumn="0" w:noHBand="0" w:noVBand="1"/>
        </w:tblPrEx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301E31" w:rsidRDefault="002A0BF2" w:rsidP="00FC0030">
            <w:pPr>
              <w:pStyle w:val="Text1"/>
              <w:spacing w:before="0" w:after="0"/>
              <w:ind w:left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360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301E31" w:rsidRDefault="002A0BF2" w:rsidP="00FC0030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000000"/>
                <w:sz w:val="18"/>
                <w:szCs w:val="18"/>
                <w:lang w:eastAsia="cs-CZ" w:bidi="cs-CZ"/>
              </w:rPr>
            </w:pPr>
          </w:p>
        </w:tc>
        <w:tc>
          <w:tcPr>
            <w:tcW w:w="368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301E31" w:rsidRDefault="002A0BF2" w:rsidP="00FC0030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301E31" w:rsidRDefault="002A0BF2" w:rsidP="00FC0030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301E31">
              <w:rPr>
                <w:color w:val="000000"/>
                <w:sz w:val="18"/>
                <w:szCs w:val="18"/>
                <w:lang w:eastAsia="cs-CZ" w:bidi="cs-CZ"/>
              </w:rPr>
              <w:t>Přechodové</w:t>
            </w:r>
          </w:p>
        </w:tc>
        <w:tc>
          <w:tcPr>
            <w:tcW w:w="442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textDirection w:val="btLr"/>
          </w:tcPr>
          <w:p w:rsidR="002A0BF2" w:rsidRPr="00301E31" w:rsidRDefault="002A0BF2" w:rsidP="00FC0030">
            <w:pPr>
              <w:pStyle w:val="Text1"/>
              <w:spacing w:before="0" w:after="0"/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</w:p>
        </w:tc>
        <w:tc>
          <w:tcPr>
            <w:tcW w:w="752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301E31" w:rsidRDefault="002A0BF2" w:rsidP="00FC0030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51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301E31" w:rsidRDefault="002A0BF2" w:rsidP="00FC0030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90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301E31" w:rsidRDefault="00E91B54" w:rsidP="00FC0030">
            <w:pPr>
              <w:pStyle w:val="Text1"/>
              <w:spacing w:before="0" w:after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301E31">
              <w:rPr>
                <w:noProof/>
                <w:sz w:val="18"/>
                <w:szCs w:val="18"/>
              </w:rPr>
              <w:t>-</w:t>
            </w:r>
          </w:p>
        </w:tc>
        <w:tc>
          <w:tcPr>
            <w:tcW w:w="226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301E31" w:rsidRDefault="002A0BF2" w:rsidP="00FC0030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471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301E31" w:rsidRDefault="002A0BF2" w:rsidP="00FC0030">
            <w:pPr>
              <w:pStyle w:val="Text1"/>
              <w:spacing w:before="0" w:after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301E31">
              <w:rPr>
                <w:bCs/>
                <w:color w:val="000000"/>
                <w:sz w:val="18"/>
                <w:szCs w:val="18"/>
              </w:rPr>
              <w:t>8 596</w:t>
            </w:r>
          </w:p>
        </w:tc>
        <w:tc>
          <w:tcPr>
            <w:tcW w:w="499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301E31" w:rsidRDefault="002A0BF2" w:rsidP="003F702A">
            <w:pPr>
              <w:pStyle w:val="Text1"/>
              <w:spacing w:before="0" w:after="0"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226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301E31" w:rsidRDefault="002A0BF2" w:rsidP="00FC0030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</w:p>
        </w:tc>
      </w:tr>
      <w:tr w:rsidR="0071632F" w:rsidRPr="003B3D2F" w:rsidTr="00220F71">
        <w:tblPrEx>
          <w:tblBorders>
            <w:top w:val="single" w:sz="4" w:space="0" w:color="8EAADB" w:themeColor="accent1" w:themeTint="99"/>
            <w:left w:val="single" w:sz="4" w:space="0" w:color="8EAADB" w:themeColor="accent1" w:themeTint="99"/>
            <w:bottom w:val="single" w:sz="4" w:space="0" w:color="8EAADB" w:themeColor="accent1" w:themeTint="99"/>
            <w:right w:val="single" w:sz="4" w:space="0" w:color="8EAADB" w:themeColor="accent1" w:themeTint="99"/>
            <w:insideH w:val="single" w:sz="4" w:space="0" w:color="8EAADB" w:themeColor="accent1" w:themeTint="99"/>
            <w:insideV w:val="single" w:sz="4" w:space="0" w:color="8EAADB" w:themeColor="accent1" w:themeTint="99"/>
          </w:tblBorders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301E31" w:rsidRDefault="002A0BF2" w:rsidP="00FC0030">
            <w:pPr>
              <w:pStyle w:val="Text1"/>
              <w:spacing w:before="0" w:after="0"/>
              <w:ind w:left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360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301E31" w:rsidRDefault="002A0BF2" w:rsidP="00FC0030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000000"/>
                <w:sz w:val="18"/>
                <w:szCs w:val="18"/>
                <w:lang w:eastAsia="cs-CZ" w:bidi="cs-CZ"/>
              </w:rPr>
            </w:pPr>
          </w:p>
        </w:tc>
        <w:tc>
          <w:tcPr>
            <w:tcW w:w="368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301E31" w:rsidRDefault="002A0BF2" w:rsidP="00FC0030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301E31" w:rsidRDefault="002A0BF2" w:rsidP="00FC0030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301E31">
              <w:rPr>
                <w:color w:val="000000"/>
                <w:sz w:val="18"/>
                <w:szCs w:val="18"/>
                <w:lang w:eastAsia="cs-CZ" w:bidi="cs-CZ"/>
              </w:rPr>
              <w:t>Méně rozvinuté</w:t>
            </w:r>
          </w:p>
        </w:tc>
        <w:tc>
          <w:tcPr>
            <w:tcW w:w="442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textDirection w:val="btLr"/>
          </w:tcPr>
          <w:p w:rsidR="002A0BF2" w:rsidRPr="00301E31" w:rsidRDefault="002A0BF2" w:rsidP="00FC0030">
            <w:pPr>
              <w:pStyle w:val="Text1"/>
              <w:spacing w:before="0" w:after="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</w:p>
        </w:tc>
        <w:tc>
          <w:tcPr>
            <w:tcW w:w="752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301E31" w:rsidRDefault="002A0BF2" w:rsidP="00FC0030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51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301E31" w:rsidRDefault="002A0BF2" w:rsidP="00FC0030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90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301E31" w:rsidRDefault="00E91B54" w:rsidP="00FC0030">
            <w:pPr>
              <w:pStyle w:val="Text1"/>
              <w:spacing w:before="0" w:after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301E31">
              <w:rPr>
                <w:noProof/>
                <w:sz w:val="18"/>
                <w:szCs w:val="18"/>
              </w:rPr>
              <w:t>-</w:t>
            </w:r>
          </w:p>
        </w:tc>
        <w:tc>
          <w:tcPr>
            <w:tcW w:w="226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301E31" w:rsidRDefault="002A0BF2" w:rsidP="00FC0030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471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301E31" w:rsidRDefault="002A0BF2" w:rsidP="00FC0030">
            <w:pPr>
              <w:pStyle w:val="Text1"/>
              <w:spacing w:before="0" w:after="0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301E31">
              <w:rPr>
                <w:bCs/>
                <w:color w:val="000000"/>
                <w:sz w:val="18"/>
                <w:szCs w:val="18"/>
              </w:rPr>
              <w:t>9 511</w:t>
            </w:r>
          </w:p>
        </w:tc>
        <w:tc>
          <w:tcPr>
            <w:tcW w:w="499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301E31" w:rsidRDefault="002A0BF2" w:rsidP="003F702A">
            <w:pPr>
              <w:pStyle w:val="Text1"/>
              <w:spacing w:before="0" w:after="0" w:line="24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226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301E31" w:rsidRDefault="002A0BF2" w:rsidP="00FC0030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</w:p>
        </w:tc>
      </w:tr>
      <w:tr w:rsidR="0071632F" w:rsidRPr="003B3D2F" w:rsidTr="00220F71">
        <w:tblPrEx>
          <w:tblBorders>
            <w:top w:val="single" w:sz="4" w:space="0" w:color="8EAADB" w:themeColor="accent1" w:themeTint="99"/>
            <w:left w:val="single" w:sz="4" w:space="0" w:color="8EAADB" w:themeColor="accent1" w:themeTint="99"/>
            <w:bottom w:val="single" w:sz="4" w:space="0" w:color="8EAADB" w:themeColor="accent1" w:themeTint="99"/>
            <w:right w:val="single" w:sz="4" w:space="0" w:color="8EAADB" w:themeColor="accent1" w:themeTint="99"/>
            <w:insideH w:val="single" w:sz="4" w:space="0" w:color="8EAADB" w:themeColor="accent1" w:themeTint="99"/>
            <w:insideV w:val="single" w:sz="4" w:space="0" w:color="8EAADB" w:themeColor="accent1" w:themeTint="99"/>
          </w:tblBorders>
          <w:tblLook w:val="04A0" w:firstRow="1" w:lastRow="0" w:firstColumn="1" w:lastColumn="0" w:noHBand="0" w:noVBand="1"/>
        </w:tblPrEx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301E31" w:rsidRDefault="002A0BF2" w:rsidP="00FC0030">
            <w:pPr>
              <w:pStyle w:val="Text1"/>
              <w:spacing w:before="0" w:after="0"/>
              <w:ind w:left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360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301E31" w:rsidRDefault="002A0BF2" w:rsidP="00FC0030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000000"/>
                <w:sz w:val="18"/>
                <w:szCs w:val="18"/>
                <w:lang w:eastAsia="cs-CZ" w:bidi="cs-CZ"/>
              </w:rPr>
            </w:pPr>
          </w:p>
        </w:tc>
        <w:tc>
          <w:tcPr>
            <w:tcW w:w="368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301E31" w:rsidRDefault="002A0BF2" w:rsidP="00FC0030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301E31" w:rsidRDefault="002A0BF2" w:rsidP="00FC0030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301E31">
              <w:rPr>
                <w:color w:val="000000"/>
                <w:sz w:val="18"/>
                <w:szCs w:val="18"/>
                <w:lang w:eastAsia="cs-CZ" w:bidi="cs-CZ"/>
              </w:rPr>
              <w:t>Více rozvinuté</w:t>
            </w:r>
          </w:p>
        </w:tc>
        <w:tc>
          <w:tcPr>
            <w:tcW w:w="442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textDirection w:val="btLr"/>
          </w:tcPr>
          <w:p w:rsidR="002A0BF2" w:rsidRPr="00301E31" w:rsidRDefault="002A0BF2" w:rsidP="00FC0030">
            <w:pPr>
              <w:pStyle w:val="Text1"/>
              <w:spacing w:before="0" w:after="0"/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</w:p>
        </w:tc>
        <w:tc>
          <w:tcPr>
            <w:tcW w:w="752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301E31" w:rsidRDefault="002A0BF2" w:rsidP="00FC0030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301E31">
              <w:rPr>
                <w:color w:val="000000"/>
                <w:sz w:val="18"/>
                <w:szCs w:val="18"/>
                <w:lang w:eastAsia="cs-CZ" w:bidi="cs-CZ"/>
              </w:rPr>
              <w:t>Počet osob ovlivněných intervencí</w:t>
            </w:r>
          </w:p>
        </w:tc>
        <w:tc>
          <w:tcPr>
            <w:tcW w:w="551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301E31" w:rsidRDefault="002A0BF2" w:rsidP="00FC0030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01E31">
              <w:rPr>
                <w:rFonts w:eastAsia="Calibri"/>
                <w:color w:val="000000"/>
                <w:sz w:val="18"/>
                <w:szCs w:val="18"/>
                <w:lang w:eastAsia="cs-CZ" w:bidi="cs-CZ"/>
              </w:rPr>
              <w:t>Osoba</w:t>
            </w:r>
          </w:p>
        </w:tc>
        <w:tc>
          <w:tcPr>
            <w:tcW w:w="290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301E31" w:rsidRDefault="00E91B54" w:rsidP="00FC0030">
            <w:pPr>
              <w:pStyle w:val="Text1"/>
              <w:spacing w:before="0" w:after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301E31">
              <w:rPr>
                <w:noProof/>
                <w:sz w:val="18"/>
                <w:szCs w:val="18"/>
              </w:rPr>
              <w:t>-</w:t>
            </w:r>
          </w:p>
        </w:tc>
        <w:tc>
          <w:tcPr>
            <w:tcW w:w="226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301E31" w:rsidRDefault="002A0BF2" w:rsidP="00FC0030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471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301E31" w:rsidRDefault="002A0BF2" w:rsidP="00FC0030">
            <w:pPr>
              <w:pStyle w:val="Text1"/>
              <w:spacing w:before="0" w:after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301E31">
              <w:rPr>
                <w:bCs/>
                <w:color w:val="000000"/>
                <w:sz w:val="18"/>
                <w:szCs w:val="18"/>
              </w:rPr>
              <w:t>9 459</w:t>
            </w:r>
          </w:p>
        </w:tc>
        <w:tc>
          <w:tcPr>
            <w:tcW w:w="499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301E31" w:rsidRDefault="002A0BF2" w:rsidP="003F702A">
            <w:pPr>
              <w:pStyle w:val="Text1"/>
              <w:spacing w:before="0" w:after="0"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  <w:r w:rsidRPr="00301E31">
              <w:rPr>
                <w:color w:val="000000"/>
                <w:sz w:val="18"/>
                <w:szCs w:val="18"/>
              </w:rPr>
              <w:t>Zpráva o</w:t>
            </w:r>
            <w:r w:rsidR="004A74E8">
              <w:rPr>
                <w:color w:val="000000"/>
                <w:sz w:val="18"/>
                <w:szCs w:val="18"/>
              </w:rPr>
              <w:t> </w:t>
            </w:r>
            <w:r w:rsidRPr="00301E31">
              <w:rPr>
                <w:color w:val="000000"/>
                <w:sz w:val="18"/>
                <w:szCs w:val="18"/>
              </w:rPr>
              <w:t>realizaci projektu</w:t>
            </w:r>
          </w:p>
        </w:tc>
        <w:tc>
          <w:tcPr>
            <w:tcW w:w="226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301E31" w:rsidRDefault="002A0BF2" w:rsidP="00FC0030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</w:p>
        </w:tc>
      </w:tr>
      <w:tr w:rsidR="00D05954" w:rsidRPr="003B3D2F" w:rsidTr="00220F71">
        <w:tblPrEx>
          <w:tblBorders>
            <w:top w:val="single" w:sz="4" w:space="0" w:color="8EAADB" w:themeColor="accent1" w:themeTint="99"/>
            <w:left w:val="single" w:sz="4" w:space="0" w:color="8EAADB" w:themeColor="accent1" w:themeTint="99"/>
            <w:bottom w:val="single" w:sz="4" w:space="0" w:color="8EAADB" w:themeColor="accent1" w:themeTint="99"/>
            <w:right w:val="single" w:sz="4" w:space="0" w:color="8EAADB" w:themeColor="accent1" w:themeTint="99"/>
            <w:insideH w:val="single" w:sz="4" w:space="0" w:color="8EAADB" w:themeColor="accent1" w:themeTint="99"/>
            <w:insideV w:val="single" w:sz="4" w:space="0" w:color="8EAADB" w:themeColor="accent1" w:themeTint="99"/>
          </w:tblBorders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3B3D2F" w:rsidRDefault="002A0BF2" w:rsidP="002D15B6">
            <w:pPr>
              <w:pStyle w:val="Text1"/>
              <w:spacing w:before="0" w:after="0"/>
              <w:ind w:left="0"/>
              <w:rPr>
                <w:i/>
                <w:noProof/>
                <w:sz w:val="20"/>
                <w:szCs w:val="20"/>
              </w:rPr>
            </w:pPr>
          </w:p>
        </w:tc>
        <w:tc>
          <w:tcPr>
            <w:tcW w:w="360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22741B" w:rsidRDefault="002A0BF2" w:rsidP="002D15B6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000000"/>
                <w:sz w:val="20"/>
                <w:szCs w:val="20"/>
                <w:lang w:eastAsia="cs-CZ" w:bidi="cs-CZ"/>
              </w:rPr>
            </w:pPr>
          </w:p>
        </w:tc>
        <w:tc>
          <w:tcPr>
            <w:tcW w:w="368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3B3D2F" w:rsidRDefault="002A0BF2" w:rsidP="002D15B6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noProof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301E31" w:rsidRDefault="002A0BF2" w:rsidP="002D15B6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301E31">
              <w:rPr>
                <w:color w:val="000000"/>
                <w:sz w:val="18"/>
                <w:szCs w:val="18"/>
                <w:lang w:eastAsia="cs-CZ" w:bidi="cs-CZ"/>
              </w:rPr>
              <w:t>Přechodové</w:t>
            </w:r>
          </w:p>
        </w:tc>
        <w:tc>
          <w:tcPr>
            <w:tcW w:w="442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textDirection w:val="btLr"/>
          </w:tcPr>
          <w:p w:rsidR="002A0BF2" w:rsidRPr="009D1C52" w:rsidRDefault="002A0BF2" w:rsidP="002D15B6">
            <w:pPr>
              <w:pStyle w:val="Text1"/>
              <w:spacing w:before="0" w:after="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0"/>
                <w:szCs w:val="20"/>
              </w:rPr>
            </w:pPr>
          </w:p>
        </w:tc>
        <w:tc>
          <w:tcPr>
            <w:tcW w:w="752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3B3D2F" w:rsidRDefault="002A0BF2" w:rsidP="002D15B6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noProof/>
                <w:sz w:val="20"/>
                <w:szCs w:val="20"/>
              </w:rPr>
            </w:pPr>
          </w:p>
        </w:tc>
        <w:tc>
          <w:tcPr>
            <w:tcW w:w="551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3B3D2F" w:rsidRDefault="002A0BF2" w:rsidP="002D15B6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noProof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E91B54" w:rsidRDefault="00E91B54" w:rsidP="002D15B6">
            <w:pPr>
              <w:pStyle w:val="Text1"/>
              <w:spacing w:before="0" w:after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0"/>
                <w:szCs w:val="20"/>
              </w:rPr>
            </w:pPr>
            <w:r w:rsidRPr="00E91B54">
              <w:rPr>
                <w:noProof/>
                <w:sz w:val="20"/>
                <w:szCs w:val="20"/>
              </w:rPr>
              <w:t>-</w:t>
            </w:r>
          </w:p>
        </w:tc>
        <w:tc>
          <w:tcPr>
            <w:tcW w:w="226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3B3D2F" w:rsidRDefault="002A0BF2" w:rsidP="002D15B6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471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301E31" w:rsidRDefault="002A0BF2" w:rsidP="002D15B6">
            <w:pPr>
              <w:pStyle w:val="Text1"/>
              <w:spacing w:before="0" w:after="0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301E31">
              <w:rPr>
                <w:bCs/>
                <w:color w:val="000000"/>
                <w:sz w:val="18"/>
                <w:szCs w:val="18"/>
              </w:rPr>
              <w:t>444 585</w:t>
            </w:r>
          </w:p>
        </w:tc>
        <w:tc>
          <w:tcPr>
            <w:tcW w:w="499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2A0BF2" w:rsidRPr="003B3D2F" w:rsidRDefault="002A0BF2" w:rsidP="002D15B6">
            <w:pPr>
              <w:pStyle w:val="Text1"/>
              <w:spacing w:before="0" w:after="0" w:line="48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noProof/>
                <w:sz w:val="20"/>
                <w:szCs w:val="20"/>
              </w:rPr>
            </w:pPr>
          </w:p>
        </w:tc>
        <w:tc>
          <w:tcPr>
            <w:tcW w:w="226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2A0BF2" w:rsidRPr="003B3D2F" w:rsidRDefault="002A0BF2" w:rsidP="002D15B6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noProof/>
                <w:sz w:val="20"/>
                <w:szCs w:val="20"/>
              </w:rPr>
            </w:pPr>
          </w:p>
        </w:tc>
      </w:tr>
      <w:tr w:rsidR="00D05954" w:rsidRPr="003B3D2F" w:rsidTr="00380205">
        <w:tblPrEx>
          <w:tblBorders>
            <w:top w:val="single" w:sz="4" w:space="0" w:color="8EAADB" w:themeColor="accent1" w:themeTint="99"/>
            <w:left w:val="single" w:sz="4" w:space="0" w:color="8EAADB" w:themeColor="accent1" w:themeTint="99"/>
            <w:bottom w:val="single" w:sz="4" w:space="0" w:color="8EAADB" w:themeColor="accent1" w:themeTint="99"/>
            <w:right w:val="single" w:sz="4" w:space="0" w:color="8EAADB" w:themeColor="accent1" w:themeTint="99"/>
            <w:insideH w:val="single" w:sz="4" w:space="0" w:color="8EAADB" w:themeColor="accent1" w:themeTint="99"/>
            <w:insideV w:val="single" w:sz="4" w:space="0" w:color="8EAADB" w:themeColor="accent1" w:themeTint="99"/>
          </w:tblBorders>
          <w:tblLook w:val="04A0" w:firstRow="1" w:lastRow="0" w:firstColumn="1" w:lastColumn="0" w:noHBand="0" w:noVBand="1"/>
        </w:tblPrEx>
        <w:trPr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3B3D2F" w:rsidRDefault="002A0BF2" w:rsidP="002D15B6">
            <w:pPr>
              <w:pStyle w:val="Text1"/>
              <w:spacing w:before="0" w:after="0"/>
              <w:ind w:left="0"/>
              <w:rPr>
                <w:i/>
                <w:noProof/>
                <w:sz w:val="20"/>
                <w:szCs w:val="20"/>
              </w:rPr>
            </w:pPr>
          </w:p>
        </w:tc>
        <w:tc>
          <w:tcPr>
            <w:tcW w:w="360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22741B" w:rsidRDefault="002A0BF2" w:rsidP="002D15B6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000000"/>
                <w:sz w:val="20"/>
                <w:szCs w:val="20"/>
                <w:lang w:eastAsia="cs-CZ" w:bidi="cs-CZ"/>
              </w:rPr>
            </w:pPr>
          </w:p>
        </w:tc>
        <w:tc>
          <w:tcPr>
            <w:tcW w:w="368" w:type="pct"/>
            <w:vMerge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3B3D2F" w:rsidRDefault="002A0BF2" w:rsidP="002D15B6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noProof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301E31" w:rsidRDefault="002A0BF2" w:rsidP="002D15B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301E31">
              <w:rPr>
                <w:color w:val="000000"/>
                <w:sz w:val="18"/>
                <w:szCs w:val="18"/>
                <w:lang w:eastAsia="cs-CZ" w:bidi="cs-CZ"/>
              </w:rPr>
              <w:t>Méně rozvinuté</w:t>
            </w:r>
          </w:p>
        </w:tc>
        <w:tc>
          <w:tcPr>
            <w:tcW w:w="442" w:type="pct"/>
            <w:vMerge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textDirection w:val="btLr"/>
          </w:tcPr>
          <w:p w:rsidR="002A0BF2" w:rsidRPr="009D1C52" w:rsidRDefault="002A0BF2" w:rsidP="002D15B6">
            <w:pPr>
              <w:pStyle w:val="Default"/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0"/>
                <w:szCs w:val="20"/>
              </w:rPr>
            </w:pPr>
          </w:p>
        </w:tc>
        <w:tc>
          <w:tcPr>
            <w:tcW w:w="752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3B3D2F" w:rsidRDefault="002A0BF2" w:rsidP="002D15B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noProof/>
                <w:sz w:val="20"/>
                <w:szCs w:val="20"/>
              </w:rPr>
            </w:pPr>
          </w:p>
        </w:tc>
        <w:tc>
          <w:tcPr>
            <w:tcW w:w="551" w:type="pct"/>
            <w:vMerge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3B3D2F" w:rsidRDefault="002A0BF2" w:rsidP="002D15B6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noProof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E91B54" w:rsidRDefault="00E91B54" w:rsidP="002D15B6">
            <w:pPr>
              <w:pStyle w:val="Text1"/>
              <w:spacing w:before="0" w:after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0"/>
                <w:szCs w:val="20"/>
              </w:rPr>
            </w:pPr>
            <w:r w:rsidRPr="00E91B54">
              <w:rPr>
                <w:noProof/>
                <w:sz w:val="20"/>
                <w:szCs w:val="20"/>
              </w:rPr>
              <w:t>-</w:t>
            </w:r>
          </w:p>
        </w:tc>
        <w:tc>
          <w:tcPr>
            <w:tcW w:w="226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3B3D2F" w:rsidRDefault="002A0BF2" w:rsidP="002D15B6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471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2A0BF2" w:rsidRPr="00301E31" w:rsidRDefault="002A0BF2" w:rsidP="002D15B6">
            <w:pPr>
              <w:pStyle w:val="Text1"/>
              <w:spacing w:before="0" w:after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301E31">
              <w:rPr>
                <w:bCs/>
                <w:color w:val="000000"/>
                <w:sz w:val="18"/>
                <w:szCs w:val="18"/>
              </w:rPr>
              <w:t>491 882</w:t>
            </w:r>
          </w:p>
        </w:tc>
        <w:tc>
          <w:tcPr>
            <w:tcW w:w="499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2A0BF2" w:rsidRPr="003B3D2F" w:rsidRDefault="002A0BF2" w:rsidP="002D15B6">
            <w:pPr>
              <w:pStyle w:val="Text1"/>
              <w:spacing w:before="0" w:after="0" w:line="48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noProof/>
                <w:sz w:val="20"/>
                <w:szCs w:val="20"/>
              </w:rPr>
            </w:pPr>
          </w:p>
        </w:tc>
        <w:tc>
          <w:tcPr>
            <w:tcW w:w="226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2A0BF2" w:rsidRPr="003B3D2F" w:rsidRDefault="002A0BF2" w:rsidP="002D15B6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noProof/>
                <w:sz w:val="20"/>
                <w:szCs w:val="20"/>
              </w:rPr>
            </w:pPr>
          </w:p>
        </w:tc>
      </w:tr>
    </w:tbl>
    <w:p w:rsidR="002A0BF2" w:rsidRDefault="002A0BF2" w:rsidP="002A0BF2">
      <w:pPr>
        <w:pStyle w:val="Nadpis4"/>
        <w:numPr>
          <w:ilvl w:val="0"/>
          <w:numId w:val="0"/>
        </w:numPr>
        <w:ind w:left="851"/>
        <w:rPr>
          <w:b/>
          <w:color w:val="1F4E79" w:themeColor="accent5" w:themeShade="80"/>
          <w:lang w:val="cs-CZ" w:eastAsia="cs-CZ" w:bidi="cs-CZ"/>
        </w:rPr>
      </w:pPr>
    </w:p>
    <w:p w:rsidR="00E239AE" w:rsidRPr="00FA5D6F" w:rsidRDefault="00E239AE" w:rsidP="00E239AE">
      <w:pPr>
        <w:pStyle w:val="Nadpis4"/>
        <w:rPr>
          <w:b/>
          <w:color w:val="1F4E79" w:themeColor="accent5" w:themeShade="80"/>
          <w:lang w:val="cs-CZ" w:eastAsia="cs-CZ" w:bidi="cs-CZ"/>
        </w:rPr>
      </w:pPr>
      <w:bookmarkStart w:id="169" w:name="_Toc66476056"/>
      <w:bookmarkStart w:id="170" w:name="_Toc68611014"/>
      <w:r w:rsidRPr="00FA5D6F">
        <w:rPr>
          <w:b/>
          <w:color w:val="1F4E79" w:themeColor="accent5" w:themeShade="80"/>
          <w:lang w:val="cs-CZ" w:eastAsia="cs-CZ" w:bidi="cs-CZ"/>
        </w:rPr>
        <w:t>Orientační rozdělení programových zdrojů (EU) podle typu intervence</w:t>
      </w:r>
      <w:bookmarkEnd w:id="169"/>
      <w:bookmarkEnd w:id="170"/>
      <w:r w:rsidRPr="00FA5D6F">
        <w:rPr>
          <w:b/>
          <w:color w:val="1F4E79" w:themeColor="accent5" w:themeShade="80"/>
          <w:lang w:val="cs-CZ" w:eastAsia="cs-CZ" w:bidi="cs-CZ"/>
        </w:rPr>
        <w:t xml:space="preserve"> </w:t>
      </w:r>
    </w:p>
    <w:p w:rsidR="00C12B88" w:rsidRPr="009412C1" w:rsidRDefault="00E239AE" w:rsidP="00C12B88">
      <w:pPr>
        <w:pStyle w:val="Titulek"/>
        <w:rPr>
          <w:rFonts w:ascii="Times New Roman" w:hAnsi="Times New Roman" w:cs="Times New Roman"/>
        </w:rPr>
      </w:pPr>
      <w:r w:rsidRPr="00F6239D">
        <w:rPr>
          <w:rFonts w:ascii="Times New Roman" w:hAnsi="Times New Roman" w:cs="Times New Roman"/>
        </w:rPr>
        <w:t xml:space="preserve"> </w:t>
      </w:r>
      <w:r w:rsidR="00716902" w:rsidRPr="009412C1">
        <w:rPr>
          <w:rFonts w:ascii="Times New Roman" w:hAnsi="Times New Roman" w:cs="Times New Roman"/>
        </w:rPr>
        <w:t xml:space="preserve">Tabulka </w:t>
      </w:r>
      <w:r w:rsidR="009412C1" w:rsidRPr="009412C1">
        <w:rPr>
          <w:rFonts w:ascii="Times New Roman" w:hAnsi="Times New Roman" w:cs="Times New Roman"/>
        </w:rPr>
        <w:fldChar w:fldCharType="begin"/>
      </w:r>
      <w:r w:rsidR="009412C1" w:rsidRPr="009412C1">
        <w:rPr>
          <w:rFonts w:ascii="Times New Roman" w:hAnsi="Times New Roman" w:cs="Times New Roman"/>
        </w:rPr>
        <w:instrText xml:space="preserve"> SEQ Tabulka \* ARABIC </w:instrText>
      </w:r>
      <w:r w:rsidR="009412C1" w:rsidRPr="009412C1">
        <w:rPr>
          <w:rFonts w:ascii="Times New Roman" w:hAnsi="Times New Roman" w:cs="Times New Roman"/>
        </w:rPr>
        <w:fldChar w:fldCharType="separate"/>
      </w:r>
      <w:r w:rsidR="00A17DA3">
        <w:rPr>
          <w:rFonts w:ascii="Times New Roman" w:hAnsi="Times New Roman" w:cs="Times New Roman"/>
          <w:noProof/>
        </w:rPr>
        <w:t>23</w:t>
      </w:r>
      <w:r w:rsidR="009412C1" w:rsidRPr="009412C1">
        <w:rPr>
          <w:rFonts w:ascii="Times New Roman" w:hAnsi="Times New Roman" w:cs="Times New Roman"/>
        </w:rPr>
        <w:fldChar w:fldCharType="end"/>
      </w:r>
      <w:r w:rsidR="009412C1" w:rsidRPr="009412C1">
        <w:rPr>
          <w:rFonts w:ascii="Times New Roman" w:hAnsi="Times New Roman" w:cs="Times New Roman"/>
        </w:rPr>
        <w:t>:</w:t>
      </w:r>
      <w:r w:rsidR="00716902" w:rsidRPr="009412C1">
        <w:rPr>
          <w:rFonts w:ascii="Times New Roman" w:hAnsi="Times New Roman" w:cs="Times New Roman"/>
        </w:rPr>
        <w:t xml:space="preserve"> SC </w:t>
      </w:r>
      <w:r w:rsidR="009412C1" w:rsidRPr="009412C1">
        <w:rPr>
          <w:rFonts w:ascii="Times New Roman" w:hAnsi="Times New Roman" w:cs="Times New Roman"/>
        </w:rPr>
        <w:t>2</w:t>
      </w:r>
      <w:r w:rsidR="00716902" w:rsidRPr="009412C1">
        <w:rPr>
          <w:rFonts w:ascii="Times New Roman" w:hAnsi="Times New Roman" w:cs="Times New Roman"/>
        </w:rPr>
        <w:t>.</w:t>
      </w:r>
      <w:r w:rsidR="009412C1" w:rsidRPr="009412C1">
        <w:rPr>
          <w:rFonts w:ascii="Times New Roman" w:hAnsi="Times New Roman" w:cs="Times New Roman"/>
        </w:rPr>
        <w:t>2</w:t>
      </w:r>
      <w:r w:rsidR="00716902" w:rsidRPr="009412C1">
        <w:rPr>
          <w:rFonts w:ascii="Times New Roman" w:hAnsi="Times New Roman" w:cs="Times New Roman"/>
        </w:rPr>
        <w:t>: Dimenze 1 – oblast intervence</w:t>
      </w:r>
    </w:p>
    <w:tbl>
      <w:tblPr>
        <w:tblStyle w:val="Tabulkasmkou4zvraznn1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6"/>
        <w:gridCol w:w="1047"/>
        <w:gridCol w:w="2125"/>
        <w:gridCol w:w="1961"/>
        <w:gridCol w:w="1462"/>
        <w:gridCol w:w="1958"/>
      </w:tblGrid>
      <w:tr w:rsidR="00376202" w:rsidRPr="00EC6162" w:rsidTr="001623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376202" w:rsidRPr="00EC6162" w:rsidRDefault="00376202" w:rsidP="00BA036D">
            <w:pPr>
              <w:spacing w:before="0" w:after="0" w:line="276" w:lineRule="auto"/>
              <w:jc w:val="center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Číslo priority</w:t>
            </w:r>
          </w:p>
        </w:tc>
        <w:tc>
          <w:tcPr>
            <w:tcW w:w="104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376202" w:rsidRPr="00EC6162" w:rsidRDefault="00376202" w:rsidP="00BA036D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Fond</w:t>
            </w:r>
          </w:p>
        </w:tc>
        <w:tc>
          <w:tcPr>
            <w:tcW w:w="212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376202" w:rsidRPr="00EC6162" w:rsidRDefault="00376202" w:rsidP="00BA036D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Kategorie regionu</w:t>
            </w:r>
          </w:p>
        </w:tc>
        <w:tc>
          <w:tcPr>
            <w:tcW w:w="19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</w:tcPr>
          <w:p w:rsidR="00376202" w:rsidRPr="00EC6162" w:rsidRDefault="00376202" w:rsidP="00BA036D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Specifický cíl</w:t>
            </w:r>
          </w:p>
        </w:tc>
        <w:tc>
          <w:tcPr>
            <w:tcW w:w="14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376202" w:rsidRPr="00EC6162" w:rsidRDefault="00376202" w:rsidP="00BA036D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Kód</w:t>
            </w:r>
          </w:p>
        </w:tc>
        <w:tc>
          <w:tcPr>
            <w:tcW w:w="19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376202" w:rsidRPr="00EC6162" w:rsidRDefault="00376202" w:rsidP="00BA036D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Částka (v EUR)</w:t>
            </w:r>
          </w:p>
        </w:tc>
      </w:tr>
      <w:tr w:rsidR="00376202" w:rsidRPr="00F61950" w:rsidTr="005E11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 w:val="restart"/>
            <w:shd w:val="clear" w:color="auto" w:fill="DEEAF6" w:themeFill="accent5" w:themeFillTint="33"/>
          </w:tcPr>
          <w:p w:rsidR="00376202" w:rsidRPr="0013141D" w:rsidRDefault="00376202" w:rsidP="00BA036D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b w:val="0"/>
                <w:iCs/>
                <w:noProof/>
                <w:sz w:val="18"/>
                <w:szCs w:val="18"/>
              </w:rPr>
              <w:t>P</w:t>
            </w:r>
            <w:r>
              <w:rPr>
                <w:rFonts w:eastAsia="Times New Roman"/>
                <w:b w:val="0"/>
                <w:iCs/>
                <w:noProof/>
                <w:sz w:val="18"/>
                <w:szCs w:val="18"/>
              </w:rPr>
              <w:t>2</w:t>
            </w:r>
          </w:p>
        </w:tc>
        <w:tc>
          <w:tcPr>
            <w:tcW w:w="1047" w:type="dxa"/>
            <w:vMerge w:val="restart"/>
            <w:shd w:val="clear" w:color="auto" w:fill="DEEAF6" w:themeFill="accent5" w:themeFillTint="33"/>
          </w:tcPr>
          <w:p w:rsidR="00376202" w:rsidRPr="0013141D" w:rsidRDefault="00376202" w:rsidP="00BA036D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noProof/>
                <w:sz w:val="18"/>
                <w:szCs w:val="18"/>
              </w:rPr>
              <w:t>ESF</w:t>
            </w:r>
            <w:r w:rsidRPr="00376202">
              <w:rPr>
                <w:rFonts w:eastAsia="Times New Roman"/>
                <w:noProof/>
                <w:sz w:val="18"/>
                <w:szCs w:val="18"/>
              </w:rPr>
              <w:t>+</w:t>
            </w:r>
          </w:p>
        </w:tc>
        <w:tc>
          <w:tcPr>
            <w:tcW w:w="2125" w:type="dxa"/>
            <w:shd w:val="clear" w:color="auto" w:fill="DEEAF6" w:themeFill="accent5" w:themeFillTint="33"/>
          </w:tcPr>
          <w:p w:rsidR="00376202" w:rsidRPr="0013141D" w:rsidRDefault="00376202" w:rsidP="00BA036D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Více rozvinuté</w:t>
            </w:r>
          </w:p>
        </w:tc>
        <w:tc>
          <w:tcPr>
            <w:tcW w:w="1961" w:type="dxa"/>
            <w:vMerge w:val="restart"/>
            <w:shd w:val="clear" w:color="auto" w:fill="DEEAF6" w:themeFill="accent5" w:themeFillTint="33"/>
            <w:vAlign w:val="center"/>
          </w:tcPr>
          <w:p w:rsidR="00376202" w:rsidRPr="0013141D" w:rsidRDefault="00113799" w:rsidP="00BA036D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iCs/>
                <w:noProof/>
                <w:sz w:val="18"/>
                <w:szCs w:val="18"/>
              </w:rPr>
              <w:t>2.2</w:t>
            </w:r>
          </w:p>
        </w:tc>
        <w:tc>
          <w:tcPr>
            <w:tcW w:w="1462" w:type="dxa"/>
            <w:vMerge w:val="restart"/>
            <w:shd w:val="clear" w:color="auto" w:fill="DEEAF6" w:themeFill="accent5" w:themeFillTint="33"/>
            <w:vAlign w:val="center"/>
          </w:tcPr>
          <w:p w:rsidR="00376202" w:rsidRPr="0013141D" w:rsidRDefault="00113799" w:rsidP="00BA036D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iCs/>
                <w:noProof/>
                <w:sz w:val="18"/>
                <w:szCs w:val="18"/>
              </w:rPr>
              <w:t>111</w:t>
            </w: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376202" w:rsidRPr="00F61950" w:rsidRDefault="00113799" w:rsidP="00113799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 w:rsidRPr="00113799">
              <w:rPr>
                <w:rFonts w:eastAsia="Times New Roman"/>
                <w:noProof/>
                <w:sz w:val="18"/>
                <w:szCs w:val="18"/>
              </w:rPr>
              <w:t xml:space="preserve">                      814 414    </w:t>
            </w:r>
          </w:p>
        </w:tc>
      </w:tr>
      <w:tr w:rsidR="00376202" w:rsidRPr="00F61950" w:rsidTr="005E114E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376202" w:rsidRPr="0013141D" w:rsidRDefault="00376202" w:rsidP="00BA036D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376202" w:rsidRPr="0013141D" w:rsidRDefault="00376202" w:rsidP="00BA036D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376202" w:rsidRPr="0013141D" w:rsidRDefault="00376202" w:rsidP="00BA036D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Přechodové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376202" w:rsidRPr="0013141D" w:rsidRDefault="00376202" w:rsidP="00BA036D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376202" w:rsidRPr="0013141D" w:rsidRDefault="00376202" w:rsidP="00BA036D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376202" w:rsidRPr="00F61950" w:rsidRDefault="00113799" w:rsidP="00113799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 w:rsidRPr="00113799">
              <w:rPr>
                <w:rFonts w:eastAsia="Times New Roman"/>
                <w:noProof/>
                <w:sz w:val="18"/>
                <w:szCs w:val="18"/>
              </w:rPr>
              <w:t xml:space="preserve">                 61 588 879    </w:t>
            </w:r>
          </w:p>
        </w:tc>
      </w:tr>
      <w:tr w:rsidR="00376202" w:rsidRPr="00F61950" w:rsidTr="005E11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376202" w:rsidRPr="0013141D" w:rsidRDefault="00376202" w:rsidP="00BA036D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376202" w:rsidRPr="0013141D" w:rsidRDefault="00376202" w:rsidP="00BA036D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376202" w:rsidRPr="0013141D" w:rsidRDefault="00376202" w:rsidP="00BA036D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Méně rozvinuté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376202" w:rsidRPr="0013141D" w:rsidRDefault="00376202" w:rsidP="00BA036D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376202" w:rsidRPr="0013141D" w:rsidRDefault="00376202" w:rsidP="00BA036D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376202" w:rsidRPr="00F61950" w:rsidRDefault="00113799" w:rsidP="00113799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 w:rsidRPr="00113799">
              <w:rPr>
                <w:rFonts w:eastAsia="Times New Roman"/>
                <w:noProof/>
                <w:sz w:val="18"/>
                <w:szCs w:val="18"/>
              </w:rPr>
              <w:t xml:space="preserve">                 68 655 405    </w:t>
            </w:r>
          </w:p>
        </w:tc>
      </w:tr>
      <w:tr w:rsidR="00376202" w:rsidRPr="00F61950" w:rsidTr="005E114E">
        <w:trPr>
          <w:trHeight w:val="1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376202" w:rsidRPr="0013141D" w:rsidRDefault="00376202" w:rsidP="00BA036D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376202" w:rsidRPr="0013141D" w:rsidRDefault="00376202" w:rsidP="00BA036D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376202" w:rsidRPr="0013141D" w:rsidRDefault="00376202" w:rsidP="00BA036D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Více rozvinuté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376202" w:rsidRPr="0013141D" w:rsidRDefault="00376202" w:rsidP="00BA036D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 w:val="restart"/>
            <w:shd w:val="clear" w:color="auto" w:fill="DEEAF6" w:themeFill="accent5" w:themeFillTint="33"/>
            <w:vAlign w:val="center"/>
          </w:tcPr>
          <w:p w:rsidR="00376202" w:rsidRPr="0013141D" w:rsidRDefault="00113799" w:rsidP="00BA036D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iCs/>
                <w:noProof/>
                <w:sz w:val="18"/>
                <w:szCs w:val="18"/>
              </w:rPr>
              <w:t>112</w:t>
            </w: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376202" w:rsidRPr="00F61950" w:rsidRDefault="00113799" w:rsidP="00113799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 w:rsidRPr="00113799">
              <w:rPr>
                <w:rFonts w:eastAsia="Times New Roman"/>
                <w:noProof/>
                <w:sz w:val="18"/>
                <w:szCs w:val="18"/>
              </w:rPr>
              <w:t xml:space="preserve">                   1 312 111    </w:t>
            </w:r>
          </w:p>
        </w:tc>
      </w:tr>
      <w:tr w:rsidR="00376202" w:rsidRPr="00F61950" w:rsidTr="005E11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376202" w:rsidRPr="0013141D" w:rsidRDefault="00376202" w:rsidP="00BA036D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376202" w:rsidRPr="0013141D" w:rsidRDefault="00376202" w:rsidP="00BA036D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376202" w:rsidRPr="0013141D" w:rsidRDefault="00376202" w:rsidP="00BA036D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Přechodové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376202" w:rsidRPr="0013141D" w:rsidRDefault="00376202" w:rsidP="00BA036D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376202" w:rsidRPr="0013141D" w:rsidRDefault="00376202" w:rsidP="00BA036D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376202" w:rsidRPr="00F61950" w:rsidRDefault="00113799" w:rsidP="00113799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 w:rsidRPr="00113799">
              <w:rPr>
                <w:rFonts w:eastAsia="Times New Roman"/>
                <w:noProof/>
                <w:sz w:val="18"/>
                <w:szCs w:val="18"/>
              </w:rPr>
              <w:t xml:space="preserve">                 99 226 528    </w:t>
            </w:r>
          </w:p>
        </w:tc>
      </w:tr>
      <w:tr w:rsidR="00113799" w:rsidRPr="00F61950" w:rsidTr="005E114E">
        <w:trPr>
          <w:trHeight w:val="1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113799" w:rsidRPr="0013141D" w:rsidRDefault="00113799" w:rsidP="00113799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113799" w:rsidRPr="0013141D" w:rsidRDefault="00113799" w:rsidP="00113799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113799" w:rsidRPr="0013141D" w:rsidRDefault="00113799" w:rsidP="00113799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Méně rozvinuté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113799" w:rsidRPr="0013141D" w:rsidRDefault="00113799" w:rsidP="00113799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113799" w:rsidRPr="0013141D" w:rsidRDefault="00113799" w:rsidP="00113799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113799" w:rsidRPr="00113799" w:rsidRDefault="00113799" w:rsidP="00113799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noProof/>
                <w:sz w:val="18"/>
                <w:szCs w:val="18"/>
              </w:rPr>
            </w:pPr>
            <w:r w:rsidRPr="00113799">
              <w:rPr>
                <w:rFonts w:eastAsia="Times New Roman"/>
                <w:noProof/>
                <w:sz w:val="18"/>
                <w:szCs w:val="18"/>
              </w:rPr>
              <w:t xml:space="preserve">              110 611 486</w:t>
            </w:r>
          </w:p>
        </w:tc>
      </w:tr>
      <w:tr w:rsidR="00113799" w:rsidRPr="00F61950" w:rsidTr="005E11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113799" w:rsidRPr="0013141D" w:rsidRDefault="00113799" w:rsidP="00113799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113799" w:rsidRPr="0013141D" w:rsidRDefault="00113799" w:rsidP="00113799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113799" w:rsidRPr="0013141D" w:rsidRDefault="00113799" w:rsidP="00113799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Více rozvinuté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113799" w:rsidRPr="0013141D" w:rsidRDefault="00113799" w:rsidP="00113799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 w:val="restart"/>
            <w:shd w:val="clear" w:color="auto" w:fill="DEEAF6" w:themeFill="accent5" w:themeFillTint="33"/>
            <w:vAlign w:val="center"/>
          </w:tcPr>
          <w:p w:rsidR="00113799" w:rsidRPr="0013141D" w:rsidRDefault="00113799" w:rsidP="00113799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iCs/>
                <w:noProof/>
                <w:sz w:val="18"/>
                <w:szCs w:val="18"/>
              </w:rPr>
              <w:t>113</w:t>
            </w: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113799" w:rsidRPr="00113799" w:rsidRDefault="00113799" w:rsidP="00113799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noProof/>
                <w:sz w:val="18"/>
                <w:szCs w:val="18"/>
              </w:rPr>
            </w:pPr>
            <w:r w:rsidRPr="00113799">
              <w:rPr>
                <w:rFonts w:eastAsia="Times New Roman"/>
                <w:noProof/>
                <w:sz w:val="18"/>
                <w:szCs w:val="18"/>
              </w:rPr>
              <w:t xml:space="preserve">                      135 736   </w:t>
            </w:r>
          </w:p>
        </w:tc>
      </w:tr>
      <w:tr w:rsidR="00113799" w:rsidRPr="00F61950" w:rsidTr="005E114E">
        <w:trPr>
          <w:trHeight w:val="1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113799" w:rsidRPr="0013141D" w:rsidRDefault="00113799" w:rsidP="00113799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113799" w:rsidRPr="0013141D" w:rsidRDefault="00113799" w:rsidP="00113799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113799" w:rsidRPr="0013141D" w:rsidRDefault="00113799" w:rsidP="00113799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Přechodové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113799" w:rsidRPr="0013141D" w:rsidRDefault="00113799" w:rsidP="00113799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113799" w:rsidRPr="0013141D" w:rsidRDefault="00113799" w:rsidP="00113799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113799" w:rsidRPr="00113799" w:rsidRDefault="00113799" w:rsidP="00113799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noProof/>
                <w:sz w:val="18"/>
                <w:szCs w:val="18"/>
              </w:rPr>
            </w:pPr>
            <w:r w:rsidRPr="00113799">
              <w:rPr>
                <w:rFonts w:eastAsia="Times New Roman"/>
                <w:noProof/>
                <w:sz w:val="18"/>
                <w:szCs w:val="18"/>
              </w:rPr>
              <w:t xml:space="preserve">                 10 264 813   </w:t>
            </w:r>
          </w:p>
        </w:tc>
      </w:tr>
      <w:tr w:rsidR="00376202" w:rsidRPr="00F61950" w:rsidTr="005E11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376202" w:rsidRPr="0013141D" w:rsidRDefault="00376202" w:rsidP="00BA036D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376202" w:rsidRPr="0013141D" w:rsidRDefault="00376202" w:rsidP="00BA036D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376202" w:rsidRPr="0013141D" w:rsidRDefault="00376202" w:rsidP="00BA036D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Méně rozvinuté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376202" w:rsidRPr="0013141D" w:rsidRDefault="00376202" w:rsidP="00BA036D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376202" w:rsidRPr="0013141D" w:rsidRDefault="00376202" w:rsidP="00BA036D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376202" w:rsidRPr="00F61950" w:rsidRDefault="00113799" w:rsidP="00113799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 w:rsidRPr="00113799">
              <w:rPr>
                <w:rFonts w:eastAsia="Times New Roman"/>
                <w:noProof/>
                <w:sz w:val="18"/>
                <w:szCs w:val="18"/>
              </w:rPr>
              <w:t xml:space="preserve">                 11 442 567   </w:t>
            </w:r>
          </w:p>
        </w:tc>
      </w:tr>
    </w:tbl>
    <w:p w:rsidR="00C12B88" w:rsidRPr="009412C1" w:rsidRDefault="00C12B88" w:rsidP="00C12B88">
      <w:pPr>
        <w:pStyle w:val="Titulek"/>
        <w:rPr>
          <w:rFonts w:ascii="Times New Roman" w:hAnsi="Times New Roman" w:cs="Times New Roman"/>
          <w:szCs w:val="22"/>
        </w:rPr>
      </w:pPr>
      <w:r w:rsidRPr="009412C1">
        <w:rPr>
          <w:rFonts w:ascii="Times New Roman" w:hAnsi="Times New Roman" w:cs="Times New Roman"/>
        </w:rPr>
        <w:t xml:space="preserve">Tabulka </w:t>
      </w:r>
      <w:r w:rsidR="009412C1" w:rsidRPr="009412C1">
        <w:rPr>
          <w:rFonts w:ascii="Times New Roman" w:hAnsi="Times New Roman" w:cs="Times New Roman"/>
        </w:rPr>
        <w:fldChar w:fldCharType="begin"/>
      </w:r>
      <w:r w:rsidR="009412C1" w:rsidRPr="009412C1">
        <w:rPr>
          <w:rFonts w:ascii="Times New Roman" w:hAnsi="Times New Roman" w:cs="Times New Roman"/>
        </w:rPr>
        <w:instrText xml:space="preserve"> SEQ Tabulka \* ARABIC </w:instrText>
      </w:r>
      <w:r w:rsidR="009412C1" w:rsidRPr="009412C1">
        <w:rPr>
          <w:rFonts w:ascii="Times New Roman" w:hAnsi="Times New Roman" w:cs="Times New Roman"/>
        </w:rPr>
        <w:fldChar w:fldCharType="separate"/>
      </w:r>
      <w:r w:rsidR="00A17DA3">
        <w:rPr>
          <w:rFonts w:ascii="Times New Roman" w:hAnsi="Times New Roman" w:cs="Times New Roman"/>
          <w:noProof/>
        </w:rPr>
        <w:t>24</w:t>
      </w:r>
      <w:r w:rsidR="009412C1" w:rsidRPr="009412C1">
        <w:rPr>
          <w:rFonts w:ascii="Times New Roman" w:hAnsi="Times New Roman" w:cs="Times New Roman"/>
        </w:rPr>
        <w:fldChar w:fldCharType="end"/>
      </w:r>
      <w:r w:rsidR="009412C1" w:rsidRPr="009412C1">
        <w:rPr>
          <w:rFonts w:ascii="Times New Roman" w:hAnsi="Times New Roman" w:cs="Times New Roman"/>
        </w:rPr>
        <w:t>:</w:t>
      </w:r>
      <w:r w:rsidRPr="009412C1">
        <w:rPr>
          <w:rFonts w:ascii="Times New Roman" w:hAnsi="Times New Roman" w:cs="Times New Roman"/>
        </w:rPr>
        <w:t xml:space="preserve"> </w:t>
      </w:r>
      <w:r w:rsidRPr="009412C1">
        <w:rPr>
          <w:rFonts w:ascii="Times New Roman" w:hAnsi="Times New Roman" w:cs="Times New Roman"/>
          <w:szCs w:val="22"/>
        </w:rPr>
        <w:t xml:space="preserve">SC </w:t>
      </w:r>
      <w:r w:rsidR="009412C1" w:rsidRPr="009412C1">
        <w:rPr>
          <w:rFonts w:ascii="Times New Roman" w:hAnsi="Times New Roman" w:cs="Times New Roman"/>
          <w:szCs w:val="22"/>
        </w:rPr>
        <w:t>2</w:t>
      </w:r>
      <w:r w:rsidRPr="009412C1">
        <w:rPr>
          <w:rFonts w:ascii="Times New Roman" w:hAnsi="Times New Roman" w:cs="Times New Roman"/>
          <w:szCs w:val="22"/>
        </w:rPr>
        <w:t>.2: Dimenze 2 – forma financování</w:t>
      </w:r>
    </w:p>
    <w:tbl>
      <w:tblPr>
        <w:tblStyle w:val="Tabulkasmkou4zvraznn1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6"/>
        <w:gridCol w:w="1047"/>
        <w:gridCol w:w="2125"/>
        <w:gridCol w:w="1961"/>
        <w:gridCol w:w="1462"/>
        <w:gridCol w:w="1958"/>
      </w:tblGrid>
      <w:tr w:rsidR="009F6903" w:rsidRPr="00EC6162" w:rsidTr="001623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9F6903" w:rsidRPr="00EC6162" w:rsidRDefault="009F6903" w:rsidP="00C3177C">
            <w:pPr>
              <w:spacing w:before="0" w:after="0" w:line="276" w:lineRule="auto"/>
              <w:jc w:val="center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Číslo priority</w:t>
            </w:r>
          </w:p>
        </w:tc>
        <w:tc>
          <w:tcPr>
            <w:tcW w:w="104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9F6903" w:rsidRPr="00EC6162" w:rsidRDefault="009F6903" w:rsidP="00C3177C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Fond</w:t>
            </w:r>
          </w:p>
        </w:tc>
        <w:tc>
          <w:tcPr>
            <w:tcW w:w="212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9F6903" w:rsidRPr="00EC6162" w:rsidRDefault="009F6903" w:rsidP="00C3177C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Kategorie regionu</w:t>
            </w:r>
          </w:p>
        </w:tc>
        <w:tc>
          <w:tcPr>
            <w:tcW w:w="19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</w:tcPr>
          <w:p w:rsidR="009F6903" w:rsidRPr="00EC6162" w:rsidRDefault="009F6903" w:rsidP="00C3177C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Specifický cíl</w:t>
            </w:r>
          </w:p>
        </w:tc>
        <w:tc>
          <w:tcPr>
            <w:tcW w:w="14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9F6903" w:rsidRPr="00EC6162" w:rsidRDefault="009F6903" w:rsidP="00C3177C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Kód</w:t>
            </w:r>
          </w:p>
        </w:tc>
        <w:tc>
          <w:tcPr>
            <w:tcW w:w="19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9F6903" w:rsidRPr="00EC6162" w:rsidRDefault="009F6903" w:rsidP="00C3177C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Částka (v EUR)</w:t>
            </w:r>
          </w:p>
        </w:tc>
      </w:tr>
      <w:tr w:rsidR="009F6903" w:rsidRPr="00F61950" w:rsidTr="00C31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 w:val="restart"/>
            <w:shd w:val="clear" w:color="auto" w:fill="DEEAF6" w:themeFill="accent5" w:themeFillTint="33"/>
          </w:tcPr>
          <w:p w:rsidR="009F6903" w:rsidRPr="0013141D" w:rsidRDefault="009F6903" w:rsidP="00C3177C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b w:val="0"/>
                <w:iCs/>
                <w:noProof/>
                <w:sz w:val="18"/>
                <w:szCs w:val="18"/>
              </w:rPr>
              <w:t>P</w:t>
            </w:r>
            <w:r>
              <w:rPr>
                <w:rFonts w:eastAsia="Times New Roman"/>
                <w:b w:val="0"/>
                <w:iCs/>
                <w:noProof/>
                <w:sz w:val="18"/>
                <w:szCs w:val="18"/>
              </w:rPr>
              <w:t>2</w:t>
            </w:r>
          </w:p>
        </w:tc>
        <w:tc>
          <w:tcPr>
            <w:tcW w:w="1047" w:type="dxa"/>
            <w:vMerge w:val="restart"/>
            <w:shd w:val="clear" w:color="auto" w:fill="DEEAF6" w:themeFill="accent5" w:themeFillTint="33"/>
          </w:tcPr>
          <w:p w:rsidR="009F6903" w:rsidRPr="0013141D" w:rsidRDefault="009F6903" w:rsidP="00C3177C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noProof/>
                <w:sz w:val="18"/>
                <w:szCs w:val="18"/>
              </w:rPr>
              <w:t>ESF</w:t>
            </w:r>
            <w:r w:rsidRPr="00376202">
              <w:rPr>
                <w:rFonts w:eastAsia="Times New Roman"/>
                <w:noProof/>
                <w:sz w:val="18"/>
                <w:szCs w:val="18"/>
              </w:rPr>
              <w:t>+</w:t>
            </w:r>
          </w:p>
        </w:tc>
        <w:tc>
          <w:tcPr>
            <w:tcW w:w="2125" w:type="dxa"/>
            <w:shd w:val="clear" w:color="auto" w:fill="DEEAF6" w:themeFill="accent5" w:themeFillTint="33"/>
          </w:tcPr>
          <w:p w:rsidR="009F6903" w:rsidRPr="0013141D" w:rsidRDefault="009F6903" w:rsidP="00C3177C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Více rozvinuté</w:t>
            </w:r>
          </w:p>
        </w:tc>
        <w:tc>
          <w:tcPr>
            <w:tcW w:w="1961" w:type="dxa"/>
            <w:vMerge w:val="restart"/>
            <w:shd w:val="clear" w:color="auto" w:fill="DEEAF6" w:themeFill="accent5" w:themeFillTint="33"/>
            <w:vAlign w:val="center"/>
          </w:tcPr>
          <w:p w:rsidR="009F6903" w:rsidRPr="0013141D" w:rsidRDefault="009F6903" w:rsidP="00C3177C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iCs/>
                <w:noProof/>
                <w:sz w:val="18"/>
                <w:szCs w:val="18"/>
              </w:rPr>
              <w:t>2.2</w:t>
            </w:r>
          </w:p>
        </w:tc>
        <w:tc>
          <w:tcPr>
            <w:tcW w:w="1462" w:type="dxa"/>
            <w:vMerge w:val="restart"/>
            <w:shd w:val="clear" w:color="auto" w:fill="DEEAF6" w:themeFill="accent5" w:themeFillTint="33"/>
            <w:vAlign w:val="center"/>
          </w:tcPr>
          <w:p w:rsidR="009F6903" w:rsidRPr="0013141D" w:rsidRDefault="009F6903" w:rsidP="00C3177C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iCs/>
                <w:noProof/>
                <w:sz w:val="18"/>
                <w:szCs w:val="18"/>
              </w:rPr>
              <w:t>01</w:t>
            </w: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9F6903" w:rsidRPr="00F61950" w:rsidRDefault="009F6903" w:rsidP="00C3177C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 w:rsidRPr="00D9149F">
              <w:rPr>
                <w:rFonts w:eastAsia="Times New Roman"/>
                <w:noProof/>
                <w:sz w:val="18"/>
                <w:szCs w:val="18"/>
              </w:rPr>
              <w:t xml:space="preserve">                   2 262 260    </w:t>
            </w:r>
          </w:p>
        </w:tc>
      </w:tr>
      <w:tr w:rsidR="009F6903" w:rsidRPr="00F61950" w:rsidTr="00C3177C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9F6903" w:rsidRPr="0013141D" w:rsidRDefault="009F6903" w:rsidP="00C3177C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9F6903" w:rsidRPr="0013141D" w:rsidRDefault="009F6903" w:rsidP="00C3177C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9F6903" w:rsidRPr="0013141D" w:rsidRDefault="009F6903" w:rsidP="00C3177C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Přechodové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9F6903" w:rsidRPr="0013141D" w:rsidRDefault="009F6903" w:rsidP="00C3177C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9F6903" w:rsidRPr="0013141D" w:rsidRDefault="009F6903" w:rsidP="00C3177C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9F6903" w:rsidRPr="00F61950" w:rsidRDefault="009F6903" w:rsidP="00C3177C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 w:rsidRPr="00D9149F">
              <w:rPr>
                <w:rFonts w:eastAsia="Times New Roman"/>
                <w:noProof/>
                <w:sz w:val="18"/>
                <w:szCs w:val="18"/>
              </w:rPr>
              <w:t xml:space="preserve">              171 080 220  </w:t>
            </w:r>
          </w:p>
        </w:tc>
      </w:tr>
      <w:tr w:rsidR="009F6903" w:rsidRPr="00F61950" w:rsidTr="00C31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9F6903" w:rsidRPr="0013141D" w:rsidRDefault="009F6903" w:rsidP="00C3177C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9F6903" w:rsidRPr="0013141D" w:rsidRDefault="009F6903" w:rsidP="00C3177C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9F6903" w:rsidRPr="0013141D" w:rsidRDefault="009F6903" w:rsidP="00C3177C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Méně rozvinuté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9F6903" w:rsidRPr="0013141D" w:rsidRDefault="009F6903" w:rsidP="00C3177C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9F6903" w:rsidRPr="0013141D" w:rsidRDefault="009F6903" w:rsidP="00C3177C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9F6903" w:rsidRPr="00F61950" w:rsidRDefault="009F6903" w:rsidP="00C3177C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 w:rsidRPr="00D9149F">
              <w:rPr>
                <w:rFonts w:eastAsia="Times New Roman"/>
                <w:noProof/>
                <w:sz w:val="18"/>
                <w:szCs w:val="18"/>
              </w:rPr>
              <w:t xml:space="preserve">              190 709 458</w:t>
            </w:r>
          </w:p>
        </w:tc>
      </w:tr>
    </w:tbl>
    <w:p w:rsidR="00C12B88" w:rsidRPr="0024470E" w:rsidRDefault="00C12B88" w:rsidP="00C12B88">
      <w:pPr>
        <w:pStyle w:val="Titulek"/>
        <w:rPr>
          <w:rFonts w:ascii="Times New Roman" w:hAnsi="Times New Roman" w:cs="Times New Roman"/>
          <w:szCs w:val="22"/>
        </w:rPr>
      </w:pPr>
      <w:r w:rsidRPr="0024470E">
        <w:rPr>
          <w:rFonts w:ascii="Times New Roman" w:hAnsi="Times New Roman" w:cs="Times New Roman"/>
        </w:rPr>
        <w:t xml:space="preserve">Tabulka </w:t>
      </w:r>
      <w:r w:rsidR="00E13F27" w:rsidRPr="0024470E">
        <w:rPr>
          <w:rFonts w:ascii="Times New Roman" w:hAnsi="Times New Roman" w:cs="Times New Roman"/>
        </w:rPr>
        <w:fldChar w:fldCharType="begin"/>
      </w:r>
      <w:r w:rsidR="00E13F27" w:rsidRPr="0024470E">
        <w:rPr>
          <w:rFonts w:ascii="Times New Roman" w:hAnsi="Times New Roman" w:cs="Times New Roman"/>
        </w:rPr>
        <w:instrText xml:space="preserve"> SEQ Tabulka \* ARABIC </w:instrText>
      </w:r>
      <w:r w:rsidR="00E13F27" w:rsidRPr="0024470E">
        <w:rPr>
          <w:rFonts w:ascii="Times New Roman" w:hAnsi="Times New Roman" w:cs="Times New Roman"/>
        </w:rPr>
        <w:fldChar w:fldCharType="separate"/>
      </w:r>
      <w:r w:rsidR="00A17DA3">
        <w:rPr>
          <w:rFonts w:ascii="Times New Roman" w:hAnsi="Times New Roman" w:cs="Times New Roman"/>
          <w:noProof/>
        </w:rPr>
        <w:t>25</w:t>
      </w:r>
      <w:r w:rsidR="00E13F27" w:rsidRPr="0024470E">
        <w:rPr>
          <w:rFonts w:ascii="Times New Roman" w:hAnsi="Times New Roman" w:cs="Times New Roman"/>
        </w:rPr>
        <w:fldChar w:fldCharType="end"/>
      </w:r>
      <w:r w:rsidR="00E13F27" w:rsidRPr="0024470E">
        <w:rPr>
          <w:rFonts w:ascii="Times New Roman" w:hAnsi="Times New Roman" w:cs="Times New Roman"/>
        </w:rPr>
        <w:t>:</w:t>
      </w:r>
      <w:r w:rsidRPr="0024470E">
        <w:rPr>
          <w:rFonts w:ascii="Times New Roman" w:hAnsi="Times New Roman" w:cs="Times New Roman"/>
        </w:rPr>
        <w:t xml:space="preserve"> </w:t>
      </w:r>
      <w:r w:rsidRPr="0024470E">
        <w:rPr>
          <w:rFonts w:ascii="Times New Roman" w:hAnsi="Times New Roman" w:cs="Times New Roman"/>
          <w:szCs w:val="22"/>
        </w:rPr>
        <w:t xml:space="preserve">SC </w:t>
      </w:r>
      <w:r w:rsidR="00606B8D">
        <w:rPr>
          <w:rFonts w:ascii="Times New Roman" w:hAnsi="Times New Roman" w:cs="Times New Roman"/>
          <w:szCs w:val="22"/>
        </w:rPr>
        <w:t>2</w:t>
      </w:r>
      <w:r w:rsidRPr="0024470E">
        <w:rPr>
          <w:rFonts w:ascii="Times New Roman" w:hAnsi="Times New Roman" w:cs="Times New Roman"/>
          <w:szCs w:val="22"/>
        </w:rPr>
        <w:t>.2: Dimenze 3 – mechanismus územního plnění a územní zaměření</w:t>
      </w:r>
    </w:p>
    <w:tbl>
      <w:tblPr>
        <w:tblStyle w:val="Tabulkasmkou4zvraznn1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6"/>
        <w:gridCol w:w="1047"/>
        <w:gridCol w:w="2125"/>
        <w:gridCol w:w="1961"/>
        <w:gridCol w:w="1462"/>
        <w:gridCol w:w="1958"/>
      </w:tblGrid>
      <w:tr w:rsidR="00A52927" w:rsidRPr="00EC6162" w:rsidTr="001623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A52927" w:rsidRPr="00EC6162" w:rsidRDefault="00A52927" w:rsidP="00BA036D">
            <w:pPr>
              <w:spacing w:before="0" w:after="0" w:line="276" w:lineRule="auto"/>
              <w:jc w:val="center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Číslo priority</w:t>
            </w:r>
          </w:p>
        </w:tc>
        <w:tc>
          <w:tcPr>
            <w:tcW w:w="104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A52927" w:rsidRPr="00EC6162" w:rsidRDefault="00A52927" w:rsidP="00BA036D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Fond</w:t>
            </w:r>
          </w:p>
        </w:tc>
        <w:tc>
          <w:tcPr>
            <w:tcW w:w="212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A52927" w:rsidRPr="00EC6162" w:rsidRDefault="00A52927" w:rsidP="00BA036D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Kategorie regionu</w:t>
            </w:r>
          </w:p>
        </w:tc>
        <w:tc>
          <w:tcPr>
            <w:tcW w:w="19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</w:tcPr>
          <w:p w:rsidR="00A52927" w:rsidRPr="00EC6162" w:rsidRDefault="00A52927" w:rsidP="00BA036D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Specifický cíl</w:t>
            </w:r>
          </w:p>
        </w:tc>
        <w:tc>
          <w:tcPr>
            <w:tcW w:w="14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A52927" w:rsidRPr="00EC6162" w:rsidRDefault="00A52927" w:rsidP="00BA036D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Kód</w:t>
            </w:r>
          </w:p>
        </w:tc>
        <w:tc>
          <w:tcPr>
            <w:tcW w:w="19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A52927" w:rsidRPr="00EC6162" w:rsidRDefault="00A52927" w:rsidP="00BA036D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Částka (v EUR)</w:t>
            </w:r>
          </w:p>
        </w:tc>
      </w:tr>
      <w:tr w:rsidR="00A52927" w:rsidRPr="00F61950" w:rsidTr="00BA03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 w:val="restart"/>
            <w:shd w:val="clear" w:color="auto" w:fill="DEEAF6" w:themeFill="accent5" w:themeFillTint="33"/>
          </w:tcPr>
          <w:p w:rsidR="00A52927" w:rsidRPr="0013141D" w:rsidRDefault="00A52927" w:rsidP="00BA036D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b w:val="0"/>
                <w:iCs/>
                <w:noProof/>
                <w:sz w:val="18"/>
                <w:szCs w:val="18"/>
              </w:rPr>
              <w:t>P</w:t>
            </w:r>
            <w:r>
              <w:rPr>
                <w:rFonts w:eastAsia="Times New Roman"/>
                <w:b w:val="0"/>
                <w:iCs/>
                <w:noProof/>
                <w:sz w:val="18"/>
                <w:szCs w:val="18"/>
              </w:rPr>
              <w:t>2</w:t>
            </w:r>
          </w:p>
        </w:tc>
        <w:tc>
          <w:tcPr>
            <w:tcW w:w="1047" w:type="dxa"/>
            <w:vMerge w:val="restart"/>
            <w:shd w:val="clear" w:color="auto" w:fill="DEEAF6" w:themeFill="accent5" w:themeFillTint="33"/>
          </w:tcPr>
          <w:p w:rsidR="00A52927" w:rsidRPr="0013141D" w:rsidRDefault="00A52927" w:rsidP="00BA036D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noProof/>
                <w:sz w:val="18"/>
                <w:szCs w:val="18"/>
              </w:rPr>
              <w:t>ESF</w:t>
            </w:r>
            <w:r w:rsidRPr="00376202">
              <w:rPr>
                <w:rFonts w:eastAsia="Times New Roman"/>
                <w:noProof/>
                <w:sz w:val="18"/>
                <w:szCs w:val="18"/>
              </w:rPr>
              <w:t>+</w:t>
            </w:r>
          </w:p>
        </w:tc>
        <w:tc>
          <w:tcPr>
            <w:tcW w:w="2125" w:type="dxa"/>
            <w:shd w:val="clear" w:color="auto" w:fill="DEEAF6" w:themeFill="accent5" w:themeFillTint="33"/>
          </w:tcPr>
          <w:p w:rsidR="00A52927" w:rsidRPr="0013141D" w:rsidRDefault="00A52927" w:rsidP="00BA036D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Více rozvinuté</w:t>
            </w:r>
          </w:p>
        </w:tc>
        <w:tc>
          <w:tcPr>
            <w:tcW w:w="1961" w:type="dxa"/>
            <w:vMerge w:val="restart"/>
            <w:shd w:val="clear" w:color="auto" w:fill="DEEAF6" w:themeFill="accent5" w:themeFillTint="33"/>
            <w:vAlign w:val="center"/>
          </w:tcPr>
          <w:p w:rsidR="00A52927" w:rsidRPr="0013141D" w:rsidRDefault="009F6903" w:rsidP="00BA036D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iCs/>
                <w:noProof/>
                <w:sz w:val="18"/>
                <w:szCs w:val="18"/>
              </w:rPr>
              <w:t>2.2</w:t>
            </w:r>
          </w:p>
        </w:tc>
        <w:tc>
          <w:tcPr>
            <w:tcW w:w="1462" w:type="dxa"/>
            <w:vMerge w:val="restart"/>
            <w:shd w:val="clear" w:color="auto" w:fill="DEEAF6" w:themeFill="accent5" w:themeFillTint="33"/>
            <w:vAlign w:val="center"/>
          </w:tcPr>
          <w:p w:rsidR="00A52927" w:rsidRPr="0013141D" w:rsidRDefault="009F6903" w:rsidP="00BA036D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iCs/>
                <w:noProof/>
                <w:sz w:val="18"/>
                <w:szCs w:val="18"/>
              </w:rPr>
              <w:t>48</w:t>
            </w: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A52927" w:rsidRPr="00F61950" w:rsidRDefault="009F6903" w:rsidP="00BA036D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 w:rsidRPr="00D9149F">
              <w:rPr>
                <w:rFonts w:eastAsia="Times New Roman"/>
                <w:noProof/>
                <w:sz w:val="18"/>
                <w:szCs w:val="18"/>
              </w:rPr>
              <w:t xml:space="preserve">                   2 262 260    </w:t>
            </w:r>
          </w:p>
        </w:tc>
      </w:tr>
      <w:tr w:rsidR="00A52927" w:rsidRPr="00F61950" w:rsidTr="00BA036D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A52927" w:rsidRPr="0013141D" w:rsidRDefault="00A52927" w:rsidP="00BA036D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A52927" w:rsidRPr="0013141D" w:rsidRDefault="00A52927" w:rsidP="00BA036D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A52927" w:rsidRPr="0013141D" w:rsidRDefault="00A52927" w:rsidP="00BA036D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Přechodové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A52927" w:rsidRPr="0013141D" w:rsidRDefault="00A52927" w:rsidP="00BA036D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A52927" w:rsidRPr="0013141D" w:rsidRDefault="00A52927" w:rsidP="00BA036D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A52927" w:rsidRPr="00F61950" w:rsidRDefault="009F6903" w:rsidP="00BA036D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 w:rsidRPr="00D9149F">
              <w:rPr>
                <w:rFonts w:eastAsia="Times New Roman"/>
                <w:noProof/>
                <w:sz w:val="18"/>
                <w:szCs w:val="18"/>
              </w:rPr>
              <w:t xml:space="preserve">              171 080 220  </w:t>
            </w:r>
          </w:p>
        </w:tc>
      </w:tr>
      <w:tr w:rsidR="00A52927" w:rsidRPr="00F61950" w:rsidTr="00BA03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A52927" w:rsidRPr="0013141D" w:rsidRDefault="00A52927" w:rsidP="00BA036D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A52927" w:rsidRPr="0013141D" w:rsidRDefault="00A52927" w:rsidP="00BA036D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A52927" w:rsidRPr="0013141D" w:rsidRDefault="00A52927" w:rsidP="00BA036D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Méně rozvinuté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A52927" w:rsidRPr="0013141D" w:rsidRDefault="00A52927" w:rsidP="00BA036D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A52927" w:rsidRPr="0013141D" w:rsidRDefault="00A52927" w:rsidP="00BA036D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A52927" w:rsidRPr="00F61950" w:rsidRDefault="009F6903" w:rsidP="00BA036D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 w:rsidRPr="00D9149F">
              <w:rPr>
                <w:rFonts w:eastAsia="Times New Roman"/>
                <w:noProof/>
                <w:sz w:val="18"/>
                <w:szCs w:val="18"/>
              </w:rPr>
              <w:t xml:space="preserve">              190 709 458</w:t>
            </w:r>
          </w:p>
        </w:tc>
      </w:tr>
    </w:tbl>
    <w:p w:rsidR="00C12B88" w:rsidRPr="008A1F8A" w:rsidRDefault="00C12B88" w:rsidP="00C12B88">
      <w:pPr>
        <w:pStyle w:val="Titulek"/>
        <w:rPr>
          <w:rFonts w:ascii="Times New Roman" w:hAnsi="Times New Roman" w:cs="Times New Roman"/>
          <w:szCs w:val="22"/>
        </w:rPr>
      </w:pPr>
      <w:r w:rsidRPr="008A1F8A">
        <w:rPr>
          <w:rFonts w:ascii="Times New Roman" w:hAnsi="Times New Roman" w:cs="Times New Roman"/>
        </w:rPr>
        <w:t xml:space="preserve">Tabulka </w:t>
      </w:r>
      <w:r w:rsidR="00036B51" w:rsidRPr="008A1F8A">
        <w:rPr>
          <w:rFonts w:ascii="Times New Roman" w:hAnsi="Times New Roman" w:cs="Times New Roman"/>
        </w:rPr>
        <w:fldChar w:fldCharType="begin"/>
      </w:r>
      <w:r w:rsidR="00036B51" w:rsidRPr="008A1F8A">
        <w:rPr>
          <w:rFonts w:ascii="Times New Roman" w:hAnsi="Times New Roman" w:cs="Times New Roman"/>
        </w:rPr>
        <w:instrText xml:space="preserve"> SEQ Tabulka \* ARABIC </w:instrText>
      </w:r>
      <w:r w:rsidR="00036B51" w:rsidRPr="008A1F8A">
        <w:rPr>
          <w:rFonts w:ascii="Times New Roman" w:hAnsi="Times New Roman" w:cs="Times New Roman"/>
        </w:rPr>
        <w:fldChar w:fldCharType="separate"/>
      </w:r>
      <w:r w:rsidR="00D97BAC">
        <w:rPr>
          <w:rFonts w:ascii="Times New Roman" w:hAnsi="Times New Roman" w:cs="Times New Roman"/>
          <w:noProof/>
        </w:rPr>
        <w:t>26</w:t>
      </w:r>
      <w:r w:rsidR="00036B51" w:rsidRPr="008A1F8A">
        <w:rPr>
          <w:rFonts w:ascii="Times New Roman" w:hAnsi="Times New Roman" w:cs="Times New Roman"/>
        </w:rPr>
        <w:fldChar w:fldCharType="end"/>
      </w:r>
      <w:r w:rsidR="00036B51" w:rsidRPr="008A1F8A">
        <w:rPr>
          <w:rFonts w:ascii="Times New Roman" w:hAnsi="Times New Roman" w:cs="Times New Roman"/>
        </w:rPr>
        <w:t>:</w:t>
      </w:r>
      <w:r w:rsidRPr="008A1F8A">
        <w:rPr>
          <w:rFonts w:ascii="Times New Roman" w:hAnsi="Times New Roman" w:cs="Times New Roman"/>
          <w:szCs w:val="22"/>
        </w:rPr>
        <w:t xml:space="preserve"> SC </w:t>
      </w:r>
      <w:r w:rsidR="00606B8D">
        <w:rPr>
          <w:rFonts w:ascii="Times New Roman" w:hAnsi="Times New Roman" w:cs="Times New Roman"/>
          <w:szCs w:val="22"/>
        </w:rPr>
        <w:t>2</w:t>
      </w:r>
      <w:r w:rsidRPr="008A1F8A">
        <w:rPr>
          <w:rFonts w:ascii="Times New Roman" w:hAnsi="Times New Roman" w:cs="Times New Roman"/>
          <w:szCs w:val="22"/>
        </w:rPr>
        <w:t>.2: Dimenze 6 – sekundární témata ESF</w:t>
      </w:r>
      <w:r w:rsidRPr="008A1F8A">
        <w:rPr>
          <w:rFonts w:ascii="Times New Roman" w:hAnsi="Times New Roman" w:cs="Times New Roman"/>
          <w:b w:val="0"/>
          <w:szCs w:val="22"/>
        </w:rPr>
        <w:t>+</w:t>
      </w:r>
    </w:p>
    <w:tbl>
      <w:tblPr>
        <w:tblStyle w:val="Tabulkasmkou4zvraznn1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6"/>
        <w:gridCol w:w="1047"/>
        <w:gridCol w:w="2125"/>
        <w:gridCol w:w="1961"/>
        <w:gridCol w:w="1462"/>
        <w:gridCol w:w="1958"/>
      </w:tblGrid>
      <w:tr w:rsidR="009F6903" w:rsidRPr="00EC6162" w:rsidTr="001623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9F6903" w:rsidRPr="00EC6162" w:rsidRDefault="009F6903" w:rsidP="00C3177C">
            <w:pPr>
              <w:spacing w:before="0" w:after="0" w:line="276" w:lineRule="auto"/>
              <w:jc w:val="center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Číslo priority</w:t>
            </w:r>
          </w:p>
        </w:tc>
        <w:tc>
          <w:tcPr>
            <w:tcW w:w="104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9F6903" w:rsidRPr="00EC6162" w:rsidRDefault="009F6903" w:rsidP="00C3177C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Fond</w:t>
            </w:r>
          </w:p>
        </w:tc>
        <w:tc>
          <w:tcPr>
            <w:tcW w:w="212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9F6903" w:rsidRPr="00EC6162" w:rsidRDefault="009F6903" w:rsidP="00C3177C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Kategorie regionu</w:t>
            </w:r>
          </w:p>
        </w:tc>
        <w:tc>
          <w:tcPr>
            <w:tcW w:w="19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</w:tcPr>
          <w:p w:rsidR="009F6903" w:rsidRPr="00EC6162" w:rsidRDefault="009F6903" w:rsidP="00C3177C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Specifický cíl</w:t>
            </w:r>
          </w:p>
        </w:tc>
        <w:tc>
          <w:tcPr>
            <w:tcW w:w="14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9F6903" w:rsidRPr="00EC6162" w:rsidRDefault="009F6903" w:rsidP="00C3177C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Kód</w:t>
            </w:r>
          </w:p>
        </w:tc>
        <w:tc>
          <w:tcPr>
            <w:tcW w:w="19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9F6903" w:rsidRPr="00EC6162" w:rsidRDefault="009F6903" w:rsidP="00C3177C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Částka (v EUR)</w:t>
            </w:r>
          </w:p>
        </w:tc>
      </w:tr>
      <w:tr w:rsidR="009F6903" w:rsidRPr="00113799" w:rsidTr="005E11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 w:val="restart"/>
            <w:shd w:val="clear" w:color="auto" w:fill="DEEAF6" w:themeFill="accent5" w:themeFillTint="33"/>
          </w:tcPr>
          <w:p w:rsidR="009F6903" w:rsidRPr="0013141D" w:rsidRDefault="009F6903" w:rsidP="009F6903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b w:val="0"/>
                <w:iCs/>
                <w:noProof/>
                <w:sz w:val="18"/>
                <w:szCs w:val="18"/>
              </w:rPr>
              <w:t>P</w:t>
            </w:r>
            <w:r>
              <w:rPr>
                <w:rFonts w:eastAsia="Times New Roman"/>
                <w:b w:val="0"/>
                <w:iCs/>
                <w:noProof/>
                <w:sz w:val="18"/>
                <w:szCs w:val="18"/>
              </w:rPr>
              <w:t>2</w:t>
            </w:r>
          </w:p>
        </w:tc>
        <w:tc>
          <w:tcPr>
            <w:tcW w:w="1047" w:type="dxa"/>
            <w:vMerge w:val="restart"/>
            <w:shd w:val="clear" w:color="auto" w:fill="DEEAF6" w:themeFill="accent5" w:themeFillTint="33"/>
          </w:tcPr>
          <w:p w:rsidR="009F6903" w:rsidRPr="0013141D" w:rsidRDefault="009F6903" w:rsidP="009F6903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noProof/>
                <w:sz w:val="18"/>
                <w:szCs w:val="18"/>
              </w:rPr>
              <w:t>ESF</w:t>
            </w:r>
            <w:r w:rsidRPr="00376202">
              <w:rPr>
                <w:rFonts w:eastAsia="Times New Roman"/>
                <w:noProof/>
                <w:sz w:val="18"/>
                <w:szCs w:val="18"/>
              </w:rPr>
              <w:t>+</w:t>
            </w:r>
          </w:p>
        </w:tc>
        <w:tc>
          <w:tcPr>
            <w:tcW w:w="2125" w:type="dxa"/>
            <w:shd w:val="clear" w:color="auto" w:fill="DEEAF6" w:themeFill="accent5" w:themeFillTint="33"/>
          </w:tcPr>
          <w:p w:rsidR="009F6903" w:rsidRPr="0013141D" w:rsidRDefault="009F6903" w:rsidP="009F6903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Více rozvinuté</w:t>
            </w:r>
          </w:p>
        </w:tc>
        <w:tc>
          <w:tcPr>
            <w:tcW w:w="1961" w:type="dxa"/>
            <w:vMerge w:val="restart"/>
            <w:shd w:val="clear" w:color="auto" w:fill="DEEAF6" w:themeFill="accent5" w:themeFillTint="33"/>
            <w:vAlign w:val="center"/>
          </w:tcPr>
          <w:p w:rsidR="009F6903" w:rsidRPr="0013141D" w:rsidRDefault="009F6903" w:rsidP="009F6903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iCs/>
                <w:noProof/>
                <w:sz w:val="18"/>
                <w:szCs w:val="18"/>
              </w:rPr>
              <w:t>2.2</w:t>
            </w:r>
          </w:p>
        </w:tc>
        <w:tc>
          <w:tcPr>
            <w:tcW w:w="1462" w:type="dxa"/>
            <w:vMerge w:val="restart"/>
            <w:shd w:val="clear" w:color="auto" w:fill="DEEAF6" w:themeFill="accent5" w:themeFillTint="33"/>
            <w:vAlign w:val="center"/>
          </w:tcPr>
          <w:p w:rsidR="009F6903" w:rsidRPr="0013141D" w:rsidRDefault="009F6903" w:rsidP="009F6903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iCs/>
                <w:noProof/>
                <w:sz w:val="18"/>
                <w:szCs w:val="18"/>
              </w:rPr>
              <w:t>3</w:t>
            </w: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9F6903" w:rsidRPr="00113799" w:rsidRDefault="009F6903" w:rsidP="009F6903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noProof/>
                <w:sz w:val="18"/>
                <w:szCs w:val="18"/>
              </w:rPr>
            </w:pPr>
            <w:r w:rsidRPr="009F6903">
              <w:rPr>
                <w:rFonts w:eastAsia="Times New Roman"/>
                <w:noProof/>
                <w:sz w:val="18"/>
                <w:szCs w:val="18"/>
              </w:rPr>
              <w:t xml:space="preserve">                        14 592    </w:t>
            </w:r>
          </w:p>
        </w:tc>
      </w:tr>
      <w:tr w:rsidR="009F6903" w:rsidRPr="00113799" w:rsidTr="005E114E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9F6903" w:rsidRPr="0013141D" w:rsidRDefault="009F6903" w:rsidP="009F6903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9F6903" w:rsidRPr="0013141D" w:rsidRDefault="009F6903" w:rsidP="009F6903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9F6903" w:rsidRPr="0013141D" w:rsidRDefault="009F6903" w:rsidP="009F6903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Přechodové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9F6903" w:rsidRPr="0013141D" w:rsidRDefault="009F6903" w:rsidP="009F6903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9F6903" w:rsidRPr="0013141D" w:rsidRDefault="009F6903" w:rsidP="009F6903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9F6903" w:rsidRPr="00113799" w:rsidRDefault="009F6903" w:rsidP="009F6903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noProof/>
                <w:sz w:val="18"/>
                <w:szCs w:val="18"/>
              </w:rPr>
            </w:pPr>
            <w:r w:rsidRPr="009F6903">
              <w:rPr>
                <w:rFonts w:eastAsia="Times New Roman"/>
                <w:noProof/>
                <w:sz w:val="18"/>
                <w:szCs w:val="18"/>
              </w:rPr>
              <w:t xml:space="preserve">                   1 103 467    </w:t>
            </w:r>
          </w:p>
        </w:tc>
      </w:tr>
      <w:tr w:rsidR="009F6903" w:rsidRPr="00113799" w:rsidTr="005E11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9F6903" w:rsidRPr="0013141D" w:rsidRDefault="009F6903" w:rsidP="009F6903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9F6903" w:rsidRPr="0013141D" w:rsidRDefault="009F6903" w:rsidP="009F6903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9F6903" w:rsidRPr="0013141D" w:rsidRDefault="009F6903" w:rsidP="009F6903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Méně rozvinuté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9F6903" w:rsidRPr="0013141D" w:rsidRDefault="009F6903" w:rsidP="009F6903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9F6903" w:rsidRPr="0013141D" w:rsidRDefault="009F6903" w:rsidP="009F6903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9F6903" w:rsidRPr="00113799" w:rsidRDefault="009F6903" w:rsidP="009F6903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noProof/>
                <w:sz w:val="18"/>
                <w:szCs w:val="18"/>
              </w:rPr>
            </w:pPr>
            <w:r w:rsidRPr="009F6903">
              <w:rPr>
                <w:rFonts w:eastAsia="Times New Roman"/>
                <w:noProof/>
                <w:sz w:val="18"/>
                <w:szCs w:val="18"/>
              </w:rPr>
              <w:t xml:space="preserve">                   1 230 076    </w:t>
            </w:r>
          </w:p>
        </w:tc>
      </w:tr>
      <w:tr w:rsidR="009F6903" w:rsidRPr="00113799" w:rsidTr="005E114E">
        <w:trPr>
          <w:trHeight w:val="1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9F6903" w:rsidRPr="0013141D" w:rsidRDefault="009F6903" w:rsidP="009F6903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9F6903" w:rsidRPr="0013141D" w:rsidRDefault="009F6903" w:rsidP="009F6903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9F6903" w:rsidRPr="0013141D" w:rsidRDefault="009F6903" w:rsidP="009F6903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Více rozvinuté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9F6903" w:rsidRPr="0013141D" w:rsidRDefault="009F6903" w:rsidP="009F6903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 w:val="restart"/>
            <w:shd w:val="clear" w:color="auto" w:fill="DEEAF6" w:themeFill="accent5" w:themeFillTint="33"/>
            <w:vAlign w:val="center"/>
          </w:tcPr>
          <w:p w:rsidR="009F6903" w:rsidRPr="0013141D" w:rsidRDefault="009F6903" w:rsidP="009F6903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iCs/>
                <w:noProof/>
                <w:sz w:val="18"/>
                <w:szCs w:val="18"/>
              </w:rPr>
              <w:t>9</w:t>
            </w: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9F6903" w:rsidRPr="00113799" w:rsidRDefault="009F6903" w:rsidP="009F6903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noProof/>
                <w:sz w:val="18"/>
                <w:szCs w:val="18"/>
              </w:rPr>
            </w:pPr>
            <w:r w:rsidRPr="009F6903">
              <w:rPr>
                <w:rFonts w:eastAsia="Times New Roman"/>
                <w:noProof/>
                <w:sz w:val="18"/>
                <w:szCs w:val="18"/>
              </w:rPr>
              <w:t xml:space="preserve">                   2 247 669    </w:t>
            </w:r>
          </w:p>
        </w:tc>
      </w:tr>
      <w:tr w:rsidR="009F6903" w:rsidRPr="00113799" w:rsidTr="005E11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9F6903" w:rsidRPr="0013141D" w:rsidRDefault="009F6903" w:rsidP="009F6903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9F6903" w:rsidRPr="0013141D" w:rsidRDefault="009F6903" w:rsidP="009F6903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9F6903" w:rsidRPr="0013141D" w:rsidRDefault="009F6903" w:rsidP="009F6903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Přechodové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9F6903" w:rsidRPr="0013141D" w:rsidRDefault="009F6903" w:rsidP="009F6903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9F6903" w:rsidRPr="0013141D" w:rsidRDefault="009F6903" w:rsidP="009F6903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9F6903" w:rsidRPr="00113799" w:rsidRDefault="009F6903" w:rsidP="009F6903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noProof/>
                <w:sz w:val="18"/>
                <w:szCs w:val="18"/>
              </w:rPr>
            </w:pPr>
            <w:r w:rsidRPr="009F6903">
              <w:rPr>
                <w:rFonts w:eastAsia="Times New Roman"/>
                <w:noProof/>
                <w:sz w:val="18"/>
                <w:szCs w:val="18"/>
              </w:rPr>
              <w:t xml:space="preserve">              169 976 753    </w:t>
            </w:r>
          </w:p>
        </w:tc>
      </w:tr>
      <w:tr w:rsidR="009F6903" w:rsidRPr="00113799" w:rsidTr="005E114E">
        <w:trPr>
          <w:trHeight w:val="1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9F6903" w:rsidRPr="0013141D" w:rsidRDefault="009F6903" w:rsidP="009F6903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9F6903" w:rsidRPr="0013141D" w:rsidRDefault="009F6903" w:rsidP="009F6903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9F6903" w:rsidRPr="0013141D" w:rsidRDefault="009F6903" w:rsidP="009F6903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Méně rozvinuté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9F6903" w:rsidRPr="0013141D" w:rsidRDefault="009F6903" w:rsidP="009F6903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9F6903" w:rsidRPr="0013141D" w:rsidRDefault="009F6903" w:rsidP="009F6903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9F6903" w:rsidRPr="00113799" w:rsidRDefault="009F6903" w:rsidP="009F6903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noProof/>
                <w:sz w:val="18"/>
                <w:szCs w:val="18"/>
              </w:rPr>
            </w:pPr>
            <w:r w:rsidRPr="009F6903">
              <w:rPr>
                <w:rFonts w:eastAsia="Times New Roman"/>
                <w:noProof/>
                <w:sz w:val="18"/>
                <w:szCs w:val="18"/>
              </w:rPr>
              <w:t xml:space="preserve">              189 479 382    </w:t>
            </w:r>
          </w:p>
        </w:tc>
      </w:tr>
    </w:tbl>
    <w:p w:rsidR="00C12B88" w:rsidRPr="00B4546B" w:rsidRDefault="00C12B88" w:rsidP="00C12B88">
      <w:pPr>
        <w:pStyle w:val="Titulek"/>
        <w:rPr>
          <w:rFonts w:ascii="Times New Roman" w:hAnsi="Times New Roman" w:cs="Times New Roman"/>
          <w:szCs w:val="22"/>
        </w:rPr>
      </w:pPr>
      <w:r w:rsidRPr="00B4546B">
        <w:rPr>
          <w:rFonts w:ascii="Times New Roman" w:hAnsi="Times New Roman" w:cs="Times New Roman"/>
        </w:rPr>
        <w:t xml:space="preserve">Tabulka </w:t>
      </w:r>
      <w:r w:rsidR="00B4546B" w:rsidRPr="00B4546B">
        <w:rPr>
          <w:rFonts w:ascii="Times New Roman" w:hAnsi="Times New Roman" w:cs="Times New Roman"/>
        </w:rPr>
        <w:fldChar w:fldCharType="begin"/>
      </w:r>
      <w:r w:rsidR="00B4546B" w:rsidRPr="00B4546B">
        <w:rPr>
          <w:rFonts w:ascii="Times New Roman" w:hAnsi="Times New Roman" w:cs="Times New Roman"/>
        </w:rPr>
        <w:instrText xml:space="preserve"> SEQ Tabulka \* ARABIC </w:instrText>
      </w:r>
      <w:r w:rsidR="00B4546B" w:rsidRPr="00B4546B">
        <w:rPr>
          <w:rFonts w:ascii="Times New Roman" w:hAnsi="Times New Roman" w:cs="Times New Roman"/>
        </w:rPr>
        <w:fldChar w:fldCharType="separate"/>
      </w:r>
      <w:r w:rsidR="003C3863">
        <w:rPr>
          <w:rFonts w:ascii="Times New Roman" w:hAnsi="Times New Roman" w:cs="Times New Roman"/>
          <w:noProof/>
        </w:rPr>
        <w:t>27</w:t>
      </w:r>
      <w:r w:rsidR="00B4546B" w:rsidRPr="00B4546B">
        <w:rPr>
          <w:rFonts w:ascii="Times New Roman" w:hAnsi="Times New Roman" w:cs="Times New Roman"/>
        </w:rPr>
        <w:fldChar w:fldCharType="end"/>
      </w:r>
      <w:r w:rsidR="00B4546B" w:rsidRPr="00B4546B">
        <w:rPr>
          <w:rFonts w:ascii="Times New Roman" w:hAnsi="Times New Roman" w:cs="Times New Roman"/>
        </w:rPr>
        <w:t>:</w:t>
      </w:r>
      <w:r w:rsidRPr="00B4546B">
        <w:rPr>
          <w:rFonts w:ascii="Times New Roman" w:hAnsi="Times New Roman" w:cs="Times New Roman"/>
          <w:szCs w:val="22"/>
        </w:rPr>
        <w:t xml:space="preserve"> SC </w:t>
      </w:r>
      <w:r w:rsidR="00606B8D">
        <w:rPr>
          <w:rFonts w:ascii="Times New Roman" w:hAnsi="Times New Roman" w:cs="Times New Roman"/>
          <w:szCs w:val="22"/>
        </w:rPr>
        <w:t>2</w:t>
      </w:r>
      <w:r w:rsidRPr="00B4546B">
        <w:rPr>
          <w:rFonts w:ascii="Times New Roman" w:hAnsi="Times New Roman" w:cs="Times New Roman"/>
          <w:szCs w:val="22"/>
        </w:rPr>
        <w:t>.2: Dimenze 7 – ESF+, ERDF, CF a JTF a dimenze rovnosti žen a mužů</w:t>
      </w:r>
    </w:p>
    <w:tbl>
      <w:tblPr>
        <w:tblStyle w:val="Tabulkasmkou4zvraznn1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6"/>
        <w:gridCol w:w="1047"/>
        <w:gridCol w:w="2125"/>
        <w:gridCol w:w="1961"/>
        <w:gridCol w:w="1462"/>
        <w:gridCol w:w="1958"/>
      </w:tblGrid>
      <w:tr w:rsidR="00606B8D" w:rsidRPr="00EC6162" w:rsidTr="001623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606B8D" w:rsidRPr="00EC6162" w:rsidRDefault="00606B8D" w:rsidP="00BA036D">
            <w:pPr>
              <w:spacing w:before="0" w:after="0" w:line="276" w:lineRule="auto"/>
              <w:jc w:val="center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Číslo priority</w:t>
            </w:r>
          </w:p>
        </w:tc>
        <w:tc>
          <w:tcPr>
            <w:tcW w:w="104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606B8D" w:rsidRPr="00EC6162" w:rsidRDefault="00606B8D" w:rsidP="00BA036D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Fond</w:t>
            </w:r>
          </w:p>
        </w:tc>
        <w:tc>
          <w:tcPr>
            <w:tcW w:w="212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606B8D" w:rsidRPr="00EC6162" w:rsidRDefault="00606B8D" w:rsidP="00BA036D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Kategorie regionu</w:t>
            </w:r>
          </w:p>
        </w:tc>
        <w:tc>
          <w:tcPr>
            <w:tcW w:w="19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</w:tcPr>
          <w:p w:rsidR="00606B8D" w:rsidRPr="00EC6162" w:rsidRDefault="00606B8D" w:rsidP="00BA036D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Specifický cíl</w:t>
            </w:r>
          </w:p>
        </w:tc>
        <w:tc>
          <w:tcPr>
            <w:tcW w:w="14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606B8D" w:rsidRPr="00EC6162" w:rsidRDefault="00606B8D" w:rsidP="00BA036D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Kód</w:t>
            </w:r>
          </w:p>
        </w:tc>
        <w:tc>
          <w:tcPr>
            <w:tcW w:w="19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606B8D" w:rsidRPr="00EC6162" w:rsidRDefault="00606B8D" w:rsidP="00BA036D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Částka (v EUR)</w:t>
            </w:r>
          </w:p>
        </w:tc>
      </w:tr>
      <w:tr w:rsidR="00606B8D" w:rsidRPr="00F61950" w:rsidTr="00BA03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 w:val="restart"/>
            <w:shd w:val="clear" w:color="auto" w:fill="DEEAF6" w:themeFill="accent5" w:themeFillTint="33"/>
          </w:tcPr>
          <w:p w:rsidR="00606B8D" w:rsidRPr="0013141D" w:rsidRDefault="00606B8D" w:rsidP="00BA036D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b w:val="0"/>
                <w:iCs/>
                <w:noProof/>
                <w:sz w:val="18"/>
                <w:szCs w:val="18"/>
              </w:rPr>
              <w:t>P</w:t>
            </w:r>
            <w:r>
              <w:rPr>
                <w:rFonts w:eastAsia="Times New Roman"/>
                <w:b w:val="0"/>
                <w:iCs/>
                <w:noProof/>
                <w:sz w:val="18"/>
                <w:szCs w:val="18"/>
              </w:rPr>
              <w:t>2</w:t>
            </w:r>
          </w:p>
        </w:tc>
        <w:tc>
          <w:tcPr>
            <w:tcW w:w="1047" w:type="dxa"/>
            <w:vMerge w:val="restart"/>
            <w:shd w:val="clear" w:color="auto" w:fill="DEEAF6" w:themeFill="accent5" w:themeFillTint="33"/>
          </w:tcPr>
          <w:p w:rsidR="00606B8D" w:rsidRPr="0013141D" w:rsidRDefault="00606B8D" w:rsidP="00BA036D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noProof/>
                <w:sz w:val="18"/>
                <w:szCs w:val="18"/>
              </w:rPr>
              <w:t>ESF</w:t>
            </w:r>
            <w:r w:rsidRPr="00376202">
              <w:rPr>
                <w:rFonts w:eastAsia="Times New Roman"/>
                <w:noProof/>
                <w:sz w:val="18"/>
                <w:szCs w:val="18"/>
              </w:rPr>
              <w:t>+</w:t>
            </w:r>
          </w:p>
        </w:tc>
        <w:tc>
          <w:tcPr>
            <w:tcW w:w="2125" w:type="dxa"/>
            <w:shd w:val="clear" w:color="auto" w:fill="DEEAF6" w:themeFill="accent5" w:themeFillTint="33"/>
          </w:tcPr>
          <w:p w:rsidR="00606B8D" w:rsidRPr="0013141D" w:rsidRDefault="00606B8D" w:rsidP="00BA036D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Více rozvinuté</w:t>
            </w:r>
          </w:p>
        </w:tc>
        <w:tc>
          <w:tcPr>
            <w:tcW w:w="1961" w:type="dxa"/>
            <w:vMerge w:val="restart"/>
            <w:shd w:val="clear" w:color="auto" w:fill="DEEAF6" w:themeFill="accent5" w:themeFillTint="33"/>
            <w:vAlign w:val="center"/>
          </w:tcPr>
          <w:p w:rsidR="00606B8D" w:rsidRPr="0013141D" w:rsidRDefault="005E114E" w:rsidP="00BA036D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iCs/>
                <w:noProof/>
                <w:sz w:val="18"/>
                <w:szCs w:val="18"/>
              </w:rPr>
              <w:t>2.2</w:t>
            </w:r>
          </w:p>
        </w:tc>
        <w:tc>
          <w:tcPr>
            <w:tcW w:w="1462" w:type="dxa"/>
            <w:vMerge w:val="restart"/>
            <w:shd w:val="clear" w:color="auto" w:fill="DEEAF6" w:themeFill="accent5" w:themeFillTint="33"/>
            <w:vAlign w:val="center"/>
          </w:tcPr>
          <w:p w:rsidR="00606B8D" w:rsidRPr="0013141D" w:rsidRDefault="005E114E" w:rsidP="00BA036D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iCs/>
                <w:noProof/>
                <w:sz w:val="18"/>
                <w:szCs w:val="18"/>
              </w:rPr>
              <w:t>3</w:t>
            </w: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606B8D" w:rsidRPr="00F61950" w:rsidRDefault="005E114E" w:rsidP="00BA036D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 w:rsidRPr="005E114E">
              <w:rPr>
                <w:rFonts w:eastAsia="Times New Roman"/>
                <w:noProof/>
                <w:sz w:val="18"/>
                <w:szCs w:val="18"/>
              </w:rPr>
              <w:t xml:space="preserve">                   2 262 260    </w:t>
            </w:r>
          </w:p>
        </w:tc>
      </w:tr>
      <w:tr w:rsidR="00606B8D" w:rsidRPr="00F61950" w:rsidTr="00BA036D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606B8D" w:rsidRPr="0013141D" w:rsidRDefault="00606B8D" w:rsidP="00BA036D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606B8D" w:rsidRPr="0013141D" w:rsidRDefault="00606B8D" w:rsidP="00BA036D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606B8D" w:rsidRPr="0013141D" w:rsidRDefault="00606B8D" w:rsidP="00BA036D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Přechodové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606B8D" w:rsidRPr="0013141D" w:rsidRDefault="00606B8D" w:rsidP="00BA036D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606B8D" w:rsidRPr="0013141D" w:rsidRDefault="00606B8D" w:rsidP="00BA036D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606B8D" w:rsidRPr="00F61950" w:rsidRDefault="005E114E" w:rsidP="00BA036D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 w:rsidRPr="005E114E">
              <w:rPr>
                <w:rFonts w:eastAsia="Times New Roman"/>
                <w:noProof/>
                <w:sz w:val="18"/>
                <w:szCs w:val="18"/>
              </w:rPr>
              <w:t xml:space="preserve">              171 080 220    </w:t>
            </w:r>
          </w:p>
        </w:tc>
      </w:tr>
      <w:tr w:rsidR="00606B8D" w:rsidRPr="00F61950" w:rsidTr="00BA03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606B8D" w:rsidRPr="0013141D" w:rsidRDefault="00606B8D" w:rsidP="00BA036D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606B8D" w:rsidRPr="0013141D" w:rsidRDefault="00606B8D" w:rsidP="00BA036D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606B8D" w:rsidRPr="0013141D" w:rsidRDefault="00606B8D" w:rsidP="00BA036D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Méně rozvinuté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606B8D" w:rsidRPr="0013141D" w:rsidRDefault="00606B8D" w:rsidP="00BA036D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606B8D" w:rsidRPr="0013141D" w:rsidRDefault="00606B8D" w:rsidP="00BA036D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606B8D" w:rsidRPr="00F61950" w:rsidRDefault="005E114E" w:rsidP="00BA036D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 w:rsidRPr="005E114E">
              <w:rPr>
                <w:rFonts w:eastAsia="Times New Roman"/>
                <w:noProof/>
                <w:sz w:val="18"/>
                <w:szCs w:val="18"/>
              </w:rPr>
              <w:t xml:space="preserve">              190 709 458    </w:t>
            </w:r>
          </w:p>
        </w:tc>
      </w:tr>
    </w:tbl>
    <w:p w:rsidR="00B82797" w:rsidRPr="00B175FB" w:rsidRDefault="00B82797" w:rsidP="00C12B88">
      <w:pPr>
        <w:pStyle w:val="Titulek"/>
        <w:rPr>
          <w:rFonts w:eastAsia="Times New Roman"/>
          <w:i/>
          <w:noProof/>
          <w:szCs w:val="24"/>
        </w:rPr>
      </w:pPr>
    </w:p>
    <w:p w:rsidR="004C55F4" w:rsidRPr="00B175FB" w:rsidRDefault="006C0FF9" w:rsidP="00636242">
      <w:pPr>
        <w:pStyle w:val="Nadpis3"/>
        <w:rPr>
          <w:b/>
          <w:color w:val="1F4E79" w:themeColor="accent5" w:themeShade="80"/>
          <w:lang w:val="cs-CZ" w:eastAsia="cs-CZ" w:bidi="cs-CZ"/>
        </w:rPr>
      </w:pPr>
      <w:bookmarkStart w:id="171" w:name="_Toc66476057"/>
      <w:bookmarkStart w:id="172" w:name="_Toc68611015"/>
      <w:r w:rsidRPr="00B175FB">
        <w:rPr>
          <w:b/>
          <w:color w:val="1F4E79" w:themeColor="accent5" w:themeShade="80"/>
          <w:lang w:val="cs-CZ" w:eastAsia="cs-CZ" w:bidi="cs-CZ"/>
        </w:rPr>
        <w:t xml:space="preserve">SC 2.3 </w:t>
      </w:r>
      <w:r w:rsidR="00955459">
        <w:rPr>
          <w:b/>
          <w:color w:val="1F4E79" w:themeColor="accent5" w:themeShade="80"/>
          <w:lang w:val="cs-CZ" w:eastAsia="cs-CZ" w:bidi="cs-CZ"/>
        </w:rPr>
        <w:t>P</w:t>
      </w:r>
      <w:r w:rsidR="00955459" w:rsidRPr="00955459">
        <w:rPr>
          <w:b/>
          <w:color w:val="1F4E79" w:themeColor="accent5" w:themeShade="80"/>
          <w:lang w:val="cs-CZ" w:eastAsia="cs-CZ" w:bidi="cs-CZ"/>
        </w:rPr>
        <w:t>rosazovat rovný přístup ke kvalitnímu a inkluzivnímu vzdělávání a odborné přípravě a jejich úspěšnému ukončení, a to zejména v případě znevýhodněných skupin, od</w:t>
      </w:r>
      <w:r w:rsidR="00525FCB">
        <w:rPr>
          <w:b/>
          <w:color w:val="1F4E79" w:themeColor="accent5" w:themeShade="80"/>
          <w:lang w:val="cs-CZ" w:eastAsia="cs-CZ" w:bidi="cs-CZ"/>
        </w:rPr>
        <w:t> </w:t>
      </w:r>
      <w:r w:rsidR="00955459" w:rsidRPr="00955459">
        <w:rPr>
          <w:b/>
          <w:color w:val="1F4E79" w:themeColor="accent5" w:themeShade="80"/>
          <w:lang w:val="cs-CZ" w:eastAsia="cs-CZ" w:bidi="cs-CZ"/>
        </w:rPr>
        <w:t>předškolního vzdělávání a péče, přes všeobecné vzdělávání a odborné vzdělávání a</w:t>
      </w:r>
      <w:r w:rsidR="00515379">
        <w:rPr>
          <w:b/>
          <w:color w:val="1F4E79" w:themeColor="accent5" w:themeShade="80"/>
          <w:lang w:val="cs-CZ" w:eastAsia="cs-CZ" w:bidi="cs-CZ"/>
        </w:rPr>
        <w:t> </w:t>
      </w:r>
      <w:r w:rsidR="00955459" w:rsidRPr="00955459">
        <w:rPr>
          <w:b/>
          <w:color w:val="1F4E79" w:themeColor="accent5" w:themeShade="80"/>
          <w:lang w:val="cs-CZ" w:eastAsia="cs-CZ" w:bidi="cs-CZ"/>
        </w:rPr>
        <w:t>přípravu až po terciární úroveň, jakož i vzdělávání a studium dospělých, včetně usnadnění vzdělávací mobility pro všechny a přístupnosti pro osoby se zdravotním postižením</w:t>
      </w:r>
      <w:bookmarkEnd w:id="166"/>
      <w:bookmarkEnd w:id="171"/>
      <w:bookmarkEnd w:id="172"/>
    </w:p>
    <w:p w:rsidR="004C55F4" w:rsidRPr="00544C7D" w:rsidRDefault="000774D7" w:rsidP="00544C7D">
      <w:pPr>
        <w:pStyle w:val="Nadpis4"/>
        <w:rPr>
          <w:b/>
          <w:color w:val="1F4E79" w:themeColor="accent5" w:themeShade="80"/>
          <w:lang w:val="cs-CZ" w:eastAsia="cs-CZ" w:bidi="cs-CZ"/>
        </w:rPr>
      </w:pPr>
      <w:bookmarkStart w:id="173" w:name="_Toc66476058"/>
      <w:bookmarkStart w:id="174" w:name="_Toc68611016"/>
      <w:r w:rsidRPr="00544C7D">
        <w:rPr>
          <w:b/>
          <w:color w:val="1F4E79" w:themeColor="accent5" w:themeShade="80"/>
          <w:lang w:val="cs-CZ" w:eastAsia="cs-CZ" w:bidi="cs-CZ"/>
        </w:rPr>
        <w:t>Intervence fondů</w:t>
      </w:r>
      <w:bookmarkEnd w:id="173"/>
      <w:bookmarkEnd w:id="174"/>
    </w:p>
    <w:p w:rsidR="004005FF" w:rsidRPr="00B175FB" w:rsidRDefault="004005FF" w:rsidP="00227AF7">
      <w:pPr>
        <w:spacing w:before="0" w:line="276" w:lineRule="auto"/>
        <w:rPr>
          <w:rFonts w:eastAsia="Times New Roman"/>
          <w:b/>
          <w:bCs/>
          <w:i/>
          <w:iCs/>
          <w:noProof/>
          <w:szCs w:val="24"/>
          <w:u w:val="single"/>
        </w:rPr>
      </w:pPr>
      <w:r w:rsidRPr="00B175FB">
        <w:rPr>
          <w:rFonts w:eastAsia="Times New Roman"/>
          <w:b/>
          <w:i/>
          <w:noProof/>
          <w:szCs w:val="24"/>
        </w:rPr>
        <w:t>Související druhy č</w:t>
      </w:r>
      <w:r w:rsidR="00595F28" w:rsidRPr="00B175FB">
        <w:rPr>
          <w:rFonts w:eastAsia="Times New Roman"/>
          <w:b/>
          <w:i/>
          <w:noProof/>
          <w:szCs w:val="24"/>
        </w:rPr>
        <w:t>i</w:t>
      </w:r>
      <w:r w:rsidRPr="00B175FB">
        <w:rPr>
          <w:rFonts w:eastAsia="Times New Roman"/>
          <w:b/>
          <w:i/>
          <w:noProof/>
          <w:szCs w:val="24"/>
        </w:rPr>
        <w:t xml:space="preserve">nností </w:t>
      </w:r>
      <w:r w:rsidRPr="00B175FB">
        <w:rPr>
          <w:rFonts w:eastAsia="Times New Roman"/>
          <w:i/>
          <w:noProof/>
          <w:szCs w:val="24"/>
        </w:rPr>
        <w:t xml:space="preserve"> </w:t>
      </w: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4C55F4" w:rsidRPr="00B175FB" w:rsidTr="000C0BC3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48A" w:rsidRPr="00B175FB" w:rsidRDefault="00332D4F" w:rsidP="00DB5B75">
            <w:pPr>
              <w:spacing w:line="276" w:lineRule="auto"/>
              <w:jc w:val="both"/>
              <w:rPr>
                <w:rFonts w:eastAsia="Times New Roman"/>
                <w:sz w:val="22"/>
              </w:rPr>
            </w:pPr>
            <w:bookmarkStart w:id="175" w:name="_Hlk21334438"/>
            <w:r w:rsidRPr="00B175FB">
              <w:rPr>
                <w:rFonts w:eastAsia="Times New Roman"/>
                <w:sz w:val="22"/>
              </w:rPr>
              <w:t xml:space="preserve">Intervence budou cílit na podporu </w:t>
            </w:r>
            <w:r w:rsidR="00F16AE4" w:rsidRPr="00B175FB">
              <w:rPr>
                <w:rFonts w:eastAsia="Times New Roman"/>
                <w:sz w:val="22"/>
              </w:rPr>
              <w:t xml:space="preserve">dětí, žáků a studentů </w:t>
            </w:r>
            <w:r w:rsidRPr="00B175FB">
              <w:rPr>
                <w:rFonts w:eastAsia="Times New Roman"/>
                <w:sz w:val="22"/>
              </w:rPr>
              <w:t>se s</w:t>
            </w:r>
            <w:r w:rsidR="001A3F92" w:rsidRPr="00B175FB">
              <w:rPr>
                <w:rFonts w:eastAsia="Times New Roman"/>
                <w:sz w:val="22"/>
              </w:rPr>
              <w:t>peciálními vzdělávacími</w:t>
            </w:r>
            <w:r w:rsidRPr="00B175FB">
              <w:rPr>
                <w:rFonts w:eastAsia="Times New Roman"/>
                <w:sz w:val="22"/>
              </w:rPr>
              <w:t xml:space="preserve"> </w:t>
            </w:r>
            <w:r w:rsidR="00D71A39" w:rsidRPr="00B175FB">
              <w:rPr>
                <w:rFonts w:eastAsia="Times New Roman"/>
                <w:sz w:val="22"/>
              </w:rPr>
              <w:t>potřebami</w:t>
            </w:r>
            <w:r w:rsidRPr="00B175FB">
              <w:rPr>
                <w:rFonts w:eastAsia="Times New Roman"/>
                <w:sz w:val="22"/>
              </w:rPr>
              <w:t xml:space="preserve">, </w:t>
            </w:r>
            <w:r w:rsidR="00391DC8" w:rsidRPr="00B175FB">
              <w:rPr>
                <w:rFonts w:eastAsia="Times New Roman"/>
                <w:sz w:val="22"/>
              </w:rPr>
              <w:t>nejen na</w:t>
            </w:r>
            <w:r w:rsidR="006472D7" w:rsidRPr="00B175FB">
              <w:rPr>
                <w:rFonts w:eastAsia="Times New Roman"/>
                <w:sz w:val="22"/>
              </w:rPr>
              <w:t> </w:t>
            </w:r>
            <w:r w:rsidR="00F16AE4" w:rsidRPr="00B175FB">
              <w:rPr>
                <w:rFonts w:eastAsia="Times New Roman"/>
                <w:sz w:val="22"/>
              </w:rPr>
              <w:t>ty</w:t>
            </w:r>
            <w:r w:rsidR="006472D7" w:rsidRPr="00B175FB">
              <w:rPr>
                <w:rFonts w:eastAsia="Times New Roman"/>
                <w:sz w:val="22"/>
              </w:rPr>
              <w:t> </w:t>
            </w:r>
            <w:r w:rsidR="00F16AE4" w:rsidRPr="00B175FB">
              <w:rPr>
                <w:rFonts w:eastAsia="Times New Roman"/>
                <w:sz w:val="22"/>
              </w:rPr>
              <w:t xml:space="preserve">s různými formami znevýhodnění, ale i na </w:t>
            </w:r>
            <w:r w:rsidRPr="00B175FB">
              <w:rPr>
                <w:rFonts w:eastAsia="Times New Roman"/>
                <w:sz w:val="22"/>
              </w:rPr>
              <w:t>nadan</w:t>
            </w:r>
            <w:r w:rsidR="00F16AE4" w:rsidRPr="00B175FB">
              <w:rPr>
                <w:rFonts w:eastAsia="Times New Roman"/>
                <w:sz w:val="22"/>
              </w:rPr>
              <w:t>é</w:t>
            </w:r>
            <w:r w:rsidRPr="00B175FB">
              <w:rPr>
                <w:rFonts w:eastAsia="Times New Roman"/>
                <w:sz w:val="22"/>
              </w:rPr>
              <w:t xml:space="preserve">. Základním východiskem pro účinnou podporu je sběr a vyhodnocování dat (kvantitativních a kvalitativních) o </w:t>
            </w:r>
            <w:r w:rsidR="00F16AE4" w:rsidRPr="00B175FB">
              <w:rPr>
                <w:rFonts w:eastAsia="Times New Roman"/>
                <w:sz w:val="22"/>
              </w:rPr>
              <w:t>dětech</w:t>
            </w:r>
            <w:r w:rsidR="00184424" w:rsidRPr="00B175FB">
              <w:rPr>
                <w:rFonts w:eastAsia="Times New Roman"/>
                <w:sz w:val="22"/>
              </w:rPr>
              <w:t>, žácích, studentech a</w:t>
            </w:r>
            <w:r w:rsidRPr="00B175FB">
              <w:rPr>
                <w:rFonts w:eastAsia="Times New Roman"/>
                <w:sz w:val="22"/>
              </w:rPr>
              <w:t xml:space="preserve"> absolventech</w:t>
            </w:r>
            <w:r w:rsidR="0069433B" w:rsidRPr="00B175FB">
              <w:rPr>
                <w:rFonts w:eastAsia="Times New Roman"/>
                <w:sz w:val="22"/>
              </w:rPr>
              <w:t xml:space="preserve"> a jejich fungování v heterogenním kolektivu</w:t>
            </w:r>
            <w:r w:rsidRPr="00B175FB">
              <w:rPr>
                <w:rFonts w:eastAsia="Times New Roman"/>
                <w:sz w:val="22"/>
              </w:rPr>
              <w:t xml:space="preserve">. </w:t>
            </w:r>
            <w:r w:rsidR="0038444E" w:rsidRPr="00B175FB">
              <w:rPr>
                <w:rFonts w:eastAsia="Times New Roman"/>
                <w:sz w:val="22"/>
              </w:rPr>
              <w:t xml:space="preserve">Podporované aktivity povedou k </w:t>
            </w:r>
            <w:r w:rsidRPr="00B175FB">
              <w:rPr>
                <w:rFonts w:eastAsia="Times New Roman"/>
                <w:sz w:val="22"/>
              </w:rPr>
              <w:t>odstraňování bariér v přístupu ke</w:t>
            </w:r>
            <w:r w:rsidR="006472D7" w:rsidRPr="00B175FB">
              <w:rPr>
                <w:rFonts w:eastAsia="Times New Roman"/>
                <w:sz w:val="22"/>
              </w:rPr>
              <w:t> </w:t>
            </w:r>
            <w:r w:rsidRPr="00B175FB">
              <w:rPr>
                <w:rFonts w:eastAsia="Times New Roman"/>
                <w:sz w:val="22"/>
              </w:rPr>
              <w:t xml:space="preserve">vzdělávání a zvýšení rovnosti a spravedlnosti </w:t>
            </w:r>
            <w:r w:rsidR="00D71A39" w:rsidRPr="00B175FB">
              <w:rPr>
                <w:rFonts w:eastAsia="Times New Roman"/>
                <w:sz w:val="22"/>
              </w:rPr>
              <w:t>ve</w:t>
            </w:r>
            <w:r w:rsidRPr="00B175FB">
              <w:rPr>
                <w:rFonts w:eastAsia="Times New Roman"/>
                <w:sz w:val="22"/>
              </w:rPr>
              <w:t xml:space="preserve"> všech typech škol a </w:t>
            </w:r>
            <w:r w:rsidR="00D71A39" w:rsidRPr="00B175FB">
              <w:rPr>
                <w:rFonts w:eastAsia="Times New Roman"/>
                <w:sz w:val="22"/>
              </w:rPr>
              <w:t>na</w:t>
            </w:r>
            <w:r w:rsidRPr="00B175FB">
              <w:rPr>
                <w:rFonts w:eastAsia="Times New Roman"/>
                <w:sz w:val="22"/>
              </w:rPr>
              <w:t xml:space="preserve"> všech </w:t>
            </w:r>
            <w:r w:rsidR="00F16AE4" w:rsidRPr="00B175FB">
              <w:rPr>
                <w:rFonts w:eastAsia="Times New Roman"/>
                <w:sz w:val="22"/>
              </w:rPr>
              <w:t xml:space="preserve">úrovních </w:t>
            </w:r>
            <w:r w:rsidRPr="00B175FB">
              <w:rPr>
                <w:rFonts w:eastAsia="Times New Roman"/>
                <w:sz w:val="22"/>
              </w:rPr>
              <w:t>vzdělávání.</w:t>
            </w:r>
            <w:r w:rsidRPr="00B175FB">
              <w:rPr>
                <w:rFonts w:eastAsia="Times New Roman"/>
                <w:i/>
                <w:sz w:val="22"/>
              </w:rPr>
              <w:t xml:space="preserve"> </w:t>
            </w:r>
            <w:r w:rsidRPr="00B175FB">
              <w:rPr>
                <w:rFonts w:eastAsia="Times New Roman"/>
                <w:sz w:val="22"/>
              </w:rPr>
              <w:t xml:space="preserve">Nezbytnou podmínkou pro naplnění cílů </w:t>
            </w:r>
            <w:r w:rsidR="00EC048A" w:rsidRPr="00B175FB">
              <w:rPr>
                <w:rFonts w:eastAsia="Times New Roman"/>
                <w:sz w:val="22"/>
              </w:rPr>
              <w:t>intervencí je zvýšení odborné způsobilosti pedagogických i</w:t>
            </w:r>
            <w:r w:rsidR="006472D7" w:rsidRPr="00B175FB">
              <w:rPr>
                <w:rFonts w:eastAsia="Times New Roman"/>
                <w:sz w:val="22"/>
              </w:rPr>
              <w:t> </w:t>
            </w:r>
            <w:r w:rsidR="00EC048A" w:rsidRPr="00B175FB">
              <w:rPr>
                <w:rFonts w:eastAsia="Times New Roman"/>
                <w:sz w:val="22"/>
              </w:rPr>
              <w:t xml:space="preserve">nepedagogických </w:t>
            </w:r>
            <w:r w:rsidR="00556086" w:rsidRPr="00B175FB">
              <w:rPr>
                <w:rFonts w:eastAsia="Times New Roman"/>
                <w:sz w:val="22"/>
              </w:rPr>
              <w:t xml:space="preserve">a </w:t>
            </w:r>
            <w:r w:rsidR="00EC048A" w:rsidRPr="00B175FB">
              <w:rPr>
                <w:rFonts w:eastAsia="Times New Roman"/>
                <w:sz w:val="22"/>
              </w:rPr>
              <w:t>akademických i neakademických pracovníků pro práci s heterogenními skupinami</w:t>
            </w:r>
            <w:r w:rsidR="00C86C1C" w:rsidRPr="00B175FB">
              <w:rPr>
                <w:rFonts w:eastAsia="Times New Roman"/>
                <w:sz w:val="22"/>
              </w:rPr>
              <w:t>.</w:t>
            </w:r>
            <w:r w:rsidR="001F4A1E" w:rsidRPr="00B175FB">
              <w:rPr>
                <w:rFonts w:eastAsia="Times New Roman"/>
                <w:sz w:val="22"/>
              </w:rPr>
              <w:t xml:space="preserve"> Jako</w:t>
            </w:r>
            <w:r w:rsidR="006472D7" w:rsidRPr="00B175FB">
              <w:rPr>
                <w:rFonts w:eastAsia="Times New Roman"/>
                <w:sz w:val="22"/>
              </w:rPr>
              <w:t> </w:t>
            </w:r>
            <w:r w:rsidR="001F4A1E" w:rsidRPr="00B175FB">
              <w:rPr>
                <w:rFonts w:eastAsia="Times New Roman"/>
                <w:sz w:val="22"/>
              </w:rPr>
              <w:t xml:space="preserve">specifický prvek </w:t>
            </w:r>
            <w:r w:rsidR="00874582" w:rsidRPr="00B175FB">
              <w:rPr>
                <w:rFonts w:eastAsia="Times New Roman"/>
                <w:sz w:val="22"/>
              </w:rPr>
              <w:t xml:space="preserve">ve </w:t>
            </w:r>
            <w:r w:rsidR="001F4A1E" w:rsidRPr="00B175FB">
              <w:rPr>
                <w:rFonts w:eastAsia="Times New Roman"/>
                <w:sz w:val="22"/>
              </w:rPr>
              <w:t xml:space="preserve">vzdělávání dětí a žáků budou také podporovány aktivity </w:t>
            </w:r>
            <w:r w:rsidR="00F83790" w:rsidRPr="00B175FB">
              <w:rPr>
                <w:rFonts w:eastAsia="Times New Roman"/>
                <w:sz w:val="22"/>
              </w:rPr>
              <w:t>neformální</w:t>
            </w:r>
            <w:r w:rsidR="001A3F92" w:rsidRPr="00B175FB">
              <w:rPr>
                <w:rFonts w:eastAsia="Times New Roman"/>
                <w:sz w:val="22"/>
              </w:rPr>
              <w:t>ho</w:t>
            </w:r>
            <w:r w:rsidR="0064546A">
              <w:rPr>
                <w:rFonts w:eastAsia="Times New Roman"/>
                <w:sz w:val="22"/>
              </w:rPr>
              <w:t xml:space="preserve">, </w:t>
            </w:r>
            <w:r w:rsidR="00874582" w:rsidRPr="00B175FB">
              <w:rPr>
                <w:rFonts w:eastAsia="Times New Roman"/>
                <w:sz w:val="22"/>
              </w:rPr>
              <w:t>zájmového</w:t>
            </w:r>
            <w:r w:rsidR="0064546A">
              <w:rPr>
                <w:rFonts w:eastAsia="Times New Roman"/>
                <w:sz w:val="22"/>
              </w:rPr>
              <w:t>, či</w:t>
            </w:r>
            <w:r w:rsidR="00E73A01">
              <w:rPr>
                <w:rFonts w:eastAsia="Times New Roman"/>
                <w:sz w:val="22"/>
              </w:rPr>
              <w:t> </w:t>
            </w:r>
            <w:r w:rsidR="0064546A">
              <w:rPr>
                <w:rFonts w:eastAsia="Times New Roman"/>
                <w:sz w:val="22"/>
              </w:rPr>
              <w:t xml:space="preserve">uměleckého </w:t>
            </w:r>
            <w:r w:rsidR="00F83790" w:rsidRPr="00B175FB">
              <w:rPr>
                <w:rFonts w:eastAsia="Times New Roman"/>
                <w:sz w:val="22"/>
              </w:rPr>
              <w:t xml:space="preserve">vzdělávání, jakož i </w:t>
            </w:r>
            <w:r w:rsidR="00874582" w:rsidRPr="00B175FB">
              <w:rPr>
                <w:rFonts w:eastAsia="Times New Roman"/>
                <w:sz w:val="22"/>
              </w:rPr>
              <w:t>spolupráce mezi školami a rodinami dětí a žáků</w:t>
            </w:r>
            <w:r w:rsidR="00987199">
              <w:rPr>
                <w:rFonts w:eastAsia="Times New Roman"/>
                <w:sz w:val="22"/>
              </w:rPr>
              <w:t>.</w:t>
            </w:r>
          </w:p>
          <w:p w:rsidR="00E841D6" w:rsidRPr="00B175FB" w:rsidRDefault="00E841D6" w:rsidP="0015017F">
            <w:pPr>
              <w:spacing w:line="276" w:lineRule="auto"/>
              <w:jc w:val="both"/>
              <w:rPr>
                <w:rFonts w:eastAsia="Times New Roman"/>
                <w:b/>
                <w:sz w:val="22"/>
              </w:rPr>
            </w:pPr>
            <w:r w:rsidRPr="00B175FB">
              <w:rPr>
                <w:rFonts w:eastAsia="Times New Roman"/>
                <w:b/>
                <w:sz w:val="22"/>
              </w:rPr>
              <w:t>Výsledkem intervencí bude:</w:t>
            </w:r>
          </w:p>
          <w:p w:rsidR="002547C2" w:rsidRPr="00B175FB" w:rsidRDefault="00470F4E" w:rsidP="006A2F6A">
            <w:pPr>
              <w:pStyle w:val="Odstavecseseznamem"/>
              <w:numPr>
                <w:ilvl w:val="0"/>
                <w:numId w:val="61"/>
              </w:numPr>
              <w:spacing w:line="276" w:lineRule="auto"/>
              <w:jc w:val="both"/>
              <w:rPr>
                <w:rFonts w:eastAsia="Times New Roman"/>
                <w:iCs/>
                <w:sz w:val="22"/>
              </w:rPr>
            </w:pPr>
            <w:r w:rsidRPr="00B175FB">
              <w:rPr>
                <w:rFonts w:eastAsia="Times New Roman"/>
                <w:iCs/>
                <w:sz w:val="22"/>
              </w:rPr>
              <w:t>s</w:t>
            </w:r>
            <w:r w:rsidR="002547C2" w:rsidRPr="00B175FB">
              <w:rPr>
                <w:rFonts w:eastAsia="Times New Roman"/>
                <w:iCs/>
                <w:sz w:val="22"/>
              </w:rPr>
              <w:t>nížení vzdělanostní nerovnosti a zvýšení sprav</w:t>
            </w:r>
            <w:r w:rsidRPr="00B175FB">
              <w:rPr>
                <w:rFonts w:eastAsia="Times New Roman"/>
                <w:iCs/>
                <w:sz w:val="22"/>
              </w:rPr>
              <w:t>edlnosti v přístupu ke vzdělání;</w:t>
            </w:r>
          </w:p>
          <w:p w:rsidR="002547C2" w:rsidRPr="00B175FB" w:rsidRDefault="00470F4E" w:rsidP="006A2F6A">
            <w:pPr>
              <w:pStyle w:val="Odstavecseseznamem"/>
              <w:numPr>
                <w:ilvl w:val="0"/>
                <w:numId w:val="61"/>
              </w:numPr>
              <w:spacing w:line="276" w:lineRule="auto"/>
              <w:jc w:val="both"/>
              <w:rPr>
                <w:rFonts w:eastAsia="Times New Roman"/>
                <w:iCs/>
                <w:sz w:val="22"/>
              </w:rPr>
            </w:pPr>
            <w:r w:rsidRPr="00B175FB">
              <w:rPr>
                <w:rFonts w:eastAsia="Times New Roman"/>
                <w:iCs/>
                <w:sz w:val="22"/>
              </w:rPr>
              <w:t>s</w:t>
            </w:r>
            <w:r w:rsidR="002547C2" w:rsidRPr="00B175FB">
              <w:rPr>
                <w:rFonts w:eastAsia="Times New Roman"/>
                <w:iCs/>
                <w:sz w:val="22"/>
              </w:rPr>
              <w:t xml:space="preserve">nížení studijní neúspěšnosti a </w:t>
            </w:r>
            <w:r w:rsidR="00F16AE4" w:rsidRPr="00B175FB">
              <w:rPr>
                <w:rFonts w:eastAsia="Times New Roman"/>
                <w:iCs/>
                <w:sz w:val="22"/>
              </w:rPr>
              <w:t xml:space="preserve">podílu </w:t>
            </w:r>
            <w:r w:rsidR="002547C2" w:rsidRPr="00B175FB">
              <w:rPr>
                <w:rFonts w:eastAsia="Times New Roman"/>
                <w:iCs/>
                <w:sz w:val="22"/>
              </w:rPr>
              <w:t>př</w:t>
            </w:r>
            <w:r w:rsidRPr="00B175FB">
              <w:rPr>
                <w:rFonts w:eastAsia="Times New Roman"/>
                <w:iCs/>
                <w:sz w:val="22"/>
              </w:rPr>
              <w:t>edčasných odchodů ze vzdělávání;</w:t>
            </w:r>
          </w:p>
          <w:p w:rsidR="00E841D6" w:rsidRPr="00B175FB" w:rsidRDefault="00470F4E" w:rsidP="006A2F6A">
            <w:pPr>
              <w:pStyle w:val="Odstavecseseznamem"/>
              <w:numPr>
                <w:ilvl w:val="0"/>
                <w:numId w:val="61"/>
              </w:numPr>
              <w:spacing w:line="276" w:lineRule="auto"/>
              <w:jc w:val="both"/>
              <w:rPr>
                <w:rFonts w:eastAsia="Times New Roman"/>
                <w:sz w:val="22"/>
              </w:rPr>
            </w:pPr>
            <w:r w:rsidRPr="00B175FB">
              <w:rPr>
                <w:rFonts w:eastAsia="Times New Roman"/>
                <w:sz w:val="22"/>
              </w:rPr>
              <w:t>z</w:t>
            </w:r>
            <w:r w:rsidR="00B708A8" w:rsidRPr="00B175FB">
              <w:rPr>
                <w:rFonts w:eastAsia="Times New Roman"/>
                <w:sz w:val="22"/>
              </w:rPr>
              <w:t xml:space="preserve">výšení počtu </w:t>
            </w:r>
            <w:r w:rsidR="00556086" w:rsidRPr="00B175FB">
              <w:rPr>
                <w:rFonts w:eastAsia="Times New Roman"/>
                <w:sz w:val="22"/>
              </w:rPr>
              <w:t>pedagogických i nepedagogických a akademických i neakademických pracovníků</w:t>
            </w:r>
            <w:r w:rsidR="00B708A8" w:rsidRPr="00B175FB">
              <w:rPr>
                <w:rFonts w:eastAsia="Times New Roman"/>
                <w:sz w:val="22"/>
              </w:rPr>
              <w:t>, kteří budou připraveni pro práci s </w:t>
            </w:r>
            <w:r w:rsidRPr="00B175FB">
              <w:rPr>
                <w:rFonts w:eastAsia="Times New Roman"/>
                <w:sz w:val="22"/>
              </w:rPr>
              <w:t>heterogenní skupinou;</w:t>
            </w:r>
          </w:p>
          <w:p w:rsidR="00B708A8" w:rsidRPr="00B175FB" w:rsidRDefault="00470F4E" w:rsidP="006A2F6A">
            <w:pPr>
              <w:pStyle w:val="Odstavecseseznamem"/>
              <w:numPr>
                <w:ilvl w:val="0"/>
                <w:numId w:val="61"/>
              </w:numPr>
              <w:spacing w:line="276" w:lineRule="auto"/>
              <w:jc w:val="both"/>
              <w:rPr>
                <w:rFonts w:eastAsia="Times New Roman"/>
                <w:iCs/>
                <w:sz w:val="22"/>
              </w:rPr>
            </w:pPr>
            <w:r w:rsidRPr="00B175FB">
              <w:rPr>
                <w:rFonts w:eastAsia="Times New Roman"/>
                <w:iCs/>
                <w:sz w:val="22"/>
              </w:rPr>
              <w:t>n</w:t>
            </w:r>
            <w:r w:rsidR="00900C25" w:rsidRPr="00B175FB">
              <w:rPr>
                <w:rFonts w:eastAsia="Times New Roman"/>
                <w:iCs/>
                <w:sz w:val="22"/>
              </w:rPr>
              <w:t>astavení univerzálního designu</w:t>
            </w:r>
            <w:r w:rsidR="00463AB8" w:rsidRPr="00B175FB">
              <w:rPr>
                <w:rStyle w:val="Znakapoznpodarou"/>
                <w:rFonts w:eastAsia="Times New Roman"/>
                <w:b w:val="0"/>
                <w:iCs/>
                <w:sz w:val="22"/>
              </w:rPr>
              <w:footnoteReference w:id="79"/>
            </w:r>
            <w:r w:rsidR="00900C25" w:rsidRPr="00B175FB">
              <w:rPr>
                <w:rFonts w:eastAsia="Times New Roman"/>
                <w:iCs/>
                <w:sz w:val="22"/>
              </w:rPr>
              <w:t xml:space="preserve"> vzdělávání žáků</w:t>
            </w:r>
            <w:r w:rsidR="007D54F4" w:rsidRPr="00B175FB">
              <w:rPr>
                <w:rFonts w:eastAsia="Times New Roman"/>
                <w:iCs/>
                <w:sz w:val="22"/>
              </w:rPr>
              <w:t>/</w:t>
            </w:r>
            <w:r w:rsidR="00BB5082" w:rsidRPr="00B175FB">
              <w:rPr>
                <w:rFonts w:eastAsia="Times New Roman"/>
                <w:iCs/>
                <w:sz w:val="22"/>
              </w:rPr>
              <w:t xml:space="preserve">studentů </w:t>
            </w:r>
            <w:r w:rsidR="00900C25" w:rsidRPr="00B175FB">
              <w:rPr>
                <w:rFonts w:eastAsia="Times New Roman"/>
                <w:iCs/>
                <w:sz w:val="22"/>
              </w:rPr>
              <w:t xml:space="preserve">se </w:t>
            </w:r>
            <w:r w:rsidR="00D70DB2" w:rsidRPr="00B175FB">
              <w:rPr>
                <w:rFonts w:eastAsia="Times New Roman"/>
                <w:iCs/>
                <w:sz w:val="22"/>
              </w:rPr>
              <w:t>speciálními</w:t>
            </w:r>
            <w:r w:rsidR="007D54F4" w:rsidRPr="00B175FB">
              <w:rPr>
                <w:rFonts w:eastAsia="Times New Roman"/>
                <w:iCs/>
                <w:sz w:val="22"/>
              </w:rPr>
              <w:t>/</w:t>
            </w:r>
            <w:r w:rsidR="003A151B" w:rsidRPr="00B175FB">
              <w:rPr>
                <w:rFonts w:eastAsia="Times New Roman"/>
                <w:iCs/>
                <w:sz w:val="22"/>
              </w:rPr>
              <w:t>specifickými</w:t>
            </w:r>
            <w:r w:rsidR="00D70DB2" w:rsidRPr="00B175FB" w:rsidDel="00BF48E6">
              <w:rPr>
                <w:rFonts w:eastAsia="Times New Roman"/>
                <w:iCs/>
                <w:sz w:val="22"/>
              </w:rPr>
              <w:t xml:space="preserve"> </w:t>
            </w:r>
            <w:r w:rsidR="00D70DB2" w:rsidRPr="00B175FB">
              <w:rPr>
                <w:rFonts w:eastAsia="Times New Roman"/>
                <w:iCs/>
                <w:sz w:val="22"/>
              </w:rPr>
              <w:t xml:space="preserve">vzdělávacími </w:t>
            </w:r>
            <w:r w:rsidR="00D71A39" w:rsidRPr="00B175FB">
              <w:rPr>
                <w:rFonts w:eastAsia="Times New Roman"/>
                <w:iCs/>
                <w:sz w:val="22"/>
              </w:rPr>
              <w:t>potřebami</w:t>
            </w:r>
            <w:r w:rsidR="00900C25" w:rsidRPr="00B175FB">
              <w:rPr>
                <w:rFonts w:eastAsia="Times New Roman"/>
                <w:iCs/>
                <w:sz w:val="22"/>
              </w:rPr>
              <w:t>.</w:t>
            </w:r>
          </w:p>
          <w:p w:rsidR="00CD74D7" w:rsidRDefault="00CD74D7" w:rsidP="0015017F">
            <w:pPr>
              <w:spacing w:line="276" w:lineRule="auto"/>
              <w:jc w:val="both"/>
              <w:rPr>
                <w:rFonts w:eastAsia="Times New Roman"/>
                <w:b/>
                <w:sz w:val="22"/>
              </w:rPr>
            </w:pPr>
          </w:p>
          <w:p w:rsidR="00EC048A" w:rsidRPr="00B175FB" w:rsidRDefault="00B46D33" w:rsidP="0015017F">
            <w:pPr>
              <w:spacing w:line="276" w:lineRule="auto"/>
              <w:jc w:val="both"/>
              <w:rPr>
                <w:rFonts w:eastAsia="Times New Roman"/>
                <w:b/>
                <w:sz w:val="22"/>
              </w:rPr>
            </w:pPr>
            <w:r w:rsidRPr="00B175FB">
              <w:rPr>
                <w:rFonts w:eastAsia="Times New Roman"/>
                <w:b/>
                <w:sz w:val="22"/>
              </w:rPr>
              <w:t>Příklady t</w:t>
            </w:r>
            <w:r w:rsidR="00EC048A" w:rsidRPr="00B175FB">
              <w:rPr>
                <w:rFonts w:eastAsia="Times New Roman"/>
                <w:b/>
                <w:sz w:val="22"/>
              </w:rPr>
              <w:t>yp</w:t>
            </w:r>
            <w:r w:rsidRPr="00B175FB">
              <w:rPr>
                <w:rFonts w:eastAsia="Times New Roman"/>
                <w:b/>
                <w:sz w:val="22"/>
              </w:rPr>
              <w:t>ových</w:t>
            </w:r>
            <w:r w:rsidR="00EC048A" w:rsidRPr="00B175FB">
              <w:rPr>
                <w:rFonts w:eastAsia="Times New Roman"/>
                <w:b/>
                <w:sz w:val="22"/>
              </w:rPr>
              <w:t xml:space="preserve"> podporovaných aktivit:</w:t>
            </w:r>
          </w:p>
          <w:p w:rsidR="008A2D44" w:rsidRPr="00B175FB" w:rsidRDefault="008A2D44" w:rsidP="008A2D44">
            <w:pPr>
              <w:spacing w:line="276" w:lineRule="auto"/>
              <w:rPr>
                <w:rFonts w:eastAsia="Times New Roman"/>
                <w:b/>
                <w:sz w:val="22"/>
              </w:rPr>
            </w:pPr>
            <w:r w:rsidRPr="00B175FB">
              <w:rPr>
                <w:rFonts w:eastAsia="Times New Roman"/>
                <w:b/>
                <w:sz w:val="22"/>
              </w:rPr>
              <w:t>Regionální vzdělávání</w:t>
            </w:r>
          </w:p>
          <w:p w:rsidR="00450DA5" w:rsidRPr="00B175FB" w:rsidRDefault="00450DA5" w:rsidP="0015017F">
            <w:pPr>
              <w:spacing w:line="276" w:lineRule="auto"/>
              <w:rPr>
                <w:rFonts w:eastAsia="Times New Roman"/>
                <w:iCs/>
                <w:sz w:val="22"/>
              </w:rPr>
            </w:pPr>
            <w:r w:rsidRPr="00B175FB">
              <w:rPr>
                <w:rFonts w:eastAsia="Times New Roman"/>
                <w:iCs/>
                <w:sz w:val="22"/>
              </w:rPr>
              <w:t>Rovnost ve vzdělávání</w:t>
            </w:r>
            <w:r w:rsidR="00470F4E" w:rsidRPr="00B175FB">
              <w:rPr>
                <w:rFonts w:eastAsia="Times New Roman"/>
                <w:iCs/>
                <w:sz w:val="22"/>
              </w:rPr>
              <w:t>:</w:t>
            </w:r>
          </w:p>
          <w:p w:rsidR="007347A8" w:rsidRPr="00B175FB" w:rsidRDefault="00470F4E" w:rsidP="006A2F6A">
            <w:pPr>
              <w:pStyle w:val="Odstavecseseznamem"/>
              <w:numPr>
                <w:ilvl w:val="0"/>
                <w:numId w:val="61"/>
              </w:numPr>
              <w:spacing w:line="276" w:lineRule="auto"/>
              <w:jc w:val="both"/>
              <w:rPr>
                <w:rFonts w:eastAsia="Times New Roman"/>
                <w:sz w:val="22"/>
              </w:rPr>
            </w:pPr>
            <w:r w:rsidRPr="00B175FB">
              <w:rPr>
                <w:rFonts w:eastAsia="Times New Roman"/>
                <w:iCs/>
                <w:sz w:val="22"/>
              </w:rPr>
              <w:t>s</w:t>
            </w:r>
            <w:r w:rsidR="000F6F86" w:rsidRPr="00B175FB">
              <w:rPr>
                <w:rFonts w:eastAsia="Times New Roman"/>
                <w:iCs/>
                <w:sz w:val="22"/>
              </w:rPr>
              <w:t>nížení nerovnosti v </w:t>
            </w:r>
            <w:r w:rsidR="007347A8" w:rsidRPr="00B175FB">
              <w:rPr>
                <w:rFonts w:eastAsia="Times New Roman"/>
                <w:iCs/>
                <w:sz w:val="22"/>
              </w:rPr>
              <w:t>kvalitě vzdělávání mezi jed</w:t>
            </w:r>
            <w:r w:rsidRPr="00B175FB">
              <w:rPr>
                <w:rFonts w:eastAsia="Times New Roman"/>
                <w:iCs/>
                <w:sz w:val="22"/>
              </w:rPr>
              <w:t>notlivými školami i uvnitř škol;</w:t>
            </w:r>
          </w:p>
          <w:p w:rsidR="00065ED3" w:rsidRPr="00B175FB" w:rsidRDefault="00470F4E" w:rsidP="006A2F6A">
            <w:pPr>
              <w:pStyle w:val="Odstavecseseznamem"/>
              <w:numPr>
                <w:ilvl w:val="0"/>
                <w:numId w:val="61"/>
              </w:numPr>
              <w:spacing w:line="276" w:lineRule="auto"/>
              <w:jc w:val="both"/>
              <w:rPr>
                <w:rFonts w:eastAsia="Times New Roman"/>
                <w:sz w:val="22"/>
              </w:rPr>
            </w:pPr>
            <w:r w:rsidRPr="00B175FB">
              <w:rPr>
                <w:rFonts w:eastAsia="Times New Roman"/>
                <w:sz w:val="22"/>
              </w:rPr>
              <w:t>p</w:t>
            </w:r>
            <w:r w:rsidR="00065ED3" w:rsidRPr="00B175FB">
              <w:rPr>
                <w:rFonts w:eastAsia="Times New Roman"/>
                <w:sz w:val="22"/>
              </w:rPr>
              <w:t>odpora nástrojů sloužících k prevenci vzniku segregovaných škol</w:t>
            </w:r>
            <w:r w:rsidRPr="00B175FB">
              <w:rPr>
                <w:rFonts w:eastAsia="Times New Roman"/>
                <w:sz w:val="22"/>
              </w:rPr>
              <w:t>;</w:t>
            </w:r>
          </w:p>
          <w:p w:rsidR="0001738B" w:rsidRPr="00B175FB" w:rsidRDefault="00470F4E" w:rsidP="006A2F6A">
            <w:pPr>
              <w:pStyle w:val="Odstavecseseznamem"/>
              <w:numPr>
                <w:ilvl w:val="0"/>
                <w:numId w:val="61"/>
              </w:numPr>
              <w:spacing w:line="276" w:lineRule="auto"/>
              <w:jc w:val="both"/>
              <w:rPr>
                <w:rFonts w:eastAsia="Times New Roman"/>
                <w:iCs/>
                <w:sz w:val="22"/>
              </w:rPr>
            </w:pPr>
            <w:r w:rsidRPr="00B175FB">
              <w:rPr>
                <w:rFonts w:eastAsia="Times New Roman"/>
                <w:iCs/>
                <w:sz w:val="22"/>
              </w:rPr>
              <w:t>p</w:t>
            </w:r>
            <w:r w:rsidR="0036279A" w:rsidRPr="00B175FB">
              <w:rPr>
                <w:rFonts w:eastAsia="Times New Roman"/>
                <w:iCs/>
                <w:sz w:val="22"/>
              </w:rPr>
              <w:t>odpora změn v procesu vzdělávání se zohledněním individuálních potřeb a schopností každého jednotlivce</w:t>
            </w:r>
            <w:r w:rsidRPr="00B175FB">
              <w:rPr>
                <w:rFonts w:eastAsia="Times New Roman"/>
                <w:iCs/>
                <w:sz w:val="22"/>
              </w:rPr>
              <w:t>;</w:t>
            </w:r>
          </w:p>
          <w:p w:rsidR="0036279A" w:rsidRPr="00B175FB" w:rsidRDefault="00470F4E" w:rsidP="006A2F6A">
            <w:pPr>
              <w:pStyle w:val="Odstavecseseznamem"/>
              <w:numPr>
                <w:ilvl w:val="0"/>
                <w:numId w:val="61"/>
              </w:numPr>
              <w:spacing w:line="276" w:lineRule="auto"/>
              <w:jc w:val="both"/>
              <w:rPr>
                <w:rFonts w:eastAsia="Times New Roman"/>
                <w:iCs/>
                <w:sz w:val="22"/>
              </w:rPr>
            </w:pPr>
            <w:r w:rsidRPr="00B175FB">
              <w:rPr>
                <w:rFonts w:eastAsia="Times New Roman"/>
                <w:iCs/>
                <w:sz w:val="22"/>
              </w:rPr>
              <w:t>v</w:t>
            </w:r>
            <w:r w:rsidR="0001738B" w:rsidRPr="00B175FB">
              <w:rPr>
                <w:rFonts w:eastAsia="Times New Roman"/>
                <w:iCs/>
                <w:sz w:val="22"/>
              </w:rPr>
              <w:t>ytváření</w:t>
            </w:r>
            <w:r w:rsidR="0036279A" w:rsidRPr="00B175FB">
              <w:rPr>
                <w:rFonts w:eastAsia="Times New Roman"/>
                <w:iCs/>
                <w:sz w:val="22"/>
              </w:rPr>
              <w:t xml:space="preserve"> bezpečného a stimulujícího prostředí motivujícího všechny děti, žáky, studenty a další účastníky vzdělávání k učení v průběhu celého života</w:t>
            </w:r>
            <w:r w:rsidRPr="00B175FB">
              <w:rPr>
                <w:rFonts w:eastAsia="Times New Roman"/>
                <w:iCs/>
                <w:sz w:val="22"/>
              </w:rPr>
              <w:t>;</w:t>
            </w:r>
          </w:p>
          <w:p w:rsidR="007347A8" w:rsidRPr="00B175FB" w:rsidRDefault="00470F4E" w:rsidP="006A2F6A">
            <w:pPr>
              <w:pStyle w:val="Odstavecseseznamem"/>
              <w:numPr>
                <w:ilvl w:val="0"/>
                <w:numId w:val="61"/>
              </w:numPr>
              <w:spacing w:line="276" w:lineRule="auto"/>
              <w:jc w:val="both"/>
              <w:rPr>
                <w:rFonts w:eastAsia="Times New Roman"/>
                <w:sz w:val="22"/>
              </w:rPr>
            </w:pPr>
            <w:r w:rsidRPr="00B175FB">
              <w:rPr>
                <w:rFonts w:eastAsia="Times New Roman"/>
                <w:sz w:val="22"/>
              </w:rPr>
              <w:t>p</w:t>
            </w:r>
            <w:r w:rsidR="007347A8" w:rsidRPr="00B175FB">
              <w:rPr>
                <w:rFonts w:eastAsia="Times New Roman"/>
                <w:sz w:val="22"/>
              </w:rPr>
              <w:t>odpora</w:t>
            </w:r>
            <w:r w:rsidR="00725E59" w:rsidRPr="00B175FB">
              <w:rPr>
                <w:rFonts w:eastAsia="Times New Roman"/>
                <w:sz w:val="22"/>
              </w:rPr>
              <w:t xml:space="preserve"> včasné identifikace a</w:t>
            </w:r>
            <w:r w:rsidR="007347A8" w:rsidRPr="00B175FB">
              <w:rPr>
                <w:rFonts w:eastAsia="Times New Roman"/>
                <w:sz w:val="22"/>
              </w:rPr>
              <w:t xml:space="preserve"> vnitřní diferenciace především v jednotlivých třídách, která umožní každému žákovi a</w:t>
            </w:r>
            <w:r w:rsidR="00E33E10" w:rsidRPr="00B175FB">
              <w:rPr>
                <w:rFonts w:eastAsia="Times New Roman"/>
                <w:sz w:val="22"/>
              </w:rPr>
              <w:t> </w:t>
            </w:r>
            <w:r w:rsidR="007347A8" w:rsidRPr="00B175FB">
              <w:rPr>
                <w:rFonts w:eastAsia="Times New Roman"/>
                <w:sz w:val="22"/>
              </w:rPr>
              <w:t xml:space="preserve">studentovi plně rozvinout své schopnosti ve společnosti všech svých vrstevníků </w:t>
            </w:r>
            <w:r w:rsidR="000F6F86" w:rsidRPr="00B175FB">
              <w:rPr>
                <w:rFonts w:eastAsia="Times New Roman"/>
                <w:sz w:val="22"/>
              </w:rPr>
              <w:t>za</w:t>
            </w:r>
            <w:r w:rsidR="00296558">
              <w:rPr>
                <w:rFonts w:eastAsia="Times New Roman"/>
                <w:sz w:val="22"/>
              </w:rPr>
              <w:t> </w:t>
            </w:r>
            <w:r w:rsidR="007347A8" w:rsidRPr="00B175FB">
              <w:rPr>
                <w:rFonts w:eastAsia="Times New Roman"/>
                <w:sz w:val="22"/>
              </w:rPr>
              <w:t>cílen</w:t>
            </w:r>
            <w:r w:rsidR="000F6F86" w:rsidRPr="00B175FB">
              <w:rPr>
                <w:rFonts w:eastAsia="Times New Roman"/>
                <w:sz w:val="22"/>
              </w:rPr>
              <w:t>é</w:t>
            </w:r>
            <w:r w:rsidR="007347A8" w:rsidRPr="00B175FB">
              <w:rPr>
                <w:rFonts w:eastAsia="Times New Roman"/>
                <w:sz w:val="22"/>
              </w:rPr>
              <w:t xml:space="preserve"> podpor</w:t>
            </w:r>
            <w:r w:rsidR="000F6F86" w:rsidRPr="00B175FB">
              <w:rPr>
                <w:rFonts w:eastAsia="Times New Roman"/>
                <w:sz w:val="22"/>
              </w:rPr>
              <w:t>y</w:t>
            </w:r>
            <w:r w:rsidRPr="00B175FB">
              <w:rPr>
                <w:rFonts w:eastAsia="Times New Roman"/>
                <w:sz w:val="22"/>
              </w:rPr>
              <w:t xml:space="preserve"> nadaných dětí, žáků a studentů;</w:t>
            </w:r>
          </w:p>
          <w:p w:rsidR="000F6F86" w:rsidRPr="00B175FB" w:rsidRDefault="00470F4E" w:rsidP="006A2F6A">
            <w:pPr>
              <w:pStyle w:val="Odstavecseseznamem"/>
              <w:numPr>
                <w:ilvl w:val="0"/>
                <w:numId w:val="61"/>
              </w:numPr>
              <w:spacing w:line="276" w:lineRule="auto"/>
              <w:jc w:val="both"/>
              <w:rPr>
                <w:rFonts w:eastAsia="Times New Roman"/>
                <w:sz w:val="22"/>
              </w:rPr>
            </w:pPr>
            <w:r w:rsidRPr="00B175FB">
              <w:rPr>
                <w:rFonts w:eastAsia="Times New Roman"/>
                <w:sz w:val="22"/>
              </w:rPr>
              <w:t>z</w:t>
            </w:r>
            <w:r w:rsidR="000F6F86" w:rsidRPr="00B175FB">
              <w:rPr>
                <w:rFonts w:eastAsia="Times New Roman"/>
                <w:sz w:val="22"/>
              </w:rPr>
              <w:t xml:space="preserve">lepšení vzdělávacího prostředí na všech typech škol, a to ve vazbě na snížení </w:t>
            </w:r>
            <w:r w:rsidR="00FD0069" w:rsidRPr="00B175FB">
              <w:rPr>
                <w:rFonts w:eastAsia="Times New Roman"/>
                <w:sz w:val="22"/>
              </w:rPr>
              <w:t>předčasných odchodů ze vzdělávání</w:t>
            </w:r>
            <w:r w:rsidR="00BD7AD7" w:rsidRPr="00B175FB">
              <w:rPr>
                <w:rFonts w:eastAsia="Times New Roman"/>
                <w:sz w:val="22"/>
              </w:rPr>
              <w:t>, zlepšení vzdělávacích výsledků</w:t>
            </w:r>
            <w:r w:rsidR="000F6F86" w:rsidRPr="00B175FB">
              <w:rPr>
                <w:rFonts w:eastAsia="Times New Roman"/>
                <w:sz w:val="22"/>
              </w:rPr>
              <w:t xml:space="preserve"> a zvýšení motivace a celkově well-</w:t>
            </w:r>
            <w:r w:rsidRPr="00B175FB">
              <w:rPr>
                <w:rFonts w:eastAsia="Times New Roman"/>
                <w:sz w:val="22"/>
              </w:rPr>
              <w:t>beingu žáků, studentů a učitelů;</w:t>
            </w:r>
          </w:p>
          <w:p w:rsidR="000F6F86" w:rsidRPr="00B175FB" w:rsidRDefault="00470F4E" w:rsidP="006A2F6A">
            <w:pPr>
              <w:pStyle w:val="Odstavecseseznamem"/>
              <w:numPr>
                <w:ilvl w:val="0"/>
                <w:numId w:val="61"/>
              </w:numPr>
              <w:spacing w:line="276" w:lineRule="auto"/>
              <w:jc w:val="both"/>
              <w:rPr>
                <w:rFonts w:eastAsia="Times New Roman"/>
                <w:sz w:val="22"/>
              </w:rPr>
            </w:pPr>
            <w:r w:rsidRPr="00B175FB">
              <w:rPr>
                <w:rFonts w:eastAsia="Times New Roman"/>
                <w:sz w:val="22"/>
              </w:rPr>
              <w:t>p</w:t>
            </w:r>
            <w:r w:rsidR="000F6F86" w:rsidRPr="00B175FB">
              <w:rPr>
                <w:rFonts w:eastAsia="Times New Roman"/>
                <w:sz w:val="22"/>
              </w:rPr>
              <w:t>odpora nástrojů vedoucích ke zvýšení účast</w:t>
            </w:r>
            <w:r w:rsidR="00D329AF">
              <w:rPr>
                <w:rFonts w:eastAsia="Times New Roman"/>
                <w:sz w:val="22"/>
              </w:rPr>
              <w:t>i</w:t>
            </w:r>
            <w:r w:rsidR="000F6F86" w:rsidRPr="00B175FB">
              <w:rPr>
                <w:rFonts w:eastAsia="Times New Roman"/>
                <w:sz w:val="22"/>
              </w:rPr>
              <w:t xml:space="preserve"> dětí pocházejících ze sociálně </w:t>
            </w:r>
            <w:r w:rsidR="003D1A2C" w:rsidRPr="00B175FB">
              <w:rPr>
                <w:rFonts w:eastAsia="Times New Roman"/>
                <w:sz w:val="22"/>
              </w:rPr>
              <w:t xml:space="preserve">znevýhodňujícího </w:t>
            </w:r>
            <w:r w:rsidR="000F6F86" w:rsidRPr="00B175FB">
              <w:rPr>
                <w:rFonts w:eastAsia="Times New Roman"/>
                <w:sz w:val="22"/>
              </w:rPr>
              <w:t>prostředí v předškolním vzdělávání, cíleně nástrojů vedoucích ke zvýšení účasti těcht</w:t>
            </w:r>
            <w:r w:rsidRPr="00B175FB">
              <w:rPr>
                <w:rFonts w:eastAsia="Times New Roman"/>
                <w:sz w:val="22"/>
              </w:rPr>
              <w:t>o dětí v</w:t>
            </w:r>
            <w:r w:rsidR="00F6272A" w:rsidRPr="00B175FB">
              <w:rPr>
                <w:rFonts w:eastAsia="Times New Roman"/>
                <w:sz w:val="22"/>
              </w:rPr>
              <w:t> </w:t>
            </w:r>
            <w:r w:rsidRPr="00B175FB">
              <w:rPr>
                <w:rFonts w:eastAsia="Times New Roman"/>
                <w:sz w:val="22"/>
              </w:rPr>
              <w:t>předškolním vzdělávání;</w:t>
            </w:r>
          </w:p>
          <w:p w:rsidR="007347A8" w:rsidRPr="00B175FB" w:rsidRDefault="00470F4E" w:rsidP="006A2F6A">
            <w:pPr>
              <w:pStyle w:val="Odstavecseseznamem"/>
              <w:numPr>
                <w:ilvl w:val="0"/>
                <w:numId w:val="61"/>
              </w:numPr>
              <w:spacing w:line="276" w:lineRule="auto"/>
              <w:jc w:val="both"/>
              <w:rPr>
                <w:rFonts w:eastAsia="Times New Roman"/>
                <w:sz w:val="22"/>
              </w:rPr>
            </w:pPr>
            <w:r w:rsidRPr="00B175FB">
              <w:rPr>
                <w:rFonts w:eastAsia="Times New Roman"/>
                <w:sz w:val="22"/>
              </w:rPr>
              <w:t>p</w:t>
            </w:r>
            <w:r w:rsidR="007347A8" w:rsidRPr="00B175FB">
              <w:rPr>
                <w:rFonts w:eastAsia="Times New Roman"/>
                <w:sz w:val="22"/>
              </w:rPr>
              <w:t xml:space="preserve">odpora nástrojů k eliminaci předčasných odchodů ze vzdělávání a předčasného ukončování školní docházky (např. výchovné, kariérní poradenství, prevence </w:t>
            </w:r>
            <w:r w:rsidR="00E34BBD">
              <w:rPr>
                <w:rFonts w:eastAsia="Times New Roman"/>
                <w:sz w:val="22"/>
              </w:rPr>
              <w:t>rizikového</w:t>
            </w:r>
            <w:r w:rsidR="005F03C2">
              <w:rPr>
                <w:rFonts w:eastAsia="Times New Roman"/>
                <w:sz w:val="22"/>
              </w:rPr>
              <w:t xml:space="preserve"> chování</w:t>
            </w:r>
            <w:r w:rsidRPr="00B175FB">
              <w:rPr>
                <w:rFonts w:eastAsia="Times New Roman"/>
                <w:sz w:val="22"/>
              </w:rPr>
              <w:t>);</w:t>
            </w:r>
          </w:p>
          <w:p w:rsidR="00C4380B" w:rsidRPr="00B175FB" w:rsidRDefault="00470F4E" w:rsidP="006A2F6A">
            <w:pPr>
              <w:pStyle w:val="Odstavecseseznamem"/>
              <w:numPr>
                <w:ilvl w:val="0"/>
                <w:numId w:val="61"/>
              </w:numPr>
              <w:spacing w:line="276" w:lineRule="auto"/>
              <w:jc w:val="both"/>
              <w:rPr>
                <w:rFonts w:eastAsia="Times New Roman"/>
                <w:sz w:val="22"/>
              </w:rPr>
            </w:pPr>
            <w:r w:rsidRPr="00B175FB">
              <w:rPr>
                <w:rFonts w:eastAsia="Times New Roman"/>
                <w:sz w:val="22"/>
              </w:rPr>
              <w:t>p</w:t>
            </w:r>
            <w:r w:rsidR="00C4380B" w:rsidRPr="00B175FB">
              <w:rPr>
                <w:rFonts w:eastAsia="Times New Roman"/>
                <w:sz w:val="22"/>
              </w:rPr>
              <w:t>odpora nediskriminačního přístupu k digitálním vzdělávacím zdrojům, prevence tzv. digitální propasti</w:t>
            </w:r>
            <w:r w:rsidRPr="00B175FB">
              <w:rPr>
                <w:rFonts w:eastAsia="Times New Roman"/>
                <w:sz w:val="22"/>
              </w:rPr>
              <w:t>;</w:t>
            </w:r>
          </w:p>
          <w:p w:rsidR="0036279A" w:rsidRDefault="00470F4E" w:rsidP="006A2F6A">
            <w:pPr>
              <w:pStyle w:val="Odstavecseseznamem"/>
              <w:numPr>
                <w:ilvl w:val="0"/>
                <w:numId w:val="61"/>
              </w:numPr>
              <w:spacing w:line="276" w:lineRule="auto"/>
              <w:jc w:val="both"/>
              <w:rPr>
                <w:rFonts w:eastAsia="Times New Roman"/>
                <w:iCs/>
                <w:sz w:val="22"/>
              </w:rPr>
            </w:pPr>
            <w:r w:rsidRPr="00B175FB">
              <w:rPr>
                <w:rFonts w:eastAsia="Times New Roman"/>
                <w:iCs/>
                <w:sz w:val="22"/>
              </w:rPr>
              <w:t>c</w:t>
            </w:r>
            <w:r w:rsidR="0036279A" w:rsidRPr="00B175FB">
              <w:rPr>
                <w:rFonts w:eastAsia="Times New Roman"/>
                <w:iCs/>
                <w:sz w:val="22"/>
              </w:rPr>
              <w:t>ílená podpora dětem, žákům a studentům se speciálními vzdělávacími potřebami včetně socioekonomicky znev</w:t>
            </w:r>
            <w:r w:rsidRPr="00B175FB">
              <w:rPr>
                <w:rFonts w:eastAsia="Times New Roman"/>
                <w:iCs/>
                <w:sz w:val="22"/>
              </w:rPr>
              <w:t>ýhodněných</w:t>
            </w:r>
            <w:r w:rsidR="00BC1139">
              <w:rPr>
                <w:rFonts w:eastAsia="Times New Roman"/>
                <w:iCs/>
                <w:sz w:val="22"/>
              </w:rPr>
              <w:t xml:space="preserve">, </w:t>
            </w:r>
            <w:r w:rsidRPr="00B175FB">
              <w:rPr>
                <w:rFonts w:eastAsia="Times New Roman"/>
                <w:iCs/>
                <w:sz w:val="22"/>
              </w:rPr>
              <w:t>kulturně odlišných</w:t>
            </w:r>
            <w:r w:rsidR="00BC1139">
              <w:rPr>
                <w:rFonts w:eastAsia="Times New Roman"/>
                <w:iCs/>
                <w:sz w:val="22"/>
              </w:rPr>
              <w:t xml:space="preserve"> či marginalizovaných komunit jako jsou Romové;</w:t>
            </w:r>
          </w:p>
          <w:p w:rsidR="00401124" w:rsidRPr="00AD7A53" w:rsidRDefault="00401124" w:rsidP="000C0DDB">
            <w:pPr>
              <w:pStyle w:val="Odstavecseseznamem"/>
              <w:numPr>
                <w:ilvl w:val="0"/>
                <w:numId w:val="61"/>
              </w:numPr>
              <w:spacing w:line="276" w:lineRule="auto"/>
              <w:jc w:val="both"/>
              <w:rPr>
                <w:rFonts w:eastAsia="Times New Roman"/>
                <w:iCs/>
                <w:sz w:val="22"/>
              </w:rPr>
            </w:pPr>
            <w:r w:rsidRPr="00401124">
              <w:rPr>
                <w:rFonts w:eastAsia="Times New Roman"/>
                <w:iCs/>
                <w:sz w:val="22"/>
              </w:rPr>
              <w:t>cílená podpora dětem a žákům s odlišným mateřským jazykem</w:t>
            </w:r>
            <w:r w:rsidR="00BC1139">
              <w:rPr>
                <w:rFonts w:eastAsia="Times New Roman"/>
                <w:iCs/>
                <w:sz w:val="22"/>
              </w:rPr>
              <w:t xml:space="preserve"> </w:t>
            </w:r>
            <w:r w:rsidR="00524D6C">
              <w:rPr>
                <w:rFonts w:eastAsia="Times New Roman"/>
                <w:iCs/>
                <w:sz w:val="22"/>
              </w:rPr>
              <w:t>a/nebo</w:t>
            </w:r>
            <w:r w:rsidR="00BC1139">
              <w:rPr>
                <w:rFonts w:eastAsia="Times New Roman"/>
                <w:iCs/>
                <w:sz w:val="22"/>
              </w:rPr>
              <w:t xml:space="preserve"> státních příslušníků cizích zemí či migrantů</w:t>
            </w:r>
            <w:r w:rsidRPr="00401124">
              <w:rPr>
                <w:rFonts w:eastAsia="Times New Roman"/>
                <w:iCs/>
                <w:sz w:val="22"/>
              </w:rPr>
              <w:t xml:space="preserve"> a jejich začleňování do vzdělávání</w:t>
            </w:r>
            <w:r w:rsidRPr="00B175FB">
              <w:rPr>
                <w:rFonts w:eastAsia="Times New Roman"/>
                <w:iCs/>
                <w:sz w:val="22"/>
              </w:rPr>
              <w:t>;</w:t>
            </w:r>
          </w:p>
          <w:p w:rsidR="00A030CB" w:rsidRPr="00B175FB" w:rsidRDefault="00470F4E" w:rsidP="006A2F6A">
            <w:pPr>
              <w:pStyle w:val="Odstavecseseznamem"/>
              <w:numPr>
                <w:ilvl w:val="0"/>
                <w:numId w:val="61"/>
              </w:numPr>
              <w:spacing w:line="276" w:lineRule="auto"/>
              <w:jc w:val="both"/>
              <w:rPr>
                <w:rFonts w:eastAsia="Times New Roman"/>
                <w:iCs/>
                <w:sz w:val="22"/>
              </w:rPr>
            </w:pPr>
            <w:r w:rsidRPr="00B175FB">
              <w:rPr>
                <w:rFonts w:eastAsia="Times New Roman"/>
                <w:iCs/>
                <w:sz w:val="22"/>
              </w:rPr>
              <w:t>p</w:t>
            </w:r>
            <w:r w:rsidR="00A030CB" w:rsidRPr="00B175FB">
              <w:rPr>
                <w:rFonts w:eastAsia="Times New Roman"/>
                <w:iCs/>
                <w:sz w:val="22"/>
              </w:rPr>
              <w:t>odpora spolupráce škol s rodinami dětí a žáků a budování kapacit ve školách a školských zařízeních pro práci s rodinami, tj. podpora školních asistentů a ostatních pracovních pozic vytvářejících podporu pro u</w:t>
            </w:r>
            <w:r w:rsidRPr="00B175FB">
              <w:rPr>
                <w:rFonts w:eastAsia="Times New Roman"/>
                <w:iCs/>
                <w:sz w:val="22"/>
              </w:rPr>
              <w:t>čitele a pedagogické pracovníky</w:t>
            </w:r>
            <w:r w:rsidR="001C2C5D">
              <w:t>;</w:t>
            </w:r>
          </w:p>
          <w:p w:rsidR="0036279A" w:rsidRPr="00B175FB" w:rsidRDefault="00470F4E" w:rsidP="006A2F6A">
            <w:pPr>
              <w:pStyle w:val="Odstavecseseznamem"/>
              <w:numPr>
                <w:ilvl w:val="0"/>
                <w:numId w:val="61"/>
              </w:numPr>
              <w:spacing w:line="276" w:lineRule="auto"/>
              <w:jc w:val="both"/>
              <w:rPr>
                <w:rFonts w:eastAsia="Times New Roman"/>
                <w:iCs/>
                <w:sz w:val="22"/>
              </w:rPr>
            </w:pPr>
            <w:r w:rsidRPr="00B175FB">
              <w:rPr>
                <w:rFonts w:eastAsia="Times New Roman"/>
                <w:iCs/>
                <w:sz w:val="22"/>
              </w:rPr>
              <w:t>p</w:t>
            </w:r>
            <w:r w:rsidR="0036279A" w:rsidRPr="00B175FB">
              <w:rPr>
                <w:rFonts w:eastAsia="Times New Roman"/>
                <w:iCs/>
                <w:sz w:val="22"/>
              </w:rPr>
              <w:t xml:space="preserve">odpora aktivit vedoucích k eliminaci </w:t>
            </w:r>
            <w:r w:rsidR="006D3E5E" w:rsidRPr="00B175FB">
              <w:rPr>
                <w:rFonts w:eastAsia="Times New Roman"/>
                <w:iCs/>
                <w:sz w:val="22"/>
              </w:rPr>
              <w:t xml:space="preserve">neodůvodněně </w:t>
            </w:r>
            <w:r w:rsidR="0036279A" w:rsidRPr="00B175FB">
              <w:rPr>
                <w:rFonts w:eastAsia="Times New Roman"/>
                <w:iCs/>
                <w:sz w:val="22"/>
              </w:rPr>
              <w:t>vysoké absence dětí a žáků ve školách zejména prostřednictvím spolupr</w:t>
            </w:r>
            <w:r w:rsidRPr="00B175FB">
              <w:rPr>
                <w:rFonts w:eastAsia="Times New Roman"/>
                <w:iCs/>
                <w:sz w:val="22"/>
              </w:rPr>
              <w:t>áce škol s rodinami dětí a žáků;</w:t>
            </w:r>
          </w:p>
          <w:p w:rsidR="002A076C" w:rsidRPr="00B175FB" w:rsidRDefault="002A076C" w:rsidP="006A2F6A">
            <w:pPr>
              <w:pStyle w:val="Odstavecseseznamem"/>
              <w:numPr>
                <w:ilvl w:val="0"/>
                <w:numId w:val="61"/>
              </w:numPr>
              <w:spacing w:line="276" w:lineRule="auto"/>
              <w:jc w:val="both"/>
              <w:rPr>
                <w:rFonts w:eastAsia="Times New Roman"/>
                <w:iCs/>
                <w:sz w:val="22"/>
              </w:rPr>
            </w:pPr>
            <w:r w:rsidRPr="00B175FB">
              <w:rPr>
                <w:rFonts w:eastAsia="Times New Roman"/>
                <w:iCs/>
                <w:sz w:val="22"/>
              </w:rPr>
              <w:t>podpora nástrojů k usnadnění přechodu zájemců a uchazečů (i zdravotně a sociálně znevýhodněných) ze středního do terciárního vzdělávání</w:t>
            </w:r>
            <w:r w:rsidR="001E04C0" w:rsidRPr="00B175FB">
              <w:rPr>
                <w:rFonts w:eastAsia="Times New Roman"/>
                <w:iCs/>
                <w:sz w:val="22"/>
              </w:rPr>
              <w:t>;</w:t>
            </w:r>
            <w:r w:rsidRPr="00B175FB" w:rsidDel="002A076C">
              <w:rPr>
                <w:rFonts w:eastAsia="Times New Roman"/>
                <w:iCs/>
                <w:sz w:val="22"/>
              </w:rPr>
              <w:t xml:space="preserve"> </w:t>
            </w:r>
          </w:p>
          <w:p w:rsidR="0036279A" w:rsidRPr="00B175FB" w:rsidRDefault="00470F4E" w:rsidP="006A2F6A">
            <w:pPr>
              <w:pStyle w:val="Odstavecseseznamem"/>
              <w:numPr>
                <w:ilvl w:val="0"/>
                <w:numId w:val="61"/>
              </w:numPr>
              <w:spacing w:line="276" w:lineRule="auto"/>
              <w:jc w:val="both"/>
              <w:rPr>
                <w:rFonts w:eastAsia="Times New Roman"/>
                <w:iCs/>
                <w:sz w:val="22"/>
              </w:rPr>
            </w:pPr>
            <w:r w:rsidRPr="00B175FB">
              <w:rPr>
                <w:rFonts w:eastAsia="Times New Roman"/>
                <w:iCs/>
                <w:sz w:val="22"/>
              </w:rPr>
              <w:t>z</w:t>
            </w:r>
            <w:r w:rsidR="0036279A" w:rsidRPr="00B175FB">
              <w:rPr>
                <w:rFonts w:eastAsia="Times New Roman"/>
                <w:iCs/>
                <w:sz w:val="22"/>
              </w:rPr>
              <w:t xml:space="preserve">ajištění </w:t>
            </w:r>
            <w:r w:rsidR="000F6F86" w:rsidRPr="00B175FB">
              <w:rPr>
                <w:rFonts w:eastAsia="Times New Roman"/>
                <w:iCs/>
                <w:sz w:val="22"/>
              </w:rPr>
              <w:t>rozmanité</w:t>
            </w:r>
            <w:r w:rsidR="0069433B" w:rsidRPr="00B175FB">
              <w:rPr>
                <w:rFonts w:eastAsia="Times New Roman"/>
                <w:iCs/>
                <w:sz w:val="22"/>
              </w:rPr>
              <w:t>,</w:t>
            </w:r>
            <w:r w:rsidR="0036279A" w:rsidRPr="00B175FB">
              <w:rPr>
                <w:rFonts w:eastAsia="Times New Roman"/>
                <w:iCs/>
                <w:sz w:val="22"/>
              </w:rPr>
              <w:t xml:space="preserve"> dostupné </w:t>
            </w:r>
            <w:r w:rsidR="0069433B" w:rsidRPr="00B175FB">
              <w:rPr>
                <w:rFonts w:eastAsia="Times New Roman"/>
                <w:iCs/>
                <w:sz w:val="22"/>
              </w:rPr>
              <w:t xml:space="preserve">a kvalitní </w:t>
            </w:r>
            <w:r w:rsidR="0036279A" w:rsidRPr="00B175FB">
              <w:rPr>
                <w:rFonts w:eastAsia="Times New Roman"/>
                <w:iCs/>
                <w:sz w:val="22"/>
              </w:rPr>
              <w:t>nabídky neformálního</w:t>
            </w:r>
            <w:r w:rsidR="0064546A">
              <w:rPr>
                <w:rFonts w:eastAsia="Times New Roman"/>
                <w:iCs/>
                <w:sz w:val="22"/>
              </w:rPr>
              <w:t xml:space="preserve">, </w:t>
            </w:r>
            <w:r w:rsidR="0036279A" w:rsidRPr="00B175FB">
              <w:rPr>
                <w:rFonts w:eastAsia="Times New Roman"/>
                <w:iCs/>
                <w:sz w:val="22"/>
              </w:rPr>
              <w:t>zájmového</w:t>
            </w:r>
            <w:r w:rsidR="0064546A">
              <w:rPr>
                <w:rFonts w:eastAsia="Times New Roman"/>
                <w:iCs/>
                <w:sz w:val="22"/>
              </w:rPr>
              <w:t>, či uměleckého</w:t>
            </w:r>
            <w:r w:rsidR="0036279A" w:rsidRPr="00B175FB">
              <w:rPr>
                <w:rFonts w:eastAsia="Times New Roman"/>
                <w:iCs/>
                <w:sz w:val="22"/>
              </w:rPr>
              <w:t xml:space="preserve"> vzdělávání</w:t>
            </w:r>
            <w:r w:rsidR="00EE146B" w:rsidRPr="00B175FB">
              <w:rPr>
                <w:rFonts w:eastAsia="Times New Roman"/>
                <w:iCs/>
                <w:sz w:val="22"/>
              </w:rPr>
              <w:t xml:space="preserve"> včetně pohybových aktivit</w:t>
            </w:r>
            <w:r w:rsidR="002C7F88" w:rsidRPr="00B175FB">
              <w:rPr>
                <w:rFonts w:eastAsia="Times New Roman"/>
                <w:iCs/>
                <w:sz w:val="22"/>
              </w:rPr>
              <w:t xml:space="preserve"> a výchovy ke zdraví a zdravému životnímu stylu.</w:t>
            </w:r>
          </w:p>
          <w:p w:rsidR="00450DA5" w:rsidRPr="00B175FB" w:rsidRDefault="00450DA5" w:rsidP="0029462C">
            <w:pPr>
              <w:spacing w:line="276" w:lineRule="auto"/>
              <w:jc w:val="both"/>
              <w:rPr>
                <w:rFonts w:eastAsia="Times New Roman"/>
                <w:iCs/>
                <w:sz w:val="22"/>
              </w:rPr>
            </w:pPr>
            <w:r w:rsidRPr="00B175FB">
              <w:rPr>
                <w:rFonts w:eastAsia="Times New Roman"/>
                <w:iCs/>
                <w:sz w:val="22"/>
              </w:rPr>
              <w:t>Pracovníci</w:t>
            </w:r>
            <w:r w:rsidR="00054DFD">
              <w:rPr>
                <w:rFonts w:eastAsia="Times New Roman"/>
                <w:iCs/>
                <w:sz w:val="22"/>
              </w:rPr>
              <w:t xml:space="preserve"> ve vzdělávání</w:t>
            </w:r>
            <w:r w:rsidRPr="00B175FB">
              <w:rPr>
                <w:rFonts w:eastAsia="Times New Roman"/>
                <w:iCs/>
                <w:sz w:val="22"/>
              </w:rPr>
              <w:t>:</w:t>
            </w:r>
          </w:p>
          <w:p w:rsidR="0036279A" w:rsidRPr="00B175FB" w:rsidRDefault="00470F4E" w:rsidP="006A2F6A">
            <w:pPr>
              <w:pStyle w:val="Odstavecseseznamem"/>
              <w:numPr>
                <w:ilvl w:val="0"/>
                <w:numId w:val="61"/>
              </w:numPr>
              <w:spacing w:line="276" w:lineRule="auto"/>
              <w:jc w:val="both"/>
              <w:rPr>
                <w:rFonts w:eastAsia="Times New Roman"/>
                <w:iCs/>
                <w:sz w:val="22"/>
              </w:rPr>
            </w:pPr>
            <w:r w:rsidRPr="00B175FB">
              <w:rPr>
                <w:rFonts w:eastAsia="Times New Roman"/>
                <w:iCs/>
                <w:sz w:val="22"/>
              </w:rPr>
              <w:t>v</w:t>
            </w:r>
            <w:r w:rsidR="0036279A" w:rsidRPr="00B175FB">
              <w:rPr>
                <w:rFonts w:eastAsia="Times New Roman"/>
                <w:iCs/>
                <w:sz w:val="22"/>
              </w:rPr>
              <w:t>ytvoř</w:t>
            </w:r>
            <w:r w:rsidR="00391DC8" w:rsidRPr="00B175FB">
              <w:rPr>
                <w:rFonts w:eastAsia="Times New Roman"/>
                <w:iCs/>
                <w:sz w:val="22"/>
              </w:rPr>
              <w:t>ení</w:t>
            </w:r>
            <w:r w:rsidR="0036279A" w:rsidRPr="00B175FB">
              <w:rPr>
                <w:rFonts w:eastAsia="Times New Roman"/>
                <w:iCs/>
                <w:sz w:val="22"/>
              </w:rPr>
              <w:t xml:space="preserve"> a implement</w:t>
            </w:r>
            <w:r w:rsidR="00391DC8" w:rsidRPr="00B175FB">
              <w:rPr>
                <w:rFonts w:eastAsia="Times New Roman"/>
                <w:iCs/>
                <w:sz w:val="22"/>
              </w:rPr>
              <w:t>ace</w:t>
            </w:r>
            <w:r w:rsidR="0036279A" w:rsidRPr="00B175FB">
              <w:rPr>
                <w:rFonts w:eastAsia="Times New Roman"/>
                <w:iCs/>
                <w:sz w:val="22"/>
              </w:rPr>
              <w:t xml:space="preserve"> systém</w:t>
            </w:r>
            <w:r w:rsidR="00391DC8" w:rsidRPr="00B175FB">
              <w:rPr>
                <w:rFonts w:eastAsia="Times New Roman"/>
                <w:iCs/>
                <w:sz w:val="22"/>
              </w:rPr>
              <w:t>u</w:t>
            </w:r>
            <w:r w:rsidR="0036279A" w:rsidRPr="00B175FB">
              <w:rPr>
                <w:rFonts w:eastAsia="Times New Roman"/>
                <w:iCs/>
                <w:sz w:val="22"/>
              </w:rPr>
              <w:t xml:space="preserve"> opatření podporující</w:t>
            </w:r>
            <w:r w:rsidR="00391DC8" w:rsidRPr="00B175FB">
              <w:rPr>
                <w:rFonts w:eastAsia="Times New Roman"/>
                <w:iCs/>
                <w:sz w:val="22"/>
              </w:rPr>
              <w:t>ch</w:t>
            </w:r>
            <w:r w:rsidR="0036279A" w:rsidRPr="00B175FB">
              <w:rPr>
                <w:rFonts w:eastAsia="Times New Roman"/>
                <w:iCs/>
                <w:sz w:val="22"/>
              </w:rPr>
              <w:t xml:space="preserve"> pozitivní a tvůrčí kli</w:t>
            </w:r>
            <w:r w:rsidRPr="00B175FB">
              <w:rPr>
                <w:rFonts w:eastAsia="Times New Roman"/>
                <w:iCs/>
                <w:sz w:val="22"/>
              </w:rPr>
              <w:t>ma ve škole a školském zařízení;</w:t>
            </w:r>
          </w:p>
          <w:p w:rsidR="00F63594" w:rsidRPr="00B175FB" w:rsidRDefault="00470F4E" w:rsidP="006A2F6A">
            <w:pPr>
              <w:pStyle w:val="Odstavecseseznamem"/>
              <w:numPr>
                <w:ilvl w:val="0"/>
                <w:numId w:val="61"/>
              </w:numPr>
              <w:spacing w:line="276" w:lineRule="auto"/>
              <w:jc w:val="both"/>
              <w:rPr>
                <w:rFonts w:eastAsia="Times New Roman"/>
                <w:iCs/>
                <w:sz w:val="22"/>
              </w:rPr>
            </w:pPr>
            <w:r w:rsidRPr="00B175FB">
              <w:rPr>
                <w:rFonts w:eastAsia="Times New Roman"/>
                <w:iCs/>
                <w:sz w:val="22"/>
              </w:rPr>
              <w:t>p</w:t>
            </w:r>
            <w:r w:rsidR="00F63594" w:rsidRPr="00B175FB">
              <w:rPr>
                <w:rFonts w:eastAsia="Times New Roman"/>
                <w:iCs/>
                <w:sz w:val="22"/>
              </w:rPr>
              <w:t xml:space="preserve">odpora kompetencí pedagogických pracovníků </w:t>
            </w:r>
            <w:r w:rsidR="008438ED" w:rsidRPr="00B175FB">
              <w:rPr>
                <w:rFonts w:eastAsia="Times New Roman"/>
                <w:iCs/>
                <w:sz w:val="22"/>
              </w:rPr>
              <w:t>ve včasné identifikaci dětí a žáků s výukovými obtížemi</w:t>
            </w:r>
            <w:r w:rsidR="00D329AF">
              <w:rPr>
                <w:rFonts w:eastAsia="Times New Roman"/>
                <w:iCs/>
                <w:sz w:val="22"/>
              </w:rPr>
              <w:t xml:space="preserve"> a rovněž těch</w:t>
            </w:r>
            <w:r w:rsidR="008438ED" w:rsidRPr="00B175FB">
              <w:rPr>
                <w:rFonts w:eastAsia="Times New Roman"/>
                <w:iCs/>
                <w:sz w:val="22"/>
              </w:rPr>
              <w:t xml:space="preserve"> nadaných a v </w:t>
            </w:r>
            <w:r w:rsidR="00F63594" w:rsidRPr="00B175FB">
              <w:rPr>
                <w:rFonts w:eastAsia="Times New Roman"/>
                <w:iCs/>
                <w:sz w:val="22"/>
              </w:rPr>
              <w:t xml:space="preserve">oblasti prevence </w:t>
            </w:r>
            <w:r w:rsidR="005F03C2">
              <w:rPr>
                <w:rFonts w:eastAsia="Times New Roman"/>
                <w:iCs/>
                <w:sz w:val="22"/>
              </w:rPr>
              <w:t>rizikového chování</w:t>
            </w:r>
            <w:r w:rsidRPr="00B175FB">
              <w:rPr>
                <w:rFonts w:eastAsia="Times New Roman"/>
                <w:iCs/>
                <w:sz w:val="22"/>
              </w:rPr>
              <w:t>;</w:t>
            </w:r>
          </w:p>
          <w:p w:rsidR="00D21955" w:rsidRPr="00B175FB" w:rsidRDefault="00470F4E" w:rsidP="006A2F6A">
            <w:pPr>
              <w:pStyle w:val="Odstavecseseznamem"/>
              <w:numPr>
                <w:ilvl w:val="0"/>
                <w:numId w:val="61"/>
              </w:numPr>
              <w:spacing w:line="276" w:lineRule="auto"/>
              <w:jc w:val="both"/>
              <w:rPr>
                <w:rFonts w:eastAsia="Times New Roman"/>
                <w:iCs/>
                <w:sz w:val="22"/>
              </w:rPr>
            </w:pPr>
            <w:r w:rsidRPr="00B175FB">
              <w:rPr>
                <w:rFonts w:eastAsia="Times New Roman"/>
                <w:iCs/>
                <w:sz w:val="22"/>
              </w:rPr>
              <w:t>p</w:t>
            </w:r>
            <w:r w:rsidR="00D21955" w:rsidRPr="00B175FB">
              <w:rPr>
                <w:rFonts w:eastAsia="Times New Roman"/>
                <w:iCs/>
                <w:sz w:val="22"/>
              </w:rPr>
              <w:t>odpora kompetencí pedagogických pracovníků a dalších pracovníků ve vzdělávání odpovídající aktuálním potřebám vývoje vzdělávací soustavy, a to zejména využívání potenciálu pedagogické diagnostiky a tomu odpovídající vzdělávací a výchovné strategie, formativního hodnocení a</w:t>
            </w:r>
            <w:r w:rsidR="00E33E10" w:rsidRPr="00B175FB">
              <w:rPr>
                <w:rFonts w:eastAsia="Times New Roman"/>
                <w:iCs/>
                <w:sz w:val="22"/>
              </w:rPr>
              <w:t> </w:t>
            </w:r>
            <w:r w:rsidRPr="00B175FB">
              <w:rPr>
                <w:rFonts w:eastAsia="Times New Roman"/>
                <w:iCs/>
                <w:sz w:val="22"/>
              </w:rPr>
              <w:t>sebehodnocení;</w:t>
            </w:r>
          </w:p>
          <w:p w:rsidR="0036279A" w:rsidRPr="00B175FB" w:rsidRDefault="00470F4E" w:rsidP="006A2F6A">
            <w:pPr>
              <w:pStyle w:val="Odstavecseseznamem"/>
              <w:numPr>
                <w:ilvl w:val="0"/>
                <w:numId w:val="61"/>
              </w:numPr>
              <w:spacing w:line="276" w:lineRule="auto"/>
              <w:jc w:val="both"/>
              <w:rPr>
                <w:rFonts w:eastAsia="Times New Roman"/>
                <w:iCs/>
                <w:sz w:val="22"/>
              </w:rPr>
            </w:pPr>
            <w:r w:rsidRPr="00B175FB">
              <w:rPr>
                <w:rFonts w:eastAsia="Times New Roman"/>
                <w:iCs/>
                <w:sz w:val="22"/>
              </w:rPr>
              <w:t>b</w:t>
            </w:r>
            <w:r w:rsidR="0036279A" w:rsidRPr="00B175FB">
              <w:rPr>
                <w:rFonts w:eastAsia="Times New Roman"/>
                <w:iCs/>
                <w:sz w:val="22"/>
              </w:rPr>
              <w:t xml:space="preserve">udování kultury </w:t>
            </w:r>
            <w:r w:rsidR="0069433B" w:rsidRPr="00B175FB">
              <w:rPr>
                <w:rFonts w:eastAsia="Times New Roman"/>
                <w:iCs/>
                <w:sz w:val="22"/>
              </w:rPr>
              <w:t>práce s pozitivní i negativní zpětnou vazbou, implementace zá</w:t>
            </w:r>
            <w:r w:rsidR="00E92D24" w:rsidRPr="00B175FB">
              <w:rPr>
                <w:rFonts w:eastAsia="Times New Roman"/>
                <w:iCs/>
                <w:sz w:val="22"/>
              </w:rPr>
              <w:t>s</w:t>
            </w:r>
            <w:r w:rsidR="0069433B" w:rsidRPr="00B175FB">
              <w:rPr>
                <w:rFonts w:eastAsia="Times New Roman"/>
                <w:iCs/>
                <w:sz w:val="22"/>
              </w:rPr>
              <w:t>ad formativního hodnocení do praxe škol</w:t>
            </w:r>
            <w:r w:rsidRPr="00B175FB">
              <w:rPr>
                <w:rFonts w:eastAsia="Times New Roman"/>
                <w:iCs/>
                <w:sz w:val="22"/>
              </w:rPr>
              <w:t>;</w:t>
            </w:r>
          </w:p>
          <w:p w:rsidR="0036279A" w:rsidRPr="00B175FB" w:rsidRDefault="00470F4E" w:rsidP="006A2F6A">
            <w:pPr>
              <w:pStyle w:val="Odstavecseseznamem"/>
              <w:numPr>
                <w:ilvl w:val="0"/>
                <w:numId w:val="61"/>
              </w:numPr>
              <w:spacing w:line="276" w:lineRule="auto"/>
              <w:jc w:val="both"/>
              <w:rPr>
                <w:rFonts w:eastAsia="Times New Roman"/>
                <w:iCs/>
                <w:sz w:val="22"/>
              </w:rPr>
            </w:pPr>
            <w:r w:rsidRPr="00B175FB">
              <w:rPr>
                <w:rFonts w:eastAsia="Times New Roman"/>
                <w:iCs/>
                <w:sz w:val="22"/>
              </w:rPr>
              <w:t>v</w:t>
            </w:r>
            <w:r w:rsidR="0036279A" w:rsidRPr="00B175FB">
              <w:rPr>
                <w:rFonts w:eastAsia="Times New Roman"/>
                <w:iCs/>
                <w:sz w:val="22"/>
              </w:rPr>
              <w:t>ytvoř</w:t>
            </w:r>
            <w:r w:rsidR="00FB46CA" w:rsidRPr="00B175FB">
              <w:rPr>
                <w:rFonts w:eastAsia="Times New Roman"/>
                <w:iCs/>
                <w:sz w:val="22"/>
              </w:rPr>
              <w:t>ení</w:t>
            </w:r>
            <w:r w:rsidR="0036279A" w:rsidRPr="00B175FB">
              <w:rPr>
                <w:rFonts w:eastAsia="Times New Roman"/>
                <w:iCs/>
                <w:sz w:val="22"/>
              </w:rPr>
              <w:t xml:space="preserve"> organizační</w:t>
            </w:r>
            <w:r w:rsidR="00FB46CA" w:rsidRPr="00B175FB">
              <w:rPr>
                <w:rFonts w:eastAsia="Times New Roman"/>
                <w:iCs/>
                <w:sz w:val="22"/>
              </w:rPr>
              <w:t>ch</w:t>
            </w:r>
            <w:r w:rsidR="0036279A" w:rsidRPr="00B175FB">
              <w:rPr>
                <w:rFonts w:eastAsia="Times New Roman"/>
                <w:iCs/>
                <w:sz w:val="22"/>
              </w:rPr>
              <w:t xml:space="preserve"> a systémov</w:t>
            </w:r>
            <w:r w:rsidR="00FB46CA" w:rsidRPr="00B175FB">
              <w:rPr>
                <w:rFonts w:eastAsia="Times New Roman"/>
                <w:iCs/>
                <w:sz w:val="22"/>
              </w:rPr>
              <w:t>ých</w:t>
            </w:r>
            <w:r w:rsidR="0036279A" w:rsidRPr="00B175FB">
              <w:rPr>
                <w:rFonts w:eastAsia="Times New Roman"/>
                <w:iCs/>
                <w:sz w:val="22"/>
              </w:rPr>
              <w:t xml:space="preserve"> podmín</w:t>
            </w:r>
            <w:r w:rsidR="00FB46CA" w:rsidRPr="00B175FB">
              <w:rPr>
                <w:rFonts w:eastAsia="Times New Roman"/>
                <w:iCs/>
                <w:sz w:val="22"/>
              </w:rPr>
              <w:t>e</w:t>
            </w:r>
            <w:r w:rsidR="0036279A" w:rsidRPr="00B175FB">
              <w:rPr>
                <w:rFonts w:eastAsia="Times New Roman"/>
                <w:iCs/>
                <w:sz w:val="22"/>
              </w:rPr>
              <w:t xml:space="preserve">k pro zvýšení možnosti účasti </w:t>
            </w:r>
            <w:r w:rsidR="00C315CF" w:rsidRPr="00B175FB">
              <w:rPr>
                <w:rFonts w:eastAsia="Times New Roman"/>
                <w:iCs/>
                <w:sz w:val="22"/>
              </w:rPr>
              <w:t>zaměstnanců ve</w:t>
            </w:r>
            <w:r w:rsidR="00296558">
              <w:rPr>
                <w:rFonts w:eastAsia="Times New Roman"/>
                <w:iCs/>
                <w:sz w:val="22"/>
              </w:rPr>
              <w:t> </w:t>
            </w:r>
            <w:r w:rsidR="00C315CF" w:rsidRPr="00B175FB">
              <w:rPr>
                <w:rFonts w:eastAsia="Times New Roman"/>
                <w:iCs/>
                <w:sz w:val="22"/>
              </w:rPr>
              <w:t xml:space="preserve">vzdělávání </w:t>
            </w:r>
            <w:r w:rsidR="0036279A" w:rsidRPr="00B175FB">
              <w:rPr>
                <w:rFonts w:eastAsia="Times New Roman"/>
                <w:iCs/>
                <w:sz w:val="22"/>
              </w:rPr>
              <w:t>na vzdělávacích programe</w:t>
            </w:r>
            <w:r w:rsidRPr="00B175FB">
              <w:rPr>
                <w:rFonts w:eastAsia="Times New Roman"/>
                <w:iCs/>
                <w:sz w:val="22"/>
              </w:rPr>
              <w:t>ch v systému dalšího vzdělávání;</w:t>
            </w:r>
          </w:p>
          <w:p w:rsidR="0036279A" w:rsidRPr="00B175FB" w:rsidRDefault="00470F4E" w:rsidP="0071632F">
            <w:pPr>
              <w:pStyle w:val="Odstavecseseznamem"/>
              <w:numPr>
                <w:ilvl w:val="0"/>
                <w:numId w:val="61"/>
              </w:numPr>
              <w:spacing w:line="276" w:lineRule="auto"/>
              <w:jc w:val="both"/>
              <w:rPr>
                <w:rFonts w:eastAsia="Times New Roman"/>
                <w:iCs/>
                <w:sz w:val="22"/>
              </w:rPr>
            </w:pPr>
            <w:r w:rsidRPr="00B175FB">
              <w:rPr>
                <w:rFonts w:eastAsia="Times New Roman"/>
                <w:iCs/>
                <w:sz w:val="22"/>
              </w:rPr>
              <w:t>p</w:t>
            </w:r>
            <w:r w:rsidR="000F6F86" w:rsidRPr="00B175FB">
              <w:rPr>
                <w:rFonts w:eastAsia="Times New Roman"/>
                <w:iCs/>
                <w:sz w:val="22"/>
              </w:rPr>
              <w:t>odpora nastavení s</w:t>
            </w:r>
            <w:r w:rsidR="0036279A" w:rsidRPr="00B175FB">
              <w:rPr>
                <w:rFonts w:eastAsia="Times New Roman"/>
                <w:iCs/>
                <w:sz w:val="22"/>
              </w:rPr>
              <w:t>ystém</w:t>
            </w:r>
            <w:r w:rsidR="000F6F86" w:rsidRPr="00B175FB">
              <w:rPr>
                <w:rFonts w:eastAsia="Times New Roman"/>
                <w:iCs/>
                <w:sz w:val="22"/>
              </w:rPr>
              <w:t>u</w:t>
            </w:r>
            <w:r w:rsidR="0036279A" w:rsidRPr="00B175FB">
              <w:rPr>
                <w:rFonts w:eastAsia="Times New Roman"/>
                <w:iCs/>
                <w:sz w:val="22"/>
              </w:rPr>
              <w:t xml:space="preserve"> dalšího vzdělávání tak, aby napomáhal diagnostice vzdělávacích potřeb školy a jejich učitelů a dokázal je z větší míry saturovat on-site</w:t>
            </w:r>
            <w:r w:rsidR="00773C8E" w:rsidRPr="00B175FB">
              <w:rPr>
                <w:rFonts w:eastAsia="Times New Roman"/>
                <w:iCs/>
                <w:sz w:val="22"/>
              </w:rPr>
              <w:t>;</w:t>
            </w:r>
          </w:p>
          <w:p w:rsidR="009273BA" w:rsidRPr="00B175FB" w:rsidRDefault="00773C8E" w:rsidP="009273BA">
            <w:pPr>
              <w:pStyle w:val="Odstavecseseznamem"/>
              <w:numPr>
                <w:ilvl w:val="0"/>
                <w:numId w:val="61"/>
              </w:numPr>
              <w:spacing w:line="276" w:lineRule="auto"/>
              <w:jc w:val="both"/>
              <w:rPr>
                <w:rFonts w:eastAsia="Times New Roman"/>
                <w:iCs/>
                <w:sz w:val="22"/>
              </w:rPr>
            </w:pPr>
            <w:r w:rsidRPr="00B175FB">
              <w:rPr>
                <w:rFonts w:eastAsia="Times New Roman"/>
                <w:iCs/>
                <w:sz w:val="22"/>
              </w:rPr>
              <w:t>podpora pedagogických pracovníků pro využívání vzdělávacího potenciálu v</w:t>
            </w:r>
            <w:r w:rsidR="009273BA">
              <w:rPr>
                <w:rFonts w:eastAsia="Times New Roman"/>
                <w:iCs/>
                <w:sz w:val="22"/>
              </w:rPr>
              <w:t> </w:t>
            </w:r>
            <w:r w:rsidRPr="00B175FB">
              <w:rPr>
                <w:rFonts w:eastAsia="Times New Roman"/>
                <w:iCs/>
                <w:sz w:val="22"/>
              </w:rPr>
              <w:t>muzeích a galeriích.</w:t>
            </w:r>
          </w:p>
          <w:p w:rsidR="00450DA5" w:rsidRPr="00B175FB" w:rsidRDefault="00450DA5" w:rsidP="007F0709">
            <w:pPr>
              <w:spacing w:line="276" w:lineRule="auto"/>
              <w:jc w:val="both"/>
              <w:rPr>
                <w:rFonts w:eastAsia="Times New Roman"/>
                <w:iCs/>
                <w:sz w:val="22"/>
              </w:rPr>
            </w:pPr>
            <w:r w:rsidRPr="00B175FB">
              <w:rPr>
                <w:rFonts w:eastAsia="Times New Roman"/>
                <w:iCs/>
                <w:sz w:val="22"/>
              </w:rPr>
              <w:t>Řízení vzdělávání</w:t>
            </w:r>
            <w:r w:rsidR="00595046" w:rsidRPr="00B175FB">
              <w:rPr>
                <w:rFonts w:eastAsia="Times New Roman"/>
                <w:iCs/>
                <w:sz w:val="22"/>
              </w:rPr>
              <w:t>:</w:t>
            </w:r>
          </w:p>
          <w:p w:rsidR="00B87F8F" w:rsidRPr="00B175FB" w:rsidRDefault="00470F4E" w:rsidP="006A2F6A">
            <w:pPr>
              <w:pStyle w:val="Odstavecseseznamem"/>
              <w:numPr>
                <w:ilvl w:val="0"/>
                <w:numId w:val="61"/>
              </w:numPr>
              <w:spacing w:line="276" w:lineRule="auto"/>
              <w:jc w:val="both"/>
              <w:rPr>
                <w:rFonts w:eastAsia="Times New Roman"/>
                <w:iCs/>
                <w:sz w:val="22"/>
              </w:rPr>
            </w:pPr>
            <w:r w:rsidRPr="00B175FB">
              <w:rPr>
                <w:rFonts w:eastAsia="Times New Roman"/>
                <w:iCs/>
                <w:sz w:val="22"/>
              </w:rPr>
              <w:t>p</w:t>
            </w:r>
            <w:r w:rsidR="00B87F8F" w:rsidRPr="00B175FB">
              <w:rPr>
                <w:rFonts w:eastAsia="Times New Roman"/>
                <w:iCs/>
                <w:sz w:val="22"/>
              </w:rPr>
              <w:t>osílení dlouhodobého budování systematizované datové základny pro sledování užitečnosti a</w:t>
            </w:r>
            <w:r w:rsidR="00C92742" w:rsidRPr="00B175FB">
              <w:rPr>
                <w:rFonts w:eastAsia="Times New Roman"/>
                <w:iCs/>
                <w:sz w:val="22"/>
              </w:rPr>
              <w:t> </w:t>
            </w:r>
            <w:r w:rsidR="00B87F8F" w:rsidRPr="00B175FB">
              <w:rPr>
                <w:rFonts w:eastAsia="Times New Roman"/>
                <w:iCs/>
                <w:sz w:val="22"/>
              </w:rPr>
              <w:t>účinnosti konkrétních opatření na snížení nerovnosti a zvýšení spravedli</w:t>
            </w:r>
            <w:r w:rsidRPr="00B175FB">
              <w:rPr>
                <w:rFonts w:eastAsia="Times New Roman"/>
                <w:iCs/>
                <w:sz w:val="22"/>
              </w:rPr>
              <w:t>vosti v přístupu ke</w:t>
            </w:r>
            <w:r w:rsidR="00296558">
              <w:rPr>
                <w:rFonts w:eastAsia="Times New Roman"/>
                <w:iCs/>
                <w:sz w:val="22"/>
              </w:rPr>
              <w:t> </w:t>
            </w:r>
            <w:r w:rsidRPr="00B175FB">
              <w:rPr>
                <w:rFonts w:eastAsia="Times New Roman"/>
                <w:iCs/>
                <w:sz w:val="22"/>
              </w:rPr>
              <w:t>vzdělávání;</w:t>
            </w:r>
          </w:p>
          <w:p w:rsidR="00B87F8F" w:rsidRPr="00B175FB" w:rsidRDefault="00470F4E" w:rsidP="006A2F6A">
            <w:pPr>
              <w:pStyle w:val="Odstavecseseznamem"/>
              <w:numPr>
                <w:ilvl w:val="0"/>
                <w:numId w:val="61"/>
              </w:numPr>
              <w:spacing w:line="276" w:lineRule="auto"/>
              <w:jc w:val="both"/>
              <w:rPr>
                <w:rFonts w:eastAsia="Times New Roman"/>
                <w:iCs/>
                <w:sz w:val="22"/>
              </w:rPr>
            </w:pPr>
            <w:r w:rsidRPr="00B175FB">
              <w:rPr>
                <w:rFonts w:eastAsia="Times New Roman"/>
                <w:iCs/>
                <w:sz w:val="22"/>
              </w:rPr>
              <w:t>r</w:t>
            </w:r>
            <w:r w:rsidR="00B87F8F" w:rsidRPr="00B175FB">
              <w:rPr>
                <w:rFonts w:eastAsia="Times New Roman"/>
                <w:iCs/>
                <w:sz w:val="22"/>
              </w:rPr>
              <w:t>ealizace mezinárodních šetření výsledků žáků a názorů a postojů učitelů a ředitelů škol</w:t>
            </w:r>
            <w:r w:rsidRPr="00B175FB">
              <w:rPr>
                <w:rFonts w:eastAsia="Times New Roman"/>
                <w:iCs/>
                <w:sz w:val="22"/>
              </w:rPr>
              <w:t>;</w:t>
            </w:r>
          </w:p>
          <w:p w:rsidR="00B87F8F" w:rsidRPr="00B175FB" w:rsidRDefault="00470F4E" w:rsidP="006A2F6A">
            <w:pPr>
              <w:pStyle w:val="Odstavecseseznamem"/>
              <w:numPr>
                <w:ilvl w:val="0"/>
                <w:numId w:val="61"/>
              </w:numPr>
              <w:spacing w:line="276" w:lineRule="auto"/>
              <w:jc w:val="both"/>
              <w:rPr>
                <w:rFonts w:eastAsia="Times New Roman"/>
                <w:iCs/>
                <w:sz w:val="22"/>
              </w:rPr>
            </w:pPr>
            <w:r w:rsidRPr="00B175FB">
              <w:rPr>
                <w:rFonts w:eastAsia="Times New Roman"/>
                <w:iCs/>
                <w:sz w:val="22"/>
              </w:rPr>
              <w:t>p</w:t>
            </w:r>
            <w:r w:rsidR="00B87F8F" w:rsidRPr="00B175FB">
              <w:rPr>
                <w:rFonts w:eastAsia="Times New Roman"/>
                <w:iCs/>
                <w:sz w:val="22"/>
              </w:rPr>
              <w:t>odpora analytické činnosti vyhodnocující efektivitu nástrojů ke snižování nerovností v přístupu ke</w:t>
            </w:r>
            <w:r w:rsidR="00296558">
              <w:rPr>
                <w:rFonts w:eastAsia="Times New Roman"/>
                <w:iCs/>
                <w:sz w:val="22"/>
              </w:rPr>
              <w:t> </w:t>
            </w:r>
            <w:r w:rsidR="00B87F8F" w:rsidRPr="00B175FB">
              <w:rPr>
                <w:rFonts w:eastAsia="Times New Roman"/>
                <w:iCs/>
                <w:sz w:val="22"/>
              </w:rPr>
              <w:t>vzdělávání, která umožní jejich evaluaci v čase od úrovně národní až po jednotlivé školy a</w:t>
            </w:r>
            <w:r w:rsidR="00296558">
              <w:rPr>
                <w:rFonts w:eastAsia="Times New Roman"/>
                <w:iCs/>
                <w:sz w:val="22"/>
              </w:rPr>
              <w:t> </w:t>
            </w:r>
            <w:r w:rsidR="00B87F8F" w:rsidRPr="00B175FB">
              <w:rPr>
                <w:rFonts w:eastAsia="Times New Roman"/>
                <w:iCs/>
                <w:sz w:val="22"/>
              </w:rPr>
              <w:t>komparaci získaných p</w:t>
            </w:r>
            <w:r w:rsidRPr="00B175FB">
              <w:rPr>
                <w:rFonts w:eastAsia="Times New Roman"/>
                <w:iCs/>
                <w:sz w:val="22"/>
              </w:rPr>
              <w:t>oznatků v mezinárodním kontextu;</w:t>
            </w:r>
          </w:p>
          <w:p w:rsidR="00B87F8F" w:rsidRPr="00B175FB" w:rsidRDefault="00470F4E" w:rsidP="006A2F6A">
            <w:pPr>
              <w:pStyle w:val="Odstavecseseznamem"/>
              <w:numPr>
                <w:ilvl w:val="0"/>
                <w:numId w:val="61"/>
              </w:numPr>
              <w:spacing w:line="276" w:lineRule="auto"/>
              <w:jc w:val="both"/>
              <w:rPr>
                <w:rFonts w:eastAsia="Times New Roman"/>
                <w:iCs/>
                <w:sz w:val="22"/>
              </w:rPr>
            </w:pPr>
            <w:r w:rsidRPr="00B175FB">
              <w:rPr>
                <w:rFonts w:eastAsia="Times New Roman"/>
                <w:iCs/>
                <w:sz w:val="22"/>
              </w:rPr>
              <w:t>z</w:t>
            </w:r>
            <w:r w:rsidR="00B87F8F" w:rsidRPr="00B175FB">
              <w:rPr>
                <w:rFonts w:eastAsia="Times New Roman"/>
                <w:iCs/>
                <w:sz w:val="22"/>
              </w:rPr>
              <w:t>výšení prostupnosti existujících informačních systémů mezi institucemi vzdělávací soustavy s cílem snadného a efektivního sdílení a využívání dat, informací a analýz nezbytných pro dosažení rovného přístupu ke kvalitnímu a inkluzivnímu vzdělávání.</w:t>
            </w:r>
          </w:p>
          <w:p w:rsidR="005A55BF" w:rsidRPr="000C0DDB" w:rsidRDefault="005A55BF" w:rsidP="0015017F">
            <w:pPr>
              <w:spacing w:line="276" w:lineRule="auto"/>
              <w:rPr>
                <w:rFonts w:eastAsia="Times New Roman"/>
                <w:b/>
                <w:sz w:val="22"/>
              </w:rPr>
            </w:pPr>
            <w:r w:rsidRPr="000C0DDB">
              <w:rPr>
                <w:rFonts w:eastAsia="Times New Roman"/>
                <w:b/>
                <w:sz w:val="22"/>
              </w:rPr>
              <w:t>Vysoké školy</w:t>
            </w:r>
          </w:p>
          <w:p w:rsidR="00E47B3D" w:rsidRPr="00B175FB" w:rsidRDefault="00470F4E" w:rsidP="006A2F6A">
            <w:pPr>
              <w:pStyle w:val="Odstavecseseznamem"/>
              <w:numPr>
                <w:ilvl w:val="0"/>
                <w:numId w:val="61"/>
              </w:numPr>
              <w:spacing w:line="276" w:lineRule="auto"/>
              <w:jc w:val="both"/>
              <w:rPr>
                <w:rFonts w:eastAsia="Times New Roman"/>
                <w:iCs/>
                <w:sz w:val="22"/>
              </w:rPr>
            </w:pPr>
            <w:r w:rsidRPr="00B175FB">
              <w:rPr>
                <w:rFonts w:eastAsia="Times New Roman"/>
                <w:iCs/>
                <w:sz w:val="22"/>
              </w:rPr>
              <w:t>s</w:t>
            </w:r>
            <w:r w:rsidR="00E47B3D" w:rsidRPr="00B175FB">
              <w:rPr>
                <w:rFonts w:eastAsia="Times New Roman"/>
                <w:iCs/>
                <w:sz w:val="22"/>
              </w:rPr>
              <w:t>běr a vyhodnocení dat, které povede k</w:t>
            </w:r>
            <w:r w:rsidR="00E559F8" w:rsidRPr="00B175FB">
              <w:rPr>
                <w:rFonts w:eastAsia="Times New Roman"/>
                <w:iCs/>
                <w:sz w:val="22"/>
              </w:rPr>
              <w:t> pop</w:t>
            </w:r>
            <w:r w:rsidR="00556086" w:rsidRPr="00B175FB">
              <w:rPr>
                <w:rFonts w:eastAsia="Times New Roman"/>
                <w:iCs/>
                <w:sz w:val="22"/>
              </w:rPr>
              <w:t>s</w:t>
            </w:r>
            <w:r w:rsidR="00E559F8" w:rsidRPr="00B175FB">
              <w:rPr>
                <w:rFonts w:eastAsia="Times New Roman"/>
                <w:iCs/>
                <w:sz w:val="22"/>
              </w:rPr>
              <w:t xml:space="preserve">ání současného stavu (tzn. </w:t>
            </w:r>
            <w:r w:rsidR="00E47B3D" w:rsidRPr="00B175FB">
              <w:rPr>
                <w:rFonts w:eastAsia="Times New Roman"/>
                <w:iCs/>
                <w:sz w:val="22"/>
              </w:rPr>
              <w:t>dojde k identifikaci bariér), odstranění př</w:t>
            </w:r>
            <w:r w:rsidRPr="00B175FB">
              <w:rPr>
                <w:rFonts w:eastAsia="Times New Roman"/>
                <w:iCs/>
                <w:sz w:val="22"/>
              </w:rPr>
              <w:t>íčin a navržení řešení problému;</w:t>
            </w:r>
          </w:p>
          <w:p w:rsidR="00E47B3D" w:rsidRPr="00B175FB" w:rsidRDefault="00470F4E" w:rsidP="006A2F6A">
            <w:pPr>
              <w:pStyle w:val="Odstavecseseznamem"/>
              <w:numPr>
                <w:ilvl w:val="0"/>
                <w:numId w:val="61"/>
              </w:numPr>
              <w:spacing w:line="276" w:lineRule="auto"/>
              <w:jc w:val="both"/>
              <w:rPr>
                <w:rFonts w:eastAsia="Times New Roman"/>
                <w:iCs/>
                <w:sz w:val="22"/>
              </w:rPr>
            </w:pPr>
            <w:r w:rsidRPr="00B175FB">
              <w:rPr>
                <w:rFonts w:eastAsia="Times New Roman"/>
                <w:iCs/>
                <w:sz w:val="22"/>
              </w:rPr>
              <w:t>v</w:t>
            </w:r>
            <w:r w:rsidR="00E92D24" w:rsidRPr="00B175FB">
              <w:rPr>
                <w:rFonts w:eastAsia="Times New Roman"/>
                <w:iCs/>
                <w:sz w:val="22"/>
              </w:rPr>
              <w:t xml:space="preserve">zdělávání </w:t>
            </w:r>
            <w:r w:rsidR="00E47B3D" w:rsidRPr="00B175FB">
              <w:rPr>
                <w:rFonts w:eastAsia="Times New Roman"/>
                <w:iCs/>
                <w:sz w:val="22"/>
              </w:rPr>
              <w:t>pracovníků vedoucí k teoretickému pochopení, jak komunikovat se studenty se</w:t>
            </w:r>
            <w:r w:rsidR="003003D2" w:rsidRPr="00B175FB">
              <w:rPr>
                <w:rFonts w:eastAsia="Times New Roman"/>
                <w:iCs/>
                <w:sz w:val="22"/>
              </w:rPr>
              <w:t> </w:t>
            </w:r>
            <w:r w:rsidR="00E47B3D" w:rsidRPr="00B175FB">
              <w:rPr>
                <w:rFonts w:eastAsia="Times New Roman"/>
                <w:iCs/>
                <w:sz w:val="22"/>
              </w:rPr>
              <w:t xml:space="preserve">specifickými </w:t>
            </w:r>
            <w:r w:rsidR="00DB5B75" w:rsidRPr="00B175FB">
              <w:rPr>
                <w:rFonts w:eastAsia="Times New Roman"/>
                <w:iCs/>
                <w:sz w:val="22"/>
              </w:rPr>
              <w:t xml:space="preserve">nároky </w:t>
            </w:r>
            <w:r w:rsidR="00D7788D" w:rsidRPr="00B175FB">
              <w:rPr>
                <w:rFonts w:eastAsia="Times New Roman"/>
                <w:iCs/>
                <w:sz w:val="22"/>
              </w:rPr>
              <w:t xml:space="preserve">(tj. studenty se </w:t>
            </w:r>
            <w:r w:rsidR="00637B74" w:rsidRPr="00B175FB">
              <w:rPr>
                <w:rFonts w:eastAsia="Times New Roman"/>
                <w:iCs/>
                <w:sz w:val="22"/>
              </w:rPr>
              <w:t>SP</w:t>
            </w:r>
            <w:r w:rsidR="00D7788D" w:rsidRPr="00B175FB">
              <w:rPr>
                <w:rFonts w:eastAsia="Times New Roman"/>
                <w:iCs/>
                <w:sz w:val="22"/>
              </w:rPr>
              <w:t>, minorit</w:t>
            </w:r>
            <w:r w:rsidR="008D5B97" w:rsidRPr="00B175FB">
              <w:rPr>
                <w:rFonts w:eastAsia="Times New Roman"/>
                <w:iCs/>
                <w:sz w:val="22"/>
              </w:rPr>
              <w:t>ami</w:t>
            </w:r>
            <w:r w:rsidR="00D7788D" w:rsidRPr="00B175FB">
              <w:rPr>
                <w:rFonts w:eastAsia="Times New Roman"/>
                <w:iCs/>
                <w:sz w:val="22"/>
              </w:rPr>
              <w:t xml:space="preserve"> a mimořádně nadan</w:t>
            </w:r>
            <w:r w:rsidR="008D5B97" w:rsidRPr="00B175FB">
              <w:rPr>
                <w:rFonts w:eastAsia="Times New Roman"/>
                <w:iCs/>
                <w:sz w:val="22"/>
              </w:rPr>
              <w:t>ými</w:t>
            </w:r>
            <w:r w:rsidR="00D7788D" w:rsidRPr="00B175FB">
              <w:rPr>
                <w:rFonts w:eastAsia="Times New Roman"/>
                <w:iCs/>
                <w:sz w:val="22"/>
              </w:rPr>
              <w:t xml:space="preserve">) </w:t>
            </w:r>
            <w:r w:rsidR="00E47B3D" w:rsidRPr="00B175FB">
              <w:rPr>
                <w:rFonts w:eastAsia="Times New Roman"/>
                <w:iCs/>
                <w:sz w:val="22"/>
              </w:rPr>
              <w:t>a</w:t>
            </w:r>
            <w:r w:rsidR="003003D2" w:rsidRPr="00B175FB">
              <w:rPr>
                <w:rFonts w:eastAsia="Times New Roman"/>
                <w:iCs/>
                <w:sz w:val="22"/>
              </w:rPr>
              <w:t> </w:t>
            </w:r>
            <w:r w:rsidR="00E47B3D" w:rsidRPr="00B175FB">
              <w:rPr>
                <w:rFonts w:eastAsia="Times New Roman"/>
                <w:iCs/>
                <w:sz w:val="22"/>
              </w:rPr>
              <w:t>jak se vyvarova</w:t>
            </w:r>
            <w:r w:rsidRPr="00B175FB">
              <w:rPr>
                <w:rFonts w:eastAsia="Times New Roman"/>
                <w:iCs/>
                <w:sz w:val="22"/>
              </w:rPr>
              <w:t>t primárně segregačního jednání;</w:t>
            </w:r>
          </w:p>
          <w:p w:rsidR="000C7B85" w:rsidRPr="00B175FB" w:rsidRDefault="00470F4E" w:rsidP="006A2F6A">
            <w:pPr>
              <w:pStyle w:val="Odstavecseseznamem"/>
              <w:numPr>
                <w:ilvl w:val="0"/>
                <w:numId w:val="61"/>
              </w:numPr>
              <w:spacing w:line="276" w:lineRule="auto"/>
              <w:jc w:val="both"/>
              <w:rPr>
                <w:rFonts w:eastAsia="Times New Roman"/>
                <w:iCs/>
                <w:sz w:val="22"/>
              </w:rPr>
            </w:pPr>
            <w:r w:rsidRPr="00B175FB">
              <w:rPr>
                <w:rFonts w:eastAsia="Times New Roman"/>
                <w:iCs/>
                <w:sz w:val="22"/>
              </w:rPr>
              <w:t>p</w:t>
            </w:r>
            <w:r w:rsidR="000C7B85" w:rsidRPr="00B175FB">
              <w:rPr>
                <w:rFonts w:eastAsia="Times New Roman"/>
                <w:iCs/>
                <w:sz w:val="22"/>
              </w:rPr>
              <w:t xml:space="preserve">odpora činností, které umožní získání mezinárodní zkušenosti pro studenty se </w:t>
            </w:r>
            <w:r w:rsidR="00637B74" w:rsidRPr="00B175FB">
              <w:rPr>
                <w:rFonts w:eastAsia="Times New Roman"/>
                <w:iCs/>
                <w:sz w:val="22"/>
              </w:rPr>
              <w:t>SP</w:t>
            </w:r>
            <w:r w:rsidRPr="00B175FB">
              <w:rPr>
                <w:rFonts w:eastAsia="Times New Roman"/>
                <w:iCs/>
                <w:sz w:val="22"/>
              </w:rPr>
              <w:t>;</w:t>
            </w:r>
          </w:p>
          <w:p w:rsidR="007C0B1E" w:rsidRPr="00B175FB" w:rsidRDefault="00470F4E" w:rsidP="006A2F6A">
            <w:pPr>
              <w:pStyle w:val="Odstavecseseznamem"/>
              <w:numPr>
                <w:ilvl w:val="0"/>
                <w:numId w:val="61"/>
              </w:numPr>
              <w:spacing w:line="276" w:lineRule="auto"/>
              <w:jc w:val="both"/>
              <w:rPr>
                <w:rFonts w:eastAsia="Times New Roman"/>
                <w:iCs/>
                <w:sz w:val="22"/>
              </w:rPr>
            </w:pPr>
            <w:r w:rsidRPr="00B175FB">
              <w:rPr>
                <w:rFonts w:eastAsia="Times New Roman"/>
                <w:iCs/>
                <w:sz w:val="22"/>
              </w:rPr>
              <w:t>p</w:t>
            </w:r>
            <w:r w:rsidR="007C0B1E" w:rsidRPr="00B175FB">
              <w:rPr>
                <w:rFonts w:eastAsia="Times New Roman"/>
                <w:iCs/>
                <w:sz w:val="22"/>
              </w:rPr>
              <w:t>odpora přenosu mezinárodní</w:t>
            </w:r>
            <w:r w:rsidR="00D7351A" w:rsidRPr="00B175FB">
              <w:rPr>
                <w:rFonts w:eastAsia="Times New Roman"/>
                <w:iCs/>
                <w:sz w:val="22"/>
              </w:rPr>
              <w:t>ch</w:t>
            </w:r>
            <w:r w:rsidR="007C0B1E" w:rsidRPr="00B175FB">
              <w:rPr>
                <w:rFonts w:eastAsia="Times New Roman"/>
                <w:iCs/>
                <w:sz w:val="22"/>
              </w:rPr>
              <w:t xml:space="preserve"> zkušenost</w:t>
            </w:r>
            <w:r w:rsidR="00D7351A" w:rsidRPr="00B175FB">
              <w:rPr>
                <w:rFonts w:eastAsia="Times New Roman"/>
                <w:iCs/>
                <w:sz w:val="22"/>
              </w:rPr>
              <w:t>í</w:t>
            </w:r>
            <w:r w:rsidR="007C0B1E" w:rsidRPr="00B175FB">
              <w:rPr>
                <w:rFonts w:eastAsia="Times New Roman"/>
                <w:iCs/>
                <w:sz w:val="22"/>
              </w:rPr>
              <w:t xml:space="preserve"> pro práci se studenty se </w:t>
            </w:r>
            <w:r w:rsidR="00637B74" w:rsidRPr="00B175FB">
              <w:rPr>
                <w:rFonts w:eastAsia="Times New Roman"/>
                <w:iCs/>
                <w:sz w:val="22"/>
              </w:rPr>
              <w:t>SP</w:t>
            </w:r>
            <w:r w:rsidRPr="00B175FB">
              <w:rPr>
                <w:rFonts w:eastAsia="Times New Roman"/>
                <w:iCs/>
                <w:sz w:val="22"/>
              </w:rPr>
              <w:t>;</w:t>
            </w:r>
          </w:p>
          <w:p w:rsidR="00E47B3D" w:rsidRPr="00B175FB" w:rsidRDefault="00470F4E" w:rsidP="006A2F6A">
            <w:pPr>
              <w:pStyle w:val="Odstavecseseznamem"/>
              <w:numPr>
                <w:ilvl w:val="0"/>
                <w:numId w:val="61"/>
              </w:numPr>
              <w:spacing w:line="276" w:lineRule="auto"/>
              <w:jc w:val="both"/>
              <w:rPr>
                <w:rFonts w:eastAsia="Times New Roman"/>
                <w:iCs/>
                <w:sz w:val="22"/>
              </w:rPr>
            </w:pPr>
            <w:r w:rsidRPr="00B175FB">
              <w:rPr>
                <w:rFonts w:eastAsia="Times New Roman"/>
                <w:iCs/>
                <w:sz w:val="22"/>
              </w:rPr>
              <w:t>t</w:t>
            </w:r>
            <w:r w:rsidR="00E47B3D" w:rsidRPr="00B175FB">
              <w:rPr>
                <w:rFonts w:eastAsia="Times New Roman"/>
                <w:iCs/>
                <w:sz w:val="22"/>
              </w:rPr>
              <w:t xml:space="preserve">vorba a implementace vyrovnávacích kurzů pro studenty se </w:t>
            </w:r>
            <w:r w:rsidR="00637B74" w:rsidRPr="00B175FB">
              <w:rPr>
                <w:rFonts w:eastAsia="Times New Roman"/>
                <w:iCs/>
                <w:sz w:val="22"/>
              </w:rPr>
              <w:t>SP</w:t>
            </w:r>
            <w:r w:rsidR="00E302DE" w:rsidRPr="00B175FB">
              <w:rPr>
                <w:rFonts w:eastAsia="Times New Roman"/>
                <w:iCs/>
                <w:sz w:val="22"/>
              </w:rPr>
              <w:t xml:space="preserve"> </w:t>
            </w:r>
            <w:r w:rsidR="00E47B3D" w:rsidRPr="00B175FB">
              <w:rPr>
                <w:rFonts w:eastAsia="Times New Roman"/>
                <w:iCs/>
                <w:sz w:val="22"/>
              </w:rPr>
              <w:t>za účelem usnadnění přechodu ze SŠ na VŠ a jako prevence studijní neú</w:t>
            </w:r>
            <w:r w:rsidRPr="00B175FB">
              <w:rPr>
                <w:rFonts w:eastAsia="Times New Roman"/>
                <w:iCs/>
                <w:sz w:val="22"/>
              </w:rPr>
              <w:t>spěšnosti na všech typech škol;</w:t>
            </w:r>
          </w:p>
          <w:p w:rsidR="00E47B3D" w:rsidRPr="00B175FB" w:rsidRDefault="00470F4E">
            <w:pPr>
              <w:pStyle w:val="Odstavecseseznamem"/>
              <w:numPr>
                <w:ilvl w:val="0"/>
                <w:numId w:val="61"/>
              </w:numPr>
              <w:spacing w:line="276" w:lineRule="auto"/>
              <w:jc w:val="both"/>
              <w:rPr>
                <w:rFonts w:eastAsia="Times New Roman"/>
                <w:iCs/>
                <w:sz w:val="22"/>
              </w:rPr>
            </w:pPr>
            <w:r w:rsidRPr="00B175FB">
              <w:rPr>
                <w:rFonts w:eastAsia="Times New Roman"/>
                <w:iCs/>
                <w:sz w:val="22"/>
              </w:rPr>
              <w:t>p</w:t>
            </w:r>
            <w:r w:rsidR="00E47B3D" w:rsidRPr="00B175FB">
              <w:rPr>
                <w:rFonts w:eastAsia="Times New Roman"/>
                <w:iCs/>
                <w:sz w:val="22"/>
              </w:rPr>
              <w:t xml:space="preserve">odpora činností směřujících k vyhledávání a získávání talentovaných, nadaných a mimořádně nadaných studentů </w:t>
            </w:r>
            <w:r w:rsidR="00900160" w:rsidRPr="00B175FB">
              <w:rPr>
                <w:rFonts w:eastAsia="Times New Roman"/>
                <w:iCs/>
                <w:sz w:val="22"/>
              </w:rPr>
              <w:t xml:space="preserve">a podpora systematické práce s takovými studenty </w:t>
            </w:r>
            <w:r w:rsidR="00E47B3D" w:rsidRPr="00B175FB">
              <w:rPr>
                <w:rFonts w:eastAsia="Times New Roman"/>
                <w:iCs/>
                <w:sz w:val="22"/>
              </w:rPr>
              <w:t xml:space="preserve">– organizace vzdělávacích platforem; účast </w:t>
            </w:r>
            <w:r w:rsidR="005B0C45" w:rsidRPr="00B175FB">
              <w:rPr>
                <w:rFonts w:eastAsia="Times New Roman"/>
                <w:iCs/>
                <w:sz w:val="22"/>
              </w:rPr>
              <w:t>s</w:t>
            </w:r>
            <w:r w:rsidR="00C137E1" w:rsidRPr="00B175FB">
              <w:rPr>
                <w:rFonts w:eastAsia="Times New Roman"/>
                <w:iCs/>
                <w:sz w:val="22"/>
              </w:rPr>
              <w:t>tudent</w:t>
            </w:r>
            <w:r w:rsidR="005B0C45" w:rsidRPr="00B175FB">
              <w:rPr>
                <w:rFonts w:eastAsia="Times New Roman"/>
                <w:iCs/>
                <w:sz w:val="22"/>
              </w:rPr>
              <w:t>ů</w:t>
            </w:r>
            <w:r w:rsidR="00E47B3D" w:rsidRPr="00B175FB">
              <w:rPr>
                <w:rFonts w:eastAsia="Times New Roman"/>
                <w:iCs/>
                <w:sz w:val="22"/>
              </w:rPr>
              <w:t xml:space="preserve"> na vysokoškolské výuce</w:t>
            </w:r>
            <w:r w:rsidRPr="00B175FB">
              <w:rPr>
                <w:rFonts w:eastAsia="Times New Roman"/>
                <w:iCs/>
                <w:sz w:val="22"/>
              </w:rPr>
              <w:t>;</w:t>
            </w:r>
          </w:p>
          <w:p w:rsidR="00553434" w:rsidRPr="00B175FB" w:rsidRDefault="00470F4E" w:rsidP="006A2F6A">
            <w:pPr>
              <w:pStyle w:val="Odstavecseseznamem"/>
              <w:numPr>
                <w:ilvl w:val="0"/>
                <w:numId w:val="61"/>
              </w:numPr>
              <w:spacing w:line="276" w:lineRule="auto"/>
              <w:jc w:val="both"/>
              <w:rPr>
                <w:rFonts w:eastAsia="Times New Roman"/>
                <w:iCs/>
                <w:sz w:val="22"/>
              </w:rPr>
            </w:pPr>
            <w:r w:rsidRPr="00B175FB">
              <w:rPr>
                <w:rFonts w:eastAsia="Times New Roman"/>
                <w:iCs/>
                <w:sz w:val="22"/>
              </w:rPr>
              <w:t>p</w:t>
            </w:r>
            <w:r w:rsidR="00E47B3D" w:rsidRPr="00B175FB">
              <w:rPr>
                <w:rFonts w:eastAsia="Times New Roman"/>
                <w:iCs/>
                <w:sz w:val="22"/>
              </w:rPr>
              <w:t>odpora účasti akademických pracovníků na středoškolské odborné činnosti (konzultace, vedení seminár</w:t>
            </w:r>
            <w:r w:rsidRPr="00B175FB">
              <w:rPr>
                <w:rFonts w:eastAsia="Times New Roman"/>
                <w:iCs/>
                <w:sz w:val="22"/>
              </w:rPr>
              <w:t>ních prací, vedení experimentů);</w:t>
            </w:r>
          </w:p>
          <w:p w:rsidR="00B8751E" w:rsidRPr="00B175FB" w:rsidRDefault="00470F4E" w:rsidP="006A2F6A">
            <w:pPr>
              <w:pStyle w:val="Odstavecseseznamem"/>
              <w:numPr>
                <w:ilvl w:val="0"/>
                <w:numId w:val="61"/>
              </w:numPr>
              <w:spacing w:line="276" w:lineRule="auto"/>
              <w:jc w:val="both"/>
              <w:rPr>
                <w:rFonts w:eastAsia="Times New Roman"/>
                <w:iCs/>
                <w:sz w:val="22"/>
              </w:rPr>
            </w:pPr>
            <w:r w:rsidRPr="00B175FB">
              <w:rPr>
                <w:rFonts w:eastAsia="Times New Roman"/>
                <w:iCs/>
                <w:sz w:val="22"/>
              </w:rPr>
              <w:t>p</w:t>
            </w:r>
            <w:r w:rsidR="00E47B3D" w:rsidRPr="00B175FB">
              <w:rPr>
                <w:rFonts w:eastAsia="Times New Roman"/>
                <w:iCs/>
                <w:sz w:val="22"/>
              </w:rPr>
              <w:t>odpora vysokoškolských poraden (metodická podpora, školení pracovníků, stáže za účelem získání příkladů dobré praxe, síťování jednotlivých pracovišť)</w:t>
            </w:r>
            <w:r w:rsidR="00B8751E" w:rsidRPr="00B175FB">
              <w:rPr>
                <w:rFonts w:eastAsia="Times New Roman"/>
                <w:iCs/>
                <w:sz w:val="22"/>
              </w:rPr>
              <w:t>;</w:t>
            </w:r>
          </w:p>
          <w:p w:rsidR="000F2966" w:rsidRPr="00B175FB" w:rsidRDefault="00473AB4" w:rsidP="006A2F6A">
            <w:pPr>
              <w:pStyle w:val="Odstavecseseznamem"/>
              <w:numPr>
                <w:ilvl w:val="0"/>
                <w:numId w:val="61"/>
              </w:numPr>
              <w:spacing w:line="276" w:lineRule="auto"/>
              <w:jc w:val="both"/>
              <w:rPr>
                <w:rFonts w:eastAsia="Times New Roman" w:cs="Times New Roman"/>
                <w:sz w:val="22"/>
              </w:rPr>
            </w:pPr>
            <w:r w:rsidRPr="00B175FB">
              <w:rPr>
                <w:rFonts w:eastAsia="Times New Roman" w:cs="Times New Roman"/>
                <w:sz w:val="22"/>
              </w:rPr>
              <w:t>podpora sociální integrace studentů (např. za účelem snížení studijní neúspěšnosti, zvyšování kvality a</w:t>
            </w:r>
            <w:r w:rsidR="00CD130F" w:rsidRPr="00B175FB">
              <w:rPr>
                <w:rFonts w:eastAsia="Times New Roman" w:cs="Times New Roman"/>
                <w:sz w:val="22"/>
              </w:rPr>
              <w:t> </w:t>
            </w:r>
            <w:r w:rsidRPr="00B175FB">
              <w:rPr>
                <w:rFonts w:eastAsia="Times New Roman" w:cs="Times New Roman"/>
                <w:sz w:val="22"/>
              </w:rPr>
              <w:t>relevance učení, a to za pomocí studentských spolků, organizací apod.).</w:t>
            </w:r>
            <w:bookmarkEnd w:id="175"/>
          </w:p>
        </w:tc>
      </w:tr>
    </w:tbl>
    <w:p w:rsidR="004005FF" w:rsidRPr="00B175FB" w:rsidRDefault="004005FF" w:rsidP="004005FF">
      <w:pPr>
        <w:rPr>
          <w:rFonts w:eastAsia="Times New Roman"/>
          <w:i/>
          <w:iCs/>
          <w:noProof/>
          <w:szCs w:val="24"/>
        </w:rPr>
      </w:pPr>
      <w:r w:rsidRPr="00B175FB">
        <w:rPr>
          <w:rFonts w:eastAsia="Times New Roman"/>
          <w:b/>
          <w:i/>
          <w:noProof/>
          <w:szCs w:val="24"/>
        </w:rPr>
        <w:t>Hlavní cílové skupiny</w:t>
      </w:r>
      <w:r w:rsidRPr="00B175FB">
        <w:rPr>
          <w:rFonts w:eastAsia="Times New Roman"/>
          <w:i/>
          <w:noProof/>
          <w:szCs w:val="24"/>
        </w:rPr>
        <w:t xml:space="preserve"> </w:t>
      </w:r>
    </w:p>
    <w:p w:rsidR="00553434" w:rsidRPr="00B175FB" w:rsidRDefault="00553434" w:rsidP="008750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eastAsia="Times New Roman"/>
          <w:b/>
          <w:sz w:val="22"/>
        </w:rPr>
      </w:pPr>
      <w:r w:rsidRPr="00B175FB">
        <w:rPr>
          <w:rFonts w:eastAsia="Times New Roman"/>
          <w:b/>
          <w:sz w:val="22"/>
        </w:rPr>
        <w:t>Hlavními cílovými skupinami jsou:</w:t>
      </w:r>
    </w:p>
    <w:p w:rsidR="00C43BB3" w:rsidRPr="00B175FB" w:rsidRDefault="00553434" w:rsidP="0015017F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 w:cs="Times New Roman"/>
          <w:sz w:val="22"/>
        </w:rPr>
      </w:pPr>
      <w:r w:rsidRPr="00B175FB">
        <w:rPr>
          <w:rFonts w:eastAsia="Times New Roman" w:cs="Times New Roman"/>
          <w:sz w:val="22"/>
        </w:rPr>
        <w:t>p</w:t>
      </w:r>
      <w:r w:rsidR="00C43BB3" w:rsidRPr="00B175FB">
        <w:rPr>
          <w:rFonts w:eastAsia="Times New Roman" w:cs="Times New Roman"/>
          <w:sz w:val="22"/>
        </w:rPr>
        <w:t xml:space="preserve">edagogičtí pracovníci; </w:t>
      </w:r>
    </w:p>
    <w:p w:rsidR="00C43BB3" w:rsidRPr="00B175FB" w:rsidRDefault="00C43BB3" w:rsidP="0015017F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 w:cs="Times New Roman"/>
          <w:sz w:val="22"/>
        </w:rPr>
      </w:pPr>
      <w:r w:rsidRPr="00B175FB">
        <w:rPr>
          <w:rFonts w:eastAsia="Times New Roman" w:cs="Times New Roman"/>
          <w:sz w:val="22"/>
        </w:rPr>
        <w:t>nepedagogičtí pracovníci;</w:t>
      </w:r>
    </w:p>
    <w:p w:rsidR="00C43BB3" w:rsidRPr="00B175FB" w:rsidRDefault="00C43BB3" w:rsidP="0015017F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 w:cs="Times New Roman"/>
          <w:sz w:val="22"/>
        </w:rPr>
      </w:pPr>
      <w:r w:rsidRPr="00B175FB">
        <w:rPr>
          <w:rFonts w:eastAsia="Times New Roman" w:cs="Times New Roman"/>
          <w:sz w:val="22"/>
        </w:rPr>
        <w:t>vedení škol</w:t>
      </w:r>
      <w:r w:rsidR="00A42274" w:rsidRPr="00B175FB">
        <w:rPr>
          <w:rFonts w:eastAsia="Times New Roman" w:cs="Times New Roman"/>
          <w:sz w:val="22"/>
        </w:rPr>
        <w:t xml:space="preserve"> a</w:t>
      </w:r>
      <w:r w:rsidRPr="00B175FB">
        <w:rPr>
          <w:rFonts w:eastAsia="Times New Roman" w:cs="Times New Roman"/>
          <w:sz w:val="22"/>
        </w:rPr>
        <w:t xml:space="preserve"> školských zařízení a zřizovatelé;</w:t>
      </w:r>
    </w:p>
    <w:p w:rsidR="00C43BB3" w:rsidRPr="00B175FB" w:rsidRDefault="00751E0E" w:rsidP="0015017F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 w:cs="Times New Roman"/>
          <w:sz w:val="22"/>
        </w:rPr>
      </w:pPr>
      <w:r w:rsidRPr="00B175FB">
        <w:rPr>
          <w:rFonts w:eastAsia="Times New Roman" w:cs="Times New Roman"/>
          <w:sz w:val="22"/>
        </w:rPr>
        <w:t>VŠ</w:t>
      </w:r>
      <w:r w:rsidR="00C43BB3" w:rsidRPr="00B175FB">
        <w:rPr>
          <w:rFonts w:eastAsia="Times New Roman" w:cs="Times New Roman"/>
          <w:sz w:val="22"/>
        </w:rPr>
        <w:t xml:space="preserve"> a </w:t>
      </w:r>
      <w:r w:rsidRPr="00B175FB">
        <w:rPr>
          <w:rFonts w:eastAsia="Times New Roman" w:cs="Times New Roman"/>
          <w:sz w:val="22"/>
        </w:rPr>
        <w:t xml:space="preserve">jejich </w:t>
      </w:r>
      <w:r w:rsidR="00C43BB3" w:rsidRPr="00B175FB">
        <w:rPr>
          <w:rFonts w:eastAsia="Times New Roman" w:cs="Times New Roman"/>
          <w:sz w:val="22"/>
        </w:rPr>
        <w:t>součásti realizující studijní programy připravující budoucí pedagogické pracovníky;</w:t>
      </w:r>
    </w:p>
    <w:p w:rsidR="00C43BB3" w:rsidRPr="00B175FB" w:rsidRDefault="00C43BB3" w:rsidP="0015017F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 w:cs="Times New Roman"/>
          <w:sz w:val="22"/>
        </w:rPr>
      </w:pPr>
      <w:r w:rsidRPr="00B175FB">
        <w:rPr>
          <w:rFonts w:eastAsia="Times New Roman" w:cs="Times New Roman"/>
          <w:sz w:val="22"/>
        </w:rPr>
        <w:t xml:space="preserve">pracovníci </w:t>
      </w:r>
      <w:r w:rsidR="00751E0E" w:rsidRPr="00B175FB">
        <w:rPr>
          <w:rFonts w:eastAsia="Times New Roman" w:cs="Times New Roman"/>
          <w:sz w:val="22"/>
        </w:rPr>
        <w:t>ČŠI</w:t>
      </w:r>
      <w:r w:rsidRPr="00B175FB">
        <w:rPr>
          <w:rFonts w:eastAsia="Times New Roman" w:cs="Times New Roman"/>
          <w:sz w:val="22"/>
        </w:rPr>
        <w:t xml:space="preserve"> a školských poradenských zařízení;</w:t>
      </w:r>
    </w:p>
    <w:p w:rsidR="00C43BB3" w:rsidRPr="00B175FB" w:rsidRDefault="00C43BB3" w:rsidP="0015017F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 w:cs="Times New Roman"/>
          <w:sz w:val="22"/>
        </w:rPr>
      </w:pPr>
      <w:r w:rsidRPr="00B175FB">
        <w:rPr>
          <w:rFonts w:eastAsia="Times New Roman" w:cs="Times New Roman"/>
          <w:sz w:val="22"/>
        </w:rPr>
        <w:t>děti</w:t>
      </w:r>
      <w:r w:rsidR="000D7588" w:rsidRPr="00B175FB">
        <w:rPr>
          <w:rFonts w:eastAsia="Times New Roman" w:cs="Times New Roman"/>
          <w:sz w:val="22"/>
        </w:rPr>
        <w:t>,</w:t>
      </w:r>
      <w:r w:rsidRPr="00B175FB">
        <w:rPr>
          <w:rFonts w:eastAsia="Times New Roman" w:cs="Times New Roman"/>
          <w:sz w:val="22"/>
        </w:rPr>
        <w:t xml:space="preserve"> žáci</w:t>
      </w:r>
      <w:r w:rsidR="000D7588" w:rsidRPr="00B175FB">
        <w:rPr>
          <w:rFonts w:eastAsia="Times New Roman" w:cs="Times New Roman"/>
          <w:sz w:val="22"/>
        </w:rPr>
        <w:t xml:space="preserve"> a studenti</w:t>
      </w:r>
      <w:r w:rsidR="00C52340" w:rsidRPr="00B175FB">
        <w:rPr>
          <w:rFonts w:eastAsia="Times New Roman" w:cs="Times New Roman"/>
          <w:sz w:val="22"/>
        </w:rPr>
        <w:t xml:space="preserve"> VOŠ</w:t>
      </w:r>
      <w:r w:rsidR="00397944" w:rsidRPr="00B175FB">
        <w:rPr>
          <w:rFonts w:eastAsia="Times New Roman" w:cs="Times New Roman"/>
          <w:sz w:val="22"/>
        </w:rPr>
        <w:t>;</w:t>
      </w:r>
    </w:p>
    <w:p w:rsidR="00C43BB3" w:rsidRPr="00B175FB" w:rsidRDefault="00C43BB3" w:rsidP="0015017F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 w:cs="Times New Roman"/>
          <w:sz w:val="22"/>
        </w:rPr>
      </w:pPr>
      <w:r w:rsidRPr="00B175FB">
        <w:rPr>
          <w:rFonts w:eastAsia="Times New Roman" w:cs="Times New Roman"/>
          <w:sz w:val="22"/>
        </w:rPr>
        <w:t>rodiče dětí</w:t>
      </w:r>
      <w:r w:rsidR="00397944" w:rsidRPr="00B175FB">
        <w:rPr>
          <w:rFonts w:eastAsia="Times New Roman" w:cs="Times New Roman"/>
          <w:sz w:val="22"/>
        </w:rPr>
        <w:t xml:space="preserve"> a</w:t>
      </w:r>
      <w:r w:rsidRPr="00B175FB">
        <w:rPr>
          <w:rFonts w:eastAsia="Times New Roman" w:cs="Times New Roman"/>
          <w:sz w:val="22"/>
        </w:rPr>
        <w:t xml:space="preserve"> žáků (případně zákonní zástupci), veřejnost;</w:t>
      </w:r>
    </w:p>
    <w:p w:rsidR="00C43BB3" w:rsidRPr="00B175FB" w:rsidRDefault="00C43BB3" w:rsidP="0015017F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 w:cs="Times New Roman"/>
          <w:sz w:val="22"/>
        </w:rPr>
      </w:pPr>
      <w:r w:rsidRPr="00B175FB">
        <w:rPr>
          <w:rFonts w:eastAsia="Times New Roman" w:cs="Times New Roman"/>
          <w:sz w:val="22"/>
        </w:rPr>
        <w:t>ostatní aktéři v oblasti vzdělávání (</w:t>
      </w:r>
      <w:r w:rsidR="00751E0E" w:rsidRPr="00B175FB">
        <w:rPr>
          <w:rFonts w:eastAsia="Times New Roman" w:cs="Times New Roman"/>
          <w:sz w:val="22"/>
        </w:rPr>
        <w:t>nestátní neziskové organizace, poskytovatelé dalšího vzdělávání</w:t>
      </w:r>
      <w:r w:rsidRPr="00B175FB">
        <w:rPr>
          <w:rFonts w:eastAsia="Times New Roman" w:cs="Times New Roman"/>
          <w:sz w:val="22"/>
        </w:rPr>
        <w:t xml:space="preserve">, </w:t>
      </w:r>
      <w:r w:rsidR="00751E0E" w:rsidRPr="00B175FB">
        <w:rPr>
          <w:rFonts w:eastAsia="Times New Roman" w:cs="Times New Roman"/>
          <w:sz w:val="22"/>
        </w:rPr>
        <w:t xml:space="preserve">poskytovatelé dalšího vzdělávání pedagogických pracovníků </w:t>
      </w:r>
      <w:r w:rsidRPr="00B175FB">
        <w:rPr>
          <w:rFonts w:eastAsia="Times New Roman" w:cs="Times New Roman"/>
          <w:sz w:val="22"/>
        </w:rPr>
        <w:t>apod.)</w:t>
      </w:r>
      <w:r w:rsidR="00C1539D" w:rsidRPr="00B175FB">
        <w:rPr>
          <w:rFonts w:eastAsia="Times New Roman" w:cs="Times New Roman"/>
          <w:sz w:val="22"/>
        </w:rPr>
        <w:t>;</w:t>
      </w:r>
    </w:p>
    <w:p w:rsidR="00C1539D" w:rsidRPr="00B175FB" w:rsidRDefault="00C1539D" w:rsidP="0015017F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 w:cs="Times New Roman"/>
          <w:sz w:val="22"/>
        </w:rPr>
      </w:pPr>
      <w:r w:rsidRPr="00B175FB">
        <w:rPr>
          <w:rFonts w:eastAsia="Times New Roman" w:cs="Times New Roman"/>
          <w:sz w:val="22"/>
        </w:rPr>
        <w:t xml:space="preserve">akademičtí a neakademičtí pracovníci </w:t>
      </w:r>
      <w:r w:rsidR="00751E0E" w:rsidRPr="00B175FB">
        <w:rPr>
          <w:rFonts w:eastAsia="Times New Roman" w:cs="Times New Roman"/>
          <w:sz w:val="22"/>
        </w:rPr>
        <w:t>VŠ</w:t>
      </w:r>
      <w:r w:rsidRPr="00B175FB">
        <w:rPr>
          <w:rFonts w:eastAsia="Times New Roman" w:cs="Times New Roman"/>
          <w:sz w:val="22"/>
        </w:rPr>
        <w:t>;</w:t>
      </w:r>
    </w:p>
    <w:p w:rsidR="00C1539D" w:rsidRPr="00B175FB" w:rsidRDefault="00C1539D" w:rsidP="0015017F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 w:cs="Times New Roman"/>
          <w:sz w:val="22"/>
        </w:rPr>
      </w:pPr>
      <w:r w:rsidRPr="00B175FB">
        <w:rPr>
          <w:rFonts w:eastAsia="Times New Roman" w:cs="Times New Roman"/>
          <w:sz w:val="22"/>
        </w:rPr>
        <w:t xml:space="preserve">studenti VŠ se </w:t>
      </w:r>
      <w:r w:rsidR="00751E0E" w:rsidRPr="00B175FB">
        <w:rPr>
          <w:rFonts w:eastAsia="Times New Roman" w:cs="Times New Roman"/>
          <w:sz w:val="22"/>
        </w:rPr>
        <w:t>SP</w:t>
      </w:r>
      <w:r w:rsidRPr="00B175FB">
        <w:rPr>
          <w:rFonts w:eastAsia="Times New Roman" w:cs="Times New Roman"/>
          <w:sz w:val="22"/>
        </w:rPr>
        <w:t xml:space="preserve">; </w:t>
      </w:r>
    </w:p>
    <w:p w:rsidR="00C1539D" w:rsidRPr="00B175FB" w:rsidRDefault="00C1539D" w:rsidP="0015017F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 w:cs="Times New Roman"/>
          <w:sz w:val="22"/>
        </w:rPr>
      </w:pPr>
      <w:r w:rsidRPr="00B175FB">
        <w:rPr>
          <w:rFonts w:eastAsia="Times New Roman" w:cs="Times New Roman"/>
          <w:sz w:val="22"/>
        </w:rPr>
        <w:t>studenti VŠ;</w:t>
      </w:r>
    </w:p>
    <w:p w:rsidR="00FC22E3" w:rsidRPr="00B175FB" w:rsidRDefault="00C1539D" w:rsidP="0015017F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 w:cs="Times New Roman"/>
          <w:sz w:val="22"/>
        </w:rPr>
      </w:pPr>
      <w:r w:rsidRPr="00B175FB">
        <w:rPr>
          <w:rFonts w:eastAsia="Times New Roman" w:cs="Times New Roman"/>
          <w:sz w:val="22"/>
        </w:rPr>
        <w:t>zájemci o studium na VŠ</w:t>
      </w:r>
      <w:r w:rsidR="008A5E14" w:rsidRPr="00B175FB">
        <w:rPr>
          <w:rFonts w:eastAsia="Times New Roman" w:cs="Times New Roman"/>
          <w:sz w:val="22"/>
        </w:rPr>
        <w:t>.</w:t>
      </w:r>
    </w:p>
    <w:p w:rsidR="00331F49" w:rsidRPr="00B175FB" w:rsidRDefault="00227AF7" w:rsidP="00331F49">
      <w:pPr>
        <w:rPr>
          <w:rFonts w:eastAsia="Times New Roman"/>
          <w:b/>
          <w:i/>
          <w:noProof/>
          <w:szCs w:val="24"/>
        </w:rPr>
      </w:pPr>
      <w:r w:rsidRPr="00B175FB">
        <w:rPr>
          <w:rFonts w:eastAsia="Times New Roman"/>
          <w:b/>
          <w:i/>
          <w:noProof/>
          <w:szCs w:val="24"/>
        </w:rPr>
        <w:t>Akce zajišťující rovnost, začlenění a nediskriminaci</w:t>
      </w:r>
      <w:r w:rsidR="00331F49" w:rsidRPr="00B175FB">
        <w:rPr>
          <w:rFonts w:eastAsia="Times New Roman"/>
          <w:b/>
          <w:i/>
          <w:noProof/>
          <w:szCs w:val="24"/>
        </w:rPr>
        <w:t xml:space="preserve"> </w:t>
      </w:r>
      <w:r w:rsidR="00331F49" w:rsidRPr="00B175FB">
        <w:rPr>
          <w:rFonts w:eastAsia="Times New Roman"/>
          <w:i/>
          <w:noProof/>
          <w:szCs w:val="24"/>
        </w:rPr>
        <w:t xml:space="preserve"> </w:t>
      </w:r>
      <w:r w:rsidR="00331F49" w:rsidRPr="00B175FB">
        <w:rPr>
          <w:rFonts w:eastAsia="Times New Roman"/>
          <w:i/>
          <w:iCs/>
          <w:noProof/>
          <w:szCs w:val="24"/>
        </w:rPr>
        <w:t> </w:t>
      </w:r>
    </w:p>
    <w:p w:rsidR="00331F49" w:rsidRDefault="00CB4C36" w:rsidP="000C0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both"/>
        <w:rPr>
          <w:rFonts w:eastAsia="Times New Roman"/>
          <w:sz w:val="22"/>
        </w:rPr>
      </w:pPr>
      <w:r>
        <w:rPr>
          <w:rFonts w:eastAsia="Times New Roman"/>
          <w:sz w:val="22"/>
        </w:rPr>
        <w:t>V</w:t>
      </w:r>
      <w:r w:rsidR="005D0B02">
        <w:rPr>
          <w:rFonts w:eastAsia="Times New Roman"/>
          <w:sz w:val="22"/>
        </w:rPr>
        <w:t> </w:t>
      </w:r>
      <w:r>
        <w:rPr>
          <w:rFonts w:eastAsia="Times New Roman"/>
          <w:sz w:val="22"/>
        </w:rPr>
        <w:t>oblasti</w:t>
      </w:r>
      <w:r w:rsidR="005D0B02">
        <w:rPr>
          <w:rFonts w:eastAsia="Times New Roman"/>
          <w:sz w:val="22"/>
        </w:rPr>
        <w:t xml:space="preserve"> regionálního školství i</w:t>
      </w:r>
      <w:r>
        <w:rPr>
          <w:rFonts w:eastAsia="Times New Roman"/>
          <w:sz w:val="22"/>
        </w:rPr>
        <w:t xml:space="preserve"> vysokých škol zahrnují plánované intervence podporu širokého spektra aktivit v rámci </w:t>
      </w:r>
      <w:r w:rsidR="005D0B02">
        <w:rPr>
          <w:rFonts w:eastAsia="Times New Roman"/>
          <w:sz w:val="22"/>
        </w:rPr>
        <w:t>podpory rovného</w:t>
      </w:r>
      <w:r>
        <w:rPr>
          <w:rFonts w:eastAsia="Times New Roman"/>
          <w:sz w:val="22"/>
        </w:rPr>
        <w:t xml:space="preserve"> přístup</w:t>
      </w:r>
      <w:r w:rsidR="005D0B02">
        <w:rPr>
          <w:rFonts w:eastAsia="Times New Roman"/>
          <w:sz w:val="22"/>
        </w:rPr>
        <w:t>u</w:t>
      </w:r>
      <w:r>
        <w:rPr>
          <w:rFonts w:eastAsia="Times New Roman"/>
          <w:sz w:val="22"/>
        </w:rPr>
        <w:t xml:space="preserve"> ke </w:t>
      </w:r>
      <w:r w:rsidR="005D0B02">
        <w:rPr>
          <w:rFonts w:eastAsia="Times New Roman"/>
          <w:sz w:val="22"/>
        </w:rPr>
        <w:t xml:space="preserve">vzdělávání a </w:t>
      </w:r>
      <w:r>
        <w:rPr>
          <w:rFonts w:eastAsia="Times New Roman"/>
          <w:sz w:val="22"/>
        </w:rPr>
        <w:t xml:space="preserve">studiu pro </w:t>
      </w:r>
      <w:r w:rsidR="005D0B02">
        <w:rPr>
          <w:rFonts w:eastAsia="Times New Roman"/>
          <w:sz w:val="22"/>
        </w:rPr>
        <w:t xml:space="preserve">děti, žáky a </w:t>
      </w:r>
      <w:r>
        <w:rPr>
          <w:rFonts w:eastAsia="Times New Roman"/>
          <w:sz w:val="22"/>
        </w:rPr>
        <w:t xml:space="preserve">studenty se specifickými potřebami. Aktivity zahrnují vzdělávání </w:t>
      </w:r>
      <w:r w:rsidR="005D0B02">
        <w:rPr>
          <w:rFonts w:eastAsia="Times New Roman"/>
          <w:sz w:val="22"/>
        </w:rPr>
        <w:t xml:space="preserve">pedagogických a </w:t>
      </w:r>
      <w:r>
        <w:rPr>
          <w:rFonts w:eastAsia="Times New Roman"/>
          <w:sz w:val="22"/>
        </w:rPr>
        <w:t xml:space="preserve">akademických pracovníků, rozvoj poradenství pro </w:t>
      </w:r>
      <w:r w:rsidR="005D0B02">
        <w:rPr>
          <w:rFonts w:eastAsia="Times New Roman"/>
          <w:sz w:val="22"/>
        </w:rPr>
        <w:t>děti, žáky a</w:t>
      </w:r>
      <w:r w:rsidR="00470813">
        <w:rPr>
          <w:rFonts w:eastAsia="Times New Roman"/>
          <w:sz w:val="22"/>
        </w:rPr>
        <w:t> </w:t>
      </w:r>
      <w:r>
        <w:rPr>
          <w:rFonts w:eastAsia="Times New Roman"/>
          <w:sz w:val="22"/>
        </w:rPr>
        <w:t>studenty, rozvoj institucionálního prostředí</w:t>
      </w:r>
      <w:r w:rsidR="0077132A">
        <w:rPr>
          <w:rFonts w:eastAsia="Times New Roman"/>
          <w:sz w:val="22"/>
        </w:rPr>
        <w:t xml:space="preserve">, </w:t>
      </w:r>
      <w:r>
        <w:rPr>
          <w:rFonts w:eastAsia="Times New Roman"/>
          <w:sz w:val="22"/>
        </w:rPr>
        <w:t>integrac</w:t>
      </w:r>
      <w:r w:rsidR="0077132A">
        <w:rPr>
          <w:rFonts w:eastAsia="Times New Roman"/>
          <w:sz w:val="22"/>
        </w:rPr>
        <w:t>i</w:t>
      </w:r>
      <w:r>
        <w:rPr>
          <w:rFonts w:eastAsia="Times New Roman"/>
          <w:sz w:val="22"/>
        </w:rPr>
        <w:t xml:space="preserve"> </w:t>
      </w:r>
      <w:r w:rsidR="005D0B02">
        <w:rPr>
          <w:rFonts w:eastAsia="Times New Roman"/>
          <w:sz w:val="22"/>
        </w:rPr>
        <w:t xml:space="preserve">dětí, žáků a </w:t>
      </w:r>
      <w:r>
        <w:rPr>
          <w:rFonts w:eastAsia="Times New Roman"/>
          <w:sz w:val="22"/>
        </w:rPr>
        <w:t>studentů se SP apod.</w:t>
      </w:r>
    </w:p>
    <w:p w:rsidR="00CB4C36" w:rsidRPr="00B175FB" w:rsidRDefault="00CB4C36" w:rsidP="000C0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both"/>
        <w:rPr>
          <w:rFonts w:eastAsia="Times New Roman"/>
          <w:noProof/>
          <w:sz w:val="22"/>
        </w:rPr>
      </w:pPr>
      <w:r>
        <w:rPr>
          <w:rFonts w:eastAsia="Times New Roman"/>
          <w:sz w:val="22"/>
        </w:rPr>
        <w:t>V obecné rovině bude u každého projektu posuzován soulad s horizontálními principy.</w:t>
      </w:r>
    </w:p>
    <w:p w:rsidR="004C6B23" w:rsidRPr="00B175FB" w:rsidRDefault="004005FF" w:rsidP="004C55F4">
      <w:pPr>
        <w:rPr>
          <w:rFonts w:eastAsia="Times New Roman"/>
          <w:i/>
          <w:noProof/>
          <w:szCs w:val="24"/>
        </w:rPr>
      </w:pPr>
      <w:r w:rsidRPr="00B175FB">
        <w:rPr>
          <w:rFonts w:eastAsia="Times New Roman"/>
          <w:b/>
          <w:i/>
          <w:noProof/>
          <w:szCs w:val="24"/>
        </w:rPr>
        <w:t>Konkrétní cílová území včetně plánovaného použití územních nástrojů</w:t>
      </w:r>
      <w:r w:rsidRPr="00B175FB">
        <w:rPr>
          <w:rFonts w:eastAsia="Times New Roman"/>
          <w:i/>
          <w:noProof/>
          <w:szCs w:val="24"/>
        </w:rPr>
        <w:t xml:space="preserve">   </w:t>
      </w:r>
    </w:p>
    <w:p w:rsidR="00066391" w:rsidRPr="00B175FB" w:rsidRDefault="00066391" w:rsidP="000663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eastAsia="Batang" w:hAnsi="Arial" w:cstheme="minorBidi"/>
          <w:sz w:val="22"/>
          <w:lang w:eastAsia="cs-CZ"/>
        </w:rPr>
      </w:pPr>
      <w:r w:rsidRPr="00B175FB">
        <w:rPr>
          <w:rFonts w:eastAsia="Times New Roman"/>
          <w:i/>
          <w:sz w:val="22"/>
        </w:rPr>
        <w:t>Popis zapojení územních nástrojů a zohlednění územní dimenze plánovaných intervencí – bude doplněno v další fáz</w:t>
      </w:r>
      <w:r w:rsidR="002D15B6">
        <w:rPr>
          <w:rFonts w:eastAsia="Times New Roman"/>
          <w:i/>
          <w:sz w:val="22"/>
        </w:rPr>
        <w:t>i</w:t>
      </w:r>
      <w:r w:rsidRPr="00B175FB">
        <w:rPr>
          <w:rFonts w:eastAsia="Times New Roman"/>
          <w:i/>
          <w:sz w:val="22"/>
        </w:rPr>
        <w:t xml:space="preserve"> ve vazbě na přípravu Národního dokumentu k územní dimenzi a integrovaným nástrojům</w:t>
      </w:r>
      <w:r w:rsidR="002D15B6">
        <w:rPr>
          <w:rFonts w:eastAsia="Times New Roman"/>
          <w:i/>
          <w:sz w:val="22"/>
        </w:rPr>
        <w:t>.</w:t>
      </w:r>
      <w:r w:rsidRPr="00B175FB">
        <w:rPr>
          <w:rFonts w:ascii="Arial" w:eastAsia="Batang" w:hAnsi="Arial" w:cstheme="minorBidi"/>
          <w:sz w:val="22"/>
          <w:lang w:eastAsia="cs-CZ"/>
        </w:rPr>
        <w:t xml:space="preserve"> </w:t>
      </w:r>
    </w:p>
    <w:p w:rsidR="00066391" w:rsidRPr="00B175FB" w:rsidRDefault="00066391" w:rsidP="007961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/>
          <w:i/>
          <w:noProof/>
        </w:rPr>
      </w:pPr>
      <w:r w:rsidRPr="00B175FB">
        <w:rPr>
          <w:rFonts w:eastAsia="Times New Roman"/>
          <w:sz w:val="22"/>
        </w:rPr>
        <w:t xml:space="preserve">Aktivity podporované ve specifickém cíli budou realizovány ve všech regionech České republiky včetně </w:t>
      </w:r>
      <w:r w:rsidR="00047E65" w:rsidRPr="00B175FB">
        <w:rPr>
          <w:rFonts w:eastAsia="Times New Roman"/>
          <w:sz w:val="22"/>
        </w:rPr>
        <w:t>hlavního </w:t>
      </w:r>
      <w:r w:rsidRPr="00B175FB">
        <w:rPr>
          <w:rFonts w:eastAsia="Times New Roman"/>
          <w:sz w:val="22"/>
        </w:rPr>
        <w:t>města Prahy, tj. ve více rozvinutých, méně rozvinutých a přechodových regionech ČR.</w:t>
      </w:r>
    </w:p>
    <w:p w:rsidR="00900204" w:rsidRPr="00B175FB" w:rsidRDefault="00900204" w:rsidP="00900204">
      <w:pPr>
        <w:rPr>
          <w:rFonts w:eastAsia="Times New Roman"/>
          <w:b/>
          <w:i/>
          <w:szCs w:val="24"/>
        </w:rPr>
      </w:pPr>
      <w:r w:rsidRPr="00B175FB">
        <w:rPr>
          <w:rFonts w:eastAsia="Times New Roman"/>
          <w:b/>
          <w:i/>
          <w:szCs w:val="24"/>
        </w:rPr>
        <w:t>Meziregionální a nadnárodní činnosti</w:t>
      </w:r>
      <w:r w:rsidRPr="00B175FB">
        <w:rPr>
          <w:rFonts w:eastAsia="Times New Roman"/>
          <w:b/>
          <w:noProof/>
          <w:color w:val="D0CECE" w:themeColor="background2" w:themeShade="E6"/>
          <w:szCs w:val="24"/>
        </w:rPr>
        <w:t xml:space="preserve"> </w:t>
      </w:r>
      <w:r w:rsidRPr="00B175FB">
        <w:rPr>
          <w:rFonts w:eastAsia="Times New Roman"/>
          <w:i/>
          <w:noProof/>
          <w:szCs w:val="24"/>
        </w:rPr>
        <w:t xml:space="preserve"> </w:t>
      </w:r>
      <w:r w:rsidRPr="00B175FB">
        <w:rPr>
          <w:rFonts w:eastAsia="Times New Roman"/>
          <w:i/>
          <w:iCs/>
          <w:noProof/>
          <w:szCs w:val="24"/>
        </w:rPr>
        <w:t> </w:t>
      </w:r>
    </w:p>
    <w:p w:rsidR="00066391" w:rsidRPr="00B175FB" w:rsidRDefault="00066391" w:rsidP="007961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/>
          <w:i/>
          <w:noProof/>
          <w:sz w:val="22"/>
        </w:rPr>
      </w:pPr>
      <w:r w:rsidRPr="00B175FB">
        <w:rPr>
          <w:rFonts w:eastAsia="Times New Roman"/>
          <w:noProof/>
          <w:sz w:val="22"/>
        </w:rPr>
        <w:t xml:space="preserve">Plánované aktivity ve specifickém cíli nepředpokládají zapojení příjemců z dalších členských států </w:t>
      </w:r>
      <w:r w:rsidR="00721B8F" w:rsidRPr="00B175FB">
        <w:rPr>
          <w:rFonts w:eastAsia="Times New Roman"/>
          <w:noProof/>
          <w:sz w:val="22"/>
        </w:rPr>
        <w:t xml:space="preserve">EU </w:t>
      </w:r>
      <w:r w:rsidRPr="00B175FB">
        <w:rPr>
          <w:rFonts w:eastAsia="Times New Roman"/>
          <w:noProof/>
          <w:sz w:val="22"/>
        </w:rPr>
        <w:t>nebo států mimo EU.</w:t>
      </w:r>
    </w:p>
    <w:p w:rsidR="00900204" w:rsidRPr="00B175FB" w:rsidRDefault="00900204" w:rsidP="00900204">
      <w:pPr>
        <w:rPr>
          <w:rFonts w:eastAsia="Times New Roman"/>
          <w:b/>
          <w:i/>
          <w:iCs/>
          <w:noProof/>
          <w:szCs w:val="24"/>
        </w:rPr>
      </w:pPr>
      <w:r w:rsidRPr="00B175FB">
        <w:rPr>
          <w:rFonts w:eastAsia="Times New Roman"/>
          <w:b/>
          <w:i/>
          <w:noProof/>
          <w:szCs w:val="24"/>
        </w:rPr>
        <w:t>Plánované využití finančních nástrojů</w:t>
      </w:r>
      <w:r w:rsidRPr="00B175FB">
        <w:rPr>
          <w:rFonts w:eastAsia="Times New Roman"/>
          <w:i/>
          <w:noProof/>
          <w:szCs w:val="24"/>
        </w:rPr>
        <w:t xml:space="preserve">  </w:t>
      </w:r>
      <w:r w:rsidRPr="00B175FB">
        <w:rPr>
          <w:rFonts w:eastAsia="Times New Roman"/>
          <w:i/>
          <w:iCs/>
          <w:noProof/>
          <w:szCs w:val="24"/>
        </w:rPr>
        <w:t> </w:t>
      </w:r>
      <w:r w:rsidRPr="00B175FB">
        <w:rPr>
          <w:rFonts w:eastAsia="Times New Roman"/>
          <w:i/>
          <w:noProof/>
          <w:szCs w:val="24"/>
        </w:rPr>
        <w:t xml:space="preserve"> </w:t>
      </w:r>
    </w:p>
    <w:p w:rsidR="009346DC" w:rsidRPr="00B175FB" w:rsidRDefault="009346DC" w:rsidP="007961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/>
          <w:sz w:val="22"/>
        </w:rPr>
      </w:pPr>
      <w:bookmarkStart w:id="176" w:name="_Hlk30507691"/>
      <w:r w:rsidRPr="00B175FB">
        <w:rPr>
          <w:rFonts w:eastAsia="Times New Roman"/>
          <w:sz w:val="22"/>
        </w:rPr>
        <w:t>Možnosti vy</w:t>
      </w:r>
      <w:r w:rsidR="00D45AC1">
        <w:rPr>
          <w:rFonts w:eastAsia="Times New Roman"/>
          <w:sz w:val="22"/>
        </w:rPr>
        <w:t>u</w:t>
      </w:r>
      <w:r w:rsidRPr="00B175FB">
        <w:rPr>
          <w:rFonts w:eastAsia="Times New Roman"/>
          <w:sz w:val="22"/>
        </w:rPr>
        <w:t>žití FN jsou v tomto SC omezené. V roce 2018 provedl ŘO předběžné posouzení pilotního využití FN v OP VVV</w:t>
      </w:r>
      <w:r w:rsidRPr="00B175FB">
        <w:rPr>
          <w:rStyle w:val="Znakapoznpodarou"/>
          <w:rFonts w:eastAsia="Times New Roman"/>
          <w:b w:val="0"/>
          <w:sz w:val="22"/>
        </w:rPr>
        <w:footnoteReference w:id="80"/>
      </w:r>
      <w:r w:rsidR="00793988" w:rsidRPr="00B175FB">
        <w:rPr>
          <w:rFonts w:eastAsia="Times New Roman"/>
          <w:sz w:val="22"/>
        </w:rPr>
        <w:t xml:space="preserve"> (</w:t>
      </w:r>
      <w:r w:rsidRPr="00B175FB">
        <w:rPr>
          <w:rFonts w:eastAsia="Times New Roman"/>
          <w:sz w:val="22"/>
        </w:rPr>
        <w:t>v souladu s nařízením Evropského parlamentu a Rady (EU) č.</w:t>
      </w:r>
      <w:r w:rsidR="007E01C5" w:rsidRPr="00B175FB">
        <w:rPr>
          <w:rFonts w:eastAsia="Times New Roman"/>
          <w:sz w:val="22"/>
        </w:rPr>
        <w:t> </w:t>
      </w:r>
      <w:r w:rsidRPr="00B175FB">
        <w:rPr>
          <w:rFonts w:eastAsia="Times New Roman"/>
          <w:sz w:val="22"/>
        </w:rPr>
        <w:t>1303/2013</w:t>
      </w:r>
      <w:r w:rsidR="00793988" w:rsidRPr="00B175FB">
        <w:rPr>
          <w:rFonts w:eastAsia="Times New Roman"/>
          <w:sz w:val="22"/>
        </w:rPr>
        <w:t>)</w:t>
      </w:r>
      <w:r w:rsidRPr="00B175FB">
        <w:rPr>
          <w:rFonts w:eastAsia="Times New Roman"/>
          <w:sz w:val="22"/>
        </w:rPr>
        <w:t xml:space="preserve">. </w:t>
      </w:r>
    </w:p>
    <w:p w:rsidR="0031124F" w:rsidRPr="00B175FB" w:rsidRDefault="0031124F" w:rsidP="003112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/>
          <w:sz w:val="22"/>
        </w:rPr>
      </w:pPr>
      <w:r w:rsidRPr="00B175FB">
        <w:rPr>
          <w:rFonts w:eastAsia="Times New Roman"/>
          <w:sz w:val="22"/>
        </w:rPr>
        <w:t xml:space="preserve">Z předběžného posouzení vyplynulo, že v oblasti vzdělávání a podpory VaV jsou vhodné pro pilotní ověření FN pouze </w:t>
      </w:r>
      <w:r>
        <w:rPr>
          <w:rFonts w:eastAsia="Times New Roman"/>
          <w:sz w:val="22"/>
        </w:rPr>
        <w:t>dvě oblasti</w:t>
      </w:r>
      <w:r w:rsidRPr="00B175FB">
        <w:rPr>
          <w:rFonts w:eastAsia="Times New Roman"/>
          <w:sz w:val="22"/>
        </w:rPr>
        <w:t>, a to podpor</w:t>
      </w:r>
      <w:r>
        <w:rPr>
          <w:rFonts w:eastAsia="Times New Roman"/>
          <w:sz w:val="22"/>
        </w:rPr>
        <w:t>a</w:t>
      </w:r>
      <w:r w:rsidRPr="00B175FB">
        <w:rPr>
          <w:rFonts w:eastAsia="Times New Roman"/>
          <w:sz w:val="22"/>
        </w:rPr>
        <w:t xml:space="preserve"> mobilit a získání pracovních zkušeností v zahraničí.</w:t>
      </w:r>
    </w:p>
    <w:p w:rsidR="009346DC" w:rsidRPr="00B175FB" w:rsidRDefault="009346DC" w:rsidP="00934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/>
          <w:sz w:val="22"/>
        </w:rPr>
      </w:pPr>
      <w:r w:rsidRPr="00B175FB">
        <w:rPr>
          <w:rFonts w:eastAsia="Times New Roman"/>
          <w:sz w:val="22"/>
        </w:rPr>
        <w:t xml:space="preserve">Na základě analýzy a po pečlivém zvážení všech souvisejících rizik (právní rizika, nezájem potenciálních </w:t>
      </w:r>
      <w:r w:rsidR="000A3537">
        <w:rPr>
          <w:rFonts w:eastAsia="Times New Roman"/>
          <w:sz w:val="22"/>
        </w:rPr>
        <w:t>správců FN</w:t>
      </w:r>
      <w:r w:rsidRPr="00B175FB">
        <w:rPr>
          <w:rFonts w:eastAsia="Times New Roman"/>
          <w:sz w:val="22"/>
        </w:rPr>
        <w:t xml:space="preserve"> a nedostatečná absorpční kapacita) a současného stavu implementace OP VVV se ŘO rozhodl nepokračovat v implementaci FN. </w:t>
      </w:r>
    </w:p>
    <w:p w:rsidR="004C55F4" w:rsidRPr="00B175FB" w:rsidRDefault="009346DC" w:rsidP="007961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/>
          <w:i/>
        </w:rPr>
      </w:pPr>
      <w:r w:rsidRPr="00B175FB">
        <w:rPr>
          <w:rFonts w:eastAsia="Times New Roman"/>
          <w:sz w:val="22"/>
        </w:rPr>
        <w:t>Pro programové období 2021</w:t>
      </w:r>
      <w:r w:rsidR="000A3537">
        <w:rPr>
          <w:rFonts w:eastAsia="Times New Roman"/>
          <w:noProof/>
          <w:sz w:val="22"/>
        </w:rPr>
        <w:t>-</w:t>
      </w:r>
      <w:r w:rsidRPr="00B175FB">
        <w:rPr>
          <w:rFonts w:eastAsia="Times New Roman"/>
          <w:sz w:val="22"/>
        </w:rPr>
        <w:t xml:space="preserve">2027 ŘO předpokládá zajištění aktualizace ex-ante posouzení v průběhu roku </w:t>
      </w:r>
      <w:r w:rsidR="0031124F" w:rsidRPr="00B175FB">
        <w:rPr>
          <w:rFonts w:eastAsia="Times New Roman"/>
          <w:sz w:val="22"/>
        </w:rPr>
        <w:t>202</w:t>
      </w:r>
      <w:r w:rsidR="0031124F">
        <w:rPr>
          <w:rFonts w:eastAsia="Times New Roman"/>
          <w:sz w:val="22"/>
        </w:rPr>
        <w:t>1</w:t>
      </w:r>
      <w:r w:rsidRPr="00B175FB">
        <w:rPr>
          <w:rFonts w:eastAsia="Times New Roman"/>
          <w:sz w:val="22"/>
        </w:rPr>
        <w:t xml:space="preserve">. Na základě tohoto posouzení mohou být identifikovány relevantní oblasti vhodné pro využití FN. </w:t>
      </w:r>
      <w:bookmarkEnd w:id="167"/>
    </w:p>
    <w:p w:rsidR="00473024" w:rsidRDefault="00473024" w:rsidP="00473024">
      <w:pPr>
        <w:pStyle w:val="Nadpis4"/>
        <w:numPr>
          <w:ilvl w:val="0"/>
          <w:numId w:val="0"/>
        </w:numPr>
        <w:ind w:left="851" w:hanging="851"/>
        <w:rPr>
          <w:b/>
          <w:color w:val="1F4E79" w:themeColor="accent5" w:themeShade="80"/>
          <w:lang w:val="cs-CZ" w:eastAsia="cs-CZ" w:bidi="cs-CZ"/>
        </w:rPr>
      </w:pPr>
      <w:bookmarkStart w:id="177" w:name="_Toc66476059"/>
      <w:bookmarkStart w:id="178" w:name="_Toc68611017"/>
      <w:bookmarkStart w:id="179" w:name="_Hlk20819028"/>
      <w:bookmarkEnd w:id="176"/>
    </w:p>
    <w:p w:rsidR="00473024" w:rsidRDefault="00473024" w:rsidP="00473024">
      <w:pPr>
        <w:rPr>
          <w:lang w:eastAsia="cs-CZ" w:bidi="cs-CZ"/>
        </w:rPr>
      </w:pPr>
    </w:p>
    <w:p w:rsidR="00473024" w:rsidRPr="00473024" w:rsidRDefault="00473024" w:rsidP="00473024">
      <w:pPr>
        <w:rPr>
          <w:lang w:eastAsia="cs-CZ" w:bidi="cs-CZ"/>
        </w:rPr>
      </w:pPr>
    </w:p>
    <w:p w:rsidR="00900204" w:rsidRPr="00E33040" w:rsidRDefault="00900204" w:rsidP="00E33040">
      <w:pPr>
        <w:pStyle w:val="Nadpis4"/>
        <w:rPr>
          <w:b/>
          <w:color w:val="1F4E79" w:themeColor="accent5" w:themeShade="80"/>
          <w:lang w:val="cs-CZ" w:eastAsia="cs-CZ" w:bidi="cs-CZ"/>
        </w:rPr>
      </w:pPr>
      <w:r w:rsidRPr="00E33040">
        <w:rPr>
          <w:b/>
          <w:color w:val="1F4E79" w:themeColor="accent5" w:themeShade="80"/>
          <w:lang w:val="cs-CZ" w:eastAsia="cs-CZ" w:bidi="cs-CZ"/>
        </w:rPr>
        <w:t>Ukazatel</w:t>
      </w:r>
      <w:r w:rsidR="005B64A1">
        <w:rPr>
          <w:b/>
          <w:color w:val="1F4E79" w:themeColor="accent5" w:themeShade="80"/>
          <w:lang w:val="cs-CZ" w:eastAsia="cs-CZ" w:bidi="cs-CZ"/>
        </w:rPr>
        <w:t>e</w:t>
      </w:r>
      <w:bookmarkEnd w:id="177"/>
      <w:bookmarkEnd w:id="178"/>
    </w:p>
    <w:p w:rsidR="00954B7B" w:rsidRPr="00B169F0" w:rsidRDefault="00954B7B" w:rsidP="00954B7B">
      <w:pPr>
        <w:pStyle w:val="Titulek"/>
        <w:rPr>
          <w:rFonts w:ascii="Times New Roman" w:hAnsi="Times New Roman" w:cs="Times New Roman"/>
          <w:szCs w:val="22"/>
        </w:rPr>
      </w:pPr>
      <w:bookmarkStart w:id="180" w:name="_Toc66346575"/>
      <w:r w:rsidRPr="00B169F0">
        <w:rPr>
          <w:rFonts w:ascii="Times New Roman" w:hAnsi="Times New Roman" w:cs="Times New Roman"/>
          <w:szCs w:val="22"/>
        </w:rPr>
        <w:t xml:space="preserve">Tabulka </w:t>
      </w:r>
      <w:r w:rsidRPr="00B169F0">
        <w:rPr>
          <w:rFonts w:ascii="Times New Roman" w:hAnsi="Times New Roman" w:cs="Times New Roman"/>
          <w:szCs w:val="22"/>
        </w:rPr>
        <w:fldChar w:fldCharType="begin"/>
      </w:r>
      <w:r w:rsidRPr="00B169F0">
        <w:rPr>
          <w:rFonts w:ascii="Times New Roman" w:hAnsi="Times New Roman" w:cs="Times New Roman"/>
          <w:szCs w:val="22"/>
        </w:rPr>
        <w:instrText xml:space="preserve"> SEQ Tabulka \* ARABIC </w:instrText>
      </w:r>
      <w:r w:rsidRPr="00B169F0">
        <w:rPr>
          <w:rFonts w:ascii="Times New Roman" w:hAnsi="Times New Roman" w:cs="Times New Roman"/>
          <w:szCs w:val="22"/>
        </w:rPr>
        <w:fldChar w:fldCharType="separate"/>
      </w:r>
      <w:r w:rsidR="00533392">
        <w:rPr>
          <w:rFonts w:ascii="Times New Roman" w:hAnsi="Times New Roman" w:cs="Times New Roman"/>
          <w:noProof/>
          <w:szCs w:val="22"/>
        </w:rPr>
        <w:t>28</w:t>
      </w:r>
      <w:r w:rsidRPr="00B169F0">
        <w:rPr>
          <w:rFonts w:ascii="Times New Roman" w:hAnsi="Times New Roman" w:cs="Times New Roman"/>
          <w:szCs w:val="22"/>
        </w:rPr>
        <w:fldChar w:fldCharType="end"/>
      </w:r>
      <w:r w:rsidRPr="00B169F0">
        <w:rPr>
          <w:rFonts w:ascii="Times New Roman" w:hAnsi="Times New Roman" w:cs="Times New Roman"/>
          <w:szCs w:val="22"/>
        </w:rPr>
        <w:t>: Ukazatel</w:t>
      </w:r>
      <w:r w:rsidR="005B64A1">
        <w:rPr>
          <w:rFonts w:ascii="Times New Roman" w:hAnsi="Times New Roman" w:cs="Times New Roman"/>
          <w:szCs w:val="22"/>
        </w:rPr>
        <w:t>e</w:t>
      </w:r>
      <w:r w:rsidRPr="00B169F0">
        <w:rPr>
          <w:rFonts w:ascii="Times New Roman" w:hAnsi="Times New Roman" w:cs="Times New Roman"/>
          <w:szCs w:val="22"/>
        </w:rPr>
        <w:t xml:space="preserve"> výstupů</w:t>
      </w:r>
      <w:bookmarkEnd w:id="180"/>
    </w:p>
    <w:tbl>
      <w:tblPr>
        <w:tblStyle w:val="Tabulkasmkou4zvraznn1"/>
        <w:tblW w:w="5000" w:type="pct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1E0" w:firstRow="1" w:lastRow="1" w:firstColumn="1" w:lastColumn="1" w:noHBand="0" w:noVBand="0"/>
      </w:tblPr>
      <w:tblGrid>
        <w:gridCol w:w="826"/>
        <w:gridCol w:w="1006"/>
        <w:gridCol w:w="714"/>
        <w:gridCol w:w="1369"/>
        <w:gridCol w:w="969"/>
        <w:gridCol w:w="2222"/>
        <w:gridCol w:w="1036"/>
        <w:gridCol w:w="738"/>
        <w:gridCol w:w="749"/>
      </w:tblGrid>
      <w:tr w:rsidR="00B631E7" w:rsidRPr="00B175FB" w:rsidTr="004257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tcBorders>
              <w:right w:val="single" w:sz="4" w:space="0" w:color="4472C4" w:themeColor="accent1"/>
            </w:tcBorders>
            <w:shd w:val="clear" w:color="auto" w:fill="002060"/>
            <w:hideMark/>
          </w:tcPr>
          <w:p w:rsidR="00954B7B" w:rsidRPr="00C15C34" w:rsidRDefault="00954B7B" w:rsidP="0032415A">
            <w:pPr>
              <w:pStyle w:val="Text1"/>
              <w:ind w:left="0"/>
              <w:jc w:val="center"/>
              <w:rPr>
                <w:b w:val="0"/>
                <w:noProof/>
                <w:sz w:val="18"/>
                <w:szCs w:val="18"/>
              </w:rPr>
            </w:pPr>
            <w:r w:rsidRPr="00C15C34">
              <w:rPr>
                <w:noProof/>
                <w:sz w:val="18"/>
                <w:szCs w:val="18"/>
              </w:rPr>
              <w:t>Priorita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2" w:type="pct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hideMark/>
          </w:tcPr>
          <w:p w:rsidR="00954B7B" w:rsidRPr="00C15C34" w:rsidRDefault="00954B7B" w:rsidP="0032415A">
            <w:pPr>
              <w:pStyle w:val="Text1"/>
              <w:ind w:left="0"/>
              <w:jc w:val="center"/>
              <w:rPr>
                <w:b w:val="0"/>
                <w:noProof/>
                <w:sz w:val="18"/>
                <w:szCs w:val="18"/>
              </w:rPr>
            </w:pPr>
            <w:r w:rsidRPr="00C15C34">
              <w:rPr>
                <w:noProof/>
                <w:sz w:val="18"/>
                <w:szCs w:val="18"/>
              </w:rPr>
              <w:t>Specifický cíl</w:t>
            </w:r>
          </w:p>
        </w:tc>
        <w:tc>
          <w:tcPr>
            <w:tcW w:w="371" w:type="pct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hideMark/>
          </w:tcPr>
          <w:p w:rsidR="00954B7B" w:rsidRPr="00C15C34" w:rsidRDefault="00954B7B" w:rsidP="0032415A">
            <w:pPr>
              <w:pStyle w:val="Text1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noProof/>
                <w:sz w:val="18"/>
                <w:szCs w:val="18"/>
              </w:rPr>
            </w:pPr>
            <w:r w:rsidRPr="00C15C34">
              <w:rPr>
                <w:noProof/>
                <w:sz w:val="18"/>
                <w:szCs w:val="18"/>
              </w:rPr>
              <w:t>Fond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1" w:type="pct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hideMark/>
          </w:tcPr>
          <w:p w:rsidR="00954B7B" w:rsidRPr="00C15C34" w:rsidRDefault="00954B7B" w:rsidP="0032415A">
            <w:pPr>
              <w:pStyle w:val="Text1"/>
              <w:ind w:left="0"/>
              <w:jc w:val="center"/>
              <w:rPr>
                <w:b w:val="0"/>
                <w:noProof/>
                <w:sz w:val="18"/>
                <w:szCs w:val="18"/>
              </w:rPr>
            </w:pPr>
            <w:r w:rsidRPr="00C15C34">
              <w:rPr>
                <w:noProof/>
                <w:sz w:val="18"/>
                <w:szCs w:val="18"/>
              </w:rPr>
              <w:t>Kategorie regionu</w:t>
            </w:r>
          </w:p>
        </w:tc>
        <w:tc>
          <w:tcPr>
            <w:tcW w:w="503" w:type="pct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hideMark/>
          </w:tcPr>
          <w:p w:rsidR="00954B7B" w:rsidRPr="00C15C34" w:rsidRDefault="00954B7B" w:rsidP="0032415A">
            <w:pPr>
              <w:pStyle w:val="Text1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noProof/>
                <w:sz w:val="18"/>
                <w:szCs w:val="18"/>
              </w:rPr>
            </w:pPr>
            <w:r w:rsidRPr="00C15C34">
              <w:rPr>
                <w:noProof/>
                <w:sz w:val="18"/>
                <w:szCs w:val="18"/>
              </w:rPr>
              <w:t>ID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54" w:type="pct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hideMark/>
          </w:tcPr>
          <w:p w:rsidR="00954B7B" w:rsidRPr="00C15C34" w:rsidRDefault="00954B7B" w:rsidP="0032415A">
            <w:pPr>
              <w:pStyle w:val="Text1"/>
              <w:ind w:left="0"/>
              <w:jc w:val="center"/>
              <w:rPr>
                <w:b w:val="0"/>
                <w:noProof/>
                <w:sz w:val="18"/>
                <w:szCs w:val="18"/>
              </w:rPr>
            </w:pPr>
            <w:r w:rsidRPr="00C15C34">
              <w:rPr>
                <w:noProof/>
                <w:sz w:val="18"/>
                <w:szCs w:val="18"/>
              </w:rPr>
              <w:t>Ukazatel</w:t>
            </w:r>
          </w:p>
        </w:tc>
        <w:tc>
          <w:tcPr>
            <w:tcW w:w="538" w:type="pct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hideMark/>
          </w:tcPr>
          <w:p w:rsidR="00954B7B" w:rsidRPr="00C15C34" w:rsidRDefault="00954B7B" w:rsidP="0032415A">
            <w:pPr>
              <w:pStyle w:val="Text1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noProof/>
                <w:sz w:val="18"/>
                <w:szCs w:val="18"/>
              </w:rPr>
            </w:pPr>
            <w:r w:rsidRPr="00C15C34">
              <w:rPr>
                <w:noProof/>
                <w:sz w:val="18"/>
                <w:szCs w:val="18"/>
              </w:rPr>
              <w:t>Jednotka měření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3" w:type="pct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</w:tcPr>
          <w:p w:rsidR="00954B7B" w:rsidRPr="00C15C34" w:rsidRDefault="00954B7B" w:rsidP="001935C6">
            <w:pPr>
              <w:pStyle w:val="Text1"/>
              <w:ind w:left="0"/>
              <w:jc w:val="center"/>
              <w:rPr>
                <w:b w:val="0"/>
                <w:noProof/>
                <w:sz w:val="18"/>
                <w:szCs w:val="18"/>
              </w:rPr>
            </w:pPr>
            <w:r w:rsidRPr="00C15C34">
              <w:rPr>
                <w:noProof/>
                <w:sz w:val="18"/>
                <w:szCs w:val="18"/>
              </w:rPr>
              <w:t>Milník (2024)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89" w:type="pct"/>
            <w:tcBorders>
              <w:left w:val="single" w:sz="4" w:space="0" w:color="4472C4" w:themeColor="accent1"/>
            </w:tcBorders>
            <w:shd w:val="clear" w:color="auto" w:fill="002060"/>
          </w:tcPr>
          <w:p w:rsidR="00954B7B" w:rsidRPr="00C15C34" w:rsidRDefault="00954B7B" w:rsidP="001935C6">
            <w:pPr>
              <w:pStyle w:val="Text1"/>
              <w:ind w:left="0"/>
              <w:jc w:val="center"/>
              <w:rPr>
                <w:b w:val="0"/>
                <w:noProof/>
                <w:sz w:val="18"/>
                <w:szCs w:val="18"/>
              </w:rPr>
            </w:pPr>
            <w:r w:rsidRPr="00C15C34">
              <w:rPr>
                <w:noProof/>
                <w:sz w:val="18"/>
                <w:szCs w:val="18"/>
              </w:rPr>
              <w:t>Cíl (2029)</w:t>
            </w:r>
          </w:p>
        </w:tc>
      </w:tr>
      <w:tr w:rsidR="00B631E7" w:rsidRPr="00746F88" w:rsidTr="004257D8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vMerge w:val="restart"/>
            <w:shd w:val="clear" w:color="auto" w:fill="DEEAF6" w:themeFill="accent5" w:themeFillTint="33"/>
          </w:tcPr>
          <w:p w:rsidR="002302F6" w:rsidRPr="00C15C34" w:rsidRDefault="00950E7E" w:rsidP="002F3F46">
            <w:pPr>
              <w:pStyle w:val="Text1"/>
              <w:spacing w:before="0" w:after="0"/>
              <w:ind w:left="0"/>
              <w:rPr>
                <w:b w:val="0"/>
                <w:i/>
                <w:noProof/>
                <w:sz w:val="18"/>
                <w:szCs w:val="18"/>
              </w:rPr>
            </w:pPr>
            <w:r w:rsidRPr="00C15C34">
              <w:rPr>
                <w:b w:val="0"/>
                <w:noProof/>
                <w:sz w:val="18"/>
                <w:szCs w:val="18"/>
              </w:rPr>
              <w:t>P</w:t>
            </w:r>
            <w:r w:rsidR="002302F6" w:rsidRPr="00C15C34">
              <w:rPr>
                <w:b w:val="0"/>
                <w:noProof/>
                <w:sz w:val="18"/>
                <w:szCs w:val="18"/>
              </w:rPr>
              <w:t>2</w:t>
            </w:r>
          </w:p>
        </w:tc>
        <w:tc>
          <w:tcPr>
            <w:tcW w:w="522" w:type="pct"/>
            <w:vMerge w:val="restart"/>
            <w:shd w:val="clear" w:color="auto" w:fill="DEEAF6" w:themeFill="accent5" w:themeFillTint="33"/>
          </w:tcPr>
          <w:p w:rsidR="002302F6" w:rsidRPr="00C15C34" w:rsidRDefault="002302F6" w:rsidP="002F3F46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C15C34">
              <w:rPr>
                <w:color w:val="000000"/>
                <w:sz w:val="18"/>
                <w:szCs w:val="18"/>
                <w:lang w:eastAsia="cs-CZ" w:bidi="cs-CZ"/>
              </w:rPr>
              <w:t xml:space="preserve">2.3 </w:t>
            </w:r>
          </w:p>
        </w:tc>
        <w:tc>
          <w:tcPr>
            <w:tcW w:w="371" w:type="pct"/>
            <w:vMerge w:val="restart"/>
            <w:shd w:val="clear" w:color="auto" w:fill="DEEAF6" w:themeFill="accent5" w:themeFillTint="33"/>
          </w:tcPr>
          <w:p w:rsidR="002302F6" w:rsidRPr="00C15C34" w:rsidRDefault="00A16EF0" w:rsidP="002F3F46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</w:rPr>
            </w:pPr>
            <w:r w:rsidRPr="00C15C34">
              <w:rPr>
                <w:noProof/>
                <w:sz w:val="18"/>
                <w:szCs w:val="18"/>
              </w:rPr>
              <w:t>ESF+</w:t>
            </w:r>
          </w:p>
        </w:tc>
        <w:tc>
          <w:tcPr>
            <w:tcW w:w="711" w:type="pct"/>
            <w:shd w:val="clear" w:color="auto" w:fill="DEEAF6" w:themeFill="accent5" w:themeFillTint="33"/>
          </w:tcPr>
          <w:p w:rsidR="002302F6" w:rsidRPr="00C15C34" w:rsidRDefault="002302F6" w:rsidP="002F3F46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C15C34">
              <w:rPr>
                <w:color w:val="000000"/>
                <w:sz w:val="18"/>
                <w:szCs w:val="18"/>
                <w:lang w:eastAsia="cs-CZ" w:bidi="cs-CZ"/>
              </w:rPr>
              <w:t>Více rozvinuté</w:t>
            </w:r>
          </w:p>
        </w:tc>
        <w:tc>
          <w:tcPr>
            <w:tcW w:w="503" w:type="pct"/>
            <w:vMerge w:val="restart"/>
            <w:shd w:val="clear" w:color="auto" w:fill="DEEAF6" w:themeFill="accent5" w:themeFillTint="33"/>
          </w:tcPr>
          <w:p w:rsidR="002302F6" w:rsidRPr="00C15C34" w:rsidRDefault="002302F6" w:rsidP="002F3F4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  <w:r w:rsidRPr="00C15C34"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  <w:t>6 00 00</w:t>
            </w:r>
          </w:p>
        </w:tc>
        <w:tc>
          <w:tcPr>
            <w:tcW w:w="1154" w:type="pct"/>
            <w:vMerge w:val="restart"/>
            <w:shd w:val="clear" w:color="auto" w:fill="DEEAF6" w:themeFill="accent5" w:themeFillTint="33"/>
          </w:tcPr>
          <w:p w:rsidR="002302F6" w:rsidRPr="00C15C34" w:rsidRDefault="002302F6" w:rsidP="002F3F4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  <w:r w:rsidRPr="00C15C34">
              <w:rPr>
                <w:rFonts w:ascii="Times New Roman" w:hAnsi="Times New Roman" w:cs="Times New Roman"/>
                <w:sz w:val="18"/>
                <w:szCs w:val="18"/>
              </w:rPr>
              <w:t xml:space="preserve">Celkový </w:t>
            </w:r>
            <w:r w:rsidR="00C86781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15C34">
              <w:rPr>
                <w:rFonts w:ascii="Times New Roman" w:hAnsi="Times New Roman" w:cs="Times New Roman"/>
                <w:sz w:val="18"/>
                <w:szCs w:val="18"/>
              </w:rPr>
              <w:t>počet účastníků</w:t>
            </w:r>
          </w:p>
        </w:tc>
        <w:tc>
          <w:tcPr>
            <w:tcW w:w="538" w:type="pct"/>
            <w:vMerge w:val="restart"/>
            <w:shd w:val="clear" w:color="auto" w:fill="DEEAF6" w:themeFill="accent5" w:themeFillTint="33"/>
          </w:tcPr>
          <w:p w:rsidR="002302F6" w:rsidRPr="00C15C34" w:rsidRDefault="00950E7E" w:rsidP="002F3F46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C15C34">
              <w:rPr>
                <w:color w:val="000000"/>
                <w:sz w:val="18"/>
                <w:szCs w:val="18"/>
                <w:lang w:eastAsia="cs-CZ" w:bidi="cs-CZ"/>
              </w:rPr>
              <w:t>O</w:t>
            </w:r>
            <w:r w:rsidR="002302F6" w:rsidRPr="00C15C34">
              <w:rPr>
                <w:color w:val="000000"/>
                <w:sz w:val="18"/>
                <w:szCs w:val="18"/>
                <w:lang w:eastAsia="cs-CZ" w:bidi="cs-CZ"/>
              </w:rPr>
              <w:t>soby</w:t>
            </w:r>
          </w:p>
        </w:tc>
        <w:tc>
          <w:tcPr>
            <w:tcW w:w="383" w:type="pct"/>
            <w:shd w:val="clear" w:color="auto" w:fill="DEEAF6" w:themeFill="accent5" w:themeFillTint="33"/>
          </w:tcPr>
          <w:p w:rsidR="002302F6" w:rsidRPr="00C15C34" w:rsidRDefault="00F065C1" w:rsidP="002F3F46">
            <w:pPr>
              <w:pStyle w:val="Text1"/>
              <w:spacing w:before="0" w:after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t>-</w:t>
            </w:r>
          </w:p>
        </w:tc>
        <w:tc>
          <w:tcPr>
            <w:tcW w:w="389" w:type="pct"/>
            <w:shd w:val="clear" w:color="auto" w:fill="DEEAF6" w:themeFill="accent5" w:themeFillTint="33"/>
          </w:tcPr>
          <w:p w:rsidR="002302F6" w:rsidRPr="00C15C34" w:rsidRDefault="002302F6" w:rsidP="002F3F46">
            <w:pPr>
              <w:pStyle w:val="Text1"/>
              <w:spacing w:before="0" w:after="0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C15C34">
              <w:rPr>
                <w:bCs/>
                <w:color w:val="000000"/>
                <w:sz w:val="18"/>
                <w:szCs w:val="18"/>
              </w:rPr>
              <w:t>635</w:t>
            </w:r>
          </w:p>
        </w:tc>
      </w:tr>
      <w:tr w:rsidR="00B631E7" w:rsidRPr="00746F88" w:rsidTr="004257D8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vMerge/>
            <w:shd w:val="clear" w:color="auto" w:fill="DEEAF6" w:themeFill="accent5" w:themeFillTint="33"/>
          </w:tcPr>
          <w:p w:rsidR="002302F6" w:rsidRPr="00C15C34" w:rsidRDefault="002302F6" w:rsidP="002F3F46">
            <w:pPr>
              <w:pStyle w:val="Text1"/>
              <w:spacing w:before="0" w:after="0"/>
              <w:ind w:left="0"/>
              <w:rPr>
                <w:b w:val="0"/>
                <w:i/>
                <w:noProof/>
                <w:sz w:val="18"/>
                <w:szCs w:val="18"/>
              </w:rPr>
            </w:pPr>
          </w:p>
        </w:tc>
        <w:tc>
          <w:tcPr>
            <w:tcW w:w="522" w:type="pct"/>
            <w:vMerge/>
            <w:shd w:val="clear" w:color="auto" w:fill="DEEAF6" w:themeFill="accent5" w:themeFillTint="33"/>
          </w:tcPr>
          <w:p w:rsidR="002302F6" w:rsidRPr="00C15C34" w:rsidRDefault="002302F6" w:rsidP="002F3F4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</w:p>
        </w:tc>
        <w:tc>
          <w:tcPr>
            <w:tcW w:w="371" w:type="pct"/>
            <w:vMerge/>
            <w:shd w:val="clear" w:color="auto" w:fill="DEEAF6" w:themeFill="accent5" w:themeFillTint="33"/>
          </w:tcPr>
          <w:p w:rsidR="002302F6" w:rsidRPr="00C15C34" w:rsidRDefault="002302F6" w:rsidP="002F3F46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</w:rPr>
            </w:pPr>
          </w:p>
        </w:tc>
        <w:tc>
          <w:tcPr>
            <w:tcW w:w="711" w:type="pct"/>
            <w:shd w:val="clear" w:color="auto" w:fill="DEEAF6" w:themeFill="accent5" w:themeFillTint="33"/>
          </w:tcPr>
          <w:p w:rsidR="002302F6" w:rsidRPr="00C15C34" w:rsidRDefault="002302F6" w:rsidP="002F3F4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C15C34">
              <w:rPr>
                <w:color w:val="000000"/>
                <w:sz w:val="18"/>
                <w:szCs w:val="18"/>
                <w:lang w:eastAsia="cs-CZ" w:bidi="cs-CZ"/>
              </w:rPr>
              <w:t>Přechodové</w:t>
            </w:r>
          </w:p>
        </w:tc>
        <w:tc>
          <w:tcPr>
            <w:tcW w:w="503" w:type="pct"/>
            <w:vMerge/>
            <w:shd w:val="clear" w:color="auto" w:fill="DEEAF6" w:themeFill="accent5" w:themeFillTint="33"/>
          </w:tcPr>
          <w:p w:rsidR="002302F6" w:rsidRPr="00C15C34" w:rsidRDefault="002302F6" w:rsidP="002F3F4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</w:p>
        </w:tc>
        <w:tc>
          <w:tcPr>
            <w:tcW w:w="1154" w:type="pct"/>
            <w:vMerge/>
            <w:shd w:val="clear" w:color="auto" w:fill="DEEAF6" w:themeFill="accent5" w:themeFillTint="33"/>
          </w:tcPr>
          <w:p w:rsidR="002302F6" w:rsidRPr="00C15C34" w:rsidRDefault="002302F6" w:rsidP="002F3F4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</w:p>
        </w:tc>
        <w:tc>
          <w:tcPr>
            <w:tcW w:w="538" w:type="pct"/>
            <w:vMerge/>
            <w:shd w:val="clear" w:color="auto" w:fill="DEEAF6" w:themeFill="accent5" w:themeFillTint="33"/>
          </w:tcPr>
          <w:p w:rsidR="002302F6" w:rsidRPr="00C15C34" w:rsidRDefault="002302F6" w:rsidP="002F3F46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</w:p>
        </w:tc>
        <w:tc>
          <w:tcPr>
            <w:tcW w:w="383" w:type="pct"/>
            <w:shd w:val="clear" w:color="auto" w:fill="DEEAF6" w:themeFill="accent5" w:themeFillTint="33"/>
          </w:tcPr>
          <w:p w:rsidR="002302F6" w:rsidRPr="00C15C34" w:rsidRDefault="00F065C1" w:rsidP="002F3F46">
            <w:pPr>
              <w:pStyle w:val="Text1"/>
              <w:spacing w:before="0" w:after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t>-</w:t>
            </w:r>
          </w:p>
        </w:tc>
        <w:tc>
          <w:tcPr>
            <w:tcW w:w="389" w:type="pct"/>
            <w:shd w:val="clear" w:color="auto" w:fill="DEEAF6" w:themeFill="accent5" w:themeFillTint="33"/>
          </w:tcPr>
          <w:p w:rsidR="002302F6" w:rsidRPr="00C15C34" w:rsidRDefault="002302F6" w:rsidP="002F3F46">
            <w:pPr>
              <w:pStyle w:val="Text1"/>
              <w:spacing w:before="0" w:after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C15C34">
              <w:rPr>
                <w:bCs/>
                <w:color w:val="000000"/>
                <w:sz w:val="18"/>
                <w:szCs w:val="18"/>
              </w:rPr>
              <w:t>29 856</w:t>
            </w:r>
          </w:p>
        </w:tc>
      </w:tr>
      <w:tr w:rsidR="00B631E7" w:rsidRPr="00746F88" w:rsidTr="004257D8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vMerge/>
            <w:shd w:val="clear" w:color="auto" w:fill="DEEAF6" w:themeFill="accent5" w:themeFillTint="33"/>
          </w:tcPr>
          <w:p w:rsidR="002302F6" w:rsidRPr="00C15C34" w:rsidRDefault="002302F6" w:rsidP="002F3F46">
            <w:pPr>
              <w:pStyle w:val="Text1"/>
              <w:spacing w:before="0" w:after="0"/>
              <w:ind w:left="0"/>
              <w:rPr>
                <w:b w:val="0"/>
                <w:i/>
                <w:noProof/>
                <w:sz w:val="18"/>
                <w:szCs w:val="18"/>
              </w:rPr>
            </w:pPr>
          </w:p>
        </w:tc>
        <w:tc>
          <w:tcPr>
            <w:tcW w:w="522" w:type="pct"/>
            <w:vMerge/>
            <w:shd w:val="clear" w:color="auto" w:fill="DEEAF6" w:themeFill="accent5" w:themeFillTint="33"/>
          </w:tcPr>
          <w:p w:rsidR="002302F6" w:rsidRPr="00C15C34" w:rsidRDefault="002302F6" w:rsidP="002F3F46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</w:p>
        </w:tc>
        <w:tc>
          <w:tcPr>
            <w:tcW w:w="371" w:type="pct"/>
            <w:vMerge/>
            <w:shd w:val="clear" w:color="auto" w:fill="DEEAF6" w:themeFill="accent5" w:themeFillTint="33"/>
          </w:tcPr>
          <w:p w:rsidR="002302F6" w:rsidRPr="00C15C34" w:rsidRDefault="002302F6" w:rsidP="002F3F46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</w:rPr>
            </w:pPr>
          </w:p>
        </w:tc>
        <w:tc>
          <w:tcPr>
            <w:tcW w:w="711" w:type="pct"/>
            <w:shd w:val="clear" w:color="auto" w:fill="DEEAF6" w:themeFill="accent5" w:themeFillTint="33"/>
          </w:tcPr>
          <w:p w:rsidR="002302F6" w:rsidRPr="00C15C34" w:rsidRDefault="002302F6" w:rsidP="002F3F46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C15C34">
              <w:rPr>
                <w:color w:val="000000"/>
                <w:sz w:val="18"/>
                <w:szCs w:val="18"/>
                <w:lang w:eastAsia="cs-CZ" w:bidi="cs-CZ"/>
              </w:rPr>
              <w:t>Méně rozvinuté</w:t>
            </w:r>
          </w:p>
        </w:tc>
        <w:tc>
          <w:tcPr>
            <w:tcW w:w="503" w:type="pct"/>
            <w:vMerge/>
            <w:shd w:val="clear" w:color="auto" w:fill="DEEAF6" w:themeFill="accent5" w:themeFillTint="33"/>
          </w:tcPr>
          <w:p w:rsidR="002302F6" w:rsidRPr="00C15C34" w:rsidRDefault="002302F6" w:rsidP="002F3F4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</w:p>
        </w:tc>
        <w:tc>
          <w:tcPr>
            <w:tcW w:w="1154" w:type="pct"/>
            <w:vMerge/>
            <w:shd w:val="clear" w:color="auto" w:fill="DEEAF6" w:themeFill="accent5" w:themeFillTint="33"/>
          </w:tcPr>
          <w:p w:rsidR="002302F6" w:rsidRPr="00C15C34" w:rsidRDefault="002302F6" w:rsidP="002F3F4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</w:p>
        </w:tc>
        <w:tc>
          <w:tcPr>
            <w:tcW w:w="538" w:type="pct"/>
            <w:vMerge/>
            <w:shd w:val="clear" w:color="auto" w:fill="DEEAF6" w:themeFill="accent5" w:themeFillTint="33"/>
          </w:tcPr>
          <w:p w:rsidR="002302F6" w:rsidRPr="00C15C34" w:rsidRDefault="002302F6" w:rsidP="002F3F46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</w:rPr>
            </w:pPr>
          </w:p>
        </w:tc>
        <w:tc>
          <w:tcPr>
            <w:tcW w:w="383" w:type="pct"/>
            <w:shd w:val="clear" w:color="auto" w:fill="DEEAF6" w:themeFill="accent5" w:themeFillTint="33"/>
          </w:tcPr>
          <w:p w:rsidR="002302F6" w:rsidRPr="00C15C34" w:rsidRDefault="00920735" w:rsidP="002F3F46">
            <w:pPr>
              <w:pStyle w:val="Text1"/>
              <w:spacing w:before="0" w:after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t>-</w:t>
            </w:r>
          </w:p>
        </w:tc>
        <w:tc>
          <w:tcPr>
            <w:tcW w:w="389" w:type="pct"/>
            <w:shd w:val="clear" w:color="auto" w:fill="DEEAF6" w:themeFill="accent5" w:themeFillTint="33"/>
          </w:tcPr>
          <w:p w:rsidR="002302F6" w:rsidRPr="00C15C34" w:rsidRDefault="002302F6" w:rsidP="002F3F46">
            <w:pPr>
              <w:pStyle w:val="Text1"/>
              <w:spacing w:before="0" w:after="0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C15C34">
              <w:rPr>
                <w:bCs/>
                <w:color w:val="000000"/>
                <w:sz w:val="18"/>
                <w:szCs w:val="18"/>
              </w:rPr>
              <w:t>3 033</w:t>
            </w:r>
          </w:p>
        </w:tc>
      </w:tr>
      <w:tr w:rsidR="00B631E7" w:rsidRPr="00746F88" w:rsidTr="004257D8">
        <w:tblPrEx>
          <w:tblLook w:val="04A0" w:firstRow="1" w:lastRow="0" w:firstColumn="1" w:lastColumn="0" w:noHBand="0" w:noVBand="1"/>
        </w:tblPrEx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vMerge/>
            <w:shd w:val="clear" w:color="auto" w:fill="DEEAF6" w:themeFill="accent5" w:themeFillTint="33"/>
          </w:tcPr>
          <w:p w:rsidR="00F065C1" w:rsidRPr="00C15C34" w:rsidRDefault="00F065C1" w:rsidP="002F3F46">
            <w:pPr>
              <w:pStyle w:val="Text1"/>
              <w:spacing w:before="0" w:after="0"/>
              <w:ind w:left="0"/>
              <w:rPr>
                <w:b w:val="0"/>
                <w:i/>
                <w:noProof/>
                <w:sz w:val="18"/>
                <w:szCs w:val="18"/>
              </w:rPr>
            </w:pPr>
          </w:p>
        </w:tc>
        <w:tc>
          <w:tcPr>
            <w:tcW w:w="522" w:type="pct"/>
            <w:vMerge/>
            <w:shd w:val="clear" w:color="auto" w:fill="DEEAF6" w:themeFill="accent5" w:themeFillTint="33"/>
          </w:tcPr>
          <w:p w:rsidR="00F065C1" w:rsidRPr="00C15C34" w:rsidRDefault="00F065C1" w:rsidP="002F3F4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</w:p>
        </w:tc>
        <w:tc>
          <w:tcPr>
            <w:tcW w:w="371" w:type="pct"/>
            <w:vMerge/>
            <w:shd w:val="clear" w:color="auto" w:fill="DEEAF6" w:themeFill="accent5" w:themeFillTint="33"/>
          </w:tcPr>
          <w:p w:rsidR="00F065C1" w:rsidRPr="00C15C34" w:rsidRDefault="00F065C1" w:rsidP="002F3F46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</w:rPr>
            </w:pPr>
          </w:p>
        </w:tc>
        <w:tc>
          <w:tcPr>
            <w:tcW w:w="711" w:type="pct"/>
            <w:shd w:val="clear" w:color="auto" w:fill="DEEAF6" w:themeFill="accent5" w:themeFillTint="33"/>
          </w:tcPr>
          <w:p w:rsidR="00F065C1" w:rsidRPr="00C15C34" w:rsidRDefault="00F065C1" w:rsidP="002F3F4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C15C34">
              <w:rPr>
                <w:color w:val="000000"/>
                <w:sz w:val="18"/>
                <w:szCs w:val="18"/>
                <w:lang w:eastAsia="cs-CZ" w:bidi="cs-CZ"/>
              </w:rPr>
              <w:t>Více rozvinuté</w:t>
            </w:r>
          </w:p>
        </w:tc>
        <w:tc>
          <w:tcPr>
            <w:tcW w:w="503" w:type="pct"/>
            <w:vMerge w:val="restart"/>
            <w:shd w:val="clear" w:color="auto" w:fill="DEEAF6" w:themeFill="accent5" w:themeFillTint="33"/>
          </w:tcPr>
          <w:p w:rsidR="00F065C1" w:rsidRPr="00C15C34" w:rsidRDefault="00F065C1" w:rsidP="002F3F4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  <w:r w:rsidRPr="00C15C34"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  <w:t>5 21 00</w:t>
            </w:r>
          </w:p>
        </w:tc>
        <w:tc>
          <w:tcPr>
            <w:tcW w:w="1154" w:type="pct"/>
            <w:vMerge w:val="restart"/>
            <w:shd w:val="clear" w:color="auto" w:fill="DEEAF6" w:themeFill="accent5" w:themeFillTint="33"/>
          </w:tcPr>
          <w:p w:rsidR="00F065C1" w:rsidRPr="00C15C34" w:rsidRDefault="00F065C1" w:rsidP="002F3F4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  <w:r w:rsidRPr="00C15C34">
              <w:rPr>
                <w:rFonts w:ascii="Times New Roman" w:hAnsi="Times New Roman" w:cs="Times New Roman"/>
                <w:sz w:val="18"/>
                <w:szCs w:val="18"/>
              </w:rPr>
              <w:t>Počet vytvořených produktů</w:t>
            </w:r>
          </w:p>
        </w:tc>
        <w:tc>
          <w:tcPr>
            <w:tcW w:w="538" w:type="pct"/>
            <w:vMerge w:val="restart"/>
            <w:shd w:val="clear" w:color="auto" w:fill="DEEAF6" w:themeFill="accent5" w:themeFillTint="33"/>
          </w:tcPr>
          <w:p w:rsidR="00F065C1" w:rsidRPr="00C15C34" w:rsidRDefault="00F065C1" w:rsidP="002F3F46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</w:rPr>
            </w:pPr>
            <w:r w:rsidRPr="00C15C34">
              <w:rPr>
                <w:color w:val="000000"/>
                <w:sz w:val="18"/>
                <w:szCs w:val="18"/>
                <w:lang w:eastAsia="cs-CZ" w:bidi="cs-CZ"/>
              </w:rPr>
              <w:t>Produkty</w:t>
            </w:r>
          </w:p>
        </w:tc>
        <w:tc>
          <w:tcPr>
            <w:tcW w:w="383" w:type="pct"/>
            <w:shd w:val="clear" w:color="auto" w:fill="DEEAF6" w:themeFill="accent5" w:themeFillTint="33"/>
          </w:tcPr>
          <w:p w:rsidR="00F065C1" w:rsidRPr="00C15C34" w:rsidRDefault="00F065C1" w:rsidP="002F3F46">
            <w:pPr>
              <w:pStyle w:val="Text1"/>
              <w:spacing w:before="0" w:after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t>-</w:t>
            </w:r>
          </w:p>
        </w:tc>
        <w:tc>
          <w:tcPr>
            <w:tcW w:w="389" w:type="pct"/>
            <w:shd w:val="clear" w:color="auto" w:fill="DEEAF6" w:themeFill="accent5" w:themeFillTint="33"/>
          </w:tcPr>
          <w:p w:rsidR="00F065C1" w:rsidRPr="00C15C34" w:rsidRDefault="00F065C1" w:rsidP="002F3F46">
            <w:pPr>
              <w:pStyle w:val="Text1"/>
              <w:spacing w:before="0" w:after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C15C34">
              <w:rPr>
                <w:bCs/>
                <w:color w:val="000000"/>
                <w:sz w:val="18"/>
                <w:szCs w:val="18"/>
              </w:rPr>
              <w:t>5</w:t>
            </w:r>
          </w:p>
        </w:tc>
      </w:tr>
      <w:tr w:rsidR="00B631E7" w:rsidRPr="00746F88" w:rsidTr="004257D8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vMerge/>
            <w:shd w:val="clear" w:color="auto" w:fill="DEEAF6" w:themeFill="accent5" w:themeFillTint="33"/>
          </w:tcPr>
          <w:p w:rsidR="00F065C1" w:rsidRPr="00C15C34" w:rsidRDefault="00F065C1" w:rsidP="002F3F46">
            <w:pPr>
              <w:pStyle w:val="Text1"/>
              <w:spacing w:before="0" w:after="0"/>
              <w:ind w:left="0"/>
              <w:rPr>
                <w:b w:val="0"/>
                <w:i/>
                <w:noProof/>
                <w:sz w:val="18"/>
                <w:szCs w:val="18"/>
              </w:rPr>
            </w:pPr>
          </w:p>
        </w:tc>
        <w:tc>
          <w:tcPr>
            <w:tcW w:w="522" w:type="pct"/>
            <w:vMerge/>
            <w:shd w:val="clear" w:color="auto" w:fill="DEEAF6" w:themeFill="accent5" w:themeFillTint="33"/>
          </w:tcPr>
          <w:p w:rsidR="00F065C1" w:rsidRPr="00C15C34" w:rsidRDefault="00F065C1" w:rsidP="002F3F46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</w:p>
        </w:tc>
        <w:tc>
          <w:tcPr>
            <w:tcW w:w="371" w:type="pct"/>
            <w:vMerge/>
            <w:shd w:val="clear" w:color="auto" w:fill="DEEAF6" w:themeFill="accent5" w:themeFillTint="33"/>
          </w:tcPr>
          <w:p w:rsidR="00F065C1" w:rsidRPr="00C15C34" w:rsidRDefault="00F065C1" w:rsidP="002F3F46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</w:rPr>
            </w:pPr>
          </w:p>
        </w:tc>
        <w:tc>
          <w:tcPr>
            <w:tcW w:w="711" w:type="pct"/>
            <w:shd w:val="clear" w:color="auto" w:fill="DEEAF6" w:themeFill="accent5" w:themeFillTint="33"/>
          </w:tcPr>
          <w:p w:rsidR="00F065C1" w:rsidRPr="00C15C34" w:rsidRDefault="00F065C1" w:rsidP="002F3F46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C15C34">
              <w:rPr>
                <w:color w:val="000000"/>
                <w:sz w:val="18"/>
                <w:szCs w:val="18"/>
                <w:lang w:eastAsia="cs-CZ" w:bidi="cs-CZ"/>
              </w:rPr>
              <w:t>Přechodové</w:t>
            </w:r>
          </w:p>
        </w:tc>
        <w:tc>
          <w:tcPr>
            <w:tcW w:w="503" w:type="pct"/>
            <w:vMerge/>
            <w:shd w:val="clear" w:color="auto" w:fill="DEEAF6" w:themeFill="accent5" w:themeFillTint="33"/>
          </w:tcPr>
          <w:p w:rsidR="00F065C1" w:rsidRPr="00C15C34" w:rsidRDefault="00F065C1" w:rsidP="002F3F4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</w:p>
        </w:tc>
        <w:tc>
          <w:tcPr>
            <w:tcW w:w="1154" w:type="pct"/>
            <w:vMerge/>
            <w:shd w:val="clear" w:color="auto" w:fill="DEEAF6" w:themeFill="accent5" w:themeFillTint="33"/>
          </w:tcPr>
          <w:p w:rsidR="00F065C1" w:rsidRPr="00C15C34" w:rsidRDefault="00F065C1" w:rsidP="002F3F4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</w:p>
        </w:tc>
        <w:tc>
          <w:tcPr>
            <w:tcW w:w="538" w:type="pct"/>
            <w:vMerge/>
            <w:shd w:val="clear" w:color="auto" w:fill="DEEAF6" w:themeFill="accent5" w:themeFillTint="33"/>
          </w:tcPr>
          <w:p w:rsidR="00F065C1" w:rsidRPr="00C15C34" w:rsidRDefault="00F065C1" w:rsidP="002F3F46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</w:rPr>
            </w:pPr>
          </w:p>
        </w:tc>
        <w:tc>
          <w:tcPr>
            <w:tcW w:w="383" w:type="pct"/>
            <w:shd w:val="clear" w:color="auto" w:fill="DEEAF6" w:themeFill="accent5" w:themeFillTint="33"/>
          </w:tcPr>
          <w:p w:rsidR="00F065C1" w:rsidRPr="00C15C34" w:rsidRDefault="00F065C1" w:rsidP="002F3F46">
            <w:pPr>
              <w:pStyle w:val="Text1"/>
              <w:spacing w:before="0" w:after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t>-</w:t>
            </w:r>
          </w:p>
        </w:tc>
        <w:tc>
          <w:tcPr>
            <w:tcW w:w="389" w:type="pct"/>
            <w:shd w:val="clear" w:color="auto" w:fill="DEEAF6" w:themeFill="accent5" w:themeFillTint="33"/>
          </w:tcPr>
          <w:p w:rsidR="00F065C1" w:rsidRPr="00C15C34" w:rsidRDefault="00F065C1" w:rsidP="002F3F46">
            <w:pPr>
              <w:pStyle w:val="Text1"/>
              <w:spacing w:before="0" w:after="0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C15C34">
              <w:rPr>
                <w:bCs/>
                <w:color w:val="000000"/>
                <w:sz w:val="18"/>
                <w:szCs w:val="18"/>
              </w:rPr>
              <w:t>226</w:t>
            </w:r>
          </w:p>
        </w:tc>
      </w:tr>
      <w:tr w:rsidR="00B631E7" w:rsidRPr="00746F88" w:rsidTr="004257D8">
        <w:tblPrEx>
          <w:tblLook w:val="04A0" w:firstRow="1" w:lastRow="0" w:firstColumn="1" w:lastColumn="0" w:noHBand="0" w:noVBand="1"/>
        </w:tblPrEx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vMerge/>
            <w:shd w:val="clear" w:color="auto" w:fill="DEEAF6" w:themeFill="accent5" w:themeFillTint="33"/>
          </w:tcPr>
          <w:p w:rsidR="00F065C1" w:rsidRPr="00C15C34" w:rsidRDefault="00F065C1" w:rsidP="002F3F46">
            <w:pPr>
              <w:pStyle w:val="Text1"/>
              <w:spacing w:before="0" w:after="0"/>
              <w:ind w:left="0"/>
              <w:rPr>
                <w:b w:val="0"/>
                <w:i/>
                <w:noProof/>
                <w:sz w:val="18"/>
                <w:szCs w:val="18"/>
              </w:rPr>
            </w:pPr>
          </w:p>
        </w:tc>
        <w:tc>
          <w:tcPr>
            <w:tcW w:w="522" w:type="pct"/>
            <w:vMerge/>
            <w:shd w:val="clear" w:color="auto" w:fill="DEEAF6" w:themeFill="accent5" w:themeFillTint="33"/>
          </w:tcPr>
          <w:p w:rsidR="00F065C1" w:rsidRPr="00C15C34" w:rsidRDefault="00F065C1" w:rsidP="002F3F4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</w:p>
        </w:tc>
        <w:tc>
          <w:tcPr>
            <w:tcW w:w="371" w:type="pct"/>
            <w:vMerge/>
            <w:shd w:val="clear" w:color="auto" w:fill="DEEAF6" w:themeFill="accent5" w:themeFillTint="33"/>
          </w:tcPr>
          <w:p w:rsidR="00F065C1" w:rsidRPr="00C15C34" w:rsidRDefault="00F065C1" w:rsidP="002F3F46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</w:rPr>
            </w:pPr>
          </w:p>
        </w:tc>
        <w:tc>
          <w:tcPr>
            <w:tcW w:w="711" w:type="pct"/>
            <w:shd w:val="clear" w:color="auto" w:fill="DEEAF6" w:themeFill="accent5" w:themeFillTint="33"/>
          </w:tcPr>
          <w:p w:rsidR="00F065C1" w:rsidRPr="00C15C34" w:rsidRDefault="00F065C1" w:rsidP="002F3F4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C15C34">
              <w:rPr>
                <w:color w:val="000000"/>
                <w:sz w:val="18"/>
                <w:szCs w:val="18"/>
                <w:lang w:eastAsia="cs-CZ" w:bidi="cs-CZ"/>
              </w:rPr>
              <w:t>Méně rozvinuté</w:t>
            </w:r>
          </w:p>
        </w:tc>
        <w:tc>
          <w:tcPr>
            <w:tcW w:w="503" w:type="pct"/>
            <w:vMerge/>
            <w:shd w:val="clear" w:color="auto" w:fill="DEEAF6" w:themeFill="accent5" w:themeFillTint="33"/>
          </w:tcPr>
          <w:p w:rsidR="00F065C1" w:rsidRPr="00C15C34" w:rsidRDefault="00F065C1" w:rsidP="002F3F4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</w:p>
        </w:tc>
        <w:tc>
          <w:tcPr>
            <w:tcW w:w="1154" w:type="pct"/>
            <w:vMerge/>
            <w:shd w:val="clear" w:color="auto" w:fill="DEEAF6" w:themeFill="accent5" w:themeFillTint="33"/>
          </w:tcPr>
          <w:p w:rsidR="00F065C1" w:rsidRPr="00C15C34" w:rsidRDefault="00F065C1" w:rsidP="002F3F4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</w:p>
        </w:tc>
        <w:tc>
          <w:tcPr>
            <w:tcW w:w="538" w:type="pct"/>
            <w:vMerge/>
            <w:shd w:val="clear" w:color="auto" w:fill="DEEAF6" w:themeFill="accent5" w:themeFillTint="33"/>
          </w:tcPr>
          <w:p w:rsidR="00F065C1" w:rsidRPr="00C15C34" w:rsidRDefault="00F065C1" w:rsidP="002F3F46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</w:rPr>
            </w:pPr>
          </w:p>
        </w:tc>
        <w:tc>
          <w:tcPr>
            <w:tcW w:w="383" w:type="pct"/>
            <w:shd w:val="clear" w:color="auto" w:fill="DEEAF6" w:themeFill="accent5" w:themeFillTint="33"/>
          </w:tcPr>
          <w:p w:rsidR="00F065C1" w:rsidRPr="00C15C34" w:rsidRDefault="00F065C1" w:rsidP="002F3F46">
            <w:pPr>
              <w:pStyle w:val="Text1"/>
              <w:spacing w:before="0" w:after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t>-</w:t>
            </w:r>
          </w:p>
        </w:tc>
        <w:tc>
          <w:tcPr>
            <w:tcW w:w="389" w:type="pct"/>
            <w:shd w:val="clear" w:color="auto" w:fill="DEEAF6" w:themeFill="accent5" w:themeFillTint="33"/>
          </w:tcPr>
          <w:p w:rsidR="00F065C1" w:rsidRPr="00C15C34" w:rsidRDefault="00F065C1" w:rsidP="002F3F46">
            <w:pPr>
              <w:pStyle w:val="Text1"/>
              <w:spacing w:before="0" w:after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C15C34">
              <w:rPr>
                <w:bCs/>
                <w:color w:val="000000"/>
                <w:sz w:val="18"/>
                <w:szCs w:val="18"/>
              </w:rPr>
              <w:t>250</w:t>
            </w:r>
          </w:p>
        </w:tc>
      </w:tr>
      <w:tr w:rsidR="00B631E7" w:rsidRPr="00746F88" w:rsidTr="004257D8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vMerge/>
            <w:shd w:val="clear" w:color="auto" w:fill="DEEAF6" w:themeFill="accent5" w:themeFillTint="33"/>
          </w:tcPr>
          <w:p w:rsidR="00F065C1" w:rsidRPr="00C15C34" w:rsidRDefault="00F065C1" w:rsidP="002F3F46">
            <w:pPr>
              <w:pStyle w:val="Text1"/>
              <w:spacing w:before="0" w:after="0"/>
              <w:ind w:left="0"/>
              <w:rPr>
                <w:b w:val="0"/>
                <w:i/>
                <w:noProof/>
                <w:sz w:val="18"/>
                <w:szCs w:val="18"/>
              </w:rPr>
            </w:pPr>
          </w:p>
        </w:tc>
        <w:tc>
          <w:tcPr>
            <w:tcW w:w="522" w:type="pct"/>
            <w:vMerge/>
            <w:shd w:val="clear" w:color="auto" w:fill="DEEAF6" w:themeFill="accent5" w:themeFillTint="33"/>
          </w:tcPr>
          <w:p w:rsidR="00F065C1" w:rsidRPr="00C15C34" w:rsidRDefault="00F065C1" w:rsidP="002F3F46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</w:p>
        </w:tc>
        <w:tc>
          <w:tcPr>
            <w:tcW w:w="371" w:type="pct"/>
            <w:vMerge/>
            <w:shd w:val="clear" w:color="auto" w:fill="DEEAF6" w:themeFill="accent5" w:themeFillTint="33"/>
          </w:tcPr>
          <w:p w:rsidR="00F065C1" w:rsidRPr="00C15C34" w:rsidRDefault="00F065C1" w:rsidP="002F3F46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</w:rPr>
            </w:pPr>
          </w:p>
        </w:tc>
        <w:tc>
          <w:tcPr>
            <w:tcW w:w="711" w:type="pct"/>
            <w:shd w:val="clear" w:color="auto" w:fill="DEEAF6" w:themeFill="accent5" w:themeFillTint="33"/>
          </w:tcPr>
          <w:p w:rsidR="00F065C1" w:rsidRPr="00C15C34" w:rsidRDefault="00F065C1" w:rsidP="002F3F46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C15C34">
              <w:rPr>
                <w:color w:val="000000"/>
                <w:sz w:val="18"/>
                <w:szCs w:val="18"/>
                <w:lang w:eastAsia="cs-CZ" w:bidi="cs-CZ"/>
              </w:rPr>
              <w:t>Více rozvinuté</w:t>
            </w:r>
          </w:p>
        </w:tc>
        <w:tc>
          <w:tcPr>
            <w:tcW w:w="503" w:type="pct"/>
            <w:vMerge w:val="restart"/>
            <w:shd w:val="clear" w:color="auto" w:fill="DEEAF6" w:themeFill="accent5" w:themeFillTint="33"/>
          </w:tcPr>
          <w:p w:rsidR="00F065C1" w:rsidRPr="00C15C34" w:rsidRDefault="00F065C1" w:rsidP="002F3F4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  <w:r w:rsidRPr="00C15C34"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  <w:t>CO16</w:t>
            </w:r>
          </w:p>
        </w:tc>
        <w:tc>
          <w:tcPr>
            <w:tcW w:w="1154" w:type="pct"/>
            <w:vMerge w:val="restart"/>
            <w:shd w:val="clear" w:color="auto" w:fill="DEEAF6" w:themeFill="accent5" w:themeFillTint="33"/>
          </w:tcPr>
          <w:p w:rsidR="00F065C1" w:rsidRPr="00C15C34" w:rsidRDefault="00F065C1" w:rsidP="002F3F4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  <w:r w:rsidRPr="00C15C34">
              <w:rPr>
                <w:rFonts w:ascii="Times New Roman" w:hAnsi="Times New Roman" w:cs="Times New Roman"/>
                <w:sz w:val="18"/>
                <w:szCs w:val="18"/>
              </w:rPr>
              <w:t>Počet podporovaných orgánů veřejné správy nebo veřejných služeb na vnitrostátní, regionální 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C15C34">
              <w:rPr>
                <w:rFonts w:ascii="Times New Roman" w:hAnsi="Times New Roman" w:cs="Times New Roman"/>
                <w:sz w:val="18"/>
                <w:szCs w:val="18"/>
              </w:rPr>
              <w:t>místní úrovni</w:t>
            </w:r>
          </w:p>
        </w:tc>
        <w:tc>
          <w:tcPr>
            <w:tcW w:w="538" w:type="pct"/>
            <w:vMerge w:val="restart"/>
            <w:shd w:val="clear" w:color="auto" w:fill="DEEAF6" w:themeFill="accent5" w:themeFillTint="33"/>
          </w:tcPr>
          <w:p w:rsidR="00F065C1" w:rsidRPr="00C15C34" w:rsidRDefault="00F065C1" w:rsidP="002F3F46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  <w:r w:rsidRPr="00C15C34">
              <w:rPr>
                <w:color w:val="000000"/>
                <w:sz w:val="18"/>
                <w:szCs w:val="18"/>
                <w:lang w:eastAsia="cs-CZ" w:bidi="cs-CZ"/>
              </w:rPr>
              <w:t>Organizace</w:t>
            </w:r>
          </w:p>
        </w:tc>
        <w:tc>
          <w:tcPr>
            <w:tcW w:w="383" w:type="pct"/>
            <w:shd w:val="clear" w:color="auto" w:fill="DEEAF6" w:themeFill="accent5" w:themeFillTint="33"/>
          </w:tcPr>
          <w:p w:rsidR="00F065C1" w:rsidRPr="00C15C34" w:rsidRDefault="00F065C1" w:rsidP="002F3F46">
            <w:pPr>
              <w:pStyle w:val="Text1"/>
              <w:spacing w:before="0" w:after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t>-</w:t>
            </w:r>
          </w:p>
        </w:tc>
        <w:tc>
          <w:tcPr>
            <w:tcW w:w="389" w:type="pct"/>
            <w:shd w:val="clear" w:color="auto" w:fill="DEEAF6" w:themeFill="accent5" w:themeFillTint="33"/>
          </w:tcPr>
          <w:p w:rsidR="00F065C1" w:rsidRPr="00C15C34" w:rsidRDefault="00F065C1" w:rsidP="002F3F46">
            <w:pPr>
              <w:pStyle w:val="Text1"/>
              <w:spacing w:before="0" w:after="0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C15C34">
              <w:rPr>
                <w:bCs/>
                <w:color w:val="000000"/>
                <w:sz w:val="18"/>
                <w:szCs w:val="18"/>
              </w:rPr>
              <w:t>86</w:t>
            </w:r>
          </w:p>
        </w:tc>
      </w:tr>
      <w:tr w:rsidR="00B631E7" w:rsidRPr="00746F88" w:rsidTr="004257D8">
        <w:tblPrEx>
          <w:tblLook w:val="04A0" w:firstRow="1" w:lastRow="0" w:firstColumn="1" w:lastColumn="0" w:noHBand="0" w:noVBand="1"/>
        </w:tblPrEx>
        <w:trPr>
          <w:trHeight w:val="1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vMerge/>
            <w:shd w:val="clear" w:color="auto" w:fill="DEEAF6" w:themeFill="accent5" w:themeFillTint="33"/>
          </w:tcPr>
          <w:p w:rsidR="00F065C1" w:rsidRPr="00C15C34" w:rsidRDefault="00F065C1" w:rsidP="002F3F46">
            <w:pPr>
              <w:pStyle w:val="Text1"/>
              <w:spacing w:before="0" w:after="0"/>
              <w:ind w:left="0"/>
              <w:rPr>
                <w:b w:val="0"/>
                <w:i/>
                <w:noProof/>
                <w:sz w:val="18"/>
                <w:szCs w:val="18"/>
              </w:rPr>
            </w:pPr>
          </w:p>
        </w:tc>
        <w:tc>
          <w:tcPr>
            <w:tcW w:w="522" w:type="pct"/>
            <w:vMerge/>
            <w:shd w:val="clear" w:color="auto" w:fill="DEEAF6" w:themeFill="accent5" w:themeFillTint="33"/>
          </w:tcPr>
          <w:p w:rsidR="00F065C1" w:rsidRPr="00C15C34" w:rsidRDefault="00F065C1" w:rsidP="002F3F4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</w:p>
        </w:tc>
        <w:tc>
          <w:tcPr>
            <w:tcW w:w="371" w:type="pct"/>
            <w:vMerge/>
            <w:shd w:val="clear" w:color="auto" w:fill="DEEAF6" w:themeFill="accent5" w:themeFillTint="33"/>
          </w:tcPr>
          <w:p w:rsidR="00F065C1" w:rsidRPr="00C15C34" w:rsidRDefault="00F065C1" w:rsidP="002F3F46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</w:rPr>
            </w:pPr>
          </w:p>
        </w:tc>
        <w:tc>
          <w:tcPr>
            <w:tcW w:w="711" w:type="pct"/>
            <w:shd w:val="clear" w:color="auto" w:fill="DEEAF6" w:themeFill="accent5" w:themeFillTint="33"/>
          </w:tcPr>
          <w:p w:rsidR="00F065C1" w:rsidRPr="00C15C34" w:rsidRDefault="00F065C1" w:rsidP="002F3F4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C15C34">
              <w:rPr>
                <w:color w:val="000000"/>
                <w:sz w:val="18"/>
                <w:szCs w:val="18"/>
                <w:lang w:eastAsia="cs-CZ" w:bidi="cs-CZ"/>
              </w:rPr>
              <w:t>Přechodové</w:t>
            </w:r>
          </w:p>
        </w:tc>
        <w:tc>
          <w:tcPr>
            <w:tcW w:w="503" w:type="pct"/>
            <w:vMerge/>
            <w:shd w:val="clear" w:color="auto" w:fill="DEEAF6" w:themeFill="accent5" w:themeFillTint="33"/>
          </w:tcPr>
          <w:p w:rsidR="00F065C1" w:rsidRPr="00C15C34" w:rsidRDefault="00F065C1" w:rsidP="002F3F4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</w:p>
        </w:tc>
        <w:tc>
          <w:tcPr>
            <w:tcW w:w="1154" w:type="pct"/>
            <w:vMerge/>
            <w:shd w:val="clear" w:color="auto" w:fill="DEEAF6" w:themeFill="accent5" w:themeFillTint="33"/>
          </w:tcPr>
          <w:p w:rsidR="00F065C1" w:rsidRPr="00C15C34" w:rsidRDefault="00F065C1" w:rsidP="002F3F4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</w:p>
        </w:tc>
        <w:tc>
          <w:tcPr>
            <w:tcW w:w="538" w:type="pct"/>
            <w:vMerge/>
            <w:shd w:val="clear" w:color="auto" w:fill="DEEAF6" w:themeFill="accent5" w:themeFillTint="33"/>
          </w:tcPr>
          <w:p w:rsidR="00F065C1" w:rsidRPr="00C15C34" w:rsidRDefault="00F065C1" w:rsidP="002F3F46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</w:rPr>
            </w:pPr>
          </w:p>
        </w:tc>
        <w:tc>
          <w:tcPr>
            <w:tcW w:w="383" w:type="pct"/>
            <w:shd w:val="clear" w:color="auto" w:fill="DEEAF6" w:themeFill="accent5" w:themeFillTint="33"/>
          </w:tcPr>
          <w:p w:rsidR="00F065C1" w:rsidRPr="00C15C34" w:rsidRDefault="00F065C1" w:rsidP="002F3F46">
            <w:pPr>
              <w:pStyle w:val="Text1"/>
              <w:spacing w:before="0" w:after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t>-</w:t>
            </w:r>
          </w:p>
        </w:tc>
        <w:tc>
          <w:tcPr>
            <w:tcW w:w="389" w:type="pct"/>
            <w:shd w:val="clear" w:color="auto" w:fill="DEEAF6" w:themeFill="accent5" w:themeFillTint="33"/>
          </w:tcPr>
          <w:p w:rsidR="00F065C1" w:rsidRPr="00C15C34" w:rsidRDefault="00F065C1" w:rsidP="002F3F46">
            <w:pPr>
              <w:pStyle w:val="Text1"/>
              <w:spacing w:before="0" w:after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C15C34">
              <w:rPr>
                <w:bCs/>
                <w:color w:val="000000"/>
                <w:sz w:val="18"/>
                <w:szCs w:val="18"/>
              </w:rPr>
              <w:t>4 052</w:t>
            </w:r>
          </w:p>
        </w:tc>
      </w:tr>
      <w:tr w:rsidR="00B631E7" w:rsidRPr="00746F88" w:rsidTr="004257D8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vMerge/>
            <w:shd w:val="clear" w:color="auto" w:fill="DEEAF6" w:themeFill="accent5" w:themeFillTint="33"/>
          </w:tcPr>
          <w:p w:rsidR="00F065C1" w:rsidRPr="00C15C34" w:rsidRDefault="00F065C1" w:rsidP="002F3F46">
            <w:pPr>
              <w:pStyle w:val="Text1"/>
              <w:spacing w:before="0" w:after="0"/>
              <w:ind w:left="0"/>
              <w:rPr>
                <w:b w:val="0"/>
                <w:i/>
                <w:noProof/>
                <w:sz w:val="18"/>
                <w:szCs w:val="18"/>
              </w:rPr>
            </w:pPr>
          </w:p>
        </w:tc>
        <w:tc>
          <w:tcPr>
            <w:tcW w:w="522" w:type="pct"/>
            <w:vMerge/>
            <w:shd w:val="clear" w:color="auto" w:fill="DEEAF6" w:themeFill="accent5" w:themeFillTint="33"/>
          </w:tcPr>
          <w:p w:rsidR="00F065C1" w:rsidRPr="00C15C34" w:rsidRDefault="00F065C1" w:rsidP="002F3F46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</w:p>
        </w:tc>
        <w:tc>
          <w:tcPr>
            <w:tcW w:w="371" w:type="pct"/>
            <w:vMerge/>
            <w:shd w:val="clear" w:color="auto" w:fill="DEEAF6" w:themeFill="accent5" w:themeFillTint="33"/>
          </w:tcPr>
          <w:p w:rsidR="00F065C1" w:rsidRPr="00C15C34" w:rsidRDefault="00F065C1" w:rsidP="002F3F46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</w:rPr>
            </w:pPr>
          </w:p>
        </w:tc>
        <w:tc>
          <w:tcPr>
            <w:tcW w:w="711" w:type="pct"/>
            <w:shd w:val="clear" w:color="auto" w:fill="DEEAF6" w:themeFill="accent5" w:themeFillTint="33"/>
          </w:tcPr>
          <w:p w:rsidR="00F065C1" w:rsidRPr="00C15C34" w:rsidRDefault="00F065C1" w:rsidP="002F3F46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C15C34">
              <w:rPr>
                <w:color w:val="000000"/>
                <w:sz w:val="18"/>
                <w:szCs w:val="18"/>
                <w:lang w:eastAsia="cs-CZ" w:bidi="cs-CZ"/>
              </w:rPr>
              <w:t>Méně rozvinuté</w:t>
            </w:r>
          </w:p>
        </w:tc>
        <w:tc>
          <w:tcPr>
            <w:tcW w:w="503" w:type="pct"/>
            <w:vMerge/>
            <w:shd w:val="clear" w:color="auto" w:fill="DEEAF6" w:themeFill="accent5" w:themeFillTint="33"/>
          </w:tcPr>
          <w:p w:rsidR="00F065C1" w:rsidRPr="00C15C34" w:rsidRDefault="00F065C1" w:rsidP="002F3F4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</w:p>
        </w:tc>
        <w:tc>
          <w:tcPr>
            <w:tcW w:w="1154" w:type="pct"/>
            <w:vMerge/>
            <w:shd w:val="clear" w:color="auto" w:fill="DEEAF6" w:themeFill="accent5" w:themeFillTint="33"/>
          </w:tcPr>
          <w:p w:rsidR="00F065C1" w:rsidRPr="00C15C34" w:rsidRDefault="00F065C1" w:rsidP="002F3F4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</w:p>
        </w:tc>
        <w:tc>
          <w:tcPr>
            <w:tcW w:w="538" w:type="pct"/>
            <w:vMerge/>
            <w:shd w:val="clear" w:color="auto" w:fill="DEEAF6" w:themeFill="accent5" w:themeFillTint="33"/>
          </w:tcPr>
          <w:p w:rsidR="00F065C1" w:rsidRPr="00C15C34" w:rsidRDefault="00F065C1" w:rsidP="002F3F46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</w:rPr>
            </w:pPr>
          </w:p>
        </w:tc>
        <w:tc>
          <w:tcPr>
            <w:tcW w:w="383" w:type="pct"/>
            <w:shd w:val="clear" w:color="auto" w:fill="DEEAF6" w:themeFill="accent5" w:themeFillTint="33"/>
          </w:tcPr>
          <w:p w:rsidR="00F065C1" w:rsidRPr="00C15C34" w:rsidRDefault="00F065C1" w:rsidP="002F3F46">
            <w:pPr>
              <w:pStyle w:val="Text1"/>
              <w:spacing w:before="0" w:after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t>-</w:t>
            </w:r>
          </w:p>
        </w:tc>
        <w:tc>
          <w:tcPr>
            <w:tcW w:w="389" w:type="pct"/>
            <w:shd w:val="clear" w:color="auto" w:fill="DEEAF6" w:themeFill="accent5" w:themeFillTint="33"/>
          </w:tcPr>
          <w:p w:rsidR="00F065C1" w:rsidRPr="00C15C34" w:rsidRDefault="00F065C1" w:rsidP="002F3F46">
            <w:pPr>
              <w:pStyle w:val="Text1"/>
              <w:spacing w:before="0" w:after="0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C15C34">
              <w:rPr>
                <w:bCs/>
                <w:color w:val="000000"/>
                <w:sz w:val="18"/>
                <w:szCs w:val="18"/>
              </w:rPr>
              <w:t>4 484</w:t>
            </w:r>
          </w:p>
        </w:tc>
      </w:tr>
    </w:tbl>
    <w:p w:rsidR="00954B7B" w:rsidRPr="00B169F0" w:rsidRDefault="00954B7B" w:rsidP="00954B7B">
      <w:pPr>
        <w:pStyle w:val="Titulek"/>
        <w:rPr>
          <w:rFonts w:ascii="Times New Roman" w:hAnsi="Times New Roman" w:cs="Times New Roman"/>
        </w:rPr>
      </w:pPr>
      <w:bookmarkStart w:id="181" w:name="_Toc66346576"/>
      <w:r w:rsidRPr="00B169F0">
        <w:rPr>
          <w:rFonts w:ascii="Times New Roman" w:hAnsi="Times New Roman" w:cs="Times New Roman"/>
        </w:rPr>
        <w:t xml:space="preserve">Tabulka </w:t>
      </w:r>
      <w:r w:rsidRPr="00B169F0">
        <w:rPr>
          <w:rFonts w:ascii="Times New Roman" w:hAnsi="Times New Roman" w:cs="Times New Roman"/>
        </w:rPr>
        <w:fldChar w:fldCharType="begin"/>
      </w:r>
      <w:r w:rsidRPr="00B169F0">
        <w:rPr>
          <w:rFonts w:ascii="Times New Roman" w:hAnsi="Times New Roman" w:cs="Times New Roman"/>
        </w:rPr>
        <w:instrText xml:space="preserve"> SEQ Tabulka \* ARABIC </w:instrText>
      </w:r>
      <w:r w:rsidRPr="00B169F0">
        <w:rPr>
          <w:rFonts w:ascii="Times New Roman" w:hAnsi="Times New Roman" w:cs="Times New Roman"/>
        </w:rPr>
        <w:fldChar w:fldCharType="separate"/>
      </w:r>
      <w:r w:rsidR="00533392">
        <w:rPr>
          <w:rFonts w:ascii="Times New Roman" w:hAnsi="Times New Roman" w:cs="Times New Roman"/>
          <w:noProof/>
        </w:rPr>
        <w:t>29</w:t>
      </w:r>
      <w:r w:rsidRPr="00B169F0">
        <w:rPr>
          <w:rFonts w:ascii="Times New Roman" w:hAnsi="Times New Roman" w:cs="Times New Roman"/>
        </w:rPr>
        <w:fldChar w:fldCharType="end"/>
      </w:r>
      <w:r w:rsidRPr="00B169F0">
        <w:rPr>
          <w:rFonts w:ascii="Times New Roman" w:hAnsi="Times New Roman" w:cs="Times New Roman"/>
        </w:rPr>
        <w:t>: Ukazatel</w:t>
      </w:r>
      <w:r w:rsidR="005B64A1">
        <w:rPr>
          <w:rFonts w:ascii="Times New Roman" w:hAnsi="Times New Roman" w:cs="Times New Roman"/>
        </w:rPr>
        <w:t>e</w:t>
      </w:r>
      <w:r w:rsidRPr="00B169F0">
        <w:rPr>
          <w:rFonts w:ascii="Times New Roman" w:hAnsi="Times New Roman" w:cs="Times New Roman"/>
        </w:rPr>
        <w:t xml:space="preserve"> výsledků</w:t>
      </w:r>
      <w:bookmarkEnd w:id="181"/>
    </w:p>
    <w:tbl>
      <w:tblPr>
        <w:tblStyle w:val="Tabulkasmkou4zvraznn1"/>
        <w:tblW w:w="4978" w:type="pct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ayout w:type="fixed"/>
        <w:tblLook w:val="01E0" w:firstRow="1" w:lastRow="1" w:firstColumn="1" w:lastColumn="1" w:noHBand="0" w:noVBand="0"/>
      </w:tblPr>
      <w:tblGrid>
        <w:gridCol w:w="430"/>
        <w:gridCol w:w="710"/>
        <w:gridCol w:w="710"/>
        <w:gridCol w:w="1125"/>
        <w:gridCol w:w="849"/>
        <w:gridCol w:w="1135"/>
        <w:gridCol w:w="1133"/>
        <w:gridCol w:w="715"/>
        <w:gridCol w:w="546"/>
        <w:gridCol w:w="995"/>
        <w:gridCol w:w="846"/>
        <w:gridCol w:w="393"/>
      </w:tblGrid>
      <w:tr w:rsidR="00AE5ECC" w:rsidRPr="00B175FB" w:rsidTr="00AE5E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" w:type="pct"/>
            <w:tcBorders>
              <w:right w:val="single" w:sz="4" w:space="0" w:color="4472C4" w:themeColor="accent1"/>
            </w:tcBorders>
            <w:shd w:val="clear" w:color="auto" w:fill="002060"/>
            <w:textDirection w:val="btLr"/>
            <w:vAlign w:val="center"/>
            <w:hideMark/>
          </w:tcPr>
          <w:p w:rsidR="00954B7B" w:rsidRPr="00063A7F" w:rsidRDefault="00954B7B" w:rsidP="00D41675">
            <w:pPr>
              <w:pStyle w:val="Text1"/>
              <w:spacing w:before="0" w:after="0" w:line="240" w:lineRule="auto"/>
              <w:ind w:left="113" w:right="113"/>
              <w:jc w:val="center"/>
              <w:rPr>
                <w:b w:val="0"/>
                <w:noProof/>
                <w:sz w:val="18"/>
                <w:szCs w:val="18"/>
              </w:rPr>
            </w:pPr>
            <w:r w:rsidRPr="00063A7F">
              <w:rPr>
                <w:noProof/>
                <w:sz w:val="18"/>
                <w:szCs w:val="18"/>
              </w:rPr>
              <w:t>Priorita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0" w:type="pct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textDirection w:val="btLr"/>
            <w:vAlign w:val="center"/>
          </w:tcPr>
          <w:p w:rsidR="00954B7B" w:rsidRPr="00063A7F" w:rsidRDefault="00954B7B" w:rsidP="00D41675">
            <w:pPr>
              <w:pStyle w:val="Text1"/>
              <w:spacing w:before="0" w:after="0" w:line="240" w:lineRule="auto"/>
              <w:ind w:left="113" w:right="113"/>
              <w:jc w:val="center"/>
              <w:rPr>
                <w:b w:val="0"/>
                <w:noProof/>
                <w:sz w:val="18"/>
                <w:szCs w:val="18"/>
              </w:rPr>
            </w:pPr>
            <w:r w:rsidRPr="00063A7F">
              <w:rPr>
                <w:noProof/>
                <w:sz w:val="18"/>
                <w:szCs w:val="18"/>
              </w:rPr>
              <w:t xml:space="preserve">Specifický </w:t>
            </w:r>
            <w:r w:rsidR="00D41675">
              <w:rPr>
                <w:noProof/>
                <w:sz w:val="18"/>
                <w:szCs w:val="18"/>
              </w:rPr>
              <w:br/>
            </w:r>
            <w:r w:rsidRPr="00063A7F">
              <w:rPr>
                <w:noProof/>
                <w:sz w:val="18"/>
                <w:szCs w:val="18"/>
              </w:rPr>
              <w:t>cíl</w:t>
            </w:r>
          </w:p>
        </w:tc>
        <w:tc>
          <w:tcPr>
            <w:tcW w:w="370" w:type="pct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textDirection w:val="btLr"/>
            <w:vAlign w:val="center"/>
            <w:hideMark/>
          </w:tcPr>
          <w:p w:rsidR="00954B7B" w:rsidRPr="00063A7F" w:rsidRDefault="00954B7B" w:rsidP="00D41675">
            <w:pPr>
              <w:pStyle w:val="Text1"/>
              <w:spacing w:before="0" w:after="0" w:line="240" w:lineRule="auto"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noProof/>
                <w:sz w:val="18"/>
                <w:szCs w:val="18"/>
              </w:rPr>
            </w:pPr>
            <w:r w:rsidRPr="00063A7F">
              <w:rPr>
                <w:noProof/>
                <w:sz w:val="18"/>
                <w:szCs w:val="18"/>
              </w:rPr>
              <w:t>Fond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86" w:type="pct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textDirection w:val="btLr"/>
            <w:vAlign w:val="center"/>
            <w:hideMark/>
          </w:tcPr>
          <w:p w:rsidR="00954B7B" w:rsidRPr="00063A7F" w:rsidRDefault="00954B7B" w:rsidP="00D41675">
            <w:pPr>
              <w:pStyle w:val="Textkomente"/>
              <w:spacing w:line="240" w:lineRule="auto"/>
              <w:ind w:left="113" w:right="113"/>
              <w:jc w:val="center"/>
              <w:rPr>
                <w:rFonts w:cs="Times New Roman"/>
                <w:b w:val="0"/>
                <w:noProof/>
                <w:sz w:val="18"/>
                <w:szCs w:val="18"/>
                <w:lang w:val="cs-CZ"/>
              </w:rPr>
            </w:pPr>
            <w:r w:rsidRPr="00063A7F">
              <w:rPr>
                <w:rFonts w:cs="Times New Roman"/>
                <w:noProof/>
                <w:sz w:val="18"/>
                <w:szCs w:val="18"/>
                <w:lang w:val="cs-CZ"/>
              </w:rPr>
              <w:t xml:space="preserve">Kategorie </w:t>
            </w:r>
            <w:r w:rsidR="00D41675">
              <w:rPr>
                <w:rFonts w:cs="Times New Roman"/>
                <w:noProof/>
                <w:sz w:val="18"/>
                <w:szCs w:val="18"/>
                <w:lang w:val="cs-CZ"/>
              </w:rPr>
              <w:br/>
            </w:r>
            <w:r w:rsidRPr="00063A7F">
              <w:rPr>
                <w:rFonts w:cs="Times New Roman"/>
                <w:noProof/>
                <w:sz w:val="18"/>
                <w:szCs w:val="18"/>
                <w:lang w:val="cs-CZ"/>
              </w:rPr>
              <w:t>regionu</w:t>
            </w:r>
          </w:p>
        </w:tc>
        <w:tc>
          <w:tcPr>
            <w:tcW w:w="443" w:type="pct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textDirection w:val="btLr"/>
            <w:vAlign w:val="center"/>
            <w:hideMark/>
          </w:tcPr>
          <w:p w:rsidR="00954B7B" w:rsidRPr="00063A7F" w:rsidRDefault="00954B7B" w:rsidP="00D41675">
            <w:pPr>
              <w:pStyle w:val="Text1"/>
              <w:spacing w:before="0" w:after="0" w:line="240" w:lineRule="auto"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noProof/>
                <w:sz w:val="18"/>
                <w:szCs w:val="18"/>
              </w:rPr>
            </w:pPr>
            <w:r w:rsidRPr="00063A7F">
              <w:rPr>
                <w:noProof/>
                <w:sz w:val="18"/>
                <w:szCs w:val="18"/>
              </w:rPr>
              <w:t>ID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92" w:type="pct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textDirection w:val="btLr"/>
            <w:vAlign w:val="center"/>
            <w:hideMark/>
          </w:tcPr>
          <w:p w:rsidR="00954B7B" w:rsidRPr="00063A7F" w:rsidRDefault="00954B7B" w:rsidP="00D41675">
            <w:pPr>
              <w:pStyle w:val="Text1"/>
              <w:spacing w:before="0" w:after="0" w:line="240" w:lineRule="auto"/>
              <w:ind w:left="113" w:right="113"/>
              <w:jc w:val="center"/>
              <w:rPr>
                <w:b w:val="0"/>
                <w:noProof/>
                <w:sz w:val="18"/>
                <w:szCs w:val="18"/>
              </w:rPr>
            </w:pPr>
            <w:r w:rsidRPr="00063A7F">
              <w:rPr>
                <w:noProof/>
                <w:sz w:val="18"/>
                <w:szCs w:val="18"/>
              </w:rPr>
              <w:t>Ukazatel</w:t>
            </w:r>
          </w:p>
        </w:tc>
        <w:tc>
          <w:tcPr>
            <w:tcW w:w="591" w:type="pct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textDirection w:val="btLr"/>
            <w:vAlign w:val="center"/>
            <w:hideMark/>
          </w:tcPr>
          <w:p w:rsidR="00954B7B" w:rsidRPr="00063A7F" w:rsidRDefault="00954B7B" w:rsidP="00D41675">
            <w:pPr>
              <w:pStyle w:val="Text1"/>
              <w:spacing w:before="0" w:after="0" w:line="240" w:lineRule="auto"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noProof/>
                <w:sz w:val="18"/>
                <w:szCs w:val="18"/>
              </w:rPr>
            </w:pPr>
            <w:r w:rsidRPr="00063A7F">
              <w:rPr>
                <w:noProof/>
                <w:sz w:val="18"/>
                <w:szCs w:val="18"/>
              </w:rPr>
              <w:t>Jednotka měření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3" w:type="pct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textDirection w:val="btLr"/>
            <w:vAlign w:val="center"/>
          </w:tcPr>
          <w:p w:rsidR="00954B7B" w:rsidRPr="00063A7F" w:rsidRDefault="00954B7B" w:rsidP="00D41675">
            <w:pPr>
              <w:pStyle w:val="Text1"/>
              <w:spacing w:before="0" w:after="0" w:line="240" w:lineRule="auto"/>
              <w:ind w:left="113" w:right="113"/>
              <w:jc w:val="center"/>
              <w:rPr>
                <w:b w:val="0"/>
                <w:noProof/>
                <w:sz w:val="18"/>
                <w:szCs w:val="18"/>
              </w:rPr>
            </w:pPr>
            <w:r w:rsidRPr="00063A7F">
              <w:rPr>
                <w:noProof/>
                <w:sz w:val="18"/>
                <w:szCs w:val="18"/>
              </w:rPr>
              <w:t>Základní nebo referenční hodnota</w:t>
            </w:r>
          </w:p>
        </w:tc>
        <w:tc>
          <w:tcPr>
            <w:tcW w:w="285" w:type="pct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textDirection w:val="btLr"/>
            <w:vAlign w:val="center"/>
            <w:hideMark/>
          </w:tcPr>
          <w:p w:rsidR="00954B7B" w:rsidRPr="00063A7F" w:rsidRDefault="00954B7B" w:rsidP="00D41675">
            <w:pPr>
              <w:pStyle w:val="Text1"/>
              <w:spacing w:before="0" w:after="0" w:line="240" w:lineRule="auto"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noProof/>
                <w:sz w:val="18"/>
                <w:szCs w:val="18"/>
              </w:rPr>
            </w:pPr>
            <w:r w:rsidRPr="00063A7F">
              <w:rPr>
                <w:noProof/>
                <w:sz w:val="18"/>
                <w:szCs w:val="18"/>
              </w:rPr>
              <w:t>Referenční rok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9" w:type="pct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textDirection w:val="btLr"/>
            <w:vAlign w:val="center"/>
          </w:tcPr>
          <w:p w:rsidR="00954B7B" w:rsidRPr="00063A7F" w:rsidRDefault="00954B7B" w:rsidP="00D41675">
            <w:pPr>
              <w:pStyle w:val="Text1"/>
              <w:spacing w:before="0" w:after="0" w:line="240" w:lineRule="auto"/>
              <w:ind w:left="113" w:right="113"/>
              <w:jc w:val="center"/>
              <w:rPr>
                <w:b w:val="0"/>
                <w:noProof/>
                <w:sz w:val="18"/>
                <w:szCs w:val="18"/>
              </w:rPr>
            </w:pPr>
            <w:r w:rsidRPr="00063A7F">
              <w:rPr>
                <w:noProof/>
                <w:sz w:val="18"/>
                <w:szCs w:val="18"/>
              </w:rPr>
              <w:t>Cíl (2029)</w:t>
            </w:r>
          </w:p>
        </w:tc>
        <w:tc>
          <w:tcPr>
            <w:tcW w:w="441" w:type="pct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textDirection w:val="btLr"/>
            <w:vAlign w:val="center"/>
            <w:hideMark/>
          </w:tcPr>
          <w:p w:rsidR="00954B7B" w:rsidRPr="00063A7F" w:rsidRDefault="00954B7B" w:rsidP="00D41675">
            <w:pPr>
              <w:pStyle w:val="Text1"/>
              <w:spacing w:before="0" w:after="0" w:line="240" w:lineRule="auto"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noProof/>
                <w:sz w:val="18"/>
                <w:szCs w:val="18"/>
              </w:rPr>
            </w:pPr>
            <w:r w:rsidRPr="00063A7F">
              <w:rPr>
                <w:noProof/>
                <w:sz w:val="18"/>
                <w:szCs w:val="18"/>
              </w:rPr>
              <w:t>Zdroj údajů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5" w:type="pct"/>
            <w:tcBorders>
              <w:left w:val="single" w:sz="4" w:space="0" w:color="4472C4" w:themeColor="accent1"/>
            </w:tcBorders>
            <w:shd w:val="clear" w:color="auto" w:fill="002060"/>
            <w:textDirection w:val="btLr"/>
            <w:vAlign w:val="center"/>
            <w:hideMark/>
          </w:tcPr>
          <w:p w:rsidR="00954B7B" w:rsidRPr="00063A7F" w:rsidRDefault="00954B7B" w:rsidP="00D41675">
            <w:pPr>
              <w:pStyle w:val="Text1"/>
              <w:spacing w:before="0" w:after="0" w:line="240" w:lineRule="auto"/>
              <w:ind w:left="113" w:right="113"/>
              <w:jc w:val="center"/>
              <w:rPr>
                <w:b w:val="0"/>
                <w:noProof/>
                <w:sz w:val="18"/>
                <w:szCs w:val="18"/>
              </w:rPr>
            </w:pPr>
            <w:r w:rsidRPr="00063A7F">
              <w:rPr>
                <w:noProof/>
                <w:sz w:val="18"/>
                <w:szCs w:val="18"/>
              </w:rPr>
              <w:t>Poznámky</w:t>
            </w:r>
          </w:p>
        </w:tc>
      </w:tr>
      <w:tr w:rsidR="00AE5ECC" w:rsidRPr="003B3D2F" w:rsidTr="00AE5ECC">
        <w:tblPrEx>
          <w:tblBorders>
            <w:top w:val="single" w:sz="4" w:space="0" w:color="8EAADB" w:themeColor="accent1" w:themeTint="99"/>
            <w:left w:val="single" w:sz="4" w:space="0" w:color="8EAADB" w:themeColor="accent1" w:themeTint="99"/>
            <w:bottom w:val="single" w:sz="4" w:space="0" w:color="8EAADB" w:themeColor="accent1" w:themeTint="99"/>
            <w:right w:val="single" w:sz="4" w:space="0" w:color="8EAADB" w:themeColor="accent1" w:themeTint="99"/>
            <w:insideH w:val="single" w:sz="4" w:space="0" w:color="8EAADB" w:themeColor="accent1" w:themeTint="99"/>
            <w:insideV w:val="single" w:sz="4" w:space="0" w:color="8EAADB" w:themeColor="accent1" w:themeTint="99"/>
          </w:tblBorders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32415A" w:rsidRDefault="000344ED" w:rsidP="00AA316F">
            <w:pPr>
              <w:pStyle w:val="Text1"/>
              <w:spacing w:after="0"/>
              <w:ind w:left="0"/>
              <w:rPr>
                <w:b w:val="0"/>
                <w:noProof/>
                <w:sz w:val="18"/>
                <w:szCs w:val="18"/>
              </w:rPr>
            </w:pPr>
            <w:bookmarkStart w:id="182" w:name="_Toc66271496"/>
            <w:bookmarkStart w:id="183" w:name="_Toc66274261"/>
            <w:bookmarkEnd w:id="182"/>
            <w:bookmarkEnd w:id="183"/>
            <w:r w:rsidRPr="0032415A">
              <w:rPr>
                <w:b w:val="0"/>
                <w:noProof/>
                <w:sz w:val="18"/>
                <w:szCs w:val="18"/>
              </w:rPr>
              <w:t>P</w:t>
            </w:r>
            <w:r w:rsidR="00E81A42" w:rsidRPr="0032415A">
              <w:rPr>
                <w:b w:val="0"/>
                <w:noProof/>
                <w:sz w:val="18"/>
                <w:szCs w:val="18"/>
              </w:rPr>
              <w:t>2</w:t>
            </w:r>
          </w:p>
        </w:tc>
        <w:tc>
          <w:tcPr>
            <w:tcW w:w="370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063A7F" w:rsidRDefault="007922EE" w:rsidP="0032415A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063A7F">
              <w:rPr>
                <w:color w:val="000000"/>
                <w:sz w:val="18"/>
                <w:szCs w:val="18"/>
                <w:lang w:eastAsia="cs-CZ" w:bidi="cs-CZ"/>
              </w:rPr>
              <w:t>2.3</w:t>
            </w:r>
          </w:p>
        </w:tc>
        <w:tc>
          <w:tcPr>
            <w:tcW w:w="370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063A7F" w:rsidRDefault="00E81A42" w:rsidP="00AA316F">
            <w:pPr>
              <w:pStyle w:val="Text1"/>
              <w:spacing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  <w:r w:rsidRPr="00063A7F">
              <w:rPr>
                <w:noProof/>
                <w:sz w:val="18"/>
                <w:szCs w:val="18"/>
              </w:rPr>
              <w:t>ESF+</w:t>
            </w:r>
          </w:p>
        </w:tc>
        <w:tc>
          <w:tcPr>
            <w:tcW w:w="58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063A7F" w:rsidRDefault="007922EE" w:rsidP="004E348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063A7F">
              <w:rPr>
                <w:color w:val="000000"/>
                <w:sz w:val="18"/>
                <w:szCs w:val="18"/>
                <w:lang w:eastAsia="cs-CZ" w:bidi="cs-CZ"/>
              </w:rPr>
              <w:t xml:space="preserve">Více </w:t>
            </w:r>
            <w:r w:rsidR="00D41675">
              <w:rPr>
                <w:color w:val="000000"/>
                <w:sz w:val="18"/>
                <w:szCs w:val="18"/>
                <w:lang w:eastAsia="cs-CZ" w:bidi="cs-CZ"/>
              </w:rPr>
              <w:br/>
            </w:r>
            <w:r w:rsidRPr="00063A7F">
              <w:rPr>
                <w:color w:val="000000"/>
                <w:sz w:val="18"/>
                <w:szCs w:val="18"/>
                <w:lang w:eastAsia="cs-CZ" w:bidi="cs-CZ"/>
              </w:rPr>
              <w:t>rozvinuté</w:t>
            </w:r>
          </w:p>
        </w:tc>
        <w:tc>
          <w:tcPr>
            <w:tcW w:w="443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063A7F" w:rsidRDefault="007922EE" w:rsidP="00C837AC">
            <w:pPr>
              <w:pStyle w:val="Text1"/>
              <w:spacing w:after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063A7F">
              <w:rPr>
                <w:noProof/>
                <w:sz w:val="18"/>
                <w:szCs w:val="18"/>
              </w:rPr>
              <w:t>5 08 10</w:t>
            </w:r>
          </w:p>
        </w:tc>
        <w:tc>
          <w:tcPr>
            <w:tcW w:w="592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063A7F" w:rsidRDefault="007922EE" w:rsidP="00AA316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063A7F">
              <w:rPr>
                <w:color w:val="000000"/>
                <w:sz w:val="18"/>
                <w:szCs w:val="18"/>
                <w:lang w:eastAsia="cs-CZ" w:bidi="cs-CZ"/>
              </w:rPr>
              <w:t>Počet organizací ovlivněných intervencí</w:t>
            </w:r>
          </w:p>
        </w:tc>
        <w:tc>
          <w:tcPr>
            <w:tcW w:w="591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063A7F" w:rsidRDefault="007922EE" w:rsidP="00AA316F">
            <w:pPr>
              <w:pStyle w:val="Text1"/>
              <w:spacing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8"/>
                <w:szCs w:val="18"/>
              </w:rPr>
            </w:pPr>
            <w:r w:rsidRPr="00063A7F">
              <w:rPr>
                <w:color w:val="000000"/>
                <w:sz w:val="18"/>
                <w:szCs w:val="18"/>
                <w:lang w:eastAsia="cs-CZ" w:bidi="cs-CZ"/>
              </w:rPr>
              <w:t>Organizace</w:t>
            </w:r>
          </w:p>
        </w:tc>
        <w:tc>
          <w:tcPr>
            <w:tcW w:w="37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436C18" w:rsidRDefault="00436C18" w:rsidP="0032415A">
            <w:pPr>
              <w:pStyle w:val="Text1"/>
              <w:spacing w:after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436C18">
              <w:rPr>
                <w:noProof/>
                <w:sz w:val="18"/>
                <w:szCs w:val="18"/>
              </w:rPr>
              <w:t>-</w:t>
            </w:r>
          </w:p>
        </w:tc>
        <w:tc>
          <w:tcPr>
            <w:tcW w:w="285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063A7F" w:rsidRDefault="007922EE" w:rsidP="00AA316F">
            <w:pPr>
              <w:pStyle w:val="Text1"/>
              <w:spacing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063A7F" w:rsidRDefault="007922EE" w:rsidP="0032415A">
            <w:pPr>
              <w:pStyle w:val="Text1"/>
              <w:spacing w:after="0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063A7F">
              <w:rPr>
                <w:bCs/>
                <w:color w:val="000000"/>
                <w:sz w:val="18"/>
                <w:szCs w:val="18"/>
                <w:lang w:bidi="cs-CZ"/>
              </w:rPr>
              <w:t>260</w:t>
            </w:r>
          </w:p>
        </w:tc>
        <w:tc>
          <w:tcPr>
            <w:tcW w:w="441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063A7F" w:rsidRDefault="007922EE" w:rsidP="000B04A9">
            <w:pPr>
              <w:pStyle w:val="Text1"/>
              <w:spacing w:after="0" w:line="24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  <w:r w:rsidRPr="00063A7F">
              <w:rPr>
                <w:color w:val="000000"/>
                <w:sz w:val="18"/>
                <w:szCs w:val="18"/>
              </w:rPr>
              <w:t>Zpráva o realizaci projektu</w:t>
            </w:r>
          </w:p>
        </w:tc>
        <w:tc>
          <w:tcPr>
            <w:tcW w:w="205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063A7F" w:rsidRDefault="007922EE" w:rsidP="00AA316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</w:p>
        </w:tc>
      </w:tr>
      <w:tr w:rsidR="00AE5ECC" w:rsidRPr="003B3D2F" w:rsidTr="00AE5ECC">
        <w:tblPrEx>
          <w:tblBorders>
            <w:top w:val="single" w:sz="4" w:space="0" w:color="8EAADB" w:themeColor="accent1" w:themeTint="99"/>
            <w:left w:val="single" w:sz="4" w:space="0" w:color="8EAADB" w:themeColor="accent1" w:themeTint="99"/>
            <w:bottom w:val="single" w:sz="4" w:space="0" w:color="8EAADB" w:themeColor="accent1" w:themeTint="99"/>
            <w:right w:val="single" w:sz="4" w:space="0" w:color="8EAADB" w:themeColor="accent1" w:themeTint="99"/>
            <w:insideH w:val="single" w:sz="4" w:space="0" w:color="8EAADB" w:themeColor="accent1" w:themeTint="99"/>
            <w:insideV w:val="single" w:sz="4" w:space="0" w:color="8EAADB" w:themeColor="accent1" w:themeTint="99"/>
          </w:tblBorders>
          <w:tblLook w:val="04A0" w:firstRow="1" w:lastRow="0" w:firstColumn="1" w:lastColumn="0" w:noHBand="0" w:noVBand="1"/>
        </w:tblPrEx>
        <w:trPr>
          <w:trHeight w:val="1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063A7F" w:rsidRDefault="007922EE" w:rsidP="00AA316F">
            <w:pPr>
              <w:pStyle w:val="Text1"/>
              <w:spacing w:after="0"/>
              <w:ind w:left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370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063A7F" w:rsidRDefault="007922EE" w:rsidP="00AA316F">
            <w:pPr>
              <w:pStyle w:val="Text1"/>
              <w:spacing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000000"/>
                <w:sz w:val="18"/>
                <w:szCs w:val="18"/>
                <w:lang w:eastAsia="cs-CZ" w:bidi="cs-CZ"/>
              </w:rPr>
            </w:pPr>
          </w:p>
        </w:tc>
        <w:tc>
          <w:tcPr>
            <w:tcW w:w="370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063A7F" w:rsidRDefault="007922EE" w:rsidP="00AA316F">
            <w:pPr>
              <w:pStyle w:val="Text1"/>
              <w:spacing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58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063A7F" w:rsidRDefault="007922EE" w:rsidP="002D15B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063A7F">
              <w:rPr>
                <w:color w:val="000000"/>
                <w:sz w:val="18"/>
                <w:szCs w:val="18"/>
                <w:lang w:eastAsia="cs-CZ" w:bidi="cs-CZ"/>
              </w:rPr>
              <w:t>Přechodové</w:t>
            </w:r>
          </w:p>
        </w:tc>
        <w:tc>
          <w:tcPr>
            <w:tcW w:w="443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textDirection w:val="btLr"/>
          </w:tcPr>
          <w:p w:rsidR="007922EE" w:rsidRPr="00063A7F" w:rsidRDefault="007922EE" w:rsidP="00AA316F">
            <w:pPr>
              <w:pStyle w:val="Text1"/>
              <w:spacing w:after="0"/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</w:p>
        </w:tc>
        <w:tc>
          <w:tcPr>
            <w:tcW w:w="592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063A7F" w:rsidRDefault="007922EE" w:rsidP="00AA316F">
            <w:pPr>
              <w:pStyle w:val="Text1"/>
              <w:spacing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591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063A7F" w:rsidRDefault="007922EE" w:rsidP="00AA316F">
            <w:pPr>
              <w:pStyle w:val="Text1"/>
              <w:spacing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37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436C18" w:rsidRDefault="00436C18" w:rsidP="0032415A">
            <w:pPr>
              <w:pStyle w:val="Text1"/>
              <w:spacing w:after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436C18">
              <w:rPr>
                <w:noProof/>
                <w:sz w:val="18"/>
                <w:szCs w:val="18"/>
              </w:rPr>
              <w:t>-</w:t>
            </w:r>
          </w:p>
        </w:tc>
        <w:tc>
          <w:tcPr>
            <w:tcW w:w="285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063A7F" w:rsidRDefault="007922EE" w:rsidP="00AA316F">
            <w:pPr>
              <w:pStyle w:val="Text1"/>
              <w:spacing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063A7F" w:rsidRDefault="007922EE" w:rsidP="0032415A">
            <w:pPr>
              <w:pStyle w:val="Text1"/>
              <w:spacing w:after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063A7F">
              <w:rPr>
                <w:bCs/>
                <w:color w:val="000000"/>
                <w:sz w:val="18"/>
                <w:szCs w:val="18"/>
                <w:lang w:bidi="cs-CZ"/>
              </w:rPr>
              <w:t>12 237</w:t>
            </w:r>
          </w:p>
        </w:tc>
        <w:tc>
          <w:tcPr>
            <w:tcW w:w="441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063A7F" w:rsidRDefault="007922EE" w:rsidP="000B04A9">
            <w:pPr>
              <w:pStyle w:val="Text1"/>
              <w:spacing w:after="0"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205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063A7F" w:rsidRDefault="007922EE" w:rsidP="00AA316F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</w:p>
        </w:tc>
      </w:tr>
      <w:tr w:rsidR="00AE5ECC" w:rsidRPr="003B3D2F" w:rsidTr="00AE5ECC">
        <w:tblPrEx>
          <w:tblBorders>
            <w:top w:val="single" w:sz="4" w:space="0" w:color="8EAADB" w:themeColor="accent1" w:themeTint="99"/>
            <w:left w:val="single" w:sz="4" w:space="0" w:color="8EAADB" w:themeColor="accent1" w:themeTint="99"/>
            <w:bottom w:val="single" w:sz="4" w:space="0" w:color="8EAADB" w:themeColor="accent1" w:themeTint="99"/>
            <w:right w:val="single" w:sz="4" w:space="0" w:color="8EAADB" w:themeColor="accent1" w:themeTint="99"/>
            <w:insideH w:val="single" w:sz="4" w:space="0" w:color="8EAADB" w:themeColor="accent1" w:themeTint="99"/>
            <w:insideV w:val="single" w:sz="4" w:space="0" w:color="8EAADB" w:themeColor="accent1" w:themeTint="99"/>
          </w:tblBorders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063A7F" w:rsidRDefault="007922EE" w:rsidP="00AA316F">
            <w:pPr>
              <w:pStyle w:val="Text1"/>
              <w:spacing w:after="0"/>
              <w:ind w:left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370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063A7F" w:rsidRDefault="007922EE" w:rsidP="00AA316F">
            <w:pPr>
              <w:pStyle w:val="Text1"/>
              <w:spacing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000000"/>
                <w:sz w:val="18"/>
                <w:szCs w:val="18"/>
                <w:lang w:eastAsia="cs-CZ" w:bidi="cs-CZ"/>
              </w:rPr>
            </w:pPr>
          </w:p>
        </w:tc>
        <w:tc>
          <w:tcPr>
            <w:tcW w:w="370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063A7F" w:rsidRDefault="007922EE" w:rsidP="00AA316F">
            <w:pPr>
              <w:pStyle w:val="Text1"/>
              <w:spacing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58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063A7F" w:rsidRDefault="007922EE" w:rsidP="002D15B6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063A7F">
              <w:rPr>
                <w:color w:val="000000"/>
                <w:sz w:val="18"/>
                <w:szCs w:val="18"/>
                <w:lang w:eastAsia="cs-CZ" w:bidi="cs-CZ"/>
              </w:rPr>
              <w:t xml:space="preserve">Méně </w:t>
            </w:r>
            <w:r w:rsidR="00D41675">
              <w:rPr>
                <w:color w:val="000000"/>
                <w:sz w:val="18"/>
                <w:szCs w:val="18"/>
                <w:lang w:eastAsia="cs-CZ" w:bidi="cs-CZ"/>
              </w:rPr>
              <w:br/>
            </w:r>
            <w:r w:rsidRPr="00063A7F">
              <w:rPr>
                <w:color w:val="000000"/>
                <w:sz w:val="18"/>
                <w:szCs w:val="18"/>
                <w:lang w:eastAsia="cs-CZ" w:bidi="cs-CZ"/>
              </w:rPr>
              <w:t>rozvinuté</w:t>
            </w:r>
          </w:p>
        </w:tc>
        <w:tc>
          <w:tcPr>
            <w:tcW w:w="443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textDirection w:val="btLr"/>
          </w:tcPr>
          <w:p w:rsidR="007922EE" w:rsidRPr="00063A7F" w:rsidRDefault="007922EE" w:rsidP="00AA316F">
            <w:pPr>
              <w:pStyle w:val="Text1"/>
              <w:spacing w:after="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</w:p>
        </w:tc>
        <w:tc>
          <w:tcPr>
            <w:tcW w:w="592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063A7F" w:rsidRDefault="007922EE" w:rsidP="00AA316F">
            <w:pPr>
              <w:pStyle w:val="Text1"/>
              <w:spacing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591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063A7F" w:rsidRDefault="007922EE" w:rsidP="00AA316F">
            <w:pPr>
              <w:pStyle w:val="Text1"/>
              <w:spacing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37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436C18" w:rsidRDefault="00436C18" w:rsidP="0032415A">
            <w:pPr>
              <w:pStyle w:val="Text1"/>
              <w:spacing w:after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436C18">
              <w:rPr>
                <w:noProof/>
                <w:sz w:val="18"/>
                <w:szCs w:val="18"/>
              </w:rPr>
              <w:t>-</w:t>
            </w:r>
          </w:p>
        </w:tc>
        <w:tc>
          <w:tcPr>
            <w:tcW w:w="285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063A7F" w:rsidRDefault="007922EE" w:rsidP="00AA316F">
            <w:pPr>
              <w:pStyle w:val="Text1"/>
              <w:spacing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063A7F" w:rsidRDefault="007922EE" w:rsidP="0032415A">
            <w:pPr>
              <w:pStyle w:val="Text1"/>
              <w:spacing w:after="0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063A7F">
              <w:rPr>
                <w:bCs/>
                <w:color w:val="000000"/>
                <w:sz w:val="18"/>
                <w:szCs w:val="18"/>
                <w:lang w:bidi="cs-CZ"/>
              </w:rPr>
              <w:t>13 539</w:t>
            </w:r>
          </w:p>
        </w:tc>
        <w:tc>
          <w:tcPr>
            <w:tcW w:w="441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063A7F" w:rsidRDefault="007922EE" w:rsidP="000B04A9">
            <w:pPr>
              <w:pStyle w:val="Text1"/>
              <w:spacing w:after="0" w:line="24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205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063A7F" w:rsidRDefault="007922EE" w:rsidP="00AA316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</w:p>
        </w:tc>
      </w:tr>
      <w:tr w:rsidR="00AE5ECC" w:rsidRPr="003B3D2F" w:rsidTr="00AE5ECC">
        <w:tblPrEx>
          <w:tblBorders>
            <w:top w:val="single" w:sz="4" w:space="0" w:color="8EAADB" w:themeColor="accent1" w:themeTint="99"/>
            <w:left w:val="single" w:sz="4" w:space="0" w:color="8EAADB" w:themeColor="accent1" w:themeTint="99"/>
            <w:bottom w:val="single" w:sz="4" w:space="0" w:color="8EAADB" w:themeColor="accent1" w:themeTint="99"/>
            <w:right w:val="single" w:sz="4" w:space="0" w:color="8EAADB" w:themeColor="accent1" w:themeTint="99"/>
            <w:insideH w:val="single" w:sz="4" w:space="0" w:color="8EAADB" w:themeColor="accent1" w:themeTint="99"/>
            <w:insideV w:val="single" w:sz="4" w:space="0" w:color="8EAADB" w:themeColor="accent1" w:themeTint="99"/>
          </w:tblBorders>
          <w:tblLook w:val="04A0" w:firstRow="1" w:lastRow="0" w:firstColumn="1" w:lastColumn="0" w:noHBand="0" w:noVBand="1"/>
        </w:tblPrEx>
        <w:trPr>
          <w:trHeight w:val="1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063A7F" w:rsidRDefault="007922EE" w:rsidP="002D15B6">
            <w:pPr>
              <w:pStyle w:val="Text1"/>
              <w:spacing w:before="0" w:after="0"/>
              <w:ind w:left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370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063A7F" w:rsidRDefault="007922EE" w:rsidP="002D15B6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000000"/>
                <w:sz w:val="18"/>
                <w:szCs w:val="18"/>
                <w:lang w:eastAsia="cs-CZ" w:bidi="cs-CZ"/>
              </w:rPr>
            </w:pPr>
          </w:p>
        </w:tc>
        <w:tc>
          <w:tcPr>
            <w:tcW w:w="370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063A7F" w:rsidRDefault="007922EE" w:rsidP="002D15B6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58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063A7F" w:rsidRDefault="007922EE" w:rsidP="002D15B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063A7F">
              <w:rPr>
                <w:color w:val="000000"/>
                <w:sz w:val="18"/>
                <w:szCs w:val="18"/>
                <w:lang w:eastAsia="cs-CZ" w:bidi="cs-CZ"/>
              </w:rPr>
              <w:t xml:space="preserve">Více </w:t>
            </w:r>
            <w:r w:rsidR="00D41675">
              <w:rPr>
                <w:color w:val="000000"/>
                <w:sz w:val="18"/>
                <w:szCs w:val="18"/>
                <w:lang w:eastAsia="cs-CZ" w:bidi="cs-CZ"/>
              </w:rPr>
              <w:br/>
            </w:r>
            <w:r w:rsidRPr="00063A7F">
              <w:rPr>
                <w:color w:val="000000"/>
                <w:sz w:val="18"/>
                <w:szCs w:val="18"/>
                <w:lang w:eastAsia="cs-CZ" w:bidi="cs-CZ"/>
              </w:rPr>
              <w:t>rozvinuté</w:t>
            </w:r>
          </w:p>
        </w:tc>
        <w:tc>
          <w:tcPr>
            <w:tcW w:w="443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textDirection w:val="btLr"/>
          </w:tcPr>
          <w:p w:rsidR="007922EE" w:rsidRPr="00063A7F" w:rsidRDefault="007922EE" w:rsidP="002D15B6">
            <w:pPr>
              <w:pStyle w:val="Text1"/>
              <w:spacing w:before="0" w:after="0"/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063A7F" w:rsidRDefault="007922EE" w:rsidP="002D15B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063A7F">
              <w:rPr>
                <w:color w:val="000000"/>
                <w:sz w:val="18"/>
                <w:szCs w:val="18"/>
                <w:lang w:eastAsia="cs-CZ" w:bidi="cs-CZ"/>
              </w:rPr>
              <w:t>Počet osob ovlivněných intervencí</w:t>
            </w:r>
          </w:p>
          <w:p w:rsidR="007922EE" w:rsidRPr="00063A7F" w:rsidRDefault="007922EE" w:rsidP="002D15B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91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063A7F" w:rsidRDefault="007922EE" w:rsidP="002D15B6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  <w:r w:rsidRPr="00063A7F">
              <w:rPr>
                <w:rFonts w:eastAsia="Calibri"/>
                <w:color w:val="000000"/>
                <w:sz w:val="18"/>
                <w:szCs w:val="18"/>
                <w:lang w:eastAsia="cs-CZ" w:bidi="cs-CZ"/>
              </w:rPr>
              <w:t>Osoba</w:t>
            </w:r>
          </w:p>
        </w:tc>
        <w:tc>
          <w:tcPr>
            <w:tcW w:w="37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436C18" w:rsidRDefault="00436C18" w:rsidP="002D15B6">
            <w:pPr>
              <w:pStyle w:val="Text1"/>
              <w:spacing w:before="0" w:after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436C18">
              <w:rPr>
                <w:noProof/>
                <w:sz w:val="18"/>
                <w:szCs w:val="18"/>
              </w:rPr>
              <w:t>-</w:t>
            </w:r>
          </w:p>
        </w:tc>
        <w:tc>
          <w:tcPr>
            <w:tcW w:w="285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063A7F" w:rsidRDefault="007922EE" w:rsidP="002D15B6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063A7F" w:rsidRDefault="007922EE" w:rsidP="002D15B6">
            <w:pPr>
              <w:pStyle w:val="Text1"/>
              <w:spacing w:before="0" w:after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063A7F">
              <w:rPr>
                <w:bCs/>
                <w:color w:val="000000"/>
                <w:sz w:val="18"/>
                <w:szCs w:val="18"/>
                <w:lang w:bidi="cs-CZ"/>
              </w:rPr>
              <w:t>20 322</w:t>
            </w:r>
          </w:p>
        </w:tc>
        <w:tc>
          <w:tcPr>
            <w:tcW w:w="441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063A7F" w:rsidRDefault="007922EE" w:rsidP="002D15B6">
            <w:pPr>
              <w:pStyle w:val="Text1"/>
              <w:spacing w:before="0" w:after="0"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  <w:r w:rsidRPr="00063A7F">
              <w:rPr>
                <w:color w:val="000000"/>
                <w:sz w:val="18"/>
                <w:szCs w:val="18"/>
              </w:rPr>
              <w:t>Zpráva o realizaci projektu</w:t>
            </w:r>
          </w:p>
        </w:tc>
        <w:tc>
          <w:tcPr>
            <w:tcW w:w="205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063A7F" w:rsidRDefault="007922EE" w:rsidP="002D15B6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</w:p>
        </w:tc>
      </w:tr>
      <w:tr w:rsidR="00AE5ECC" w:rsidRPr="003B3D2F" w:rsidTr="00AE5ECC">
        <w:tblPrEx>
          <w:tblBorders>
            <w:top w:val="single" w:sz="4" w:space="0" w:color="8EAADB" w:themeColor="accent1" w:themeTint="99"/>
            <w:left w:val="single" w:sz="4" w:space="0" w:color="8EAADB" w:themeColor="accent1" w:themeTint="99"/>
            <w:bottom w:val="single" w:sz="4" w:space="0" w:color="8EAADB" w:themeColor="accent1" w:themeTint="99"/>
            <w:right w:val="single" w:sz="4" w:space="0" w:color="8EAADB" w:themeColor="accent1" w:themeTint="99"/>
            <w:insideH w:val="single" w:sz="4" w:space="0" w:color="8EAADB" w:themeColor="accent1" w:themeTint="99"/>
            <w:insideV w:val="single" w:sz="4" w:space="0" w:color="8EAADB" w:themeColor="accent1" w:themeTint="99"/>
          </w:tblBorders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3B3D2F" w:rsidRDefault="007922EE" w:rsidP="002D15B6">
            <w:pPr>
              <w:pStyle w:val="Text1"/>
              <w:spacing w:before="0" w:after="0"/>
              <w:ind w:left="0"/>
              <w:rPr>
                <w:i/>
                <w:noProof/>
                <w:sz w:val="20"/>
                <w:szCs w:val="20"/>
              </w:rPr>
            </w:pPr>
          </w:p>
        </w:tc>
        <w:tc>
          <w:tcPr>
            <w:tcW w:w="370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22741B" w:rsidRDefault="007922EE" w:rsidP="002D15B6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000000"/>
                <w:sz w:val="20"/>
                <w:szCs w:val="20"/>
                <w:lang w:eastAsia="cs-CZ" w:bidi="cs-CZ"/>
              </w:rPr>
            </w:pPr>
          </w:p>
        </w:tc>
        <w:tc>
          <w:tcPr>
            <w:tcW w:w="370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3B3D2F" w:rsidRDefault="007922EE" w:rsidP="002D15B6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noProof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9B095D" w:rsidRDefault="007922EE" w:rsidP="002D15B6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9B095D">
              <w:rPr>
                <w:color w:val="000000"/>
                <w:sz w:val="18"/>
                <w:szCs w:val="18"/>
                <w:lang w:eastAsia="cs-CZ" w:bidi="cs-CZ"/>
              </w:rPr>
              <w:t>Přechodové</w:t>
            </w:r>
          </w:p>
        </w:tc>
        <w:tc>
          <w:tcPr>
            <w:tcW w:w="443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textDirection w:val="btLr"/>
          </w:tcPr>
          <w:p w:rsidR="007922EE" w:rsidRPr="009B095D" w:rsidRDefault="007922EE" w:rsidP="002D15B6">
            <w:pPr>
              <w:pStyle w:val="Text1"/>
              <w:spacing w:before="0" w:after="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</w:p>
        </w:tc>
        <w:tc>
          <w:tcPr>
            <w:tcW w:w="592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9B095D" w:rsidRDefault="007922EE" w:rsidP="002D15B6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591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9B095D" w:rsidRDefault="007922EE" w:rsidP="002D15B6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37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436C18" w:rsidRDefault="00436C18" w:rsidP="002D15B6">
            <w:pPr>
              <w:pStyle w:val="Text1"/>
              <w:spacing w:before="0" w:after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436C18">
              <w:rPr>
                <w:noProof/>
                <w:sz w:val="18"/>
                <w:szCs w:val="18"/>
              </w:rPr>
              <w:t>-</w:t>
            </w:r>
          </w:p>
        </w:tc>
        <w:tc>
          <w:tcPr>
            <w:tcW w:w="285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9B095D" w:rsidRDefault="007922EE" w:rsidP="002D15B6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9B095D" w:rsidRDefault="007922EE" w:rsidP="002D15B6">
            <w:pPr>
              <w:pStyle w:val="Text1"/>
              <w:spacing w:before="0" w:after="0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9B095D">
              <w:rPr>
                <w:bCs/>
                <w:color w:val="000000"/>
                <w:sz w:val="18"/>
                <w:szCs w:val="18"/>
                <w:lang w:bidi="cs-CZ"/>
              </w:rPr>
              <w:t>955 136</w:t>
            </w:r>
          </w:p>
        </w:tc>
        <w:tc>
          <w:tcPr>
            <w:tcW w:w="441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1F4634" w:rsidRDefault="007922EE" w:rsidP="002D15B6">
            <w:pPr>
              <w:pStyle w:val="Text1"/>
              <w:spacing w:before="0" w:after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205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3B3D2F" w:rsidRDefault="007922EE" w:rsidP="002D15B6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noProof/>
                <w:sz w:val="20"/>
                <w:szCs w:val="20"/>
              </w:rPr>
            </w:pPr>
          </w:p>
        </w:tc>
      </w:tr>
      <w:tr w:rsidR="00AE5ECC" w:rsidRPr="003B3D2F" w:rsidTr="00AE5ECC">
        <w:tblPrEx>
          <w:tblBorders>
            <w:top w:val="single" w:sz="4" w:space="0" w:color="8EAADB" w:themeColor="accent1" w:themeTint="99"/>
            <w:left w:val="single" w:sz="4" w:space="0" w:color="8EAADB" w:themeColor="accent1" w:themeTint="99"/>
            <w:bottom w:val="single" w:sz="4" w:space="0" w:color="8EAADB" w:themeColor="accent1" w:themeTint="99"/>
            <w:right w:val="single" w:sz="4" w:space="0" w:color="8EAADB" w:themeColor="accent1" w:themeTint="99"/>
            <w:insideH w:val="single" w:sz="4" w:space="0" w:color="8EAADB" w:themeColor="accent1" w:themeTint="99"/>
            <w:insideV w:val="single" w:sz="4" w:space="0" w:color="8EAADB" w:themeColor="accent1" w:themeTint="99"/>
          </w:tblBorders>
          <w:tblLook w:val="04A0" w:firstRow="1" w:lastRow="0" w:firstColumn="1" w:lastColumn="0" w:noHBand="0" w:noVBand="1"/>
        </w:tblPrEx>
        <w:trPr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3B3D2F" w:rsidRDefault="007922EE" w:rsidP="002D15B6">
            <w:pPr>
              <w:pStyle w:val="Text1"/>
              <w:spacing w:before="0" w:after="0"/>
              <w:ind w:left="0"/>
              <w:rPr>
                <w:i/>
                <w:noProof/>
                <w:sz w:val="20"/>
                <w:szCs w:val="20"/>
              </w:rPr>
            </w:pPr>
          </w:p>
        </w:tc>
        <w:tc>
          <w:tcPr>
            <w:tcW w:w="370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22741B" w:rsidRDefault="007922EE" w:rsidP="002D15B6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000000"/>
                <w:sz w:val="20"/>
                <w:szCs w:val="20"/>
                <w:lang w:eastAsia="cs-CZ" w:bidi="cs-CZ"/>
              </w:rPr>
            </w:pPr>
          </w:p>
        </w:tc>
        <w:tc>
          <w:tcPr>
            <w:tcW w:w="370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3B3D2F" w:rsidRDefault="007922EE" w:rsidP="002D15B6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noProof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9B095D" w:rsidRDefault="007922EE" w:rsidP="002D15B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9B095D">
              <w:rPr>
                <w:color w:val="000000"/>
                <w:sz w:val="18"/>
                <w:szCs w:val="18"/>
                <w:lang w:eastAsia="cs-CZ" w:bidi="cs-CZ"/>
              </w:rPr>
              <w:t xml:space="preserve">Méně </w:t>
            </w:r>
            <w:r w:rsidR="00D41675">
              <w:rPr>
                <w:color w:val="000000"/>
                <w:sz w:val="18"/>
                <w:szCs w:val="18"/>
                <w:lang w:eastAsia="cs-CZ" w:bidi="cs-CZ"/>
              </w:rPr>
              <w:br/>
            </w:r>
            <w:r w:rsidRPr="009B095D">
              <w:rPr>
                <w:color w:val="000000"/>
                <w:sz w:val="18"/>
                <w:szCs w:val="18"/>
                <w:lang w:eastAsia="cs-CZ" w:bidi="cs-CZ"/>
              </w:rPr>
              <w:t>rozvinuté</w:t>
            </w:r>
          </w:p>
        </w:tc>
        <w:tc>
          <w:tcPr>
            <w:tcW w:w="443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textDirection w:val="btLr"/>
          </w:tcPr>
          <w:p w:rsidR="007922EE" w:rsidRPr="009B095D" w:rsidRDefault="007922EE" w:rsidP="002D15B6">
            <w:pPr>
              <w:pStyle w:val="Text1"/>
              <w:spacing w:before="0" w:after="0"/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</w:p>
        </w:tc>
        <w:tc>
          <w:tcPr>
            <w:tcW w:w="592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9B095D" w:rsidRDefault="007922EE" w:rsidP="002D15B6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591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9B095D" w:rsidRDefault="007922EE" w:rsidP="002D15B6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37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436C18" w:rsidRDefault="00436C18" w:rsidP="002D15B6">
            <w:pPr>
              <w:pStyle w:val="Text1"/>
              <w:spacing w:before="0" w:after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436C18">
              <w:rPr>
                <w:noProof/>
                <w:sz w:val="18"/>
                <w:szCs w:val="18"/>
              </w:rPr>
              <w:t>-</w:t>
            </w:r>
          </w:p>
        </w:tc>
        <w:tc>
          <w:tcPr>
            <w:tcW w:w="285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9B095D" w:rsidRDefault="007922EE" w:rsidP="002D15B6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9B095D" w:rsidRDefault="007922EE" w:rsidP="002D15B6">
            <w:pPr>
              <w:pStyle w:val="Text1"/>
              <w:spacing w:before="0" w:after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9B095D">
              <w:rPr>
                <w:bCs/>
                <w:color w:val="000000"/>
                <w:sz w:val="18"/>
                <w:szCs w:val="18"/>
                <w:lang w:bidi="cs-CZ"/>
              </w:rPr>
              <w:t>1 056 746</w:t>
            </w:r>
          </w:p>
        </w:tc>
        <w:tc>
          <w:tcPr>
            <w:tcW w:w="441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1F4634" w:rsidRDefault="007922EE" w:rsidP="002D15B6">
            <w:pPr>
              <w:pStyle w:val="Text1"/>
              <w:spacing w:before="0" w:after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205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7922EE" w:rsidRPr="003B3D2F" w:rsidRDefault="007922EE" w:rsidP="002D15B6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noProof/>
                <w:sz w:val="20"/>
                <w:szCs w:val="20"/>
              </w:rPr>
            </w:pPr>
          </w:p>
        </w:tc>
      </w:tr>
    </w:tbl>
    <w:p w:rsidR="00E507DA" w:rsidRDefault="00E507DA" w:rsidP="00E507DA">
      <w:pPr>
        <w:pStyle w:val="Nadpis4"/>
        <w:numPr>
          <w:ilvl w:val="0"/>
          <w:numId w:val="0"/>
        </w:numPr>
        <w:ind w:left="851"/>
        <w:rPr>
          <w:b/>
          <w:color w:val="1F4E79" w:themeColor="accent5" w:themeShade="80"/>
          <w:lang w:val="cs-CZ" w:eastAsia="cs-CZ" w:bidi="cs-CZ"/>
        </w:rPr>
      </w:pPr>
      <w:bookmarkStart w:id="184" w:name="_Toc66476060"/>
      <w:bookmarkStart w:id="185" w:name="_Toc68611018"/>
    </w:p>
    <w:p w:rsidR="00E507DA" w:rsidRDefault="00E507DA" w:rsidP="00E507DA">
      <w:pPr>
        <w:rPr>
          <w:lang w:eastAsia="cs-CZ" w:bidi="cs-CZ"/>
        </w:rPr>
      </w:pPr>
    </w:p>
    <w:p w:rsidR="00E507DA" w:rsidRDefault="00E507DA" w:rsidP="00E507DA">
      <w:pPr>
        <w:rPr>
          <w:lang w:eastAsia="cs-CZ" w:bidi="cs-CZ"/>
        </w:rPr>
      </w:pPr>
    </w:p>
    <w:p w:rsidR="00E507DA" w:rsidRDefault="00E507DA" w:rsidP="00E507DA">
      <w:pPr>
        <w:rPr>
          <w:lang w:eastAsia="cs-CZ" w:bidi="cs-CZ"/>
        </w:rPr>
      </w:pPr>
    </w:p>
    <w:p w:rsidR="00E507DA" w:rsidRDefault="00E507DA" w:rsidP="00E507DA">
      <w:pPr>
        <w:rPr>
          <w:lang w:eastAsia="cs-CZ" w:bidi="cs-CZ"/>
        </w:rPr>
      </w:pPr>
    </w:p>
    <w:p w:rsidR="00E507DA" w:rsidRDefault="00E507DA" w:rsidP="00E507DA">
      <w:pPr>
        <w:rPr>
          <w:lang w:eastAsia="cs-CZ" w:bidi="cs-CZ"/>
        </w:rPr>
      </w:pPr>
    </w:p>
    <w:p w:rsidR="00E507DA" w:rsidRPr="00E507DA" w:rsidRDefault="00E507DA" w:rsidP="00E507DA">
      <w:pPr>
        <w:rPr>
          <w:lang w:eastAsia="cs-CZ" w:bidi="cs-CZ"/>
        </w:rPr>
      </w:pPr>
    </w:p>
    <w:p w:rsidR="00E239AE" w:rsidRPr="00FA5D6F" w:rsidRDefault="00E239AE" w:rsidP="00E239AE">
      <w:pPr>
        <w:pStyle w:val="Nadpis4"/>
        <w:rPr>
          <w:b/>
          <w:color w:val="1F4E79" w:themeColor="accent5" w:themeShade="80"/>
          <w:lang w:val="cs-CZ" w:eastAsia="cs-CZ" w:bidi="cs-CZ"/>
        </w:rPr>
      </w:pPr>
      <w:r w:rsidRPr="00FA5D6F">
        <w:rPr>
          <w:b/>
          <w:color w:val="1F4E79" w:themeColor="accent5" w:themeShade="80"/>
          <w:lang w:val="cs-CZ" w:eastAsia="cs-CZ" w:bidi="cs-CZ"/>
        </w:rPr>
        <w:t>Orientační rozdělení programových zdrojů (EU) podle typu intervence</w:t>
      </w:r>
      <w:bookmarkEnd w:id="184"/>
      <w:bookmarkEnd w:id="185"/>
      <w:r w:rsidRPr="00FA5D6F">
        <w:rPr>
          <w:b/>
          <w:color w:val="1F4E79" w:themeColor="accent5" w:themeShade="80"/>
          <w:lang w:val="cs-CZ" w:eastAsia="cs-CZ" w:bidi="cs-CZ"/>
        </w:rPr>
        <w:t xml:space="preserve"> </w:t>
      </w:r>
    </w:p>
    <w:p w:rsidR="007F06B6" w:rsidRPr="009412C1" w:rsidRDefault="007F06B6" w:rsidP="007F06B6">
      <w:pPr>
        <w:pStyle w:val="Titulek"/>
        <w:rPr>
          <w:rFonts w:ascii="Times New Roman" w:hAnsi="Times New Roman" w:cs="Times New Roman"/>
        </w:rPr>
      </w:pPr>
      <w:r w:rsidRPr="007F06B6">
        <w:rPr>
          <w:rFonts w:ascii="Times New Roman" w:hAnsi="Times New Roman" w:cs="Times New Roman"/>
        </w:rPr>
        <w:t xml:space="preserve"> </w:t>
      </w:r>
      <w:r w:rsidRPr="009412C1">
        <w:rPr>
          <w:rFonts w:ascii="Times New Roman" w:hAnsi="Times New Roman" w:cs="Times New Roman"/>
        </w:rPr>
        <w:t xml:space="preserve">Tabulka </w:t>
      </w:r>
      <w:r w:rsidRPr="009412C1">
        <w:rPr>
          <w:rFonts w:ascii="Times New Roman" w:hAnsi="Times New Roman" w:cs="Times New Roman"/>
        </w:rPr>
        <w:fldChar w:fldCharType="begin"/>
      </w:r>
      <w:r w:rsidRPr="009412C1">
        <w:rPr>
          <w:rFonts w:ascii="Times New Roman" w:hAnsi="Times New Roman" w:cs="Times New Roman"/>
        </w:rPr>
        <w:instrText xml:space="preserve"> SEQ Tabulka \* ARABIC </w:instrText>
      </w:r>
      <w:r w:rsidRPr="009412C1">
        <w:rPr>
          <w:rFonts w:ascii="Times New Roman" w:hAnsi="Times New Roman" w:cs="Times New Roman"/>
        </w:rPr>
        <w:fldChar w:fldCharType="separate"/>
      </w:r>
      <w:r w:rsidR="00533392">
        <w:rPr>
          <w:rFonts w:ascii="Times New Roman" w:hAnsi="Times New Roman" w:cs="Times New Roman"/>
          <w:noProof/>
        </w:rPr>
        <w:t>30</w:t>
      </w:r>
      <w:r w:rsidRPr="009412C1">
        <w:rPr>
          <w:rFonts w:ascii="Times New Roman" w:hAnsi="Times New Roman" w:cs="Times New Roman"/>
        </w:rPr>
        <w:fldChar w:fldCharType="end"/>
      </w:r>
      <w:r w:rsidRPr="009412C1">
        <w:rPr>
          <w:rFonts w:ascii="Times New Roman" w:hAnsi="Times New Roman" w:cs="Times New Roman"/>
        </w:rPr>
        <w:t>: SC 2.</w:t>
      </w:r>
      <w:r>
        <w:rPr>
          <w:rFonts w:ascii="Times New Roman" w:hAnsi="Times New Roman" w:cs="Times New Roman"/>
        </w:rPr>
        <w:t>3</w:t>
      </w:r>
      <w:r w:rsidRPr="009412C1">
        <w:rPr>
          <w:rFonts w:ascii="Times New Roman" w:hAnsi="Times New Roman" w:cs="Times New Roman"/>
        </w:rPr>
        <w:t>: Dimenze 1 – oblast intervence</w:t>
      </w:r>
    </w:p>
    <w:tbl>
      <w:tblPr>
        <w:tblStyle w:val="Tabulkasmkou4zvraznn1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6"/>
        <w:gridCol w:w="1047"/>
        <w:gridCol w:w="2125"/>
        <w:gridCol w:w="1961"/>
        <w:gridCol w:w="1462"/>
        <w:gridCol w:w="1958"/>
      </w:tblGrid>
      <w:tr w:rsidR="007F06B6" w:rsidRPr="00EC6162" w:rsidTr="00831E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7F06B6" w:rsidRPr="00EC6162" w:rsidRDefault="007F06B6" w:rsidP="00BA036D">
            <w:pPr>
              <w:spacing w:before="0" w:after="0" w:line="276" w:lineRule="auto"/>
              <w:jc w:val="center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Číslo priority</w:t>
            </w:r>
          </w:p>
        </w:tc>
        <w:tc>
          <w:tcPr>
            <w:tcW w:w="104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7F06B6" w:rsidRPr="00EC6162" w:rsidRDefault="007F06B6" w:rsidP="00BA036D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Fond</w:t>
            </w:r>
          </w:p>
        </w:tc>
        <w:tc>
          <w:tcPr>
            <w:tcW w:w="212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7F06B6" w:rsidRPr="00EC6162" w:rsidRDefault="007F06B6" w:rsidP="00BA036D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Kategorie regionu</w:t>
            </w:r>
          </w:p>
        </w:tc>
        <w:tc>
          <w:tcPr>
            <w:tcW w:w="19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</w:tcPr>
          <w:p w:rsidR="007F06B6" w:rsidRPr="00EC6162" w:rsidRDefault="007F06B6" w:rsidP="00BA036D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Specifický cíl</w:t>
            </w:r>
          </w:p>
        </w:tc>
        <w:tc>
          <w:tcPr>
            <w:tcW w:w="14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7F06B6" w:rsidRPr="00EC6162" w:rsidRDefault="007F06B6" w:rsidP="00BA036D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Kód</w:t>
            </w:r>
          </w:p>
        </w:tc>
        <w:tc>
          <w:tcPr>
            <w:tcW w:w="19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7F06B6" w:rsidRPr="00EC6162" w:rsidRDefault="007F06B6" w:rsidP="00BA036D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Částka (v EUR)</w:t>
            </w:r>
          </w:p>
        </w:tc>
      </w:tr>
      <w:tr w:rsidR="005E6239" w:rsidRPr="00F61950" w:rsidTr="00831E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 w:val="restart"/>
            <w:shd w:val="clear" w:color="auto" w:fill="DEEAF6" w:themeFill="accent5" w:themeFillTint="33"/>
          </w:tcPr>
          <w:p w:rsidR="005E6239" w:rsidRPr="0013141D" w:rsidRDefault="005E6239" w:rsidP="005E6239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b w:val="0"/>
                <w:iCs/>
                <w:noProof/>
                <w:sz w:val="18"/>
                <w:szCs w:val="18"/>
              </w:rPr>
              <w:t>P</w:t>
            </w:r>
            <w:r>
              <w:rPr>
                <w:rFonts w:eastAsia="Times New Roman"/>
                <w:b w:val="0"/>
                <w:iCs/>
                <w:noProof/>
                <w:sz w:val="18"/>
                <w:szCs w:val="18"/>
              </w:rPr>
              <w:t>2</w:t>
            </w:r>
          </w:p>
        </w:tc>
        <w:tc>
          <w:tcPr>
            <w:tcW w:w="1047" w:type="dxa"/>
            <w:vMerge w:val="restart"/>
            <w:shd w:val="clear" w:color="auto" w:fill="DEEAF6" w:themeFill="accent5" w:themeFillTint="33"/>
          </w:tcPr>
          <w:p w:rsidR="005E6239" w:rsidRPr="0013141D" w:rsidRDefault="005E6239" w:rsidP="005E6239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noProof/>
                <w:sz w:val="18"/>
                <w:szCs w:val="18"/>
              </w:rPr>
              <w:t>ESF</w:t>
            </w:r>
            <w:r w:rsidRPr="00376202">
              <w:rPr>
                <w:rFonts w:eastAsia="Times New Roman"/>
                <w:noProof/>
                <w:sz w:val="18"/>
                <w:szCs w:val="18"/>
              </w:rPr>
              <w:t>+</w:t>
            </w:r>
          </w:p>
        </w:tc>
        <w:tc>
          <w:tcPr>
            <w:tcW w:w="2125" w:type="dxa"/>
            <w:shd w:val="clear" w:color="auto" w:fill="DEEAF6" w:themeFill="accent5" w:themeFillTint="33"/>
          </w:tcPr>
          <w:p w:rsidR="005E6239" w:rsidRPr="0013141D" w:rsidRDefault="005E6239" w:rsidP="005E6239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Více rozvinuté</w:t>
            </w:r>
          </w:p>
        </w:tc>
        <w:tc>
          <w:tcPr>
            <w:tcW w:w="1961" w:type="dxa"/>
            <w:vMerge w:val="restart"/>
            <w:shd w:val="clear" w:color="auto" w:fill="DEEAF6" w:themeFill="accent5" w:themeFillTint="33"/>
            <w:vAlign w:val="center"/>
          </w:tcPr>
          <w:p w:rsidR="005E6239" w:rsidRPr="0013141D" w:rsidRDefault="005E6239" w:rsidP="005E623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iCs/>
                <w:noProof/>
                <w:sz w:val="18"/>
                <w:szCs w:val="18"/>
              </w:rPr>
              <w:t>2.3</w:t>
            </w:r>
          </w:p>
        </w:tc>
        <w:tc>
          <w:tcPr>
            <w:tcW w:w="1462" w:type="dxa"/>
            <w:vMerge w:val="restart"/>
            <w:shd w:val="clear" w:color="auto" w:fill="DEEAF6" w:themeFill="accent5" w:themeFillTint="33"/>
            <w:vAlign w:val="center"/>
          </w:tcPr>
          <w:p w:rsidR="005E6239" w:rsidRPr="0013141D" w:rsidRDefault="005E6239" w:rsidP="005E623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iCs/>
                <w:noProof/>
                <w:sz w:val="18"/>
                <w:szCs w:val="18"/>
              </w:rPr>
              <w:t>115</w:t>
            </w: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5E6239" w:rsidRPr="005E6239" w:rsidRDefault="005E6239" w:rsidP="005E6239">
            <w:pPr>
              <w:spacing w:before="0" w:after="0"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5E6239">
              <w:rPr>
                <w:bCs/>
                <w:color w:val="000000"/>
                <w:sz w:val="18"/>
                <w:szCs w:val="18"/>
              </w:rPr>
              <w:t xml:space="preserve">2 383 332    </w:t>
            </w:r>
          </w:p>
        </w:tc>
      </w:tr>
      <w:tr w:rsidR="005E6239" w:rsidRPr="00F61950" w:rsidTr="00831EE9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5E6239" w:rsidRPr="0013141D" w:rsidRDefault="005E6239" w:rsidP="005E6239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5E6239" w:rsidRPr="0013141D" w:rsidRDefault="005E6239" w:rsidP="005E6239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5E6239" w:rsidRPr="0013141D" w:rsidRDefault="005E6239" w:rsidP="005E6239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Přechodové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5E6239" w:rsidRPr="0013141D" w:rsidRDefault="005E6239" w:rsidP="005E6239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5E6239" w:rsidRPr="0013141D" w:rsidRDefault="005E6239" w:rsidP="005E6239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5E6239" w:rsidRPr="005E6239" w:rsidRDefault="005E6239" w:rsidP="005E6239">
            <w:pPr>
              <w:spacing w:before="0" w:after="0"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5E6239">
              <w:rPr>
                <w:bCs/>
                <w:color w:val="000000"/>
                <w:sz w:val="18"/>
                <w:szCs w:val="18"/>
              </w:rPr>
              <w:t xml:space="preserve">         180 236 083    </w:t>
            </w:r>
          </w:p>
        </w:tc>
      </w:tr>
      <w:tr w:rsidR="005E6239" w:rsidRPr="00F61950" w:rsidTr="00831E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5E6239" w:rsidRPr="0013141D" w:rsidRDefault="005E6239" w:rsidP="005E6239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5E6239" w:rsidRPr="0013141D" w:rsidRDefault="005E6239" w:rsidP="005E6239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5E6239" w:rsidRPr="0013141D" w:rsidRDefault="005E6239" w:rsidP="005E6239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Méně rozvinuté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5E6239" w:rsidRPr="0013141D" w:rsidRDefault="005E6239" w:rsidP="005E6239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5E6239" w:rsidRPr="0013141D" w:rsidRDefault="005E6239" w:rsidP="005E6239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5E6239" w:rsidRPr="005E6239" w:rsidRDefault="005E6239" w:rsidP="005E6239">
            <w:pPr>
              <w:spacing w:before="0" w:after="0"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5E6239">
              <w:rPr>
                <w:bCs/>
                <w:color w:val="000000"/>
                <w:sz w:val="18"/>
                <w:szCs w:val="18"/>
              </w:rPr>
              <w:t xml:space="preserve">           200 915 837    </w:t>
            </w:r>
          </w:p>
        </w:tc>
      </w:tr>
      <w:tr w:rsidR="005E6239" w:rsidRPr="00F61950" w:rsidTr="00831EE9">
        <w:trPr>
          <w:trHeight w:val="1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5E6239" w:rsidRPr="0013141D" w:rsidRDefault="005E6239" w:rsidP="005E6239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5E6239" w:rsidRPr="0013141D" w:rsidRDefault="005E6239" w:rsidP="005E6239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5E6239" w:rsidRPr="0013141D" w:rsidRDefault="005E6239" w:rsidP="005E6239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Více rozvinuté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5E6239" w:rsidRPr="0013141D" w:rsidRDefault="005E6239" w:rsidP="005E6239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 w:val="restart"/>
            <w:shd w:val="clear" w:color="auto" w:fill="DEEAF6" w:themeFill="accent5" w:themeFillTint="33"/>
            <w:vAlign w:val="center"/>
          </w:tcPr>
          <w:p w:rsidR="005E6239" w:rsidRPr="0013141D" w:rsidRDefault="005E6239" w:rsidP="005E6239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iCs/>
                <w:noProof/>
                <w:sz w:val="18"/>
                <w:szCs w:val="18"/>
              </w:rPr>
              <w:t>117</w:t>
            </w: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5E6239" w:rsidRPr="005E6239" w:rsidRDefault="005E6239" w:rsidP="005E6239">
            <w:pPr>
              <w:spacing w:before="0" w:after="0"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5E6239">
              <w:rPr>
                <w:bCs/>
                <w:color w:val="000000"/>
                <w:sz w:val="18"/>
                <w:szCs w:val="18"/>
              </w:rPr>
              <w:t xml:space="preserve">981 055    </w:t>
            </w:r>
          </w:p>
        </w:tc>
      </w:tr>
      <w:tr w:rsidR="005E6239" w:rsidRPr="00F61950" w:rsidTr="00831E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5E6239" w:rsidRPr="0013141D" w:rsidRDefault="005E6239" w:rsidP="005E6239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5E6239" w:rsidRPr="0013141D" w:rsidRDefault="005E6239" w:rsidP="005E6239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5E6239" w:rsidRPr="0013141D" w:rsidRDefault="005E6239" w:rsidP="005E6239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Přechodové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5E6239" w:rsidRPr="0013141D" w:rsidRDefault="005E6239" w:rsidP="005E6239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5E6239" w:rsidRPr="0013141D" w:rsidRDefault="005E6239" w:rsidP="005E6239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5E6239" w:rsidRPr="005E6239" w:rsidRDefault="005E6239" w:rsidP="005E6239">
            <w:pPr>
              <w:spacing w:before="0" w:after="0"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5E6239">
              <w:rPr>
                <w:bCs/>
                <w:color w:val="000000"/>
                <w:sz w:val="18"/>
                <w:szCs w:val="18"/>
              </w:rPr>
              <w:t xml:space="preserve">74 190 912    </w:t>
            </w:r>
          </w:p>
        </w:tc>
      </w:tr>
      <w:tr w:rsidR="005E6239" w:rsidRPr="00F61950" w:rsidTr="00831EE9">
        <w:trPr>
          <w:trHeight w:val="1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5E6239" w:rsidRPr="0013141D" w:rsidRDefault="005E6239" w:rsidP="005E6239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5E6239" w:rsidRPr="0013141D" w:rsidRDefault="005E6239" w:rsidP="005E6239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5E6239" w:rsidRPr="0013141D" w:rsidRDefault="005E6239" w:rsidP="005E6239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Méně rozvinuté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5E6239" w:rsidRPr="0013141D" w:rsidRDefault="005E6239" w:rsidP="005E6239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5E6239" w:rsidRPr="0013141D" w:rsidRDefault="005E6239" w:rsidP="005E6239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5E6239" w:rsidRPr="005E6239" w:rsidRDefault="005E6239" w:rsidP="005E6239">
            <w:pPr>
              <w:spacing w:before="0" w:after="0"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5E6239">
              <w:rPr>
                <w:bCs/>
                <w:color w:val="000000"/>
                <w:sz w:val="18"/>
                <w:szCs w:val="18"/>
              </w:rPr>
              <w:t xml:space="preserve">82 703 357    </w:t>
            </w:r>
          </w:p>
        </w:tc>
      </w:tr>
    </w:tbl>
    <w:p w:rsidR="007F06B6" w:rsidRPr="009412C1" w:rsidRDefault="007F06B6" w:rsidP="007F06B6">
      <w:pPr>
        <w:pStyle w:val="Titulek"/>
        <w:rPr>
          <w:rFonts w:ascii="Times New Roman" w:hAnsi="Times New Roman" w:cs="Times New Roman"/>
          <w:szCs w:val="22"/>
        </w:rPr>
      </w:pPr>
      <w:r w:rsidRPr="009412C1">
        <w:rPr>
          <w:rFonts w:ascii="Times New Roman" w:hAnsi="Times New Roman" w:cs="Times New Roman"/>
        </w:rPr>
        <w:t xml:space="preserve">Tabulka </w:t>
      </w:r>
      <w:r w:rsidRPr="009412C1">
        <w:rPr>
          <w:rFonts w:ascii="Times New Roman" w:hAnsi="Times New Roman" w:cs="Times New Roman"/>
        </w:rPr>
        <w:fldChar w:fldCharType="begin"/>
      </w:r>
      <w:r w:rsidRPr="009412C1">
        <w:rPr>
          <w:rFonts w:ascii="Times New Roman" w:hAnsi="Times New Roman" w:cs="Times New Roman"/>
        </w:rPr>
        <w:instrText xml:space="preserve"> SEQ Tabulka \* ARABIC </w:instrText>
      </w:r>
      <w:r w:rsidRPr="009412C1">
        <w:rPr>
          <w:rFonts w:ascii="Times New Roman" w:hAnsi="Times New Roman" w:cs="Times New Roman"/>
        </w:rPr>
        <w:fldChar w:fldCharType="separate"/>
      </w:r>
      <w:r w:rsidR="00533392">
        <w:rPr>
          <w:rFonts w:ascii="Times New Roman" w:hAnsi="Times New Roman" w:cs="Times New Roman"/>
          <w:noProof/>
        </w:rPr>
        <w:t>31</w:t>
      </w:r>
      <w:r w:rsidRPr="009412C1">
        <w:rPr>
          <w:rFonts w:ascii="Times New Roman" w:hAnsi="Times New Roman" w:cs="Times New Roman"/>
        </w:rPr>
        <w:fldChar w:fldCharType="end"/>
      </w:r>
      <w:r w:rsidRPr="009412C1">
        <w:rPr>
          <w:rFonts w:ascii="Times New Roman" w:hAnsi="Times New Roman" w:cs="Times New Roman"/>
        </w:rPr>
        <w:t xml:space="preserve">: </w:t>
      </w:r>
      <w:r w:rsidRPr="009412C1">
        <w:rPr>
          <w:rFonts w:ascii="Times New Roman" w:hAnsi="Times New Roman" w:cs="Times New Roman"/>
          <w:szCs w:val="22"/>
        </w:rPr>
        <w:t>SC 2.</w:t>
      </w:r>
      <w:r>
        <w:rPr>
          <w:rFonts w:ascii="Times New Roman" w:hAnsi="Times New Roman" w:cs="Times New Roman"/>
          <w:szCs w:val="22"/>
        </w:rPr>
        <w:t>3</w:t>
      </w:r>
      <w:r w:rsidRPr="009412C1">
        <w:rPr>
          <w:rFonts w:ascii="Times New Roman" w:hAnsi="Times New Roman" w:cs="Times New Roman"/>
          <w:szCs w:val="22"/>
        </w:rPr>
        <w:t>: Dimenze 2 – forma financování</w:t>
      </w:r>
    </w:p>
    <w:tbl>
      <w:tblPr>
        <w:tblStyle w:val="Tabulkasmkou4zvraznn1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6"/>
        <w:gridCol w:w="1047"/>
        <w:gridCol w:w="2125"/>
        <w:gridCol w:w="1961"/>
        <w:gridCol w:w="1462"/>
        <w:gridCol w:w="1958"/>
      </w:tblGrid>
      <w:tr w:rsidR="007F06B6" w:rsidRPr="00EC6162" w:rsidTr="001958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7F06B6" w:rsidRPr="00EC6162" w:rsidRDefault="007F06B6" w:rsidP="00BA036D">
            <w:pPr>
              <w:spacing w:before="0" w:after="0" w:line="276" w:lineRule="auto"/>
              <w:jc w:val="center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Číslo priority</w:t>
            </w:r>
          </w:p>
        </w:tc>
        <w:tc>
          <w:tcPr>
            <w:tcW w:w="104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7F06B6" w:rsidRPr="00EC6162" w:rsidRDefault="007F06B6" w:rsidP="00BA036D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Fond</w:t>
            </w:r>
          </w:p>
        </w:tc>
        <w:tc>
          <w:tcPr>
            <w:tcW w:w="212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7F06B6" w:rsidRPr="00EC6162" w:rsidRDefault="007F06B6" w:rsidP="00BA036D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Kategorie regionu</w:t>
            </w:r>
          </w:p>
        </w:tc>
        <w:tc>
          <w:tcPr>
            <w:tcW w:w="19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</w:tcPr>
          <w:p w:rsidR="007F06B6" w:rsidRPr="00EC6162" w:rsidRDefault="007F06B6" w:rsidP="00BA036D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Specifický cíl</w:t>
            </w:r>
          </w:p>
        </w:tc>
        <w:tc>
          <w:tcPr>
            <w:tcW w:w="14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7F06B6" w:rsidRPr="00EC6162" w:rsidRDefault="007F06B6" w:rsidP="00BA036D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Kód</w:t>
            </w:r>
          </w:p>
        </w:tc>
        <w:tc>
          <w:tcPr>
            <w:tcW w:w="19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7F06B6" w:rsidRPr="00EC6162" w:rsidRDefault="007F06B6" w:rsidP="00BA036D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Částka (v EUR)</w:t>
            </w:r>
          </w:p>
        </w:tc>
      </w:tr>
      <w:tr w:rsidR="001958D7" w:rsidRPr="00F61950" w:rsidTr="001958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 w:val="restart"/>
            <w:shd w:val="clear" w:color="auto" w:fill="DEEAF6" w:themeFill="accent5" w:themeFillTint="33"/>
          </w:tcPr>
          <w:p w:rsidR="001958D7" w:rsidRPr="0013141D" w:rsidRDefault="001958D7" w:rsidP="001958D7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b w:val="0"/>
                <w:iCs/>
                <w:noProof/>
                <w:sz w:val="18"/>
                <w:szCs w:val="18"/>
              </w:rPr>
              <w:t>P</w:t>
            </w:r>
            <w:r>
              <w:rPr>
                <w:rFonts w:eastAsia="Times New Roman"/>
                <w:b w:val="0"/>
                <w:iCs/>
                <w:noProof/>
                <w:sz w:val="18"/>
                <w:szCs w:val="18"/>
              </w:rPr>
              <w:t>2</w:t>
            </w:r>
          </w:p>
        </w:tc>
        <w:tc>
          <w:tcPr>
            <w:tcW w:w="1047" w:type="dxa"/>
            <w:vMerge w:val="restart"/>
            <w:shd w:val="clear" w:color="auto" w:fill="DEEAF6" w:themeFill="accent5" w:themeFillTint="33"/>
          </w:tcPr>
          <w:p w:rsidR="001958D7" w:rsidRPr="0013141D" w:rsidRDefault="001958D7" w:rsidP="001958D7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noProof/>
                <w:sz w:val="18"/>
                <w:szCs w:val="18"/>
              </w:rPr>
              <w:t>ESF</w:t>
            </w:r>
            <w:r w:rsidRPr="00376202">
              <w:rPr>
                <w:rFonts w:eastAsia="Times New Roman"/>
                <w:noProof/>
                <w:sz w:val="18"/>
                <w:szCs w:val="18"/>
              </w:rPr>
              <w:t>+</w:t>
            </w:r>
          </w:p>
        </w:tc>
        <w:tc>
          <w:tcPr>
            <w:tcW w:w="2125" w:type="dxa"/>
            <w:shd w:val="clear" w:color="auto" w:fill="DEEAF6" w:themeFill="accent5" w:themeFillTint="33"/>
          </w:tcPr>
          <w:p w:rsidR="001958D7" w:rsidRPr="0013141D" w:rsidRDefault="001958D7" w:rsidP="001958D7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Více rozvinuté</w:t>
            </w:r>
          </w:p>
        </w:tc>
        <w:tc>
          <w:tcPr>
            <w:tcW w:w="1961" w:type="dxa"/>
            <w:vMerge w:val="restart"/>
            <w:shd w:val="clear" w:color="auto" w:fill="DEEAF6" w:themeFill="accent5" w:themeFillTint="33"/>
            <w:vAlign w:val="center"/>
          </w:tcPr>
          <w:p w:rsidR="001958D7" w:rsidRPr="0013141D" w:rsidRDefault="001958D7" w:rsidP="001958D7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iCs/>
                <w:noProof/>
                <w:sz w:val="18"/>
                <w:szCs w:val="18"/>
              </w:rPr>
              <w:t>2.3</w:t>
            </w:r>
          </w:p>
        </w:tc>
        <w:tc>
          <w:tcPr>
            <w:tcW w:w="1462" w:type="dxa"/>
            <w:vMerge w:val="restart"/>
            <w:shd w:val="clear" w:color="auto" w:fill="DEEAF6" w:themeFill="accent5" w:themeFillTint="33"/>
            <w:vAlign w:val="center"/>
          </w:tcPr>
          <w:p w:rsidR="001958D7" w:rsidRPr="0013141D" w:rsidRDefault="001958D7" w:rsidP="001958D7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958D7">
              <w:rPr>
                <w:rFonts w:eastAsia="Times New Roman"/>
                <w:iCs/>
                <w:noProof/>
                <w:sz w:val="18"/>
                <w:szCs w:val="18"/>
              </w:rPr>
              <w:t>01</w:t>
            </w: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1958D7" w:rsidRPr="001958D7" w:rsidRDefault="001958D7" w:rsidP="005E2320">
            <w:pPr>
              <w:spacing w:before="0" w:after="0"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958D7">
              <w:rPr>
                <w:rFonts w:eastAsia="Times New Roman"/>
                <w:iCs/>
                <w:noProof/>
                <w:sz w:val="18"/>
                <w:szCs w:val="18"/>
              </w:rPr>
              <w:t xml:space="preserve">                     3 364 387    </w:t>
            </w:r>
          </w:p>
        </w:tc>
      </w:tr>
      <w:tr w:rsidR="001958D7" w:rsidRPr="00F61950" w:rsidTr="001958D7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1958D7" w:rsidRPr="0013141D" w:rsidRDefault="001958D7" w:rsidP="001958D7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1958D7" w:rsidRPr="0013141D" w:rsidRDefault="001958D7" w:rsidP="001958D7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1958D7" w:rsidRPr="0013141D" w:rsidRDefault="001958D7" w:rsidP="001958D7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Přechodové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1958D7" w:rsidRPr="0013141D" w:rsidRDefault="001958D7" w:rsidP="001958D7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1958D7" w:rsidRPr="0013141D" w:rsidRDefault="001958D7" w:rsidP="001958D7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1958D7" w:rsidRPr="001958D7" w:rsidRDefault="001958D7" w:rsidP="005E2320">
            <w:pPr>
              <w:spacing w:before="0" w:after="0"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958D7">
              <w:rPr>
                <w:rFonts w:eastAsia="Times New Roman"/>
                <w:iCs/>
                <w:noProof/>
                <w:sz w:val="18"/>
                <w:szCs w:val="18"/>
              </w:rPr>
              <w:t xml:space="preserve">                254 426 995    </w:t>
            </w:r>
          </w:p>
        </w:tc>
      </w:tr>
      <w:tr w:rsidR="001958D7" w:rsidRPr="00F61950" w:rsidTr="001958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1958D7" w:rsidRPr="0013141D" w:rsidRDefault="001958D7" w:rsidP="001958D7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1958D7" w:rsidRPr="0013141D" w:rsidRDefault="001958D7" w:rsidP="001958D7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1958D7" w:rsidRPr="0013141D" w:rsidRDefault="001958D7" w:rsidP="001958D7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Méně rozvinuté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1958D7" w:rsidRPr="0013141D" w:rsidRDefault="001958D7" w:rsidP="001958D7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1958D7" w:rsidRPr="0013141D" w:rsidRDefault="001958D7" w:rsidP="001958D7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1958D7" w:rsidRPr="001958D7" w:rsidRDefault="001958D7" w:rsidP="005E2320">
            <w:pPr>
              <w:spacing w:before="0" w:after="0"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958D7">
              <w:rPr>
                <w:rFonts w:eastAsia="Times New Roman"/>
                <w:iCs/>
                <w:noProof/>
                <w:sz w:val="18"/>
                <w:szCs w:val="18"/>
              </w:rPr>
              <w:t xml:space="preserve">             283 619 194    </w:t>
            </w:r>
          </w:p>
        </w:tc>
      </w:tr>
    </w:tbl>
    <w:p w:rsidR="007F06B6" w:rsidRPr="0024470E" w:rsidRDefault="007F06B6" w:rsidP="007F06B6">
      <w:pPr>
        <w:pStyle w:val="Titulek"/>
        <w:rPr>
          <w:rFonts w:ascii="Times New Roman" w:hAnsi="Times New Roman" w:cs="Times New Roman"/>
          <w:szCs w:val="22"/>
        </w:rPr>
      </w:pPr>
      <w:r w:rsidRPr="0024470E">
        <w:rPr>
          <w:rFonts w:ascii="Times New Roman" w:hAnsi="Times New Roman" w:cs="Times New Roman"/>
        </w:rPr>
        <w:t xml:space="preserve">Tabulka </w:t>
      </w:r>
      <w:r w:rsidRPr="0024470E">
        <w:rPr>
          <w:rFonts w:ascii="Times New Roman" w:hAnsi="Times New Roman" w:cs="Times New Roman"/>
        </w:rPr>
        <w:fldChar w:fldCharType="begin"/>
      </w:r>
      <w:r w:rsidRPr="0024470E">
        <w:rPr>
          <w:rFonts w:ascii="Times New Roman" w:hAnsi="Times New Roman" w:cs="Times New Roman"/>
        </w:rPr>
        <w:instrText xml:space="preserve"> SEQ Tabulka \* ARABIC </w:instrText>
      </w:r>
      <w:r w:rsidRPr="0024470E">
        <w:rPr>
          <w:rFonts w:ascii="Times New Roman" w:hAnsi="Times New Roman" w:cs="Times New Roman"/>
        </w:rPr>
        <w:fldChar w:fldCharType="separate"/>
      </w:r>
      <w:r w:rsidR="00533392">
        <w:rPr>
          <w:rFonts w:ascii="Times New Roman" w:hAnsi="Times New Roman" w:cs="Times New Roman"/>
          <w:noProof/>
        </w:rPr>
        <w:t>32</w:t>
      </w:r>
      <w:r w:rsidRPr="0024470E">
        <w:rPr>
          <w:rFonts w:ascii="Times New Roman" w:hAnsi="Times New Roman" w:cs="Times New Roman"/>
        </w:rPr>
        <w:fldChar w:fldCharType="end"/>
      </w:r>
      <w:r w:rsidRPr="0024470E">
        <w:rPr>
          <w:rFonts w:ascii="Times New Roman" w:hAnsi="Times New Roman" w:cs="Times New Roman"/>
        </w:rPr>
        <w:t xml:space="preserve">: </w:t>
      </w:r>
      <w:r w:rsidRPr="0024470E">
        <w:rPr>
          <w:rFonts w:ascii="Times New Roman" w:hAnsi="Times New Roman" w:cs="Times New Roman"/>
          <w:szCs w:val="22"/>
        </w:rPr>
        <w:t xml:space="preserve">SC </w:t>
      </w:r>
      <w:r>
        <w:rPr>
          <w:rFonts w:ascii="Times New Roman" w:hAnsi="Times New Roman" w:cs="Times New Roman"/>
          <w:szCs w:val="22"/>
        </w:rPr>
        <w:t>2</w:t>
      </w:r>
      <w:r w:rsidRPr="0024470E">
        <w:rPr>
          <w:rFonts w:ascii="Times New Roman" w:hAnsi="Times New Roman" w:cs="Times New Roman"/>
          <w:szCs w:val="22"/>
        </w:rPr>
        <w:t>.</w:t>
      </w:r>
      <w:r>
        <w:rPr>
          <w:rFonts w:ascii="Times New Roman" w:hAnsi="Times New Roman" w:cs="Times New Roman"/>
          <w:szCs w:val="22"/>
        </w:rPr>
        <w:t>3</w:t>
      </w:r>
      <w:r w:rsidRPr="0024470E">
        <w:rPr>
          <w:rFonts w:ascii="Times New Roman" w:hAnsi="Times New Roman" w:cs="Times New Roman"/>
          <w:szCs w:val="22"/>
        </w:rPr>
        <w:t>: Dimenze 3 – mechanismus územního plnění a územní zaměření</w:t>
      </w:r>
    </w:p>
    <w:tbl>
      <w:tblPr>
        <w:tblStyle w:val="Tabulkasmkou4zvraznn1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6"/>
        <w:gridCol w:w="1047"/>
        <w:gridCol w:w="2125"/>
        <w:gridCol w:w="1961"/>
        <w:gridCol w:w="1462"/>
        <w:gridCol w:w="1958"/>
      </w:tblGrid>
      <w:tr w:rsidR="007F06B6" w:rsidRPr="00EC6162" w:rsidTr="001509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7F06B6" w:rsidRPr="00EC6162" w:rsidRDefault="007F06B6" w:rsidP="00BA036D">
            <w:pPr>
              <w:spacing w:before="0" w:after="0" w:line="276" w:lineRule="auto"/>
              <w:jc w:val="center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Číslo priority</w:t>
            </w:r>
          </w:p>
        </w:tc>
        <w:tc>
          <w:tcPr>
            <w:tcW w:w="104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7F06B6" w:rsidRPr="00EC6162" w:rsidRDefault="007F06B6" w:rsidP="00BA036D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Fond</w:t>
            </w:r>
          </w:p>
        </w:tc>
        <w:tc>
          <w:tcPr>
            <w:tcW w:w="212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7F06B6" w:rsidRPr="00EC6162" w:rsidRDefault="007F06B6" w:rsidP="00BA036D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Kategorie regionu</w:t>
            </w:r>
          </w:p>
        </w:tc>
        <w:tc>
          <w:tcPr>
            <w:tcW w:w="19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</w:tcPr>
          <w:p w:rsidR="007F06B6" w:rsidRPr="00EC6162" w:rsidRDefault="007F06B6" w:rsidP="00BA036D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Specifický cíl</w:t>
            </w:r>
          </w:p>
        </w:tc>
        <w:tc>
          <w:tcPr>
            <w:tcW w:w="14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7F06B6" w:rsidRPr="00EC6162" w:rsidRDefault="007F06B6" w:rsidP="00BA036D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Kód</w:t>
            </w:r>
          </w:p>
        </w:tc>
        <w:tc>
          <w:tcPr>
            <w:tcW w:w="19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7F06B6" w:rsidRPr="00EC6162" w:rsidRDefault="007F06B6" w:rsidP="00BA036D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Částka (v EUR)</w:t>
            </w:r>
          </w:p>
        </w:tc>
      </w:tr>
      <w:tr w:rsidR="00C04800" w:rsidRPr="00F61950" w:rsidTr="001509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 w:val="restart"/>
            <w:shd w:val="clear" w:color="auto" w:fill="DEEAF6" w:themeFill="accent5" w:themeFillTint="33"/>
          </w:tcPr>
          <w:p w:rsidR="00C04800" w:rsidRPr="0013141D" w:rsidRDefault="00C04800" w:rsidP="00C04800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b w:val="0"/>
                <w:iCs/>
                <w:noProof/>
                <w:sz w:val="18"/>
                <w:szCs w:val="18"/>
              </w:rPr>
              <w:t>P</w:t>
            </w:r>
            <w:r>
              <w:rPr>
                <w:rFonts w:eastAsia="Times New Roman"/>
                <w:b w:val="0"/>
                <w:iCs/>
                <w:noProof/>
                <w:sz w:val="18"/>
                <w:szCs w:val="18"/>
              </w:rPr>
              <w:t>2</w:t>
            </w:r>
          </w:p>
        </w:tc>
        <w:tc>
          <w:tcPr>
            <w:tcW w:w="1047" w:type="dxa"/>
            <w:vMerge w:val="restart"/>
            <w:shd w:val="clear" w:color="auto" w:fill="DEEAF6" w:themeFill="accent5" w:themeFillTint="33"/>
          </w:tcPr>
          <w:p w:rsidR="00C04800" w:rsidRPr="0013141D" w:rsidRDefault="00C04800" w:rsidP="00C04800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noProof/>
                <w:sz w:val="18"/>
                <w:szCs w:val="18"/>
              </w:rPr>
              <w:t>ESF</w:t>
            </w:r>
            <w:r w:rsidRPr="00376202">
              <w:rPr>
                <w:rFonts w:eastAsia="Times New Roman"/>
                <w:noProof/>
                <w:sz w:val="18"/>
                <w:szCs w:val="18"/>
              </w:rPr>
              <w:t>+</w:t>
            </w:r>
          </w:p>
        </w:tc>
        <w:tc>
          <w:tcPr>
            <w:tcW w:w="2125" w:type="dxa"/>
            <w:shd w:val="clear" w:color="auto" w:fill="DEEAF6" w:themeFill="accent5" w:themeFillTint="33"/>
          </w:tcPr>
          <w:p w:rsidR="00C04800" w:rsidRPr="0013141D" w:rsidRDefault="00C04800" w:rsidP="00C04800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Více rozvinuté</w:t>
            </w:r>
          </w:p>
        </w:tc>
        <w:tc>
          <w:tcPr>
            <w:tcW w:w="1961" w:type="dxa"/>
            <w:vMerge w:val="restart"/>
            <w:shd w:val="clear" w:color="auto" w:fill="DEEAF6" w:themeFill="accent5" w:themeFillTint="33"/>
            <w:vAlign w:val="center"/>
          </w:tcPr>
          <w:p w:rsidR="00C04800" w:rsidRPr="0013141D" w:rsidRDefault="00C04800" w:rsidP="00C04800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iCs/>
                <w:noProof/>
                <w:sz w:val="18"/>
                <w:szCs w:val="18"/>
              </w:rPr>
              <w:t>2.3</w:t>
            </w:r>
          </w:p>
        </w:tc>
        <w:tc>
          <w:tcPr>
            <w:tcW w:w="1462" w:type="dxa"/>
            <w:vMerge w:val="restart"/>
            <w:shd w:val="clear" w:color="auto" w:fill="DEEAF6" w:themeFill="accent5" w:themeFillTint="33"/>
            <w:vAlign w:val="center"/>
          </w:tcPr>
          <w:p w:rsidR="00C04800" w:rsidRPr="0013141D" w:rsidRDefault="00C04800" w:rsidP="00C04800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C04800">
              <w:rPr>
                <w:rFonts w:eastAsia="Times New Roman"/>
                <w:iCs/>
                <w:noProof/>
                <w:sz w:val="18"/>
                <w:szCs w:val="18"/>
              </w:rPr>
              <w:t>48</w:t>
            </w: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C04800" w:rsidRPr="00C04800" w:rsidRDefault="00C04800" w:rsidP="00C04800">
            <w:pPr>
              <w:spacing w:before="0" w:after="0"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C04800">
              <w:rPr>
                <w:rFonts w:eastAsia="Times New Roman"/>
                <w:iCs/>
                <w:noProof/>
                <w:sz w:val="18"/>
                <w:szCs w:val="18"/>
              </w:rPr>
              <w:t xml:space="preserve">                   3 364 387    </w:t>
            </w:r>
          </w:p>
        </w:tc>
      </w:tr>
      <w:tr w:rsidR="00C04800" w:rsidRPr="00F61950" w:rsidTr="001509E3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C04800" w:rsidRPr="0013141D" w:rsidRDefault="00C04800" w:rsidP="00C04800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C04800" w:rsidRPr="0013141D" w:rsidRDefault="00C04800" w:rsidP="00C04800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C04800" w:rsidRPr="0013141D" w:rsidRDefault="00C04800" w:rsidP="00C04800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Přechodové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C04800" w:rsidRPr="0013141D" w:rsidRDefault="00C04800" w:rsidP="00C04800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C04800" w:rsidRPr="0013141D" w:rsidRDefault="00C04800" w:rsidP="00C04800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C04800" w:rsidRPr="00C04800" w:rsidRDefault="00C04800" w:rsidP="00C04800">
            <w:pPr>
              <w:spacing w:before="0" w:after="0"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C04800">
              <w:rPr>
                <w:rFonts w:eastAsia="Times New Roman"/>
                <w:iCs/>
                <w:noProof/>
                <w:sz w:val="18"/>
                <w:szCs w:val="18"/>
              </w:rPr>
              <w:t xml:space="preserve">254 426 995    </w:t>
            </w:r>
          </w:p>
        </w:tc>
      </w:tr>
      <w:tr w:rsidR="00C04800" w:rsidRPr="00F61950" w:rsidTr="001509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C04800" w:rsidRPr="0013141D" w:rsidRDefault="00C04800" w:rsidP="00C04800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C04800" w:rsidRPr="0013141D" w:rsidRDefault="00C04800" w:rsidP="00C04800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C04800" w:rsidRPr="0013141D" w:rsidRDefault="00C04800" w:rsidP="00C04800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Méně rozvinuté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C04800" w:rsidRPr="0013141D" w:rsidRDefault="00C04800" w:rsidP="00C04800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C04800" w:rsidRPr="0013141D" w:rsidRDefault="00C04800" w:rsidP="00C04800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C04800" w:rsidRPr="00C04800" w:rsidRDefault="00C04800" w:rsidP="00C04800">
            <w:pPr>
              <w:spacing w:before="0" w:after="0"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C04800">
              <w:rPr>
                <w:rFonts w:eastAsia="Times New Roman"/>
                <w:iCs/>
                <w:noProof/>
                <w:sz w:val="18"/>
                <w:szCs w:val="18"/>
              </w:rPr>
              <w:t xml:space="preserve">       283 619 194    </w:t>
            </w:r>
          </w:p>
        </w:tc>
      </w:tr>
    </w:tbl>
    <w:p w:rsidR="007F06B6" w:rsidRPr="008A1F8A" w:rsidRDefault="007F06B6" w:rsidP="007F06B6">
      <w:pPr>
        <w:pStyle w:val="Titulek"/>
        <w:rPr>
          <w:rFonts w:ascii="Times New Roman" w:hAnsi="Times New Roman" w:cs="Times New Roman"/>
          <w:szCs w:val="22"/>
        </w:rPr>
      </w:pPr>
      <w:r w:rsidRPr="008A1F8A">
        <w:rPr>
          <w:rFonts w:ascii="Times New Roman" w:hAnsi="Times New Roman" w:cs="Times New Roman"/>
        </w:rPr>
        <w:t xml:space="preserve">Tabulka </w:t>
      </w:r>
      <w:r w:rsidRPr="008A1F8A">
        <w:rPr>
          <w:rFonts w:ascii="Times New Roman" w:hAnsi="Times New Roman" w:cs="Times New Roman"/>
        </w:rPr>
        <w:fldChar w:fldCharType="begin"/>
      </w:r>
      <w:r w:rsidRPr="008A1F8A">
        <w:rPr>
          <w:rFonts w:ascii="Times New Roman" w:hAnsi="Times New Roman" w:cs="Times New Roman"/>
        </w:rPr>
        <w:instrText xml:space="preserve"> SEQ Tabulka \* ARABIC </w:instrText>
      </w:r>
      <w:r w:rsidRPr="008A1F8A">
        <w:rPr>
          <w:rFonts w:ascii="Times New Roman" w:hAnsi="Times New Roman" w:cs="Times New Roman"/>
        </w:rPr>
        <w:fldChar w:fldCharType="separate"/>
      </w:r>
      <w:r w:rsidR="00533392">
        <w:rPr>
          <w:rFonts w:ascii="Times New Roman" w:hAnsi="Times New Roman" w:cs="Times New Roman"/>
          <w:noProof/>
        </w:rPr>
        <w:t>33</w:t>
      </w:r>
      <w:r w:rsidRPr="008A1F8A">
        <w:rPr>
          <w:rFonts w:ascii="Times New Roman" w:hAnsi="Times New Roman" w:cs="Times New Roman"/>
        </w:rPr>
        <w:fldChar w:fldCharType="end"/>
      </w:r>
      <w:r w:rsidRPr="008A1F8A">
        <w:rPr>
          <w:rFonts w:ascii="Times New Roman" w:hAnsi="Times New Roman" w:cs="Times New Roman"/>
        </w:rPr>
        <w:t>:</w:t>
      </w:r>
      <w:r w:rsidRPr="008A1F8A">
        <w:rPr>
          <w:rFonts w:ascii="Times New Roman" w:hAnsi="Times New Roman" w:cs="Times New Roman"/>
          <w:szCs w:val="22"/>
        </w:rPr>
        <w:t xml:space="preserve"> SC </w:t>
      </w:r>
      <w:r>
        <w:rPr>
          <w:rFonts w:ascii="Times New Roman" w:hAnsi="Times New Roman" w:cs="Times New Roman"/>
          <w:szCs w:val="22"/>
        </w:rPr>
        <w:t>2</w:t>
      </w:r>
      <w:r w:rsidRPr="008A1F8A">
        <w:rPr>
          <w:rFonts w:ascii="Times New Roman" w:hAnsi="Times New Roman" w:cs="Times New Roman"/>
          <w:szCs w:val="22"/>
        </w:rPr>
        <w:t>.</w:t>
      </w:r>
      <w:r>
        <w:rPr>
          <w:rFonts w:ascii="Times New Roman" w:hAnsi="Times New Roman" w:cs="Times New Roman"/>
          <w:szCs w:val="22"/>
        </w:rPr>
        <w:t>3</w:t>
      </w:r>
      <w:r w:rsidRPr="008A1F8A">
        <w:rPr>
          <w:rFonts w:ascii="Times New Roman" w:hAnsi="Times New Roman" w:cs="Times New Roman"/>
          <w:szCs w:val="22"/>
        </w:rPr>
        <w:t>: Dimenze 6 – sekundární témata ESF</w:t>
      </w:r>
      <w:r w:rsidRPr="008A1F8A">
        <w:rPr>
          <w:rFonts w:ascii="Times New Roman" w:hAnsi="Times New Roman" w:cs="Times New Roman"/>
          <w:b w:val="0"/>
          <w:szCs w:val="22"/>
        </w:rPr>
        <w:t>+</w:t>
      </w:r>
    </w:p>
    <w:tbl>
      <w:tblPr>
        <w:tblStyle w:val="Tabulkasmkou4zvraznn1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6"/>
        <w:gridCol w:w="1047"/>
        <w:gridCol w:w="2125"/>
        <w:gridCol w:w="1961"/>
        <w:gridCol w:w="1462"/>
        <w:gridCol w:w="1958"/>
      </w:tblGrid>
      <w:tr w:rsidR="007F06B6" w:rsidRPr="00EC6162" w:rsidTr="008C2B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7F06B6" w:rsidRPr="00B35228" w:rsidRDefault="007F06B6" w:rsidP="00BA036D">
            <w:pPr>
              <w:spacing w:before="0" w:after="0" w:line="276" w:lineRule="auto"/>
              <w:jc w:val="center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B35228">
              <w:rPr>
                <w:rFonts w:eastAsia="Times New Roman"/>
                <w:iCs/>
                <w:noProof/>
                <w:sz w:val="18"/>
                <w:szCs w:val="18"/>
              </w:rPr>
              <w:t>Číslo priority</w:t>
            </w:r>
          </w:p>
        </w:tc>
        <w:tc>
          <w:tcPr>
            <w:tcW w:w="104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7F06B6" w:rsidRPr="00B35228" w:rsidRDefault="007F06B6" w:rsidP="00BA036D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B35228">
              <w:rPr>
                <w:rFonts w:eastAsia="Times New Roman"/>
                <w:iCs/>
                <w:noProof/>
                <w:sz w:val="18"/>
                <w:szCs w:val="18"/>
              </w:rPr>
              <w:t>Fond</w:t>
            </w:r>
          </w:p>
        </w:tc>
        <w:tc>
          <w:tcPr>
            <w:tcW w:w="212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7F06B6" w:rsidRPr="00B35228" w:rsidRDefault="007F06B6" w:rsidP="00BA036D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B35228">
              <w:rPr>
                <w:rFonts w:eastAsia="Times New Roman"/>
                <w:iCs/>
                <w:noProof/>
                <w:sz w:val="18"/>
                <w:szCs w:val="18"/>
              </w:rPr>
              <w:t>Kategorie regionu</w:t>
            </w:r>
          </w:p>
        </w:tc>
        <w:tc>
          <w:tcPr>
            <w:tcW w:w="19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</w:tcPr>
          <w:p w:rsidR="007F06B6" w:rsidRPr="00B35228" w:rsidRDefault="007F06B6" w:rsidP="00BA036D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B35228">
              <w:rPr>
                <w:rFonts w:eastAsia="Times New Roman"/>
                <w:iCs/>
                <w:noProof/>
                <w:sz w:val="18"/>
                <w:szCs w:val="18"/>
              </w:rPr>
              <w:t>Specifický cíl</w:t>
            </w:r>
          </w:p>
        </w:tc>
        <w:tc>
          <w:tcPr>
            <w:tcW w:w="14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7F06B6" w:rsidRPr="00B35228" w:rsidRDefault="007F06B6" w:rsidP="00BA036D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B35228">
              <w:rPr>
                <w:rFonts w:eastAsia="Times New Roman"/>
                <w:iCs/>
                <w:noProof/>
                <w:sz w:val="18"/>
                <w:szCs w:val="18"/>
              </w:rPr>
              <w:t>Kód</w:t>
            </w:r>
          </w:p>
        </w:tc>
        <w:tc>
          <w:tcPr>
            <w:tcW w:w="19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7F06B6" w:rsidRPr="00B35228" w:rsidRDefault="007F06B6" w:rsidP="00BA036D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B35228">
              <w:rPr>
                <w:rFonts w:eastAsia="Times New Roman"/>
                <w:iCs/>
                <w:noProof/>
                <w:sz w:val="18"/>
                <w:szCs w:val="18"/>
              </w:rPr>
              <w:t>Částka (v EUR)</w:t>
            </w:r>
          </w:p>
        </w:tc>
      </w:tr>
      <w:tr w:rsidR="00237465" w:rsidRPr="00F61950" w:rsidTr="008C2B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 w:val="restart"/>
            <w:shd w:val="clear" w:color="auto" w:fill="DEEAF6" w:themeFill="accent5" w:themeFillTint="33"/>
          </w:tcPr>
          <w:p w:rsidR="00237465" w:rsidRPr="00B35228" w:rsidRDefault="00237465" w:rsidP="00237465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  <w:r w:rsidRPr="00B35228">
              <w:rPr>
                <w:rFonts w:eastAsia="Times New Roman"/>
                <w:b w:val="0"/>
                <w:iCs/>
                <w:noProof/>
                <w:sz w:val="18"/>
                <w:szCs w:val="18"/>
              </w:rPr>
              <w:t>P2</w:t>
            </w:r>
          </w:p>
        </w:tc>
        <w:tc>
          <w:tcPr>
            <w:tcW w:w="1047" w:type="dxa"/>
            <w:vMerge w:val="restart"/>
            <w:shd w:val="clear" w:color="auto" w:fill="DEEAF6" w:themeFill="accent5" w:themeFillTint="33"/>
          </w:tcPr>
          <w:p w:rsidR="00237465" w:rsidRPr="00B35228" w:rsidRDefault="00237465" w:rsidP="00237465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B35228">
              <w:rPr>
                <w:rFonts w:eastAsia="Times New Roman"/>
                <w:noProof/>
                <w:sz w:val="18"/>
                <w:szCs w:val="18"/>
              </w:rPr>
              <w:t>ESF+</w:t>
            </w:r>
          </w:p>
        </w:tc>
        <w:tc>
          <w:tcPr>
            <w:tcW w:w="2125" w:type="dxa"/>
            <w:shd w:val="clear" w:color="auto" w:fill="DEEAF6" w:themeFill="accent5" w:themeFillTint="33"/>
          </w:tcPr>
          <w:p w:rsidR="00237465" w:rsidRPr="00B35228" w:rsidRDefault="00237465" w:rsidP="00237465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B35228">
              <w:rPr>
                <w:rFonts w:eastAsia="Times New Roman"/>
                <w:noProof/>
                <w:sz w:val="18"/>
                <w:szCs w:val="18"/>
              </w:rPr>
              <w:t>Více rozvinuté</w:t>
            </w:r>
          </w:p>
        </w:tc>
        <w:tc>
          <w:tcPr>
            <w:tcW w:w="1961" w:type="dxa"/>
            <w:vMerge w:val="restart"/>
            <w:shd w:val="clear" w:color="auto" w:fill="DEEAF6" w:themeFill="accent5" w:themeFillTint="33"/>
            <w:vAlign w:val="center"/>
          </w:tcPr>
          <w:p w:rsidR="00237465" w:rsidRPr="00B35228" w:rsidRDefault="00237465" w:rsidP="00237465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B35228">
              <w:rPr>
                <w:rFonts w:eastAsia="Times New Roman"/>
                <w:iCs/>
                <w:noProof/>
                <w:sz w:val="18"/>
                <w:szCs w:val="18"/>
              </w:rPr>
              <w:t>2.3</w:t>
            </w:r>
          </w:p>
        </w:tc>
        <w:tc>
          <w:tcPr>
            <w:tcW w:w="1462" w:type="dxa"/>
            <w:vMerge w:val="restart"/>
            <w:shd w:val="clear" w:color="auto" w:fill="DEEAF6" w:themeFill="accent5" w:themeFillTint="33"/>
            <w:vAlign w:val="center"/>
          </w:tcPr>
          <w:p w:rsidR="00237465" w:rsidRPr="00B35228" w:rsidRDefault="00237465" w:rsidP="00237465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B35228">
              <w:rPr>
                <w:rFonts w:eastAsia="Times New Roman"/>
                <w:iCs/>
                <w:noProof/>
                <w:sz w:val="18"/>
                <w:szCs w:val="18"/>
              </w:rPr>
              <w:t>09</w:t>
            </w: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237465" w:rsidRPr="00B35228" w:rsidRDefault="00237465" w:rsidP="00237465">
            <w:pPr>
              <w:spacing w:before="0" w:after="0"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B35228">
              <w:rPr>
                <w:rFonts w:eastAsia="Times New Roman"/>
                <w:iCs/>
                <w:noProof/>
                <w:sz w:val="18"/>
                <w:szCs w:val="18"/>
              </w:rPr>
              <w:t xml:space="preserve">3 364 387    </w:t>
            </w:r>
          </w:p>
        </w:tc>
      </w:tr>
      <w:tr w:rsidR="00237465" w:rsidRPr="00F61950" w:rsidTr="008C2B78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237465" w:rsidRPr="00B35228" w:rsidRDefault="00237465" w:rsidP="00237465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237465" w:rsidRPr="00B35228" w:rsidRDefault="00237465" w:rsidP="00237465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237465" w:rsidRPr="00B35228" w:rsidRDefault="00237465" w:rsidP="00237465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B35228">
              <w:rPr>
                <w:rFonts w:eastAsia="Times New Roman"/>
                <w:noProof/>
                <w:sz w:val="18"/>
                <w:szCs w:val="18"/>
              </w:rPr>
              <w:t>Přechodové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237465" w:rsidRPr="00B35228" w:rsidRDefault="00237465" w:rsidP="00237465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237465" w:rsidRPr="00B35228" w:rsidRDefault="00237465" w:rsidP="00237465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237465" w:rsidRPr="00B35228" w:rsidRDefault="00237465" w:rsidP="00237465">
            <w:pPr>
              <w:spacing w:before="0" w:after="0"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B35228">
              <w:rPr>
                <w:rFonts w:eastAsia="Times New Roman"/>
                <w:iCs/>
                <w:noProof/>
                <w:sz w:val="18"/>
                <w:szCs w:val="18"/>
              </w:rPr>
              <w:t xml:space="preserve">                 254 426 995    </w:t>
            </w:r>
          </w:p>
        </w:tc>
      </w:tr>
      <w:tr w:rsidR="00237465" w:rsidRPr="00F61950" w:rsidTr="008C2B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237465" w:rsidRPr="00B35228" w:rsidRDefault="00237465" w:rsidP="00237465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237465" w:rsidRPr="00B35228" w:rsidRDefault="00237465" w:rsidP="00237465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237465" w:rsidRPr="00B35228" w:rsidRDefault="00237465" w:rsidP="00237465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B35228">
              <w:rPr>
                <w:rFonts w:eastAsia="Times New Roman"/>
                <w:noProof/>
                <w:sz w:val="18"/>
                <w:szCs w:val="18"/>
              </w:rPr>
              <w:t>Méně rozvinuté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237465" w:rsidRPr="00B35228" w:rsidRDefault="00237465" w:rsidP="00237465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237465" w:rsidRPr="00B35228" w:rsidRDefault="00237465" w:rsidP="00237465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237465" w:rsidRPr="00B35228" w:rsidRDefault="00237465" w:rsidP="00237465">
            <w:pPr>
              <w:spacing w:before="0" w:after="0"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B35228">
              <w:rPr>
                <w:rFonts w:eastAsia="Times New Roman"/>
                <w:iCs/>
                <w:noProof/>
                <w:sz w:val="18"/>
                <w:szCs w:val="18"/>
              </w:rPr>
              <w:t xml:space="preserve">             283 619 194    </w:t>
            </w:r>
          </w:p>
        </w:tc>
      </w:tr>
    </w:tbl>
    <w:p w:rsidR="007F06B6" w:rsidRPr="00B4546B" w:rsidRDefault="007F06B6" w:rsidP="007F06B6">
      <w:pPr>
        <w:pStyle w:val="Titulek"/>
        <w:rPr>
          <w:rFonts w:ascii="Times New Roman" w:hAnsi="Times New Roman" w:cs="Times New Roman"/>
          <w:szCs w:val="22"/>
        </w:rPr>
      </w:pPr>
      <w:r w:rsidRPr="00B4546B">
        <w:rPr>
          <w:rFonts w:ascii="Times New Roman" w:hAnsi="Times New Roman" w:cs="Times New Roman"/>
        </w:rPr>
        <w:t xml:space="preserve">Tabulka </w:t>
      </w:r>
      <w:r w:rsidRPr="00B4546B">
        <w:rPr>
          <w:rFonts w:ascii="Times New Roman" w:hAnsi="Times New Roman" w:cs="Times New Roman"/>
        </w:rPr>
        <w:fldChar w:fldCharType="begin"/>
      </w:r>
      <w:r w:rsidRPr="00B4546B">
        <w:rPr>
          <w:rFonts w:ascii="Times New Roman" w:hAnsi="Times New Roman" w:cs="Times New Roman"/>
        </w:rPr>
        <w:instrText xml:space="preserve"> SEQ Tabulka \* ARABIC </w:instrText>
      </w:r>
      <w:r w:rsidRPr="00B4546B">
        <w:rPr>
          <w:rFonts w:ascii="Times New Roman" w:hAnsi="Times New Roman" w:cs="Times New Roman"/>
        </w:rPr>
        <w:fldChar w:fldCharType="separate"/>
      </w:r>
      <w:r w:rsidR="00533392">
        <w:rPr>
          <w:rFonts w:ascii="Times New Roman" w:hAnsi="Times New Roman" w:cs="Times New Roman"/>
          <w:noProof/>
        </w:rPr>
        <w:t>34</w:t>
      </w:r>
      <w:r w:rsidRPr="00B4546B">
        <w:rPr>
          <w:rFonts w:ascii="Times New Roman" w:hAnsi="Times New Roman" w:cs="Times New Roman"/>
        </w:rPr>
        <w:fldChar w:fldCharType="end"/>
      </w:r>
      <w:r w:rsidRPr="00B4546B">
        <w:rPr>
          <w:rFonts w:ascii="Times New Roman" w:hAnsi="Times New Roman" w:cs="Times New Roman"/>
        </w:rPr>
        <w:t>:</w:t>
      </w:r>
      <w:r w:rsidRPr="00B4546B">
        <w:rPr>
          <w:rFonts w:ascii="Times New Roman" w:hAnsi="Times New Roman" w:cs="Times New Roman"/>
          <w:szCs w:val="22"/>
        </w:rPr>
        <w:t xml:space="preserve"> SC </w:t>
      </w:r>
      <w:r>
        <w:rPr>
          <w:rFonts w:ascii="Times New Roman" w:hAnsi="Times New Roman" w:cs="Times New Roman"/>
          <w:szCs w:val="22"/>
        </w:rPr>
        <w:t>2</w:t>
      </w:r>
      <w:r w:rsidRPr="00B4546B">
        <w:rPr>
          <w:rFonts w:ascii="Times New Roman" w:hAnsi="Times New Roman" w:cs="Times New Roman"/>
          <w:szCs w:val="22"/>
        </w:rPr>
        <w:t>.</w:t>
      </w:r>
      <w:r>
        <w:rPr>
          <w:rFonts w:ascii="Times New Roman" w:hAnsi="Times New Roman" w:cs="Times New Roman"/>
          <w:szCs w:val="22"/>
        </w:rPr>
        <w:t>3</w:t>
      </w:r>
      <w:r w:rsidRPr="00B4546B">
        <w:rPr>
          <w:rFonts w:ascii="Times New Roman" w:hAnsi="Times New Roman" w:cs="Times New Roman"/>
          <w:szCs w:val="22"/>
        </w:rPr>
        <w:t>: Dimenze 7 – ESF+, ERDF, CF a JTF a dimenze rovnosti žen a mužů</w:t>
      </w:r>
    </w:p>
    <w:tbl>
      <w:tblPr>
        <w:tblStyle w:val="Tabulkasmkou4zvraznn1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6"/>
        <w:gridCol w:w="1047"/>
        <w:gridCol w:w="2125"/>
        <w:gridCol w:w="1961"/>
        <w:gridCol w:w="1462"/>
        <w:gridCol w:w="1958"/>
      </w:tblGrid>
      <w:tr w:rsidR="007F06B6" w:rsidRPr="00EC6162" w:rsidTr="00D766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7F06B6" w:rsidRPr="00EC6162" w:rsidRDefault="007F06B6" w:rsidP="00BA036D">
            <w:pPr>
              <w:spacing w:before="0" w:after="0" w:line="276" w:lineRule="auto"/>
              <w:jc w:val="center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Číslo priority</w:t>
            </w:r>
          </w:p>
        </w:tc>
        <w:tc>
          <w:tcPr>
            <w:tcW w:w="104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7F06B6" w:rsidRPr="00EC6162" w:rsidRDefault="007F06B6" w:rsidP="00BA036D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Fond</w:t>
            </w:r>
          </w:p>
        </w:tc>
        <w:tc>
          <w:tcPr>
            <w:tcW w:w="212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7F06B6" w:rsidRPr="00EC6162" w:rsidRDefault="007F06B6" w:rsidP="00BA036D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Kategorie regionu</w:t>
            </w:r>
          </w:p>
        </w:tc>
        <w:tc>
          <w:tcPr>
            <w:tcW w:w="19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</w:tcPr>
          <w:p w:rsidR="007F06B6" w:rsidRPr="00EC6162" w:rsidRDefault="007F06B6" w:rsidP="00BA036D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Specifický cíl</w:t>
            </w:r>
          </w:p>
        </w:tc>
        <w:tc>
          <w:tcPr>
            <w:tcW w:w="14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7F06B6" w:rsidRPr="00EC6162" w:rsidRDefault="007F06B6" w:rsidP="00BA036D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Kód</w:t>
            </w:r>
          </w:p>
        </w:tc>
        <w:tc>
          <w:tcPr>
            <w:tcW w:w="19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7F06B6" w:rsidRPr="00EC6162" w:rsidRDefault="007F06B6" w:rsidP="00BA036D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Částka (v EUR)</w:t>
            </w:r>
          </w:p>
        </w:tc>
      </w:tr>
      <w:tr w:rsidR="00710094" w:rsidRPr="00F61950" w:rsidTr="00D76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 w:val="restart"/>
            <w:shd w:val="clear" w:color="auto" w:fill="DEEAF6" w:themeFill="accent5" w:themeFillTint="33"/>
          </w:tcPr>
          <w:p w:rsidR="00710094" w:rsidRPr="0013141D" w:rsidRDefault="00710094" w:rsidP="00710094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b w:val="0"/>
                <w:iCs/>
                <w:noProof/>
                <w:sz w:val="18"/>
                <w:szCs w:val="18"/>
              </w:rPr>
              <w:t>P</w:t>
            </w:r>
            <w:r>
              <w:rPr>
                <w:rFonts w:eastAsia="Times New Roman"/>
                <w:b w:val="0"/>
                <w:iCs/>
                <w:noProof/>
                <w:sz w:val="18"/>
                <w:szCs w:val="18"/>
              </w:rPr>
              <w:t>2</w:t>
            </w:r>
          </w:p>
        </w:tc>
        <w:tc>
          <w:tcPr>
            <w:tcW w:w="1047" w:type="dxa"/>
            <w:vMerge w:val="restart"/>
            <w:shd w:val="clear" w:color="auto" w:fill="DEEAF6" w:themeFill="accent5" w:themeFillTint="33"/>
          </w:tcPr>
          <w:p w:rsidR="00710094" w:rsidRPr="0013141D" w:rsidRDefault="00710094" w:rsidP="00710094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noProof/>
                <w:sz w:val="18"/>
                <w:szCs w:val="18"/>
              </w:rPr>
              <w:t>ESF</w:t>
            </w:r>
            <w:r w:rsidRPr="00376202">
              <w:rPr>
                <w:rFonts w:eastAsia="Times New Roman"/>
                <w:noProof/>
                <w:sz w:val="18"/>
                <w:szCs w:val="18"/>
              </w:rPr>
              <w:t>+</w:t>
            </w:r>
          </w:p>
        </w:tc>
        <w:tc>
          <w:tcPr>
            <w:tcW w:w="2125" w:type="dxa"/>
            <w:shd w:val="clear" w:color="auto" w:fill="DEEAF6" w:themeFill="accent5" w:themeFillTint="33"/>
          </w:tcPr>
          <w:p w:rsidR="00710094" w:rsidRPr="0013141D" w:rsidRDefault="00710094" w:rsidP="00710094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Více rozvinuté</w:t>
            </w:r>
          </w:p>
        </w:tc>
        <w:tc>
          <w:tcPr>
            <w:tcW w:w="1961" w:type="dxa"/>
            <w:vMerge w:val="restart"/>
            <w:shd w:val="clear" w:color="auto" w:fill="DEEAF6" w:themeFill="accent5" w:themeFillTint="33"/>
            <w:vAlign w:val="center"/>
          </w:tcPr>
          <w:p w:rsidR="00710094" w:rsidRPr="0013141D" w:rsidRDefault="00710094" w:rsidP="00710094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iCs/>
                <w:noProof/>
                <w:sz w:val="18"/>
                <w:szCs w:val="18"/>
              </w:rPr>
              <w:t>2.3</w:t>
            </w:r>
          </w:p>
        </w:tc>
        <w:tc>
          <w:tcPr>
            <w:tcW w:w="1462" w:type="dxa"/>
            <w:vMerge w:val="restart"/>
            <w:shd w:val="clear" w:color="auto" w:fill="DEEAF6" w:themeFill="accent5" w:themeFillTint="33"/>
            <w:vAlign w:val="center"/>
          </w:tcPr>
          <w:p w:rsidR="00710094" w:rsidRPr="0013141D" w:rsidRDefault="00710094" w:rsidP="00710094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710094">
              <w:rPr>
                <w:rFonts w:eastAsia="Times New Roman"/>
                <w:iCs/>
                <w:noProof/>
                <w:sz w:val="18"/>
                <w:szCs w:val="18"/>
              </w:rPr>
              <w:t>3</w:t>
            </w: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710094" w:rsidRPr="00710094" w:rsidRDefault="00710094" w:rsidP="004D0267">
            <w:pPr>
              <w:spacing w:before="0" w:after="0"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710094">
              <w:rPr>
                <w:rFonts w:eastAsia="Times New Roman"/>
                <w:iCs/>
                <w:noProof/>
                <w:sz w:val="18"/>
                <w:szCs w:val="18"/>
              </w:rPr>
              <w:t xml:space="preserve">        3 364 387    </w:t>
            </w:r>
          </w:p>
        </w:tc>
      </w:tr>
      <w:tr w:rsidR="00710094" w:rsidRPr="00F61950" w:rsidTr="00D7669A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710094" w:rsidRPr="0013141D" w:rsidRDefault="00710094" w:rsidP="00710094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710094" w:rsidRPr="0013141D" w:rsidRDefault="00710094" w:rsidP="00710094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710094" w:rsidRPr="0013141D" w:rsidRDefault="00710094" w:rsidP="00710094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Přechodové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710094" w:rsidRPr="0013141D" w:rsidRDefault="00710094" w:rsidP="00710094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710094" w:rsidRPr="0013141D" w:rsidRDefault="00710094" w:rsidP="00710094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710094" w:rsidRPr="00710094" w:rsidRDefault="00710094" w:rsidP="004D0267">
            <w:pPr>
              <w:spacing w:before="0" w:after="0"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710094">
              <w:rPr>
                <w:rFonts w:eastAsia="Times New Roman"/>
                <w:iCs/>
                <w:noProof/>
                <w:sz w:val="18"/>
                <w:szCs w:val="18"/>
              </w:rPr>
              <w:t xml:space="preserve">             254 426 995    </w:t>
            </w:r>
          </w:p>
        </w:tc>
      </w:tr>
      <w:tr w:rsidR="00710094" w:rsidRPr="00F61950" w:rsidTr="00D76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710094" w:rsidRPr="0013141D" w:rsidRDefault="00710094" w:rsidP="00710094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710094" w:rsidRPr="0013141D" w:rsidRDefault="00710094" w:rsidP="00710094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710094" w:rsidRPr="0013141D" w:rsidRDefault="00710094" w:rsidP="00710094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Méně rozvinuté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710094" w:rsidRPr="0013141D" w:rsidRDefault="00710094" w:rsidP="00710094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710094" w:rsidRPr="0013141D" w:rsidRDefault="00710094" w:rsidP="00710094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710094" w:rsidRPr="00710094" w:rsidRDefault="00710094" w:rsidP="004D0267">
            <w:pPr>
              <w:spacing w:before="0" w:after="0"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710094">
              <w:rPr>
                <w:rFonts w:eastAsia="Times New Roman"/>
                <w:iCs/>
                <w:noProof/>
                <w:sz w:val="18"/>
                <w:szCs w:val="18"/>
              </w:rPr>
              <w:t xml:space="preserve">             283 619 194    </w:t>
            </w:r>
          </w:p>
        </w:tc>
      </w:tr>
    </w:tbl>
    <w:p w:rsidR="00954B7B" w:rsidRDefault="00954B7B" w:rsidP="00F90244">
      <w:pPr>
        <w:pStyle w:val="Nadpis3"/>
        <w:numPr>
          <w:ilvl w:val="0"/>
          <w:numId w:val="0"/>
        </w:numPr>
        <w:ind w:left="851"/>
        <w:rPr>
          <w:b/>
          <w:color w:val="1F4E79" w:themeColor="accent5" w:themeShade="80"/>
          <w:lang w:val="cs-CZ" w:eastAsia="cs-CZ" w:bidi="cs-CZ"/>
        </w:rPr>
      </w:pPr>
    </w:p>
    <w:p w:rsidR="0065061C" w:rsidRDefault="0065061C" w:rsidP="0065061C">
      <w:pPr>
        <w:pStyle w:val="Nadpis3"/>
        <w:numPr>
          <w:ilvl w:val="0"/>
          <w:numId w:val="0"/>
        </w:numPr>
        <w:ind w:left="851" w:hanging="851"/>
        <w:rPr>
          <w:b/>
          <w:color w:val="1F4E79" w:themeColor="accent5" w:themeShade="80"/>
          <w:lang w:val="cs-CZ" w:eastAsia="cs-CZ" w:bidi="cs-CZ"/>
        </w:rPr>
      </w:pPr>
      <w:bookmarkStart w:id="186" w:name="_Toc66274569"/>
      <w:bookmarkStart w:id="187" w:name="_Toc66274846"/>
      <w:bookmarkStart w:id="188" w:name="_Toc66274886"/>
      <w:bookmarkStart w:id="189" w:name="_Toc66274932"/>
      <w:bookmarkStart w:id="190" w:name="_Toc66274986"/>
      <w:bookmarkStart w:id="191" w:name="_Toc66275043"/>
      <w:bookmarkStart w:id="192" w:name="_Toc66275378"/>
      <w:bookmarkStart w:id="193" w:name="_Toc66275437"/>
      <w:bookmarkStart w:id="194" w:name="_Toc66275713"/>
      <w:bookmarkStart w:id="195" w:name="_Toc33000820"/>
      <w:bookmarkStart w:id="196" w:name="_Toc66476061"/>
      <w:bookmarkStart w:id="197" w:name="_Toc68611019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</w:p>
    <w:p w:rsidR="0065061C" w:rsidRDefault="0065061C" w:rsidP="0065061C">
      <w:pPr>
        <w:rPr>
          <w:lang w:eastAsia="cs-CZ" w:bidi="cs-CZ"/>
        </w:rPr>
      </w:pPr>
    </w:p>
    <w:p w:rsidR="0065061C" w:rsidRDefault="0065061C" w:rsidP="0065061C">
      <w:pPr>
        <w:rPr>
          <w:lang w:eastAsia="cs-CZ" w:bidi="cs-CZ"/>
        </w:rPr>
      </w:pPr>
    </w:p>
    <w:p w:rsidR="0065061C" w:rsidRPr="0065061C" w:rsidRDefault="0065061C" w:rsidP="0065061C">
      <w:pPr>
        <w:rPr>
          <w:lang w:eastAsia="cs-CZ" w:bidi="cs-CZ"/>
        </w:rPr>
      </w:pPr>
    </w:p>
    <w:p w:rsidR="004C55F4" w:rsidRPr="00B175FB" w:rsidRDefault="006C0FF9" w:rsidP="00636242">
      <w:pPr>
        <w:pStyle w:val="Nadpis3"/>
        <w:rPr>
          <w:b/>
          <w:color w:val="1F4E79" w:themeColor="accent5" w:themeShade="80"/>
          <w:lang w:val="cs-CZ" w:eastAsia="cs-CZ" w:bidi="cs-CZ"/>
        </w:rPr>
      </w:pPr>
      <w:r w:rsidRPr="00B175FB">
        <w:rPr>
          <w:b/>
          <w:color w:val="1F4E79" w:themeColor="accent5" w:themeShade="80"/>
          <w:lang w:val="cs-CZ" w:eastAsia="cs-CZ" w:bidi="cs-CZ"/>
        </w:rPr>
        <w:t xml:space="preserve">SC 2.4 </w:t>
      </w:r>
      <w:r w:rsidR="00832555">
        <w:rPr>
          <w:b/>
          <w:color w:val="1F4E79" w:themeColor="accent5" w:themeShade="80"/>
          <w:lang w:val="cs-CZ" w:eastAsia="cs-CZ" w:bidi="cs-CZ"/>
        </w:rPr>
        <w:t>P</w:t>
      </w:r>
      <w:r w:rsidR="00832555" w:rsidRPr="00832555">
        <w:rPr>
          <w:b/>
          <w:color w:val="1F4E79" w:themeColor="accent5" w:themeShade="80"/>
          <w:lang w:val="cs-CZ" w:eastAsia="cs-CZ" w:bidi="cs-CZ"/>
        </w:rPr>
        <w:t>rosazovat celoživotní učení, zejména flexibilní možnosti rozšiřování dovedností a</w:t>
      </w:r>
      <w:r w:rsidR="0065061C">
        <w:rPr>
          <w:b/>
          <w:color w:val="1F4E79" w:themeColor="accent5" w:themeShade="80"/>
          <w:lang w:val="cs-CZ" w:eastAsia="cs-CZ" w:bidi="cs-CZ"/>
        </w:rPr>
        <w:t> </w:t>
      </w:r>
      <w:r w:rsidR="00832555" w:rsidRPr="00832555">
        <w:rPr>
          <w:b/>
          <w:color w:val="1F4E79" w:themeColor="accent5" w:themeShade="80"/>
          <w:lang w:val="cs-CZ" w:eastAsia="cs-CZ" w:bidi="cs-CZ"/>
        </w:rPr>
        <w:t>rekvalifikace pro všechny s ohledem na podnikatelské a digitální dovednosti, lépe předvídat změny a nové požadavky na dovednosti vycházející z potřeb trhu práce, usnadnit přechody mezi zaměstnáními a podporovat profesní mobilitu</w:t>
      </w:r>
      <w:bookmarkEnd w:id="195"/>
      <w:bookmarkEnd w:id="196"/>
      <w:bookmarkEnd w:id="197"/>
    </w:p>
    <w:p w:rsidR="00CB5F3E" w:rsidRDefault="00CB5F3E" w:rsidP="004005FF">
      <w:pPr>
        <w:spacing w:line="276" w:lineRule="auto"/>
        <w:rPr>
          <w:rFonts w:eastAsia="Times New Roman"/>
          <w:b/>
          <w:iCs/>
          <w:noProof/>
          <w:szCs w:val="24"/>
        </w:rPr>
      </w:pPr>
    </w:p>
    <w:p w:rsidR="004C6B23" w:rsidRPr="00775F0C" w:rsidRDefault="00645D6D" w:rsidP="00775F0C">
      <w:pPr>
        <w:pStyle w:val="Nadpis4"/>
        <w:rPr>
          <w:b/>
          <w:color w:val="1F4E79" w:themeColor="accent5" w:themeShade="80"/>
          <w:lang w:val="cs-CZ" w:eastAsia="cs-CZ" w:bidi="cs-CZ"/>
        </w:rPr>
      </w:pPr>
      <w:bookmarkStart w:id="198" w:name="_Toc66476062"/>
      <w:bookmarkStart w:id="199" w:name="_Toc68611020"/>
      <w:r w:rsidRPr="00775F0C">
        <w:rPr>
          <w:b/>
          <w:color w:val="1F4E79" w:themeColor="accent5" w:themeShade="80"/>
          <w:lang w:val="cs-CZ" w:eastAsia="cs-CZ" w:bidi="cs-CZ"/>
        </w:rPr>
        <w:t>Intervence fondů</w:t>
      </w:r>
      <w:bookmarkEnd w:id="198"/>
      <w:bookmarkEnd w:id="199"/>
    </w:p>
    <w:p w:rsidR="004005FF" w:rsidRPr="00B175FB" w:rsidRDefault="004005FF" w:rsidP="004005FF">
      <w:pPr>
        <w:spacing w:line="276" w:lineRule="auto"/>
        <w:rPr>
          <w:rFonts w:eastAsia="Times New Roman"/>
          <w:b/>
          <w:bCs/>
          <w:i/>
          <w:iCs/>
          <w:noProof/>
          <w:szCs w:val="24"/>
          <w:u w:val="single"/>
        </w:rPr>
      </w:pPr>
      <w:r w:rsidRPr="00B175FB">
        <w:rPr>
          <w:rFonts w:eastAsia="Times New Roman"/>
          <w:b/>
          <w:i/>
          <w:noProof/>
          <w:szCs w:val="24"/>
        </w:rPr>
        <w:t>Související druhy č</w:t>
      </w:r>
      <w:r w:rsidR="004D49BF" w:rsidRPr="00B175FB">
        <w:rPr>
          <w:rFonts w:eastAsia="Times New Roman"/>
          <w:b/>
          <w:i/>
          <w:noProof/>
          <w:szCs w:val="24"/>
        </w:rPr>
        <w:t>i</w:t>
      </w:r>
      <w:r w:rsidRPr="00B175FB">
        <w:rPr>
          <w:rFonts w:eastAsia="Times New Roman"/>
          <w:b/>
          <w:i/>
          <w:noProof/>
          <w:szCs w:val="24"/>
        </w:rPr>
        <w:t xml:space="preserve">nností </w:t>
      </w:r>
      <w:r w:rsidRPr="00B175FB">
        <w:rPr>
          <w:rFonts w:eastAsia="Times New Roman"/>
          <w:i/>
          <w:noProof/>
          <w:szCs w:val="24"/>
        </w:rPr>
        <w:t xml:space="preserve"> 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4C55F4" w:rsidRPr="00B175FB" w:rsidTr="0015017F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FDD" w:rsidRDefault="00BA4E74" w:rsidP="00C00FDD">
            <w:pPr>
              <w:spacing w:line="276" w:lineRule="auto"/>
              <w:jc w:val="both"/>
              <w:rPr>
                <w:rFonts w:eastAsia="Times New Roman"/>
                <w:sz w:val="22"/>
                <w:szCs w:val="24"/>
              </w:rPr>
            </w:pPr>
            <w:r w:rsidRPr="00B175FB">
              <w:rPr>
                <w:rFonts w:eastAsia="Times New Roman"/>
                <w:sz w:val="22"/>
                <w:szCs w:val="24"/>
              </w:rPr>
              <w:t>S ohledem na měnící se prostředí a společenský vývoj je třeba v rámci podpory</w:t>
            </w:r>
            <w:r w:rsidR="004A5E5A">
              <w:rPr>
                <w:rFonts w:eastAsia="Times New Roman"/>
                <w:sz w:val="22"/>
                <w:szCs w:val="24"/>
              </w:rPr>
              <w:t xml:space="preserve"> celoživotního učení a s ním spojeného</w:t>
            </w:r>
            <w:r w:rsidRPr="00B175FB">
              <w:rPr>
                <w:rFonts w:eastAsia="Times New Roman"/>
                <w:sz w:val="22"/>
                <w:szCs w:val="24"/>
              </w:rPr>
              <w:t xml:space="preserve"> dalšího vzdělávání reflektovat oblast občanského vzdělávání, jehož cílem je vybavit občana kompetencemi potřebnými pro</w:t>
            </w:r>
            <w:r w:rsidR="00195C8D" w:rsidRPr="00B175FB">
              <w:rPr>
                <w:rFonts w:eastAsia="Times New Roman"/>
                <w:sz w:val="22"/>
                <w:szCs w:val="24"/>
              </w:rPr>
              <w:t> </w:t>
            </w:r>
            <w:r w:rsidRPr="00B175FB">
              <w:rPr>
                <w:rFonts w:eastAsia="Times New Roman"/>
                <w:sz w:val="22"/>
                <w:szCs w:val="24"/>
              </w:rPr>
              <w:t>zodpovědný život v demokratické společnosti, tj.</w:t>
            </w:r>
            <w:r w:rsidR="006E3D10">
              <w:rPr>
                <w:rFonts w:eastAsia="Times New Roman"/>
                <w:sz w:val="22"/>
                <w:szCs w:val="24"/>
              </w:rPr>
              <w:t xml:space="preserve"> dovednostmi i znalostmi k zastá</w:t>
            </w:r>
            <w:r w:rsidRPr="00B175FB">
              <w:rPr>
                <w:rFonts w:eastAsia="Times New Roman"/>
                <w:sz w:val="22"/>
                <w:szCs w:val="24"/>
              </w:rPr>
              <w:t>vání a prosazování demokratických hodnot a postojů. Občanské vzdělávání má lidi vést k vzáj</w:t>
            </w:r>
            <w:r w:rsidR="00E11AC7" w:rsidRPr="00B175FB">
              <w:rPr>
                <w:rFonts w:eastAsia="Times New Roman"/>
                <w:sz w:val="22"/>
                <w:szCs w:val="24"/>
              </w:rPr>
              <w:t>emnému respektu a toleranci, ke </w:t>
            </w:r>
            <w:r w:rsidRPr="00B175FB">
              <w:rPr>
                <w:rFonts w:eastAsia="Times New Roman"/>
                <w:sz w:val="22"/>
                <w:szCs w:val="24"/>
              </w:rPr>
              <w:t xml:space="preserve">kritickému myšlení a k aktivnímu zájmu o věci veřejné a život kolem sebe. </w:t>
            </w:r>
            <w:r w:rsidR="00102EB2" w:rsidRPr="00B175FB">
              <w:rPr>
                <w:rFonts w:eastAsia="Times New Roman"/>
                <w:sz w:val="22"/>
                <w:szCs w:val="24"/>
              </w:rPr>
              <w:t>Jde</w:t>
            </w:r>
            <w:r w:rsidR="006E3D10">
              <w:rPr>
                <w:rFonts w:eastAsia="Times New Roman"/>
                <w:sz w:val="22"/>
                <w:szCs w:val="24"/>
              </w:rPr>
              <w:t xml:space="preserve"> tedy o </w:t>
            </w:r>
            <w:r w:rsidRPr="00B175FB">
              <w:rPr>
                <w:rFonts w:eastAsia="Times New Roman"/>
                <w:sz w:val="22"/>
                <w:szCs w:val="24"/>
              </w:rPr>
              <w:t>schopnost jednat jako zodpovědný občan a plně se podílet na občanském a společenském životě na základě porozumění sociálním</w:t>
            </w:r>
            <w:r w:rsidR="00102EB2" w:rsidRPr="00B175FB">
              <w:rPr>
                <w:rFonts w:eastAsia="Times New Roman"/>
                <w:sz w:val="22"/>
                <w:szCs w:val="24"/>
              </w:rPr>
              <w:t>,</w:t>
            </w:r>
            <w:r w:rsidRPr="00B175FB">
              <w:rPr>
                <w:rFonts w:eastAsia="Times New Roman"/>
                <w:sz w:val="22"/>
                <w:szCs w:val="24"/>
              </w:rPr>
              <w:t xml:space="preserve"> ekonomickým, právním a politickým pojmům a strukturám, jakož i celosvětovému vývoji a</w:t>
            </w:r>
            <w:r w:rsidR="00102EB2" w:rsidRPr="00B175FB">
              <w:rPr>
                <w:rFonts w:eastAsia="Times New Roman"/>
                <w:sz w:val="22"/>
                <w:szCs w:val="24"/>
              </w:rPr>
              <w:t> </w:t>
            </w:r>
            <w:r w:rsidRPr="00B175FB">
              <w:rPr>
                <w:rFonts w:eastAsia="Times New Roman"/>
                <w:sz w:val="22"/>
                <w:szCs w:val="24"/>
              </w:rPr>
              <w:t>udržitelnosti</w:t>
            </w:r>
            <w:r w:rsidR="00102EB2" w:rsidRPr="00B175FB">
              <w:rPr>
                <w:rFonts w:eastAsia="Times New Roman"/>
                <w:sz w:val="22"/>
                <w:szCs w:val="24"/>
              </w:rPr>
              <w:t>. Podstatn</w:t>
            </w:r>
            <w:r w:rsidR="00B47655">
              <w:rPr>
                <w:rFonts w:eastAsia="Times New Roman"/>
                <w:sz w:val="22"/>
                <w:szCs w:val="24"/>
              </w:rPr>
              <w:t>á</w:t>
            </w:r>
            <w:r w:rsidR="00102EB2" w:rsidRPr="00B175FB">
              <w:rPr>
                <w:rFonts w:eastAsia="Times New Roman"/>
                <w:sz w:val="22"/>
                <w:szCs w:val="24"/>
              </w:rPr>
              <w:t xml:space="preserve"> j</w:t>
            </w:r>
            <w:r w:rsidR="00B47655">
              <w:rPr>
                <w:rFonts w:eastAsia="Times New Roman"/>
                <w:sz w:val="22"/>
                <w:szCs w:val="24"/>
              </w:rPr>
              <w:t>e</w:t>
            </w:r>
            <w:r w:rsidR="00102EB2" w:rsidRPr="00B175FB">
              <w:rPr>
                <w:rFonts w:eastAsia="Times New Roman"/>
                <w:sz w:val="22"/>
                <w:szCs w:val="24"/>
              </w:rPr>
              <w:t xml:space="preserve"> též</w:t>
            </w:r>
            <w:r w:rsidRPr="00B175FB">
              <w:rPr>
                <w:rFonts w:eastAsia="Times New Roman"/>
                <w:sz w:val="22"/>
                <w:szCs w:val="24"/>
              </w:rPr>
              <w:t xml:space="preserve"> mediální </w:t>
            </w:r>
            <w:r w:rsidR="00B47655">
              <w:rPr>
                <w:rFonts w:eastAsia="Times New Roman"/>
                <w:sz w:val="22"/>
                <w:szCs w:val="24"/>
              </w:rPr>
              <w:t>a digitální</w:t>
            </w:r>
            <w:r w:rsidRPr="00B175FB">
              <w:rPr>
                <w:rFonts w:eastAsia="Times New Roman"/>
                <w:sz w:val="22"/>
                <w:szCs w:val="24"/>
              </w:rPr>
              <w:t xml:space="preserve"> gramotnost, schopnost uvažovat o sobě, účinně nakládat s</w:t>
            </w:r>
            <w:r w:rsidR="006E3D10">
              <w:rPr>
                <w:rFonts w:eastAsia="Times New Roman"/>
                <w:sz w:val="22"/>
                <w:szCs w:val="24"/>
              </w:rPr>
              <w:t> </w:t>
            </w:r>
            <w:r w:rsidRPr="00B175FB">
              <w:rPr>
                <w:rFonts w:eastAsia="Times New Roman"/>
                <w:sz w:val="22"/>
                <w:szCs w:val="24"/>
              </w:rPr>
              <w:t xml:space="preserve">časem a informacemi, spolupracovat v týmech a disponovat povědomím o rozmanitosti a kulturních identitách v Evropě a ve světě. V rámci realizace podpory občanského vzdělávání bude využita </w:t>
            </w:r>
            <w:r w:rsidR="00102EB2" w:rsidRPr="00B175FB">
              <w:rPr>
                <w:rFonts w:eastAsia="Times New Roman"/>
                <w:sz w:val="22"/>
                <w:szCs w:val="24"/>
              </w:rPr>
              <w:t xml:space="preserve">nejen </w:t>
            </w:r>
            <w:r w:rsidRPr="00B175FB">
              <w:rPr>
                <w:rFonts w:eastAsia="Times New Roman"/>
                <w:sz w:val="22"/>
                <w:szCs w:val="24"/>
              </w:rPr>
              <w:t>kapacita poskytovatelů v podobě škol (včetně VŠ), školských zařízení, ale například i</w:t>
            </w:r>
            <w:r w:rsidR="001C3D71" w:rsidRPr="00B175FB">
              <w:rPr>
                <w:rFonts w:eastAsia="Times New Roman"/>
                <w:sz w:val="22"/>
                <w:szCs w:val="24"/>
              </w:rPr>
              <w:t xml:space="preserve"> dalších</w:t>
            </w:r>
            <w:r w:rsidRPr="00B175FB">
              <w:rPr>
                <w:rFonts w:eastAsia="Times New Roman"/>
                <w:sz w:val="22"/>
                <w:szCs w:val="24"/>
              </w:rPr>
              <w:t xml:space="preserve"> </w:t>
            </w:r>
            <w:r w:rsidR="001C3D71" w:rsidRPr="00B175FB">
              <w:rPr>
                <w:rFonts w:eastAsia="Times New Roman"/>
                <w:sz w:val="22"/>
                <w:szCs w:val="24"/>
              </w:rPr>
              <w:t>příspěvkových organizací územních samosprávných celků.</w:t>
            </w:r>
            <w:r w:rsidR="009A6908">
              <w:rPr>
                <w:rFonts w:eastAsia="Times New Roman"/>
                <w:sz w:val="22"/>
                <w:szCs w:val="24"/>
              </w:rPr>
              <w:t xml:space="preserve"> </w:t>
            </w:r>
            <w:r w:rsidR="00C00FDD">
              <w:rPr>
                <w:rFonts w:eastAsia="Times New Roman"/>
                <w:sz w:val="22"/>
                <w:szCs w:val="24"/>
              </w:rPr>
              <w:t>S ohledem na měnící se potřeby trhu práce bude</w:t>
            </w:r>
            <w:r w:rsidR="00CF6504">
              <w:rPr>
                <w:rFonts w:eastAsia="Times New Roman"/>
                <w:sz w:val="22"/>
                <w:szCs w:val="24"/>
              </w:rPr>
              <w:t xml:space="preserve"> podpora cílit rovněž na</w:t>
            </w:r>
            <w:r w:rsidR="00C00FDD">
              <w:rPr>
                <w:rFonts w:eastAsia="Times New Roman"/>
                <w:sz w:val="22"/>
                <w:szCs w:val="24"/>
              </w:rPr>
              <w:t xml:space="preserve"> specifick</w:t>
            </w:r>
            <w:r w:rsidR="00CF6504">
              <w:rPr>
                <w:rFonts w:eastAsia="Times New Roman"/>
                <w:sz w:val="22"/>
                <w:szCs w:val="24"/>
              </w:rPr>
              <w:t xml:space="preserve">ý nástroj </w:t>
            </w:r>
            <w:r w:rsidR="00C00FDD">
              <w:rPr>
                <w:rFonts w:eastAsia="Times New Roman"/>
                <w:sz w:val="22"/>
                <w:szCs w:val="24"/>
              </w:rPr>
              <w:t>celoživotního učení</w:t>
            </w:r>
            <w:r w:rsidR="00C0334A">
              <w:rPr>
                <w:rFonts w:eastAsia="Times New Roman"/>
                <w:sz w:val="22"/>
                <w:szCs w:val="24"/>
              </w:rPr>
              <w:t xml:space="preserve"> zajišťovaný </w:t>
            </w:r>
            <w:r w:rsidR="00E16DB6">
              <w:rPr>
                <w:rFonts w:eastAsia="Times New Roman"/>
                <w:sz w:val="22"/>
                <w:szCs w:val="24"/>
              </w:rPr>
              <w:t>VŠ</w:t>
            </w:r>
            <w:r w:rsidR="00C0334A">
              <w:rPr>
                <w:rFonts w:eastAsia="Times New Roman"/>
                <w:sz w:val="22"/>
                <w:szCs w:val="24"/>
              </w:rPr>
              <w:t>, tzv.</w:t>
            </w:r>
            <w:r w:rsidR="00C00FDD" w:rsidDel="00C0334A">
              <w:rPr>
                <w:rFonts w:eastAsia="Times New Roman"/>
                <w:sz w:val="22"/>
                <w:szCs w:val="24"/>
              </w:rPr>
              <w:t xml:space="preserve"> </w:t>
            </w:r>
            <w:r w:rsidR="00094977">
              <w:rPr>
                <w:rFonts w:eastAsia="Times New Roman"/>
                <w:sz w:val="22"/>
                <w:szCs w:val="24"/>
              </w:rPr>
              <w:t>CŽV</w:t>
            </w:r>
            <w:r w:rsidR="00C0334A">
              <w:rPr>
                <w:rFonts w:eastAsia="Times New Roman"/>
                <w:sz w:val="22"/>
                <w:szCs w:val="24"/>
              </w:rPr>
              <w:t>.</w:t>
            </w:r>
            <w:r w:rsidR="008242C6">
              <w:rPr>
                <w:rFonts w:eastAsia="Times New Roman"/>
                <w:sz w:val="22"/>
                <w:szCs w:val="24"/>
              </w:rPr>
              <w:t xml:space="preserve"> </w:t>
            </w:r>
            <w:r w:rsidR="00C00FDD">
              <w:rPr>
                <w:rFonts w:eastAsia="Times New Roman"/>
                <w:sz w:val="22"/>
                <w:szCs w:val="24"/>
              </w:rPr>
              <w:t xml:space="preserve">Na </w:t>
            </w:r>
            <w:r w:rsidR="00E16DB6">
              <w:rPr>
                <w:rFonts w:eastAsia="Times New Roman"/>
                <w:sz w:val="22"/>
                <w:szCs w:val="24"/>
              </w:rPr>
              <w:t>VŠ</w:t>
            </w:r>
            <w:r w:rsidR="00C00FDD">
              <w:rPr>
                <w:rFonts w:eastAsia="Times New Roman"/>
                <w:sz w:val="22"/>
                <w:szCs w:val="24"/>
              </w:rPr>
              <w:t xml:space="preserve"> budou</w:t>
            </w:r>
            <w:r w:rsidR="00C0334A">
              <w:rPr>
                <w:rFonts w:eastAsia="Times New Roman"/>
                <w:sz w:val="22"/>
                <w:szCs w:val="24"/>
              </w:rPr>
              <w:t xml:space="preserve"> v rámci podpory celoživotního učení</w:t>
            </w:r>
            <w:r w:rsidR="00C00FDD">
              <w:rPr>
                <w:rFonts w:eastAsia="Times New Roman"/>
                <w:sz w:val="22"/>
                <w:szCs w:val="24"/>
              </w:rPr>
              <w:t xml:space="preserve"> také podporovány tzv. univerzity třetího věku. </w:t>
            </w:r>
            <w:r w:rsidR="00970F9B">
              <w:rPr>
                <w:rFonts w:eastAsia="Times New Roman"/>
                <w:sz w:val="22"/>
                <w:szCs w:val="24"/>
              </w:rPr>
              <w:t>Na</w:t>
            </w:r>
            <w:r w:rsidR="005C68AB">
              <w:rPr>
                <w:rFonts w:eastAsia="Times New Roman"/>
                <w:sz w:val="22"/>
                <w:szCs w:val="24"/>
              </w:rPr>
              <w:t xml:space="preserve"> </w:t>
            </w:r>
            <w:r w:rsidR="00E16DB6">
              <w:rPr>
                <w:rFonts w:eastAsia="Times New Roman"/>
                <w:sz w:val="22"/>
                <w:szCs w:val="24"/>
              </w:rPr>
              <w:t>VŠ</w:t>
            </w:r>
            <w:r w:rsidR="005C68AB">
              <w:rPr>
                <w:rFonts w:eastAsia="Times New Roman"/>
                <w:sz w:val="22"/>
                <w:szCs w:val="24"/>
              </w:rPr>
              <w:t xml:space="preserve"> je </w:t>
            </w:r>
            <w:r w:rsidR="00970F9B">
              <w:rPr>
                <w:rFonts w:eastAsia="Times New Roman"/>
                <w:sz w:val="22"/>
                <w:szCs w:val="24"/>
              </w:rPr>
              <w:t xml:space="preserve">též nutné podpořit </w:t>
            </w:r>
            <w:r w:rsidR="00C00FDD">
              <w:rPr>
                <w:rFonts w:eastAsia="Times New Roman"/>
                <w:sz w:val="22"/>
                <w:szCs w:val="24"/>
              </w:rPr>
              <w:t>relevantní materiální zajištění těchto programů a kurzů</w:t>
            </w:r>
            <w:r w:rsidR="00750B37">
              <w:rPr>
                <w:rFonts w:eastAsia="Times New Roman"/>
                <w:sz w:val="22"/>
                <w:szCs w:val="24"/>
              </w:rPr>
              <w:t>.</w:t>
            </w:r>
          </w:p>
          <w:p w:rsidR="00116335" w:rsidRDefault="009A6908">
            <w:pPr>
              <w:spacing w:line="276" w:lineRule="auto"/>
              <w:jc w:val="both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 w:val="22"/>
                <w:szCs w:val="24"/>
              </w:rPr>
              <w:t>Předmětem podpory bude nejen</w:t>
            </w:r>
            <w:r w:rsidR="00C0334A">
              <w:rPr>
                <w:rFonts w:eastAsia="Times New Roman"/>
                <w:sz w:val="22"/>
                <w:szCs w:val="24"/>
              </w:rPr>
              <w:t xml:space="preserve"> rozvoj prostředí pro celoživotní učení</w:t>
            </w:r>
            <w:r>
              <w:rPr>
                <w:rFonts w:eastAsia="Times New Roman"/>
                <w:sz w:val="22"/>
                <w:szCs w:val="24"/>
              </w:rPr>
              <w:t xml:space="preserve"> </w:t>
            </w:r>
            <w:r w:rsidR="00C0334A">
              <w:rPr>
                <w:rFonts w:eastAsia="Times New Roman"/>
                <w:sz w:val="22"/>
                <w:szCs w:val="24"/>
              </w:rPr>
              <w:t xml:space="preserve">(např. </w:t>
            </w:r>
            <w:r>
              <w:rPr>
                <w:rFonts w:eastAsia="Times New Roman"/>
                <w:sz w:val="22"/>
                <w:szCs w:val="24"/>
              </w:rPr>
              <w:t>v</w:t>
            </w:r>
            <w:r w:rsidR="00C0334A">
              <w:rPr>
                <w:rFonts w:eastAsia="Times New Roman"/>
                <w:sz w:val="22"/>
                <w:szCs w:val="24"/>
              </w:rPr>
              <w:t>z</w:t>
            </w:r>
            <w:r>
              <w:rPr>
                <w:rFonts w:eastAsia="Times New Roman"/>
                <w:sz w:val="22"/>
                <w:szCs w:val="24"/>
              </w:rPr>
              <w:t>nik nových kurzů a programů</w:t>
            </w:r>
            <w:r w:rsidR="00C0334A">
              <w:rPr>
                <w:rFonts w:eastAsia="Times New Roman"/>
                <w:sz w:val="22"/>
                <w:szCs w:val="24"/>
              </w:rPr>
              <w:t>)</w:t>
            </w:r>
            <w:r>
              <w:rPr>
                <w:rFonts w:eastAsia="Times New Roman"/>
                <w:sz w:val="22"/>
                <w:szCs w:val="24"/>
              </w:rPr>
              <w:t xml:space="preserve">, ale také </w:t>
            </w:r>
            <w:r w:rsidR="00C0334A">
              <w:rPr>
                <w:rFonts w:eastAsia="Times New Roman"/>
                <w:sz w:val="22"/>
                <w:szCs w:val="24"/>
              </w:rPr>
              <w:t xml:space="preserve">přímá </w:t>
            </w:r>
            <w:r>
              <w:rPr>
                <w:rFonts w:eastAsia="Times New Roman"/>
                <w:sz w:val="22"/>
                <w:szCs w:val="24"/>
              </w:rPr>
              <w:t>prác</w:t>
            </w:r>
            <w:r w:rsidR="00C0334A">
              <w:rPr>
                <w:rFonts w:eastAsia="Times New Roman"/>
                <w:sz w:val="22"/>
                <w:szCs w:val="24"/>
              </w:rPr>
              <w:t>e</w:t>
            </w:r>
            <w:r>
              <w:rPr>
                <w:rFonts w:eastAsia="Times New Roman"/>
                <w:sz w:val="22"/>
                <w:szCs w:val="24"/>
              </w:rPr>
              <w:t xml:space="preserve"> se</w:t>
            </w:r>
            <w:r w:rsidR="00C00FDD">
              <w:rPr>
                <w:rFonts w:eastAsia="Times New Roman"/>
                <w:sz w:val="22"/>
                <w:szCs w:val="24"/>
              </w:rPr>
              <w:t xml:space="preserve"> specifickou cílovou skupinou</w:t>
            </w:r>
            <w:r w:rsidR="004932B7">
              <w:rPr>
                <w:rFonts w:eastAsia="Times New Roman"/>
                <w:sz w:val="22"/>
                <w:szCs w:val="24"/>
              </w:rPr>
              <w:t xml:space="preserve"> (např. lidé s ukončeným vysokoškolským vzděláním v případě programů </w:t>
            </w:r>
            <w:r w:rsidR="00094977">
              <w:rPr>
                <w:rFonts w:eastAsia="Times New Roman"/>
                <w:sz w:val="22"/>
                <w:szCs w:val="24"/>
              </w:rPr>
              <w:t>CŽV</w:t>
            </w:r>
            <w:r w:rsidR="004932B7">
              <w:rPr>
                <w:rFonts w:eastAsia="Times New Roman"/>
                <w:sz w:val="22"/>
                <w:szCs w:val="24"/>
              </w:rPr>
              <w:t xml:space="preserve"> na </w:t>
            </w:r>
            <w:r w:rsidR="00E16DB6">
              <w:rPr>
                <w:rFonts w:eastAsia="Times New Roman"/>
                <w:sz w:val="22"/>
                <w:szCs w:val="24"/>
              </w:rPr>
              <w:t>VŠ</w:t>
            </w:r>
            <w:r w:rsidR="00C92605" w:rsidRPr="00A65B44">
              <w:rPr>
                <w:rStyle w:val="Znakapoznpodarou"/>
                <w:rFonts w:eastAsia="Times New Roman"/>
                <w:b w:val="0"/>
                <w:bCs/>
                <w:sz w:val="22"/>
                <w:szCs w:val="24"/>
              </w:rPr>
              <w:footnoteReference w:id="81"/>
            </w:r>
            <w:r w:rsidR="009273BA">
              <w:rPr>
                <w:rFonts w:eastAsia="Times New Roman"/>
                <w:sz w:val="22"/>
                <w:szCs w:val="24"/>
              </w:rPr>
              <w:t>,</w:t>
            </w:r>
            <w:r w:rsidR="004932B7">
              <w:rPr>
                <w:rFonts w:eastAsia="Times New Roman"/>
                <w:sz w:val="22"/>
                <w:szCs w:val="24"/>
              </w:rPr>
              <w:t xml:space="preserve"> lidé v důchodovém věku v případě univerzit třetího věku apod</w:t>
            </w:r>
            <w:r w:rsidR="00C00FDD">
              <w:rPr>
                <w:rFonts w:eastAsia="Times New Roman"/>
                <w:sz w:val="22"/>
                <w:szCs w:val="24"/>
              </w:rPr>
              <w:t>.</w:t>
            </w:r>
            <w:r w:rsidR="004932B7">
              <w:rPr>
                <w:rFonts w:eastAsia="Times New Roman"/>
                <w:sz w:val="22"/>
                <w:szCs w:val="24"/>
              </w:rPr>
              <w:t>)</w:t>
            </w:r>
            <w:r w:rsidR="00C0334A">
              <w:rPr>
                <w:rFonts w:eastAsia="Times New Roman"/>
                <w:sz w:val="22"/>
                <w:szCs w:val="24"/>
              </w:rPr>
              <w:t>.</w:t>
            </w:r>
          </w:p>
          <w:p w:rsidR="005C68AB" w:rsidRPr="00B175FB" w:rsidRDefault="004932B7" w:rsidP="001E56DC">
            <w:pPr>
              <w:spacing w:line="276" w:lineRule="auto"/>
              <w:jc w:val="both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 w:val="22"/>
                <w:szCs w:val="24"/>
              </w:rPr>
              <w:t>Koncept c</w:t>
            </w:r>
            <w:r w:rsidR="00116335">
              <w:rPr>
                <w:rFonts w:eastAsia="Times New Roman"/>
                <w:sz w:val="22"/>
                <w:szCs w:val="24"/>
              </w:rPr>
              <w:t>eloživotní</w:t>
            </w:r>
            <w:r w:rsidR="009B0561">
              <w:rPr>
                <w:rFonts w:eastAsia="Times New Roman"/>
                <w:sz w:val="22"/>
                <w:szCs w:val="24"/>
              </w:rPr>
              <w:t>ho</w:t>
            </w:r>
            <w:r w:rsidR="00116335">
              <w:rPr>
                <w:rFonts w:eastAsia="Times New Roman"/>
                <w:sz w:val="22"/>
                <w:szCs w:val="24"/>
              </w:rPr>
              <w:t xml:space="preserve"> učení bude </w:t>
            </w:r>
            <w:r>
              <w:rPr>
                <w:rFonts w:eastAsia="Times New Roman"/>
                <w:sz w:val="22"/>
                <w:szCs w:val="24"/>
              </w:rPr>
              <w:t>naplňován</w:t>
            </w:r>
            <w:r w:rsidR="00116335">
              <w:rPr>
                <w:rFonts w:eastAsia="Times New Roman"/>
                <w:sz w:val="22"/>
                <w:szCs w:val="24"/>
              </w:rPr>
              <w:t xml:space="preserve"> </w:t>
            </w:r>
            <w:r>
              <w:rPr>
                <w:rFonts w:eastAsia="Times New Roman"/>
                <w:sz w:val="22"/>
                <w:szCs w:val="24"/>
              </w:rPr>
              <w:t>zejména pomocí</w:t>
            </w:r>
            <w:r w:rsidR="00116335">
              <w:rPr>
                <w:rFonts w:eastAsia="Times New Roman"/>
                <w:sz w:val="22"/>
                <w:szCs w:val="24"/>
              </w:rPr>
              <w:t xml:space="preserve"> </w:t>
            </w:r>
            <w:r w:rsidR="0010434C">
              <w:rPr>
                <w:rFonts w:eastAsia="Times New Roman"/>
                <w:sz w:val="22"/>
                <w:szCs w:val="24"/>
              </w:rPr>
              <w:t>programů/kurzů</w:t>
            </w:r>
            <w:r w:rsidR="00CA6F61">
              <w:rPr>
                <w:rFonts w:eastAsia="Times New Roman"/>
                <w:sz w:val="22"/>
                <w:szCs w:val="24"/>
              </w:rPr>
              <w:t>/škol</w:t>
            </w:r>
            <w:r w:rsidR="00A52810">
              <w:rPr>
                <w:rFonts w:eastAsia="Times New Roman"/>
                <w:sz w:val="22"/>
                <w:szCs w:val="24"/>
              </w:rPr>
              <w:t>e</w:t>
            </w:r>
            <w:r w:rsidR="00CA6F61">
              <w:rPr>
                <w:rFonts w:eastAsia="Times New Roman"/>
                <w:sz w:val="22"/>
                <w:szCs w:val="24"/>
              </w:rPr>
              <w:t xml:space="preserve">ní </w:t>
            </w:r>
            <w:r w:rsidR="00116335">
              <w:rPr>
                <w:rFonts w:eastAsia="Times New Roman"/>
                <w:sz w:val="22"/>
                <w:szCs w:val="24"/>
              </w:rPr>
              <w:t>občans</w:t>
            </w:r>
            <w:r>
              <w:rPr>
                <w:rFonts w:eastAsia="Times New Roman"/>
                <w:sz w:val="22"/>
                <w:szCs w:val="24"/>
              </w:rPr>
              <w:t>kého</w:t>
            </w:r>
            <w:r w:rsidR="00116335">
              <w:rPr>
                <w:rFonts w:eastAsia="Times New Roman"/>
                <w:sz w:val="22"/>
                <w:szCs w:val="24"/>
              </w:rPr>
              <w:t xml:space="preserve"> vzdělávání</w:t>
            </w:r>
            <w:r w:rsidR="0010434C">
              <w:rPr>
                <w:rFonts w:eastAsia="Times New Roman"/>
                <w:sz w:val="22"/>
                <w:szCs w:val="24"/>
              </w:rPr>
              <w:t>,</w:t>
            </w:r>
            <w:r w:rsidR="00B25463">
              <w:rPr>
                <w:rFonts w:eastAsia="Times New Roman"/>
                <w:sz w:val="22"/>
                <w:szCs w:val="24"/>
              </w:rPr>
              <w:t xml:space="preserve"> </w:t>
            </w:r>
            <w:r w:rsidR="00094977">
              <w:rPr>
                <w:rFonts w:eastAsia="Times New Roman"/>
                <w:sz w:val="22"/>
                <w:szCs w:val="24"/>
              </w:rPr>
              <w:t>CŽV</w:t>
            </w:r>
            <w:r w:rsidR="007D36DA">
              <w:rPr>
                <w:rFonts w:eastAsia="Times New Roman"/>
                <w:sz w:val="22"/>
                <w:szCs w:val="24"/>
              </w:rPr>
              <w:t xml:space="preserve"> a</w:t>
            </w:r>
            <w:r w:rsidR="00766228">
              <w:rPr>
                <w:rFonts w:eastAsia="Times New Roman"/>
                <w:sz w:val="22"/>
                <w:szCs w:val="24"/>
              </w:rPr>
              <w:t xml:space="preserve"> </w:t>
            </w:r>
            <w:r w:rsidR="00116335">
              <w:rPr>
                <w:rFonts w:eastAsia="Times New Roman"/>
                <w:sz w:val="22"/>
                <w:szCs w:val="24"/>
              </w:rPr>
              <w:t>univerzit třetího věku</w:t>
            </w:r>
            <w:r w:rsidR="007D36DA">
              <w:rPr>
                <w:rFonts w:eastAsia="Times New Roman"/>
                <w:sz w:val="22"/>
                <w:szCs w:val="24"/>
              </w:rPr>
              <w:t xml:space="preserve">. </w:t>
            </w:r>
            <w:r w:rsidR="0027749E">
              <w:rPr>
                <w:rFonts w:eastAsia="Times New Roman"/>
                <w:sz w:val="22"/>
                <w:szCs w:val="24"/>
              </w:rPr>
              <w:t xml:space="preserve">Prostřednictvím podpory </w:t>
            </w:r>
            <w:r w:rsidR="0099020E">
              <w:rPr>
                <w:rFonts w:eastAsia="Times New Roman"/>
                <w:sz w:val="22"/>
                <w:szCs w:val="24"/>
              </w:rPr>
              <w:t>celoživotního uč</w:t>
            </w:r>
            <w:r w:rsidR="00D95B8D">
              <w:rPr>
                <w:rFonts w:eastAsia="Times New Roman"/>
                <w:sz w:val="22"/>
                <w:szCs w:val="24"/>
              </w:rPr>
              <w:t>e</w:t>
            </w:r>
            <w:r w:rsidR="0099020E">
              <w:rPr>
                <w:rFonts w:eastAsia="Times New Roman"/>
                <w:sz w:val="22"/>
                <w:szCs w:val="24"/>
              </w:rPr>
              <w:t>ní</w:t>
            </w:r>
            <w:r w:rsidR="0027749E">
              <w:rPr>
                <w:rFonts w:eastAsia="Times New Roman"/>
                <w:sz w:val="22"/>
                <w:szCs w:val="24"/>
              </w:rPr>
              <w:t xml:space="preserve"> na VŠ dojde rovněž k posílení</w:t>
            </w:r>
            <w:r w:rsidR="007D36DA">
              <w:rPr>
                <w:rFonts w:eastAsia="Times New Roman"/>
                <w:sz w:val="22"/>
                <w:szCs w:val="24"/>
              </w:rPr>
              <w:t xml:space="preserve"> </w:t>
            </w:r>
            <w:r w:rsidR="00766228">
              <w:rPr>
                <w:rFonts w:eastAsia="Times New Roman"/>
                <w:sz w:val="22"/>
                <w:szCs w:val="24"/>
              </w:rPr>
              <w:t>třetí role univerzit</w:t>
            </w:r>
            <w:r w:rsidR="000D0692">
              <w:rPr>
                <w:rFonts w:eastAsia="Times New Roman"/>
                <w:sz w:val="22"/>
                <w:szCs w:val="24"/>
              </w:rPr>
              <w:t>.</w:t>
            </w:r>
          </w:p>
          <w:p w:rsidR="00705D51" w:rsidRPr="00B175FB" w:rsidRDefault="00705D51" w:rsidP="0015017F">
            <w:pPr>
              <w:spacing w:line="276" w:lineRule="auto"/>
              <w:jc w:val="both"/>
              <w:rPr>
                <w:rFonts w:eastAsia="Times New Roman"/>
                <w:b/>
                <w:sz w:val="22"/>
                <w:szCs w:val="24"/>
              </w:rPr>
            </w:pPr>
            <w:r w:rsidRPr="00B175FB">
              <w:rPr>
                <w:rFonts w:eastAsia="Times New Roman"/>
                <w:b/>
                <w:sz w:val="22"/>
                <w:szCs w:val="24"/>
              </w:rPr>
              <w:t>Výsledkem intervencí bude:</w:t>
            </w:r>
          </w:p>
          <w:p w:rsidR="00096792" w:rsidRPr="00B175FB" w:rsidRDefault="009776C6" w:rsidP="006A2F6A">
            <w:pPr>
              <w:pStyle w:val="Odstavecseseznamem"/>
              <w:numPr>
                <w:ilvl w:val="0"/>
                <w:numId w:val="62"/>
              </w:numPr>
              <w:spacing w:line="276" w:lineRule="auto"/>
              <w:jc w:val="both"/>
              <w:rPr>
                <w:rFonts w:eastAsia="Times New Roman"/>
                <w:sz w:val="22"/>
                <w:szCs w:val="24"/>
              </w:rPr>
            </w:pPr>
            <w:r w:rsidRPr="00B175FB">
              <w:rPr>
                <w:rFonts w:eastAsia="Times New Roman"/>
                <w:sz w:val="22"/>
                <w:szCs w:val="24"/>
              </w:rPr>
              <w:t>z</w:t>
            </w:r>
            <w:r w:rsidR="00096792" w:rsidRPr="00B175FB">
              <w:rPr>
                <w:rFonts w:eastAsia="Times New Roman"/>
                <w:sz w:val="22"/>
                <w:szCs w:val="24"/>
              </w:rPr>
              <w:t>výšení počtu</w:t>
            </w:r>
            <w:r w:rsidR="002A076C" w:rsidRPr="00B175FB">
              <w:rPr>
                <w:rFonts w:eastAsia="Times New Roman"/>
                <w:sz w:val="22"/>
                <w:szCs w:val="24"/>
              </w:rPr>
              <w:t xml:space="preserve"> a dostupnosti</w:t>
            </w:r>
            <w:r w:rsidR="00096792" w:rsidRPr="00B175FB">
              <w:rPr>
                <w:rFonts w:eastAsia="Times New Roman"/>
                <w:sz w:val="22"/>
                <w:szCs w:val="24"/>
              </w:rPr>
              <w:t xml:space="preserve"> kurzů</w:t>
            </w:r>
            <w:r w:rsidR="00AB61D5">
              <w:rPr>
                <w:rFonts w:eastAsia="Times New Roman"/>
                <w:sz w:val="22"/>
                <w:szCs w:val="24"/>
              </w:rPr>
              <w:t>/programů</w:t>
            </w:r>
            <w:r w:rsidR="00096792" w:rsidRPr="00B175FB">
              <w:rPr>
                <w:rFonts w:eastAsia="Times New Roman"/>
                <w:sz w:val="22"/>
                <w:szCs w:val="24"/>
              </w:rPr>
              <w:t xml:space="preserve">, které se věnují </w:t>
            </w:r>
            <w:r w:rsidR="00AB61D5">
              <w:rPr>
                <w:rFonts w:eastAsia="Times New Roman"/>
                <w:sz w:val="22"/>
                <w:szCs w:val="24"/>
              </w:rPr>
              <w:t xml:space="preserve">celoživotnímu </w:t>
            </w:r>
            <w:r w:rsidR="00116335">
              <w:rPr>
                <w:rFonts w:eastAsia="Times New Roman"/>
                <w:sz w:val="22"/>
                <w:szCs w:val="24"/>
              </w:rPr>
              <w:t>učení</w:t>
            </w:r>
            <w:r w:rsidRPr="00B175FB">
              <w:rPr>
                <w:rFonts w:eastAsia="Times New Roman"/>
                <w:sz w:val="22"/>
                <w:szCs w:val="24"/>
              </w:rPr>
              <w:t>;</w:t>
            </w:r>
          </w:p>
          <w:p w:rsidR="00292058" w:rsidRPr="00B175FB" w:rsidRDefault="00292058">
            <w:pPr>
              <w:pStyle w:val="Odstavecseseznamem"/>
              <w:numPr>
                <w:ilvl w:val="0"/>
                <w:numId w:val="62"/>
              </w:numPr>
              <w:spacing w:line="276" w:lineRule="auto"/>
              <w:jc w:val="both"/>
              <w:rPr>
                <w:rFonts w:eastAsia="Times New Roman"/>
                <w:iCs/>
                <w:sz w:val="22"/>
                <w:szCs w:val="24"/>
              </w:rPr>
            </w:pPr>
            <w:r w:rsidRPr="00B175FB">
              <w:rPr>
                <w:rFonts w:eastAsia="Times New Roman"/>
                <w:iCs/>
                <w:sz w:val="22"/>
                <w:szCs w:val="24"/>
              </w:rPr>
              <w:t xml:space="preserve">zajištění podmínek pro realizaci </w:t>
            </w:r>
            <w:r w:rsidR="005F6DB5">
              <w:rPr>
                <w:rFonts w:eastAsia="Times New Roman"/>
                <w:iCs/>
                <w:sz w:val="22"/>
                <w:szCs w:val="24"/>
              </w:rPr>
              <w:t xml:space="preserve">kurzů/programů </w:t>
            </w:r>
            <w:r w:rsidR="00AB61D5">
              <w:rPr>
                <w:rFonts w:eastAsia="Times New Roman"/>
                <w:iCs/>
                <w:sz w:val="22"/>
                <w:szCs w:val="24"/>
              </w:rPr>
              <w:t>celoživotního učení</w:t>
            </w:r>
            <w:r w:rsidRPr="00B175FB">
              <w:rPr>
                <w:rFonts w:eastAsia="Times New Roman"/>
                <w:iCs/>
                <w:sz w:val="22"/>
                <w:szCs w:val="24"/>
              </w:rPr>
              <w:t>;</w:t>
            </w:r>
          </w:p>
          <w:p w:rsidR="003874CD" w:rsidRPr="00B175FB" w:rsidRDefault="009776C6">
            <w:pPr>
              <w:pStyle w:val="Odstavecseseznamem"/>
              <w:numPr>
                <w:ilvl w:val="0"/>
                <w:numId w:val="62"/>
              </w:numPr>
              <w:spacing w:line="276" w:lineRule="auto"/>
              <w:jc w:val="both"/>
              <w:rPr>
                <w:rFonts w:eastAsia="Times New Roman"/>
                <w:iCs/>
                <w:sz w:val="22"/>
                <w:szCs w:val="24"/>
              </w:rPr>
            </w:pPr>
            <w:r w:rsidRPr="00B175FB">
              <w:rPr>
                <w:rFonts w:eastAsia="Times New Roman"/>
                <w:iCs/>
                <w:sz w:val="22"/>
                <w:szCs w:val="24"/>
              </w:rPr>
              <w:t>z</w:t>
            </w:r>
            <w:r w:rsidR="003874CD" w:rsidRPr="00B175FB">
              <w:rPr>
                <w:rFonts w:eastAsia="Times New Roman"/>
                <w:iCs/>
                <w:sz w:val="22"/>
                <w:szCs w:val="24"/>
              </w:rPr>
              <w:t xml:space="preserve">výšení kvalifikace osob, které poskytují podporu </w:t>
            </w:r>
            <w:r w:rsidR="00AB61D5">
              <w:rPr>
                <w:rFonts w:eastAsia="Times New Roman"/>
                <w:iCs/>
                <w:sz w:val="22"/>
                <w:szCs w:val="24"/>
              </w:rPr>
              <w:t>nebo se podílejí na výuce v oblasti celoživotního učení.</w:t>
            </w:r>
          </w:p>
          <w:p w:rsidR="00705D51" w:rsidRPr="00B175FB" w:rsidRDefault="00705D51" w:rsidP="0015017F">
            <w:pPr>
              <w:spacing w:line="276" w:lineRule="auto"/>
              <w:jc w:val="both"/>
              <w:rPr>
                <w:rFonts w:eastAsia="Times New Roman"/>
                <w:b/>
                <w:sz w:val="22"/>
                <w:szCs w:val="24"/>
              </w:rPr>
            </w:pPr>
            <w:r w:rsidRPr="00B175FB">
              <w:rPr>
                <w:rFonts w:eastAsia="Times New Roman"/>
                <w:b/>
                <w:sz w:val="22"/>
                <w:szCs w:val="24"/>
              </w:rPr>
              <w:t xml:space="preserve">Příklady </w:t>
            </w:r>
            <w:r w:rsidR="00B46D33" w:rsidRPr="00B175FB">
              <w:rPr>
                <w:rFonts w:eastAsia="Times New Roman"/>
                <w:b/>
                <w:sz w:val="22"/>
                <w:szCs w:val="24"/>
              </w:rPr>
              <w:t xml:space="preserve">typových </w:t>
            </w:r>
            <w:r w:rsidRPr="00B175FB">
              <w:rPr>
                <w:rFonts w:eastAsia="Times New Roman"/>
                <w:b/>
                <w:sz w:val="22"/>
                <w:szCs w:val="24"/>
              </w:rPr>
              <w:t>podporovaných aktivit:</w:t>
            </w:r>
          </w:p>
          <w:p w:rsidR="00096792" w:rsidRDefault="009776C6" w:rsidP="006A2F6A">
            <w:pPr>
              <w:pStyle w:val="Odstavecseseznamem"/>
              <w:numPr>
                <w:ilvl w:val="0"/>
                <w:numId w:val="62"/>
              </w:numPr>
              <w:spacing w:line="276" w:lineRule="auto"/>
              <w:jc w:val="both"/>
              <w:rPr>
                <w:rFonts w:eastAsia="Times New Roman"/>
                <w:sz w:val="22"/>
                <w:szCs w:val="24"/>
              </w:rPr>
            </w:pPr>
            <w:r w:rsidRPr="00B175FB">
              <w:rPr>
                <w:rFonts w:eastAsia="Times New Roman"/>
                <w:sz w:val="22"/>
                <w:szCs w:val="24"/>
              </w:rPr>
              <w:t>r</w:t>
            </w:r>
            <w:r w:rsidR="00096792" w:rsidRPr="00B175FB">
              <w:rPr>
                <w:rFonts w:eastAsia="Times New Roman"/>
                <w:sz w:val="22"/>
                <w:szCs w:val="24"/>
              </w:rPr>
              <w:t xml:space="preserve">ozvoj </w:t>
            </w:r>
            <w:r w:rsidR="002A076C" w:rsidRPr="00B175FB">
              <w:rPr>
                <w:rFonts w:eastAsia="Times New Roman"/>
                <w:sz w:val="22"/>
                <w:szCs w:val="24"/>
              </w:rPr>
              <w:t xml:space="preserve">oblasti </w:t>
            </w:r>
            <w:r w:rsidR="009E06DD" w:rsidRPr="00B175FB">
              <w:rPr>
                <w:rFonts w:eastAsia="Times New Roman"/>
                <w:sz w:val="22"/>
                <w:szCs w:val="24"/>
              </w:rPr>
              <w:t>občanského vzdělávání</w:t>
            </w:r>
            <w:r w:rsidR="001B1523">
              <w:rPr>
                <w:rFonts w:eastAsia="Times New Roman"/>
                <w:sz w:val="22"/>
                <w:szCs w:val="24"/>
              </w:rPr>
              <w:t xml:space="preserve"> a vzdělávání pro udržitelný rozvoj</w:t>
            </w:r>
            <w:r w:rsidRPr="00B175FB">
              <w:rPr>
                <w:rFonts w:eastAsia="Times New Roman"/>
                <w:sz w:val="22"/>
                <w:szCs w:val="24"/>
              </w:rPr>
              <w:t>;</w:t>
            </w:r>
          </w:p>
          <w:p w:rsidR="005C68AB" w:rsidRPr="00B175FB" w:rsidRDefault="005C68AB" w:rsidP="005C68AB">
            <w:pPr>
              <w:pStyle w:val="Odstavecseseznamem"/>
              <w:numPr>
                <w:ilvl w:val="0"/>
                <w:numId w:val="62"/>
              </w:numPr>
              <w:spacing w:line="276" w:lineRule="auto"/>
              <w:jc w:val="both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 w:val="22"/>
                <w:szCs w:val="24"/>
              </w:rPr>
              <w:t xml:space="preserve">školení pracovníků podílejících se na zajištění kurzů a programů </w:t>
            </w:r>
            <w:r w:rsidR="003D5A81">
              <w:rPr>
                <w:rFonts w:eastAsia="Times New Roman"/>
                <w:sz w:val="22"/>
                <w:szCs w:val="24"/>
              </w:rPr>
              <w:t xml:space="preserve">zaměřených na </w:t>
            </w:r>
            <w:r>
              <w:rPr>
                <w:rFonts w:eastAsia="Times New Roman"/>
                <w:sz w:val="22"/>
                <w:szCs w:val="24"/>
              </w:rPr>
              <w:t>celoživotního učení po stránce pedagogické a organizační;</w:t>
            </w:r>
          </w:p>
          <w:p w:rsidR="00292058" w:rsidRPr="00B175FB" w:rsidRDefault="00292058">
            <w:pPr>
              <w:pStyle w:val="Odstavecseseznamem"/>
              <w:numPr>
                <w:ilvl w:val="0"/>
                <w:numId w:val="62"/>
              </w:numPr>
              <w:spacing w:line="276" w:lineRule="auto"/>
              <w:jc w:val="both"/>
              <w:rPr>
                <w:rFonts w:eastAsia="Times New Roman"/>
                <w:iCs/>
                <w:sz w:val="22"/>
                <w:szCs w:val="24"/>
              </w:rPr>
            </w:pPr>
            <w:r w:rsidRPr="00B175FB">
              <w:rPr>
                <w:rFonts w:eastAsia="Times New Roman"/>
                <w:iCs/>
                <w:sz w:val="22"/>
                <w:szCs w:val="24"/>
              </w:rPr>
              <w:t xml:space="preserve">pořízení vhodného vybavení </w:t>
            </w:r>
            <w:r w:rsidR="005C68AB">
              <w:rPr>
                <w:rFonts w:eastAsia="Times New Roman"/>
                <w:iCs/>
                <w:sz w:val="22"/>
                <w:szCs w:val="24"/>
              </w:rPr>
              <w:t xml:space="preserve">a relevantních pomůcek </w:t>
            </w:r>
            <w:r w:rsidRPr="00B175FB">
              <w:rPr>
                <w:rFonts w:eastAsia="Times New Roman"/>
                <w:iCs/>
                <w:sz w:val="22"/>
                <w:szCs w:val="24"/>
              </w:rPr>
              <w:t xml:space="preserve">pro kurzy </w:t>
            </w:r>
            <w:r w:rsidR="005C68AB">
              <w:rPr>
                <w:rFonts w:eastAsia="Times New Roman"/>
                <w:iCs/>
                <w:sz w:val="22"/>
                <w:szCs w:val="24"/>
              </w:rPr>
              <w:t>a programy zaměřen</w:t>
            </w:r>
            <w:r w:rsidR="009B0561">
              <w:rPr>
                <w:rFonts w:eastAsia="Times New Roman"/>
                <w:iCs/>
                <w:sz w:val="22"/>
                <w:szCs w:val="24"/>
              </w:rPr>
              <w:t>é</w:t>
            </w:r>
            <w:r w:rsidR="005C68AB">
              <w:rPr>
                <w:rFonts w:eastAsia="Times New Roman"/>
                <w:iCs/>
                <w:sz w:val="22"/>
                <w:szCs w:val="24"/>
              </w:rPr>
              <w:t xml:space="preserve"> na celoživotní učení</w:t>
            </w:r>
            <w:r w:rsidRPr="00B175FB">
              <w:rPr>
                <w:rFonts w:eastAsia="Times New Roman"/>
                <w:iCs/>
                <w:sz w:val="22"/>
                <w:szCs w:val="24"/>
              </w:rPr>
              <w:t>;</w:t>
            </w:r>
          </w:p>
          <w:p w:rsidR="00096792" w:rsidRPr="00B175FB" w:rsidRDefault="003D5A81" w:rsidP="006A2F6A">
            <w:pPr>
              <w:pStyle w:val="Odstavecseseznamem"/>
              <w:numPr>
                <w:ilvl w:val="0"/>
                <w:numId w:val="62"/>
              </w:numPr>
              <w:spacing w:line="276" w:lineRule="auto"/>
              <w:jc w:val="both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 w:val="22"/>
                <w:szCs w:val="24"/>
              </w:rPr>
              <w:t xml:space="preserve">pilotáž a </w:t>
            </w:r>
            <w:r w:rsidR="009776C6" w:rsidRPr="00B175FB">
              <w:rPr>
                <w:rFonts w:eastAsia="Times New Roman"/>
                <w:sz w:val="22"/>
                <w:szCs w:val="24"/>
              </w:rPr>
              <w:t>r</w:t>
            </w:r>
            <w:r w:rsidR="00096792" w:rsidRPr="00B175FB">
              <w:rPr>
                <w:rFonts w:eastAsia="Times New Roman"/>
                <w:sz w:val="22"/>
                <w:szCs w:val="24"/>
              </w:rPr>
              <w:t>ealizace kurzů</w:t>
            </w:r>
            <w:r w:rsidR="001E56DC">
              <w:rPr>
                <w:rFonts w:eastAsia="Times New Roman"/>
                <w:sz w:val="22"/>
                <w:szCs w:val="24"/>
              </w:rPr>
              <w:t>, platforem, diskuzí</w:t>
            </w:r>
            <w:r w:rsidR="00096792" w:rsidRPr="00B175FB">
              <w:rPr>
                <w:rFonts w:eastAsia="Times New Roman"/>
                <w:sz w:val="22"/>
                <w:szCs w:val="24"/>
              </w:rPr>
              <w:t xml:space="preserve"> zaměřených na občanské vzdělávání</w:t>
            </w:r>
            <w:r w:rsidR="005C68AB">
              <w:rPr>
                <w:rFonts w:eastAsia="Times New Roman"/>
                <w:sz w:val="22"/>
                <w:szCs w:val="24"/>
              </w:rPr>
              <w:t>;</w:t>
            </w:r>
          </w:p>
          <w:p w:rsidR="00705D51" w:rsidRPr="00B175FB" w:rsidRDefault="009776C6" w:rsidP="005C68AB">
            <w:pPr>
              <w:pStyle w:val="Odstavecseseznamem"/>
              <w:numPr>
                <w:ilvl w:val="0"/>
                <w:numId w:val="62"/>
              </w:numPr>
              <w:spacing w:line="276" w:lineRule="auto"/>
              <w:jc w:val="both"/>
              <w:rPr>
                <w:rFonts w:eastAsia="Times New Roman"/>
                <w:iCs/>
                <w:sz w:val="22"/>
                <w:szCs w:val="24"/>
              </w:rPr>
            </w:pPr>
            <w:r w:rsidRPr="00B175FB">
              <w:rPr>
                <w:rFonts w:eastAsia="Times New Roman"/>
                <w:iCs/>
                <w:sz w:val="22"/>
                <w:szCs w:val="24"/>
              </w:rPr>
              <w:t>s</w:t>
            </w:r>
            <w:r w:rsidR="00705D51" w:rsidRPr="00B175FB">
              <w:rPr>
                <w:rFonts w:eastAsia="Times New Roman"/>
                <w:iCs/>
                <w:sz w:val="22"/>
                <w:szCs w:val="24"/>
              </w:rPr>
              <w:t>běr a vyhodnocování informací o potřebách praxe a potenciální poptávce po programech</w:t>
            </w:r>
            <w:r w:rsidR="00AB61D5">
              <w:rPr>
                <w:rFonts w:eastAsia="Times New Roman"/>
                <w:iCs/>
                <w:sz w:val="22"/>
                <w:szCs w:val="24"/>
              </w:rPr>
              <w:t xml:space="preserve"> v oblasti</w:t>
            </w:r>
            <w:r w:rsidR="00705D51" w:rsidRPr="00B175FB">
              <w:rPr>
                <w:rFonts w:eastAsia="Times New Roman"/>
                <w:iCs/>
                <w:sz w:val="22"/>
                <w:szCs w:val="24"/>
              </w:rPr>
              <w:t xml:space="preserve"> </w:t>
            </w:r>
            <w:r w:rsidR="005C68AB">
              <w:rPr>
                <w:rFonts w:eastAsia="Times New Roman"/>
                <w:noProof/>
                <w:sz w:val="22"/>
              </w:rPr>
              <w:t>celoživotního učení</w:t>
            </w:r>
            <w:r w:rsidRPr="00B175FB">
              <w:rPr>
                <w:rFonts w:eastAsia="Times New Roman"/>
                <w:iCs/>
                <w:sz w:val="22"/>
                <w:szCs w:val="24"/>
              </w:rPr>
              <w:t>;</w:t>
            </w:r>
          </w:p>
          <w:p w:rsidR="00FC5EDD" w:rsidRPr="009273BA" w:rsidRDefault="006227BC" w:rsidP="005C68AB">
            <w:pPr>
              <w:pStyle w:val="Odstavecseseznamem"/>
              <w:numPr>
                <w:ilvl w:val="0"/>
                <w:numId w:val="62"/>
              </w:numPr>
              <w:spacing w:line="276" w:lineRule="auto"/>
              <w:jc w:val="both"/>
              <w:rPr>
                <w:rFonts w:eastAsia="Times New Roman"/>
                <w:sz w:val="22"/>
                <w:szCs w:val="24"/>
              </w:rPr>
            </w:pPr>
            <w:r w:rsidRPr="00B175FB">
              <w:rPr>
                <w:rFonts w:eastAsia="Times New Roman"/>
                <w:iCs/>
                <w:sz w:val="22"/>
                <w:szCs w:val="24"/>
              </w:rPr>
              <w:t xml:space="preserve">vznik a rozvoj pracovišť </w:t>
            </w:r>
            <w:r w:rsidR="00F6272A" w:rsidRPr="00B175FB">
              <w:rPr>
                <w:rFonts w:eastAsia="Times New Roman"/>
                <w:iCs/>
                <w:sz w:val="22"/>
                <w:szCs w:val="24"/>
              </w:rPr>
              <w:t>VŠ</w:t>
            </w:r>
            <w:r w:rsidRPr="00B175FB">
              <w:rPr>
                <w:rFonts w:eastAsia="Times New Roman"/>
                <w:iCs/>
                <w:sz w:val="22"/>
                <w:szCs w:val="24"/>
              </w:rPr>
              <w:t xml:space="preserve"> poskytujících CŽV (resp. univerzity třetího věku) a zajišťujících podpůrné služby pro ostatní součásti </w:t>
            </w:r>
            <w:r w:rsidR="00F6272A" w:rsidRPr="00B175FB">
              <w:rPr>
                <w:rFonts w:eastAsia="Times New Roman"/>
                <w:iCs/>
                <w:sz w:val="22"/>
                <w:szCs w:val="24"/>
              </w:rPr>
              <w:t>VŠ</w:t>
            </w:r>
            <w:r w:rsidRPr="00B175FB">
              <w:rPr>
                <w:rFonts w:eastAsia="Times New Roman"/>
                <w:iCs/>
                <w:sz w:val="22"/>
                <w:szCs w:val="24"/>
              </w:rPr>
              <w:t xml:space="preserve"> za účelem zvýšení kvality a relevance CŽV (resp. univerzity třetího věku), včetně pilotního ověřování těchto služeb,</w:t>
            </w:r>
            <w:r w:rsidR="00F41BBF">
              <w:rPr>
                <w:rFonts w:eastAsia="Times New Roman"/>
                <w:iCs/>
                <w:sz w:val="22"/>
                <w:szCs w:val="24"/>
              </w:rPr>
              <w:t xml:space="preserve"> tvorba</w:t>
            </w:r>
            <w:r w:rsidR="001D1344">
              <w:rPr>
                <w:rFonts w:eastAsia="Times New Roman"/>
                <w:iCs/>
                <w:sz w:val="22"/>
                <w:szCs w:val="24"/>
              </w:rPr>
              <w:t>, pilotní ověření</w:t>
            </w:r>
            <w:r w:rsidR="00F41BBF">
              <w:rPr>
                <w:rFonts w:eastAsia="Times New Roman"/>
                <w:iCs/>
                <w:sz w:val="22"/>
                <w:szCs w:val="24"/>
              </w:rPr>
              <w:t xml:space="preserve"> a</w:t>
            </w:r>
            <w:r w:rsidRPr="00B175FB">
              <w:rPr>
                <w:rFonts w:eastAsia="Times New Roman"/>
                <w:iCs/>
                <w:sz w:val="22"/>
                <w:szCs w:val="24"/>
              </w:rPr>
              <w:t xml:space="preserve"> propagace programů/kurzů a</w:t>
            </w:r>
            <w:r w:rsidR="009273BA">
              <w:rPr>
                <w:rFonts w:eastAsia="Times New Roman"/>
                <w:iCs/>
                <w:sz w:val="22"/>
                <w:szCs w:val="24"/>
              </w:rPr>
              <w:t> </w:t>
            </w:r>
            <w:r w:rsidRPr="00B175FB">
              <w:rPr>
                <w:rFonts w:eastAsia="Times New Roman"/>
                <w:iCs/>
                <w:sz w:val="22"/>
                <w:szCs w:val="24"/>
              </w:rPr>
              <w:t>práce se zájemci</w:t>
            </w:r>
            <w:r w:rsidR="003D5A81">
              <w:rPr>
                <w:rFonts w:eastAsia="Times New Roman"/>
                <w:iCs/>
                <w:sz w:val="22"/>
                <w:szCs w:val="24"/>
              </w:rPr>
              <w:t>.</w:t>
            </w:r>
          </w:p>
        </w:tc>
      </w:tr>
    </w:tbl>
    <w:p w:rsidR="004005FF" w:rsidRPr="00B175FB" w:rsidRDefault="004005FF" w:rsidP="004005FF">
      <w:pPr>
        <w:rPr>
          <w:rFonts w:eastAsia="Times New Roman"/>
          <w:i/>
          <w:iCs/>
          <w:noProof/>
          <w:szCs w:val="24"/>
        </w:rPr>
      </w:pPr>
      <w:r w:rsidRPr="00B175FB">
        <w:rPr>
          <w:rFonts w:eastAsia="Times New Roman"/>
          <w:b/>
          <w:i/>
          <w:noProof/>
          <w:szCs w:val="24"/>
        </w:rPr>
        <w:t>Hlavní cílové skupiny</w:t>
      </w:r>
      <w:r w:rsidRPr="00B175FB">
        <w:rPr>
          <w:rFonts w:eastAsia="Times New Roman"/>
          <w:i/>
          <w:noProof/>
          <w:szCs w:val="24"/>
        </w:rPr>
        <w:t xml:space="preserve"> </w:t>
      </w:r>
    </w:p>
    <w:p w:rsidR="00036CD8" w:rsidRPr="00B175FB" w:rsidRDefault="00036CD8" w:rsidP="001501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/>
          <w:b/>
          <w:sz w:val="22"/>
        </w:rPr>
      </w:pPr>
      <w:r w:rsidRPr="00B175FB">
        <w:rPr>
          <w:rFonts w:eastAsia="Times New Roman"/>
          <w:b/>
          <w:sz w:val="22"/>
        </w:rPr>
        <w:t>Hlavními cílovými skupinami jsou:</w:t>
      </w:r>
    </w:p>
    <w:p w:rsidR="00CF2601" w:rsidRPr="00B175FB" w:rsidRDefault="003003D2" w:rsidP="0015017F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eastAsia="Times New Roman" w:cs="Times New Roman"/>
          <w:i/>
          <w:sz w:val="22"/>
        </w:rPr>
      </w:pPr>
      <w:r w:rsidRPr="00B175FB">
        <w:rPr>
          <w:rFonts w:cs="Times New Roman"/>
          <w:sz w:val="22"/>
        </w:rPr>
        <w:t>a</w:t>
      </w:r>
      <w:r w:rsidR="00CF2601" w:rsidRPr="00B175FB">
        <w:rPr>
          <w:rFonts w:cs="Times New Roman"/>
          <w:sz w:val="22"/>
        </w:rPr>
        <w:t>kademičtí a neakad</w:t>
      </w:r>
      <w:r w:rsidRPr="00B175FB">
        <w:rPr>
          <w:rFonts w:cs="Times New Roman"/>
          <w:sz w:val="22"/>
        </w:rPr>
        <w:t xml:space="preserve">emičtí pracovníci </w:t>
      </w:r>
      <w:r w:rsidR="00595F28" w:rsidRPr="00B175FB">
        <w:rPr>
          <w:rFonts w:cs="Times New Roman"/>
          <w:sz w:val="22"/>
        </w:rPr>
        <w:t>VŠ</w:t>
      </w:r>
      <w:r w:rsidRPr="00B175FB">
        <w:rPr>
          <w:rFonts w:cs="Times New Roman"/>
          <w:sz w:val="22"/>
        </w:rPr>
        <w:t>;</w:t>
      </w:r>
    </w:p>
    <w:p w:rsidR="002A076C" w:rsidRPr="00B175FB" w:rsidRDefault="002A076C" w:rsidP="0015017F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eastAsia="Times New Roman" w:cs="Times New Roman"/>
          <w:i/>
          <w:sz w:val="22"/>
        </w:rPr>
      </w:pPr>
      <w:r w:rsidRPr="00B175FB">
        <w:rPr>
          <w:rFonts w:eastAsia="Times New Roman" w:cs="Times New Roman"/>
          <w:sz w:val="22"/>
        </w:rPr>
        <w:t>pracovníci škol a školských zařízení</w:t>
      </w:r>
      <w:r w:rsidR="002C643F" w:rsidRPr="00B175FB">
        <w:rPr>
          <w:rFonts w:eastAsia="Times New Roman" w:cs="Times New Roman"/>
          <w:sz w:val="22"/>
        </w:rPr>
        <w:t>,</w:t>
      </w:r>
      <w:r w:rsidRPr="00B175FB">
        <w:rPr>
          <w:rFonts w:eastAsia="Times New Roman" w:cs="Times New Roman"/>
          <w:sz w:val="22"/>
        </w:rPr>
        <w:t xml:space="preserve"> knihoven</w:t>
      </w:r>
      <w:r w:rsidR="002C643F" w:rsidRPr="00B175FB">
        <w:rPr>
          <w:rFonts w:eastAsia="Times New Roman" w:cs="Times New Roman"/>
          <w:sz w:val="22"/>
        </w:rPr>
        <w:t>,</w:t>
      </w:r>
      <w:r w:rsidR="00812CD7" w:rsidRPr="00B175FB">
        <w:rPr>
          <w:rFonts w:eastAsia="Times New Roman" w:cs="Times New Roman"/>
          <w:sz w:val="22"/>
        </w:rPr>
        <w:t xml:space="preserve"> muzeí</w:t>
      </w:r>
      <w:r w:rsidR="002C643F" w:rsidRPr="00B175FB">
        <w:rPr>
          <w:rFonts w:eastAsia="Times New Roman" w:cs="Times New Roman"/>
          <w:sz w:val="22"/>
        </w:rPr>
        <w:t xml:space="preserve"> a dalších paměťových institucí</w:t>
      </w:r>
      <w:r w:rsidRPr="00B175FB">
        <w:rPr>
          <w:rFonts w:eastAsia="Times New Roman" w:cs="Times New Roman"/>
          <w:sz w:val="22"/>
        </w:rPr>
        <w:t>;</w:t>
      </w:r>
    </w:p>
    <w:p w:rsidR="00C71132" w:rsidRPr="00B175FB" w:rsidRDefault="00C71132" w:rsidP="0015017F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eastAsia="Times New Roman" w:cs="Times New Roman"/>
          <w:sz w:val="22"/>
        </w:rPr>
      </w:pPr>
      <w:r w:rsidRPr="00B175FB">
        <w:rPr>
          <w:rFonts w:eastAsia="Times New Roman" w:cs="Times New Roman"/>
          <w:sz w:val="22"/>
        </w:rPr>
        <w:t>ostatní aktéři v oblasti vzdělávání</w:t>
      </w:r>
      <w:r w:rsidR="0064614C" w:rsidRPr="00B175FB">
        <w:rPr>
          <w:rFonts w:eastAsia="Times New Roman" w:cs="Times New Roman"/>
          <w:sz w:val="22"/>
        </w:rPr>
        <w:t>;</w:t>
      </w:r>
    </w:p>
    <w:p w:rsidR="00CF2601" w:rsidRPr="00B175FB" w:rsidRDefault="003003D2" w:rsidP="0015017F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eastAsia="Times New Roman" w:cs="Times New Roman"/>
          <w:i/>
          <w:sz w:val="22"/>
        </w:rPr>
      </w:pPr>
      <w:r w:rsidRPr="00B175FB">
        <w:rPr>
          <w:rFonts w:cs="Times New Roman"/>
          <w:sz w:val="22"/>
        </w:rPr>
        <w:t>ú</w:t>
      </w:r>
      <w:r w:rsidR="00CF2601" w:rsidRPr="00B175FB">
        <w:rPr>
          <w:rFonts w:cs="Times New Roman"/>
          <w:sz w:val="22"/>
        </w:rPr>
        <w:t xml:space="preserve">častníci programů </w:t>
      </w:r>
      <w:r w:rsidR="00751E0E" w:rsidRPr="00B175FB">
        <w:rPr>
          <w:rFonts w:eastAsia="Times New Roman"/>
          <w:noProof/>
          <w:sz w:val="22"/>
        </w:rPr>
        <w:t>CŽV</w:t>
      </w:r>
      <w:r w:rsidR="00751E0E" w:rsidRPr="00B175FB" w:rsidDel="00751E0E">
        <w:rPr>
          <w:rFonts w:cs="Times New Roman"/>
          <w:sz w:val="22"/>
        </w:rPr>
        <w:t xml:space="preserve"> </w:t>
      </w:r>
      <w:r w:rsidR="002B4B8B" w:rsidRPr="00B175FB">
        <w:rPr>
          <w:rFonts w:cs="Times New Roman"/>
          <w:sz w:val="22"/>
        </w:rPr>
        <w:t xml:space="preserve">a </w:t>
      </w:r>
      <w:r w:rsidR="0076542F" w:rsidRPr="00B175FB">
        <w:rPr>
          <w:rFonts w:cs="Times New Roman"/>
          <w:sz w:val="22"/>
        </w:rPr>
        <w:t xml:space="preserve">programů/kurzů </w:t>
      </w:r>
      <w:r w:rsidR="002B4B8B" w:rsidRPr="00B175FB">
        <w:rPr>
          <w:rFonts w:cs="Times New Roman"/>
          <w:sz w:val="22"/>
        </w:rPr>
        <w:t>univerzit třetího věku</w:t>
      </w:r>
      <w:r w:rsidR="002A076C" w:rsidRPr="00B175FB">
        <w:rPr>
          <w:rFonts w:cs="Times New Roman"/>
          <w:sz w:val="22"/>
        </w:rPr>
        <w:t>;</w:t>
      </w:r>
    </w:p>
    <w:p w:rsidR="002A076C" w:rsidRPr="00B175FB" w:rsidRDefault="002A076C" w:rsidP="007F3CB6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cs="Times New Roman"/>
          <w:sz w:val="22"/>
        </w:rPr>
      </w:pPr>
      <w:r w:rsidRPr="00B175FB">
        <w:rPr>
          <w:rFonts w:cs="Times New Roman"/>
          <w:sz w:val="22"/>
        </w:rPr>
        <w:t>účastníci</w:t>
      </w:r>
      <w:r w:rsidRPr="00B175FB">
        <w:rPr>
          <w:sz w:val="22"/>
        </w:rPr>
        <w:t xml:space="preserve"> </w:t>
      </w:r>
      <w:r w:rsidR="00094977">
        <w:rPr>
          <w:sz w:val="22"/>
        </w:rPr>
        <w:t>programů/</w:t>
      </w:r>
      <w:r w:rsidRPr="00B175FB">
        <w:rPr>
          <w:rFonts w:cs="Times New Roman"/>
          <w:sz w:val="22"/>
        </w:rPr>
        <w:t>kurzů</w:t>
      </w:r>
      <w:r w:rsidR="00094977">
        <w:rPr>
          <w:rFonts w:cs="Times New Roman"/>
          <w:sz w:val="22"/>
        </w:rPr>
        <w:t>/školení</w:t>
      </w:r>
      <w:r w:rsidR="00C44F17" w:rsidRPr="00B175FB">
        <w:rPr>
          <w:rFonts w:cs="Times New Roman"/>
          <w:sz w:val="22"/>
        </w:rPr>
        <w:t xml:space="preserve"> </w:t>
      </w:r>
      <w:r w:rsidR="003B6D67" w:rsidRPr="00B175FB">
        <w:rPr>
          <w:rFonts w:cs="Times New Roman"/>
          <w:sz w:val="22"/>
        </w:rPr>
        <w:t>o</w:t>
      </w:r>
      <w:r w:rsidR="00C44F17" w:rsidRPr="00B175FB">
        <w:rPr>
          <w:rFonts w:cs="Times New Roman"/>
          <w:sz w:val="22"/>
        </w:rPr>
        <w:t>bčanského vzdělávání</w:t>
      </w:r>
      <w:r w:rsidR="007E3A20" w:rsidRPr="00B175FB">
        <w:rPr>
          <w:rFonts w:cs="Times New Roman"/>
          <w:sz w:val="22"/>
        </w:rPr>
        <w:t>.</w:t>
      </w:r>
      <w:r w:rsidR="00C44F17" w:rsidRPr="00B175FB">
        <w:rPr>
          <w:rFonts w:cs="Times New Roman"/>
          <w:sz w:val="22"/>
        </w:rPr>
        <w:t xml:space="preserve"> </w:t>
      </w:r>
    </w:p>
    <w:p w:rsidR="00331F49" w:rsidRPr="00B175FB" w:rsidRDefault="00361310" w:rsidP="00331F49">
      <w:pPr>
        <w:rPr>
          <w:rFonts w:eastAsia="Times New Roman"/>
          <w:b/>
          <w:i/>
          <w:noProof/>
          <w:szCs w:val="24"/>
        </w:rPr>
      </w:pPr>
      <w:r w:rsidRPr="00B175FB">
        <w:rPr>
          <w:rFonts w:eastAsia="Times New Roman"/>
          <w:b/>
          <w:i/>
          <w:noProof/>
          <w:szCs w:val="24"/>
        </w:rPr>
        <w:t>Akce zajišťující rovnost, začlenění a nediskriminaci</w:t>
      </w:r>
      <w:r w:rsidR="00331F49" w:rsidRPr="00B175FB">
        <w:rPr>
          <w:rFonts w:eastAsia="Times New Roman"/>
          <w:b/>
          <w:i/>
          <w:noProof/>
          <w:szCs w:val="24"/>
        </w:rPr>
        <w:t xml:space="preserve"> </w:t>
      </w:r>
      <w:r w:rsidR="00331F49" w:rsidRPr="00B175FB">
        <w:rPr>
          <w:rFonts w:eastAsia="Times New Roman"/>
          <w:i/>
          <w:noProof/>
          <w:szCs w:val="24"/>
        </w:rPr>
        <w:t xml:space="preserve"> </w:t>
      </w:r>
      <w:r w:rsidR="00331F49" w:rsidRPr="00B175FB">
        <w:rPr>
          <w:rFonts w:eastAsia="Times New Roman"/>
          <w:i/>
          <w:iCs/>
          <w:noProof/>
          <w:szCs w:val="24"/>
        </w:rPr>
        <w:t> </w:t>
      </w:r>
    </w:p>
    <w:p w:rsidR="00CB4C36" w:rsidRPr="00B175FB" w:rsidRDefault="00331F49" w:rsidP="00CB4C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rFonts w:eastAsia="Times New Roman"/>
          <w:noProof/>
          <w:sz w:val="22"/>
        </w:rPr>
      </w:pPr>
      <w:r w:rsidRPr="00B175FB">
        <w:rPr>
          <w:rFonts w:eastAsia="Times New Roman"/>
          <w:sz w:val="22"/>
        </w:rPr>
        <w:t xml:space="preserve"> </w:t>
      </w:r>
      <w:r w:rsidR="00CB4C36">
        <w:rPr>
          <w:rFonts w:eastAsia="Times New Roman"/>
          <w:sz w:val="22"/>
        </w:rPr>
        <w:t>V obecné rovině bude u každého projektu posuzován soulad s horizontálními principy.</w:t>
      </w:r>
    </w:p>
    <w:p w:rsidR="00331F49" w:rsidRPr="00B175FB" w:rsidRDefault="00331F49" w:rsidP="00331F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rFonts w:eastAsia="Times New Roman"/>
          <w:noProof/>
          <w:sz w:val="22"/>
        </w:rPr>
      </w:pPr>
    </w:p>
    <w:p w:rsidR="004C6B23" w:rsidRPr="00B175FB" w:rsidRDefault="004005FF" w:rsidP="00A762A9">
      <w:pPr>
        <w:rPr>
          <w:rFonts w:eastAsia="Times New Roman"/>
          <w:i/>
          <w:iCs/>
          <w:noProof/>
          <w:szCs w:val="24"/>
        </w:rPr>
      </w:pPr>
      <w:r w:rsidRPr="00B175FB">
        <w:rPr>
          <w:rFonts w:eastAsia="Times New Roman"/>
          <w:b/>
          <w:i/>
          <w:noProof/>
          <w:szCs w:val="24"/>
        </w:rPr>
        <w:t>Konkrétní cílová území včetně plánovaného použití územních nástrojů</w:t>
      </w:r>
      <w:r w:rsidRPr="00B175FB">
        <w:rPr>
          <w:rFonts w:eastAsia="Times New Roman"/>
          <w:i/>
          <w:noProof/>
          <w:szCs w:val="24"/>
        </w:rPr>
        <w:t xml:space="preserve">   </w:t>
      </w:r>
      <w:r w:rsidRPr="00B175FB">
        <w:rPr>
          <w:rFonts w:eastAsia="Times New Roman"/>
          <w:i/>
          <w:iCs/>
          <w:noProof/>
          <w:szCs w:val="24"/>
        </w:rPr>
        <w:t> </w:t>
      </w:r>
    </w:p>
    <w:p w:rsidR="00066391" w:rsidRPr="00B175FB" w:rsidRDefault="00066391" w:rsidP="000663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eastAsia="Batang" w:hAnsi="Arial" w:cstheme="minorBidi"/>
          <w:sz w:val="22"/>
          <w:lang w:eastAsia="cs-CZ"/>
        </w:rPr>
      </w:pPr>
      <w:r w:rsidRPr="00B175FB">
        <w:rPr>
          <w:rFonts w:eastAsia="Times New Roman"/>
          <w:i/>
          <w:sz w:val="22"/>
        </w:rPr>
        <w:t>Popis zapojení územních nástrojů a zohlednění územní dimenze plánovaných intervencí – bude doplněno v další fázi, ve vazbě na přípravu Národního dokumentu k územní dimenzi a integrovaným nástrojům</w:t>
      </w:r>
      <w:r w:rsidRPr="00B175FB">
        <w:rPr>
          <w:rFonts w:ascii="Arial" w:eastAsia="Batang" w:hAnsi="Arial" w:cstheme="minorBidi"/>
          <w:sz w:val="22"/>
          <w:lang w:eastAsia="cs-CZ"/>
        </w:rPr>
        <w:t xml:space="preserve"> </w:t>
      </w:r>
    </w:p>
    <w:p w:rsidR="00066391" w:rsidRPr="00B175FB" w:rsidRDefault="00066391" w:rsidP="007961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/>
          <w:sz w:val="22"/>
        </w:rPr>
      </w:pPr>
      <w:r w:rsidRPr="00B175FB">
        <w:rPr>
          <w:rFonts w:eastAsia="Times New Roman"/>
          <w:sz w:val="22"/>
        </w:rPr>
        <w:t xml:space="preserve">Aktivity podporované ve specifickém cíli budou realizovány ve všech regionech České republiky včetně </w:t>
      </w:r>
      <w:r w:rsidR="00047E65" w:rsidRPr="00B175FB">
        <w:rPr>
          <w:rFonts w:eastAsia="Times New Roman"/>
          <w:sz w:val="22"/>
        </w:rPr>
        <w:t>hlavního </w:t>
      </w:r>
      <w:r w:rsidRPr="00B175FB">
        <w:rPr>
          <w:rFonts w:eastAsia="Times New Roman"/>
          <w:sz w:val="22"/>
        </w:rPr>
        <w:t>města Prahy, tj. ve více rozvinutých, méně rozvinutých a přechodových regionech ČR.</w:t>
      </w:r>
    </w:p>
    <w:p w:rsidR="00900204" w:rsidRPr="00B175FB" w:rsidRDefault="00900204" w:rsidP="00900204">
      <w:pPr>
        <w:rPr>
          <w:rFonts w:eastAsia="Times New Roman"/>
          <w:b/>
          <w:i/>
          <w:szCs w:val="24"/>
        </w:rPr>
      </w:pPr>
      <w:r w:rsidRPr="00B175FB">
        <w:rPr>
          <w:rFonts w:eastAsia="Times New Roman"/>
          <w:b/>
          <w:i/>
          <w:szCs w:val="24"/>
        </w:rPr>
        <w:t>Meziregionální a nadnárodní činnosti</w:t>
      </w:r>
      <w:r w:rsidRPr="00B175FB">
        <w:rPr>
          <w:rFonts w:eastAsia="Times New Roman"/>
          <w:b/>
          <w:noProof/>
          <w:color w:val="D0CECE" w:themeColor="background2" w:themeShade="E6"/>
          <w:szCs w:val="24"/>
        </w:rPr>
        <w:t xml:space="preserve"> </w:t>
      </w:r>
      <w:r w:rsidRPr="00B175FB">
        <w:rPr>
          <w:rFonts w:eastAsia="Times New Roman"/>
          <w:i/>
          <w:noProof/>
          <w:szCs w:val="24"/>
        </w:rPr>
        <w:t xml:space="preserve"> </w:t>
      </w:r>
      <w:r w:rsidRPr="00B175FB">
        <w:rPr>
          <w:rFonts w:eastAsia="Times New Roman"/>
          <w:i/>
          <w:iCs/>
          <w:noProof/>
          <w:szCs w:val="24"/>
        </w:rPr>
        <w:t> </w:t>
      </w:r>
    </w:p>
    <w:p w:rsidR="004B7C5D" w:rsidRPr="00B175FB" w:rsidRDefault="006B0500" w:rsidP="007961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/>
          <w:i/>
          <w:noProof/>
        </w:rPr>
      </w:pPr>
      <w:r w:rsidRPr="00B175FB">
        <w:rPr>
          <w:rFonts w:eastAsia="Times New Roman"/>
          <w:sz w:val="22"/>
        </w:rPr>
        <w:t xml:space="preserve">Plánované aktivity ve specifickém cíli nepředpokládají zapojení příjemců z dalších členských států </w:t>
      </w:r>
      <w:r w:rsidR="001C3A12" w:rsidRPr="00B175FB">
        <w:rPr>
          <w:rFonts w:eastAsia="Times New Roman"/>
          <w:sz w:val="22"/>
        </w:rPr>
        <w:t xml:space="preserve">EU </w:t>
      </w:r>
      <w:r w:rsidRPr="00B175FB">
        <w:rPr>
          <w:rFonts w:eastAsia="Times New Roman"/>
          <w:sz w:val="22"/>
        </w:rPr>
        <w:t>nebo států mimo EU.</w:t>
      </w:r>
    </w:p>
    <w:p w:rsidR="00900204" w:rsidRPr="00B175FB" w:rsidRDefault="00900204" w:rsidP="00900204">
      <w:pPr>
        <w:rPr>
          <w:rFonts w:eastAsia="Times New Roman"/>
          <w:b/>
          <w:i/>
          <w:iCs/>
          <w:noProof/>
          <w:szCs w:val="24"/>
        </w:rPr>
      </w:pPr>
      <w:r w:rsidRPr="00B175FB">
        <w:rPr>
          <w:rFonts w:eastAsia="Times New Roman"/>
          <w:b/>
          <w:i/>
          <w:noProof/>
          <w:szCs w:val="24"/>
        </w:rPr>
        <w:t>Plánované využití finančních nástrojů</w:t>
      </w:r>
      <w:r w:rsidRPr="00B175FB">
        <w:rPr>
          <w:rFonts w:eastAsia="Times New Roman"/>
          <w:i/>
          <w:noProof/>
          <w:szCs w:val="24"/>
        </w:rPr>
        <w:t xml:space="preserve">  </w:t>
      </w:r>
      <w:r w:rsidRPr="00B175FB">
        <w:rPr>
          <w:rFonts w:eastAsia="Times New Roman"/>
          <w:i/>
          <w:iCs/>
          <w:noProof/>
          <w:szCs w:val="24"/>
        </w:rPr>
        <w:t> </w:t>
      </w:r>
      <w:r w:rsidRPr="00B175FB">
        <w:rPr>
          <w:rFonts w:eastAsia="Times New Roman"/>
          <w:i/>
          <w:noProof/>
          <w:szCs w:val="24"/>
        </w:rPr>
        <w:t xml:space="preserve"> </w:t>
      </w:r>
    </w:p>
    <w:p w:rsidR="009346DC" w:rsidRPr="00B175FB" w:rsidRDefault="009346DC" w:rsidP="00934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/>
          <w:sz w:val="22"/>
        </w:rPr>
      </w:pPr>
      <w:bookmarkStart w:id="200" w:name="_Hlk30507704"/>
      <w:r w:rsidRPr="00B175FB">
        <w:rPr>
          <w:rFonts w:eastAsia="Times New Roman"/>
          <w:sz w:val="22"/>
        </w:rPr>
        <w:t>Možnosti vy</w:t>
      </w:r>
      <w:r w:rsidR="00D45AC1">
        <w:rPr>
          <w:rFonts w:eastAsia="Times New Roman"/>
          <w:sz w:val="22"/>
        </w:rPr>
        <w:t>u</w:t>
      </w:r>
      <w:r w:rsidRPr="00B175FB">
        <w:rPr>
          <w:rFonts w:eastAsia="Times New Roman"/>
          <w:sz w:val="22"/>
        </w:rPr>
        <w:t>žití FN jsou v tomto SC omezené. V roce 2018 provedl ŘO</w:t>
      </w:r>
      <w:r w:rsidR="00600A95" w:rsidRPr="00B175FB">
        <w:rPr>
          <w:rFonts w:eastAsia="Times New Roman"/>
          <w:sz w:val="22"/>
        </w:rPr>
        <w:t xml:space="preserve"> OP VVV</w:t>
      </w:r>
      <w:r w:rsidRPr="00B175FB">
        <w:rPr>
          <w:rFonts w:eastAsia="Times New Roman"/>
          <w:sz w:val="22"/>
        </w:rPr>
        <w:t xml:space="preserve"> předběžné posouzení pilotního využití FN v OP VVV</w:t>
      </w:r>
      <w:r w:rsidRPr="00B175FB">
        <w:rPr>
          <w:rStyle w:val="Znakapoznpodarou"/>
          <w:rFonts w:eastAsia="Times New Roman"/>
          <w:b w:val="0"/>
          <w:sz w:val="22"/>
        </w:rPr>
        <w:footnoteReference w:id="82"/>
      </w:r>
      <w:r w:rsidRPr="00B175FB">
        <w:rPr>
          <w:rFonts w:eastAsia="Times New Roman"/>
          <w:sz w:val="22"/>
        </w:rPr>
        <w:t xml:space="preserve"> </w:t>
      </w:r>
      <w:r w:rsidR="00793988" w:rsidRPr="00B175FB">
        <w:rPr>
          <w:rFonts w:eastAsia="Times New Roman"/>
          <w:sz w:val="22"/>
        </w:rPr>
        <w:t xml:space="preserve"> (</w:t>
      </w:r>
      <w:r w:rsidRPr="00B175FB">
        <w:rPr>
          <w:rFonts w:eastAsia="Times New Roman"/>
          <w:sz w:val="22"/>
        </w:rPr>
        <w:t>v souladu s nařízením Evropského parlamentu a Rady (EU) č.</w:t>
      </w:r>
      <w:r w:rsidR="007E01C5" w:rsidRPr="00B175FB">
        <w:rPr>
          <w:rFonts w:eastAsia="Times New Roman"/>
          <w:sz w:val="22"/>
        </w:rPr>
        <w:t> </w:t>
      </w:r>
      <w:r w:rsidRPr="00B175FB">
        <w:rPr>
          <w:rFonts w:eastAsia="Times New Roman"/>
          <w:sz w:val="22"/>
        </w:rPr>
        <w:t>1303/2013</w:t>
      </w:r>
      <w:r w:rsidR="00793988" w:rsidRPr="00B175FB">
        <w:rPr>
          <w:rFonts w:eastAsia="Times New Roman"/>
          <w:sz w:val="22"/>
        </w:rPr>
        <w:t>)</w:t>
      </w:r>
      <w:r w:rsidRPr="00B175FB">
        <w:rPr>
          <w:rFonts w:eastAsia="Times New Roman"/>
          <w:sz w:val="22"/>
        </w:rPr>
        <w:t xml:space="preserve">. </w:t>
      </w:r>
    </w:p>
    <w:p w:rsidR="001349EC" w:rsidRPr="00B175FB" w:rsidRDefault="001349EC" w:rsidP="001349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/>
          <w:sz w:val="22"/>
        </w:rPr>
      </w:pPr>
      <w:r w:rsidRPr="00B175FB">
        <w:rPr>
          <w:rFonts w:eastAsia="Times New Roman"/>
          <w:sz w:val="22"/>
        </w:rPr>
        <w:t xml:space="preserve">Z předběžného posouzení vyplynulo, že v oblasti vzdělávání a podpory VaV jsou vhodné pro pilotní ověření FN pouze </w:t>
      </w:r>
      <w:r>
        <w:rPr>
          <w:rFonts w:eastAsia="Times New Roman"/>
          <w:sz w:val="22"/>
        </w:rPr>
        <w:t>dvě oblasti</w:t>
      </w:r>
      <w:r w:rsidRPr="00B175FB">
        <w:rPr>
          <w:rFonts w:eastAsia="Times New Roman"/>
          <w:sz w:val="22"/>
        </w:rPr>
        <w:t>, a to podpor</w:t>
      </w:r>
      <w:r>
        <w:rPr>
          <w:rFonts w:eastAsia="Times New Roman"/>
          <w:sz w:val="22"/>
        </w:rPr>
        <w:t>a</w:t>
      </w:r>
      <w:r w:rsidRPr="00B175FB">
        <w:rPr>
          <w:rFonts w:eastAsia="Times New Roman"/>
          <w:sz w:val="22"/>
        </w:rPr>
        <w:t xml:space="preserve"> mobilit a získání pracovních zkušeností v zahraničí.</w:t>
      </w:r>
    </w:p>
    <w:p w:rsidR="009346DC" w:rsidRPr="00B175FB" w:rsidRDefault="009346DC" w:rsidP="00934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/>
          <w:sz w:val="22"/>
        </w:rPr>
      </w:pPr>
      <w:r w:rsidRPr="00B175FB">
        <w:rPr>
          <w:rFonts w:eastAsia="Times New Roman"/>
          <w:sz w:val="22"/>
        </w:rPr>
        <w:t xml:space="preserve">Na základě analýzy a po pečlivém zvážení všech souvisejících rizik (právní rizika, nezájem potenciálních </w:t>
      </w:r>
      <w:r w:rsidR="005D6FD7">
        <w:rPr>
          <w:rFonts w:eastAsia="Times New Roman"/>
          <w:sz w:val="22"/>
        </w:rPr>
        <w:t>správců FN</w:t>
      </w:r>
      <w:r w:rsidRPr="00B175FB">
        <w:rPr>
          <w:rFonts w:eastAsia="Times New Roman"/>
          <w:sz w:val="22"/>
        </w:rPr>
        <w:t xml:space="preserve"> a nedostatečná absorpční kapacita) a současného stavu implementace OP VVV se ŘO </w:t>
      </w:r>
      <w:r w:rsidR="00600A95" w:rsidRPr="00B175FB">
        <w:rPr>
          <w:rFonts w:eastAsia="Times New Roman"/>
          <w:sz w:val="22"/>
        </w:rPr>
        <w:t xml:space="preserve">OP VVV </w:t>
      </w:r>
      <w:r w:rsidRPr="00B175FB">
        <w:rPr>
          <w:rFonts w:eastAsia="Times New Roman"/>
          <w:sz w:val="22"/>
        </w:rPr>
        <w:t xml:space="preserve">rozhodl nepokračovat v implementaci FN. </w:t>
      </w:r>
    </w:p>
    <w:p w:rsidR="009346DC" w:rsidRPr="00B175FB" w:rsidRDefault="009346DC" w:rsidP="006D2C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Times New Roman"/>
          <w:sz w:val="22"/>
        </w:rPr>
      </w:pPr>
      <w:r w:rsidRPr="00B175FB">
        <w:rPr>
          <w:rFonts w:eastAsia="Times New Roman"/>
          <w:sz w:val="22"/>
        </w:rPr>
        <w:t>Pro programové období 2021</w:t>
      </w:r>
      <w:r w:rsidR="005D6FD7">
        <w:rPr>
          <w:rFonts w:eastAsia="Times New Roman"/>
          <w:noProof/>
          <w:sz w:val="22"/>
        </w:rPr>
        <w:t>-</w:t>
      </w:r>
      <w:r w:rsidRPr="00B175FB">
        <w:rPr>
          <w:rFonts w:eastAsia="Times New Roman"/>
          <w:sz w:val="22"/>
        </w:rPr>
        <w:t xml:space="preserve">2027 ŘO </w:t>
      </w:r>
      <w:r w:rsidR="00600A95" w:rsidRPr="00B175FB">
        <w:rPr>
          <w:rFonts w:eastAsia="Times New Roman"/>
          <w:sz w:val="22"/>
        </w:rPr>
        <w:t xml:space="preserve">OP VVV </w:t>
      </w:r>
      <w:r w:rsidRPr="00B175FB">
        <w:rPr>
          <w:rFonts w:eastAsia="Times New Roman"/>
          <w:sz w:val="22"/>
        </w:rPr>
        <w:t>předpokládá zajištění aktualizace ex-ante posouzení v průběhu roku</w:t>
      </w:r>
      <w:r w:rsidR="00BC4364" w:rsidRPr="00B175FB">
        <w:rPr>
          <w:rFonts w:eastAsia="Times New Roman"/>
          <w:sz w:val="22"/>
        </w:rPr>
        <w:t> </w:t>
      </w:r>
      <w:r w:rsidR="00DA42BA" w:rsidRPr="00B175FB">
        <w:rPr>
          <w:rFonts w:eastAsia="Times New Roman"/>
          <w:sz w:val="22"/>
        </w:rPr>
        <w:t>202</w:t>
      </w:r>
      <w:r w:rsidR="00DA42BA">
        <w:rPr>
          <w:rFonts w:eastAsia="Times New Roman"/>
          <w:sz w:val="22"/>
        </w:rPr>
        <w:t>1</w:t>
      </w:r>
      <w:r w:rsidRPr="00B175FB">
        <w:rPr>
          <w:rFonts w:eastAsia="Times New Roman"/>
          <w:sz w:val="22"/>
        </w:rPr>
        <w:t xml:space="preserve">. Na základě tohoto posouzení mohou být identifikovány relevantní oblasti vhodné pro využití FN. </w:t>
      </w:r>
    </w:p>
    <w:bookmarkEnd w:id="179"/>
    <w:bookmarkEnd w:id="200"/>
    <w:p w:rsidR="007634B1" w:rsidRDefault="007634B1">
      <w:pPr>
        <w:spacing w:before="0" w:after="160" w:line="259" w:lineRule="auto"/>
        <w:rPr>
          <w:rFonts w:eastAsia="Calibri" w:cs="Arial"/>
          <w:color w:val="1F4E79" w:themeColor="accent5" w:themeShade="80"/>
        </w:rPr>
      </w:pPr>
    </w:p>
    <w:p w:rsidR="00900204" w:rsidRPr="00775F0C" w:rsidRDefault="00900204" w:rsidP="00775F0C">
      <w:pPr>
        <w:pStyle w:val="Nadpis4"/>
        <w:rPr>
          <w:b/>
          <w:color w:val="1F4E79" w:themeColor="accent5" w:themeShade="80"/>
          <w:lang w:val="cs-CZ" w:eastAsia="cs-CZ" w:bidi="cs-CZ"/>
        </w:rPr>
      </w:pPr>
      <w:bookmarkStart w:id="201" w:name="_Toc66476063"/>
      <w:bookmarkStart w:id="202" w:name="_Toc68611021"/>
      <w:r w:rsidRPr="00775F0C">
        <w:rPr>
          <w:b/>
          <w:color w:val="1F4E79" w:themeColor="accent5" w:themeShade="80"/>
          <w:lang w:val="cs-CZ" w:eastAsia="cs-CZ" w:bidi="cs-CZ"/>
        </w:rPr>
        <w:t>Ukazatel</w:t>
      </w:r>
      <w:r w:rsidR="005B64A1">
        <w:rPr>
          <w:b/>
          <w:color w:val="1F4E79" w:themeColor="accent5" w:themeShade="80"/>
          <w:lang w:val="cs-CZ" w:eastAsia="cs-CZ" w:bidi="cs-CZ"/>
        </w:rPr>
        <w:t>e</w:t>
      </w:r>
      <w:bookmarkEnd w:id="201"/>
      <w:bookmarkEnd w:id="202"/>
    </w:p>
    <w:p w:rsidR="004B212A" w:rsidRPr="00B169F0" w:rsidRDefault="004B212A" w:rsidP="004B212A">
      <w:pPr>
        <w:pStyle w:val="Titulek"/>
        <w:rPr>
          <w:rFonts w:ascii="Times New Roman" w:hAnsi="Times New Roman" w:cs="Times New Roman"/>
          <w:szCs w:val="22"/>
        </w:rPr>
      </w:pPr>
      <w:bookmarkStart w:id="203" w:name="_Toc66346577"/>
      <w:r w:rsidRPr="00B169F0">
        <w:rPr>
          <w:rFonts w:ascii="Times New Roman" w:hAnsi="Times New Roman" w:cs="Times New Roman"/>
          <w:szCs w:val="22"/>
        </w:rPr>
        <w:t xml:space="preserve">Tabulka </w:t>
      </w:r>
      <w:r w:rsidRPr="00B169F0">
        <w:rPr>
          <w:rFonts w:ascii="Times New Roman" w:hAnsi="Times New Roman" w:cs="Times New Roman"/>
          <w:szCs w:val="22"/>
        </w:rPr>
        <w:fldChar w:fldCharType="begin"/>
      </w:r>
      <w:r w:rsidRPr="00B169F0">
        <w:rPr>
          <w:rFonts w:ascii="Times New Roman" w:hAnsi="Times New Roman" w:cs="Times New Roman"/>
          <w:szCs w:val="22"/>
        </w:rPr>
        <w:instrText xml:space="preserve"> SEQ Tabulka \* ARABIC </w:instrText>
      </w:r>
      <w:r w:rsidRPr="00B169F0">
        <w:rPr>
          <w:rFonts w:ascii="Times New Roman" w:hAnsi="Times New Roman" w:cs="Times New Roman"/>
          <w:szCs w:val="22"/>
        </w:rPr>
        <w:fldChar w:fldCharType="separate"/>
      </w:r>
      <w:r w:rsidR="00756BE0">
        <w:rPr>
          <w:rFonts w:ascii="Times New Roman" w:hAnsi="Times New Roman" w:cs="Times New Roman"/>
          <w:noProof/>
          <w:szCs w:val="22"/>
        </w:rPr>
        <w:t>35</w:t>
      </w:r>
      <w:r w:rsidRPr="00B169F0">
        <w:rPr>
          <w:rFonts w:ascii="Times New Roman" w:hAnsi="Times New Roman" w:cs="Times New Roman"/>
          <w:szCs w:val="22"/>
        </w:rPr>
        <w:fldChar w:fldCharType="end"/>
      </w:r>
      <w:r w:rsidRPr="00B169F0">
        <w:rPr>
          <w:rFonts w:ascii="Times New Roman" w:hAnsi="Times New Roman" w:cs="Times New Roman"/>
          <w:szCs w:val="22"/>
        </w:rPr>
        <w:t>: Ukazatel</w:t>
      </w:r>
      <w:r w:rsidR="00EA43FA">
        <w:rPr>
          <w:rFonts w:ascii="Times New Roman" w:hAnsi="Times New Roman" w:cs="Times New Roman"/>
          <w:szCs w:val="22"/>
        </w:rPr>
        <w:t>e</w:t>
      </w:r>
      <w:r w:rsidRPr="00B169F0">
        <w:rPr>
          <w:rFonts w:ascii="Times New Roman" w:hAnsi="Times New Roman" w:cs="Times New Roman"/>
          <w:szCs w:val="22"/>
        </w:rPr>
        <w:t xml:space="preserve"> výstupů</w:t>
      </w:r>
      <w:bookmarkEnd w:id="203"/>
    </w:p>
    <w:tbl>
      <w:tblPr>
        <w:tblStyle w:val="Tabulkasmkou4zvraznn1"/>
        <w:tblW w:w="5000" w:type="pct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1E0" w:firstRow="1" w:lastRow="1" w:firstColumn="1" w:lastColumn="1" w:noHBand="0" w:noVBand="0"/>
      </w:tblPr>
      <w:tblGrid>
        <w:gridCol w:w="827"/>
        <w:gridCol w:w="1011"/>
        <w:gridCol w:w="709"/>
        <w:gridCol w:w="1277"/>
        <w:gridCol w:w="849"/>
        <w:gridCol w:w="2219"/>
        <w:gridCol w:w="1036"/>
        <w:gridCol w:w="842"/>
        <w:gridCol w:w="859"/>
      </w:tblGrid>
      <w:tr w:rsidR="009D2441" w:rsidRPr="001203D9" w:rsidTr="002D2E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4B212A" w:rsidRPr="00E97FBA" w:rsidRDefault="004B212A" w:rsidP="0032415A">
            <w:pPr>
              <w:pStyle w:val="Text1"/>
              <w:ind w:left="0"/>
              <w:jc w:val="center"/>
              <w:rPr>
                <w:b w:val="0"/>
                <w:noProof/>
                <w:sz w:val="18"/>
                <w:szCs w:val="18"/>
              </w:rPr>
            </w:pPr>
            <w:r w:rsidRPr="00E97FBA">
              <w:rPr>
                <w:noProof/>
                <w:sz w:val="18"/>
                <w:szCs w:val="18"/>
              </w:rPr>
              <w:t>Priorita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4B212A" w:rsidRPr="00E97FBA" w:rsidRDefault="004B212A" w:rsidP="0032415A">
            <w:pPr>
              <w:pStyle w:val="Text1"/>
              <w:ind w:left="0"/>
              <w:jc w:val="center"/>
              <w:rPr>
                <w:b w:val="0"/>
                <w:noProof/>
                <w:sz w:val="18"/>
                <w:szCs w:val="18"/>
              </w:rPr>
            </w:pPr>
            <w:r w:rsidRPr="00E97FBA">
              <w:rPr>
                <w:noProof/>
                <w:sz w:val="18"/>
                <w:szCs w:val="18"/>
              </w:rPr>
              <w:t>Specifický cíl</w:t>
            </w:r>
          </w:p>
        </w:tc>
        <w:tc>
          <w:tcPr>
            <w:tcW w:w="36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4B212A" w:rsidRPr="00E97FBA" w:rsidRDefault="004B212A" w:rsidP="0032415A">
            <w:pPr>
              <w:pStyle w:val="Text1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noProof/>
                <w:sz w:val="18"/>
                <w:szCs w:val="18"/>
              </w:rPr>
            </w:pPr>
            <w:r w:rsidRPr="00E97FBA">
              <w:rPr>
                <w:noProof/>
                <w:sz w:val="18"/>
                <w:szCs w:val="18"/>
              </w:rPr>
              <w:t>Fond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6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4B212A" w:rsidRPr="00E97FBA" w:rsidRDefault="004B212A" w:rsidP="0032415A">
            <w:pPr>
              <w:pStyle w:val="Text1"/>
              <w:ind w:left="0"/>
              <w:jc w:val="center"/>
              <w:rPr>
                <w:b w:val="0"/>
                <w:noProof/>
                <w:sz w:val="18"/>
                <w:szCs w:val="18"/>
              </w:rPr>
            </w:pPr>
            <w:r w:rsidRPr="00E97FBA">
              <w:rPr>
                <w:noProof/>
                <w:sz w:val="18"/>
                <w:szCs w:val="18"/>
              </w:rPr>
              <w:t>Kategorie regionu</w:t>
            </w:r>
          </w:p>
        </w:tc>
        <w:tc>
          <w:tcPr>
            <w:tcW w:w="44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4B212A" w:rsidRPr="00E97FBA" w:rsidRDefault="004B212A" w:rsidP="0032415A">
            <w:pPr>
              <w:pStyle w:val="Text1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noProof/>
                <w:sz w:val="18"/>
                <w:szCs w:val="18"/>
              </w:rPr>
            </w:pPr>
            <w:r w:rsidRPr="00E97FBA">
              <w:rPr>
                <w:noProof/>
                <w:sz w:val="18"/>
                <w:szCs w:val="18"/>
              </w:rPr>
              <w:t>ID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5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4B212A" w:rsidRPr="00E97FBA" w:rsidRDefault="004B212A" w:rsidP="0032415A">
            <w:pPr>
              <w:pStyle w:val="Text1"/>
              <w:ind w:left="0"/>
              <w:jc w:val="center"/>
              <w:rPr>
                <w:b w:val="0"/>
                <w:noProof/>
                <w:sz w:val="18"/>
                <w:szCs w:val="18"/>
              </w:rPr>
            </w:pPr>
            <w:r w:rsidRPr="00E97FBA">
              <w:rPr>
                <w:noProof/>
                <w:sz w:val="18"/>
                <w:szCs w:val="18"/>
              </w:rPr>
              <w:t>Ukazatel</w:t>
            </w:r>
          </w:p>
        </w:tc>
        <w:tc>
          <w:tcPr>
            <w:tcW w:w="53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4B212A" w:rsidRPr="00E97FBA" w:rsidRDefault="004B212A" w:rsidP="0032415A">
            <w:pPr>
              <w:pStyle w:val="Text1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noProof/>
                <w:sz w:val="18"/>
                <w:szCs w:val="18"/>
              </w:rPr>
            </w:pPr>
            <w:r w:rsidRPr="00E97FBA">
              <w:rPr>
                <w:noProof/>
                <w:sz w:val="18"/>
                <w:szCs w:val="18"/>
              </w:rPr>
              <w:t>Jednotka měření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</w:tcPr>
          <w:p w:rsidR="004B212A" w:rsidRPr="00E97FBA" w:rsidRDefault="004B212A" w:rsidP="005F198E">
            <w:pPr>
              <w:pStyle w:val="Text1"/>
              <w:ind w:left="0"/>
              <w:jc w:val="center"/>
              <w:rPr>
                <w:b w:val="0"/>
                <w:noProof/>
                <w:sz w:val="18"/>
                <w:szCs w:val="18"/>
              </w:rPr>
            </w:pPr>
            <w:r w:rsidRPr="00E97FBA">
              <w:rPr>
                <w:noProof/>
                <w:sz w:val="18"/>
                <w:szCs w:val="18"/>
              </w:rPr>
              <w:t>Milník (2024)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</w:tcPr>
          <w:p w:rsidR="004B212A" w:rsidRPr="00E97FBA" w:rsidRDefault="004B212A" w:rsidP="005F198E">
            <w:pPr>
              <w:pStyle w:val="Text1"/>
              <w:ind w:left="0"/>
              <w:jc w:val="center"/>
              <w:rPr>
                <w:b w:val="0"/>
                <w:noProof/>
                <w:sz w:val="18"/>
                <w:szCs w:val="18"/>
              </w:rPr>
            </w:pPr>
            <w:r w:rsidRPr="00E97FBA">
              <w:rPr>
                <w:noProof/>
                <w:sz w:val="18"/>
                <w:szCs w:val="18"/>
              </w:rPr>
              <w:t>Cíl (2029)</w:t>
            </w:r>
          </w:p>
        </w:tc>
      </w:tr>
      <w:tr w:rsidR="009D2441" w:rsidRPr="001203D9" w:rsidTr="002D2E81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vMerge w:val="restart"/>
            <w:shd w:val="clear" w:color="auto" w:fill="DEEAF6" w:themeFill="accent5" w:themeFillTint="33"/>
          </w:tcPr>
          <w:p w:rsidR="001203D9" w:rsidRPr="00E97FBA" w:rsidRDefault="00852F41" w:rsidP="00AA316F">
            <w:pPr>
              <w:pStyle w:val="Text1"/>
              <w:spacing w:after="0"/>
              <w:ind w:left="0"/>
              <w:rPr>
                <w:b w:val="0"/>
                <w:noProof/>
                <w:sz w:val="18"/>
                <w:szCs w:val="18"/>
              </w:rPr>
            </w:pPr>
            <w:r>
              <w:rPr>
                <w:b w:val="0"/>
                <w:noProof/>
                <w:sz w:val="18"/>
                <w:szCs w:val="18"/>
              </w:rPr>
              <w:t>P</w:t>
            </w:r>
            <w:r w:rsidR="001203D9" w:rsidRPr="00E97FBA">
              <w:rPr>
                <w:b w:val="0"/>
                <w:noProof/>
                <w:sz w:val="18"/>
                <w:szCs w:val="18"/>
              </w:rPr>
              <w:t>2</w:t>
            </w:r>
          </w:p>
        </w:tc>
        <w:tc>
          <w:tcPr>
            <w:tcW w:w="525" w:type="pct"/>
            <w:vMerge w:val="restart"/>
            <w:shd w:val="clear" w:color="auto" w:fill="DEEAF6" w:themeFill="accent5" w:themeFillTint="33"/>
          </w:tcPr>
          <w:p w:rsidR="00923C96" w:rsidRPr="00E97FBA" w:rsidRDefault="001203D9" w:rsidP="00AA316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E97FBA">
              <w:rPr>
                <w:color w:val="000000"/>
                <w:sz w:val="18"/>
                <w:szCs w:val="18"/>
                <w:lang w:eastAsia="cs-CZ" w:bidi="cs-CZ"/>
              </w:rPr>
              <w:t>2.4</w:t>
            </w:r>
            <w:r w:rsidR="00923C96" w:rsidRPr="00E97FBA">
              <w:rPr>
                <w:color w:val="000000"/>
                <w:sz w:val="18"/>
                <w:szCs w:val="18"/>
                <w:lang w:eastAsia="cs-CZ" w:bidi="cs-CZ"/>
              </w:rPr>
              <w:t xml:space="preserve"> </w:t>
            </w:r>
          </w:p>
          <w:p w:rsidR="001203D9" w:rsidRPr="00E97FBA" w:rsidRDefault="001203D9" w:rsidP="00AA316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E97FBA">
              <w:rPr>
                <w:color w:val="000000"/>
                <w:sz w:val="18"/>
                <w:szCs w:val="18"/>
                <w:lang w:eastAsia="cs-CZ" w:bidi="cs-CZ"/>
              </w:rPr>
              <w:t xml:space="preserve"> </w:t>
            </w:r>
          </w:p>
        </w:tc>
        <w:tc>
          <w:tcPr>
            <w:tcW w:w="368" w:type="pct"/>
            <w:vMerge w:val="restart"/>
            <w:shd w:val="clear" w:color="auto" w:fill="DEEAF6" w:themeFill="accent5" w:themeFillTint="33"/>
          </w:tcPr>
          <w:p w:rsidR="001203D9" w:rsidRPr="00E97FBA" w:rsidRDefault="004A2217" w:rsidP="00AA316F">
            <w:pPr>
              <w:pStyle w:val="Text1"/>
              <w:spacing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E97FBA">
              <w:rPr>
                <w:noProof/>
                <w:sz w:val="18"/>
                <w:szCs w:val="18"/>
              </w:rPr>
              <w:t>ESF</w:t>
            </w:r>
            <w:r w:rsidR="00E81A42" w:rsidRPr="00E97FBA">
              <w:rPr>
                <w:noProof/>
                <w:sz w:val="18"/>
                <w:szCs w:val="18"/>
              </w:rPr>
              <w:t>+</w:t>
            </w:r>
          </w:p>
        </w:tc>
        <w:tc>
          <w:tcPr>
            <w:tcW w:w="663" w:type="pct"/>
            <w:shd w:val="clear" w:color="auto" w:fill="DEEAF6" w:themeFill="accent5" w:themeFillTint="33"/>
          </w:tcPr>
          <w:p w:rsidR="001203D9" w:rsidRPr="00E97FBA" w:rsidRDefault="001203D9" w:rsidP="004E348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E97FBA">
              <w:rPr>
                <w:color w:val="000000"/>
                <w:sz w:val="18"/>
                <w:szCs w:val="18"/>
                <w:lang w:eastAsia="cs-CZ" w:bidi="cs-CZ"/>
              </w:rPr>
              <w:t xml:space="preserve">Více </w:t>
            </w:r>
            <w:r w:rsidR="009D2441">
              <w:rPr>
                <w:color w:val="000000"/>
                <w:sz w:val="18"/>
                <w:szCs w:val="18"/>
                <w:lang w:eastAsia="cs-CZ" w:bidi="cs-CZ"/>
              </w:rPr>
              <w:br/>
            </w:r>
            <w:r w:rsidRPr="00E97FBA">
              <w:rPr>
                <w:color w:val="000000"/>
                <w:sz w:val="18"/>
                <w:szCs w:val="18"/>
                <w:lang w:eastAsia="cs-CZ" w:bidi="cs-CZ"/>
              </w:rPr>
              <w:t>rozvinuté</w:t>
            </w:r>
          </w:p>
        </w:tc>
        <w:tc>
          <w:tcPr>
            <w:tcW w:w="441" w:type="pct"/>
            <w:vMerge w:val="restart"/>
            <w:shd w:val="clear" w:color="auto" w:fill="DEEAF6" w:themeFill="accent5" w:themeFillTint="33"/>
          </w:tcPr>
          <w:p w:rsidR="001203D9" w:rsidRPr="00912399" w:rsidRDefault="001203D9" w:rsidP="0091239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912399">
              <w:rPr>
                <w:color w:val="000000"/>
                <w:sz w:val="18"/>
                <w:szCs w:val="18"/>
                <w:lang w:eastAsia="cs-CZ" w:bidi="cs-CZ"/>
              </w:rPr>
              <w:t>6 00 00</w:t>
            </w:r>
          </w:p>
        </w:tc>
        <w:tc>
          <w:tcPr>
            <w:tcW w:w="1152" w:type="pct"/>
            <w:vMerge w:val="restart"/>
            <w:shd w:val="clear" w:color="auto" w:fill="DEEAF6" w:themeFill="accent5" w:themeFillTint="33"/>
          </w:tcPr>
          <w:p w:rsidR="001203D9" w:rsidRPr="00912399" w:rsidRDefault="001203D9" w:rsidP="0091239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912399">
              <w:rPr>
                <w:color w:val="000000"/>
                <w:sz w:val="18"/>
                <w:szCs w:val="18"/>
                <w:lang w:eastAsia="cs-CZ" w:bidi="cs-CZ"/>
              </w:rPr>
              <w:t>Celkový počet účastníků</w:t>
            </w:r>
          </w:p>
        </w:tc>
        <w:tc>
          <w:tcPr>
            <w:tcW w:w="538" w:type="pct"/>
            <w:vMerge w:val="restart"/>
            <w:shd w:val="clear" w:color="auto" w:fill="DEEAF6" w:themeFill="accent5" w:themeFillTint="33"/>
          </w:tcPr>
          <w:p w:rsidR="001203D9" w:rsidRPr="00E97FBA" w:rsidRDefault="0032415A" w:rsidP="00AA316F">
            <w:pPr>
              <w:pStyle w:val="Text1"/>
              <w:spacing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  <w:lang w:eastAsia="cs-CZ" w:bidi="cs-CZ"/>
              </w:rPr>
              <w:t>O</w:t>
            </w:r>
            <w:r w:rsidR="001203D9" w:rsidRPr="00E97FBA">
              <w:rPr>
                <w:color w:val="000000"/>
                <w:sz w:val="18"/>
                <w:szCs w:val="18"/>
                <w:lang w:eastAsia="cs-CZ" w:bidi="cs-CZ"/>
              </w:rPr>
              <w:t>soby</w:t>
            </w:r>
          </w:p>
        </w:tc>
        <w:tc>
          <w:tcPr>
            <w:tcW w:w="437" w:type="pct"/>
            <w:shd w:val="clear" w:color="auto" w:fill="DEEAF6" w:themeFill="accent5" w:themeFillTint="33"/>
          </w:tcPr>
          <w:p w:rsidR="001203D9" w:rsidRPr="00F065C1" w:rsidRDefault="00F065C1" w:rsidP="00F065C1">
            <w:pPr>
              <w:pStyle w:val="Text1"/>
              <w:spacing w:after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  <w:highlight w:val="yellow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46" w:type="pct"/>
            <w:shd w:val="clear" w:color="auto" w:fill="DEEAF6" w:themeFill="accent5" w:themeFillTint="33"/>
          </w:tcPr>
          <w:p w:rsidR="001203D9" w:rsidRPr="00E97FBA" w:rsidRDefault="001203D9" w:rsidP="0032415A">
            <w:pPr>
              <w:pStyle w:val="Text1"/>
              <w:spacing w:after="0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  <w:highlight w:val="yellow"/>
              </w:rPr>
            </w:pPr>
            <w:r w:rsidRPr="00E97FBA">
              <w:rPr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9D2441" w:rsidRPr="001203D9" w:rsidTr="002D2E81">
        <w:tblPrEx>
          <w:tblLook w:val="04A0" w:firstRow="1" w:lastRow="0" w:firstColumn="1" w:lastColumn="0" w:noHBand="0" w:noVBand="1"/>
        </w:tblPrEx>
        <w:trPr>
          <w:trHeight w:val="1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vMerge/>
            <w:shd w:val="clear" w:color="auto" w:fill="DEEAF6" w:themeFill="accent5" w:themeFillTint="33"/>
          </w:tcPr>
          <w:p w:rsidR="00F065C1" w:rsidRPr="00E97FBA" w:rsidRDefault="00F065C1" w:rsidP="002D15B6">
            <w:pPr>
              <w:pStyle w:val="Text1"/>
              <w:spacing w:before="0" w:after="0"/>
              <w:ind w:left="0"/>
              <w:rPr>
                <w:b w:val="0"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525" w:type="pct"/>
            <w:vMerge/>
            <w:shd w:val="clear" w:color="auto" w:fill="DEEAF6" w:themeFill="accent5" w:themeFillTint="33"/>
          </w:tcPr>
          <w:p w:rsidR="00F065C1" w:rsidRPr="00E97FBA" w:rsidRDefault="00F065C1" w:rsidP="002D15B6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368" w:type="pct"/>
            <w:vMerge/>
            <w:shd w:val="clear" w:color="auto" w:fill="DEEAF6" w:themeFill="accent5" w:themeFillTint="33"/>
          </w:tcPr>
          <w:p w:rsidR="00F065C1" w:rsidRPr="00E97FBA" w:rsidRDefault="00F065C1" w:rsidP="002D15B6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663" w:type="pct"/>
            <w:shd w:val="clear" w:color="auto" w:fill="DEEAF6" w:themeFill="accent5" w:themeFillTint="33"/>
          </w:tcPr>
          <w:p w:rsidR="00F065C1" w:rsidRPr="00E97FBA" w:rsidRDefault="00F065C1" w:rsidP="002D15B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E97FBA">
              <w:rPr>
                <w:color w:val="000000"/>
                <w:sz w:val="18"/>
                <w:szCs w:val="18"/>
                <w:lang w:eastAsia="cs-CZ" w:bidi="cs-CZ"/>
              </w:rPr>
              <w:t>Přechodové</w:t>
            </w:r>
          </w:p>
        </w:tc>
        <w:tc>
          <w:tcPr>
            <w:tcW w:w="441" w:type="pct"/>
            <w:vMerge/>
            <w:shd w:val="clear" w:color="auto" w:fill="DEEAF6" w:themeFill="accent5" w:themeFillTint="33"/>
          </w:tcPr>
          <w:p w:rsidR="00F065C1" w:rsidRPr="00E97FBA" w:rsidRDefault="00F065C1" w:rsidP="002D15B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</w:p>
        </w:tc>
        <w:tc>
          <w:tcPr>
            <w:tcW w:w="1152" w:type="pct"/>
            <w:vMerge/>
            <w:shd w:val="clear" w:color="auto" w:fill="DEEAF6" w:themeFill="accent5" w:themeFillTint="33"/>
          </w:tcPr>
          <w:p w:rsidR="00F065C1" w:rsidRPr="00E97FBA" w:rsidRDefault="00F065C1" w:rsidP="002D15B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</w:p>
        </w:tc>
        <w:tc>
          <w:tcPr>
            <w:tcW w:w="538" w:type="pct"/>
            <w:vMerge/>
            <w:shd w:val="clear" w:color="auto" w:fill="DEEAF6" w:themeFill="accent5" w:themeFillTint="33"/>
          </w:tcPr>
          <w:p w:rsidR="00F065C1" w:rsidRPr="00E97FBA" w:rsidRDefault="00F065C1" w:rsidP="002D15B6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437" w:type="pct"/>
            <w:shd w:val="clear" w:color="auto" w:fill="DEEAF6" w:themeFill="accent5" w:themeFillTint="33"/>
          </w:tcPr>
          <w:p w:rsidR="00F065C1" w:rsidRPr="00F065C1" w:rsidRDefault="00F065C1" w:rsidP="002D15B6">
            <w:pPr>
              <w:pStyle w:val="Text1"/>
              <w:spacing w:before="0" w:after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  <w:highlight w:val="yellow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46" w:type="pct"/>
            <w:shd w:val="clear" w:color="auto" w:fill="DEEAF6" w:themeFill="accent5" w:themeFillTint="33"/>
          </w:tcPr>
          <w:p w:rsidR="00F065C1" w:rsidRPr="00E97FBA" w:rsidRDefault="00F065C1" w:rsidP="002D15B6">
            <w:pPr>
              <w:pStyle w:val="Text1"/>
              <w:spacing w:before="0" w:after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  <w:highlight w:val="yellow"/>
              </w:rPr>
            </w:pPr>
            <w:r w:rsidRPr="00E97FBA">
              <w:rPr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9D2441" w:rsidRPr="001203D9" w:rsidTr="002D2E81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vMerge/>
            <w:shd w:val="clear" w:color="auto" w:fill="DEEAF6" w:themeFill="accent5" w:themeFillTint="33"/>
          </w:tcPr>
          <w:p w:rsidR="00F065C1" w:rsidRPr="00E97FBA" w:rsidRDefault="00F065C1" w:rsidP="002D15B6">
            <w:pPr>
              <w:pStyle w:val="Text1"/>
              <w:spacing w:before="0" w:after="0"/>
              <w:ind w:left="0"/>
              <w:rPr>
                <w:b w:val="0"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525" w:type="pct"/>
            <w:vMerge/>
            <w:shd w:val="clear" w:color="auto" w:fill="DEEAF6" w:themeFill="accent5" w:themeFillTint="33"/>
          </w:tcPr>
          <w:p w:rsidR="00F065C1" w:rsidRPr="00E97FBA" w:rsidRDefault="00F065C1" w:rsidP="002D15B6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368" w:type="pct"/>
            <w:vMerge/>
            <w:shd w:val="clear" w:color="auto" w:fill="DEEAF6" w:themeFill="accent5" w:themeFillTint="33"/>
          </w:tcPr>
          <w:p w:rsidR="00F065C1" w:rsidRPr="00E97FBA" w:rsidRDefault="00F065C1" w:rsidP="002D15B6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663" w:type="pct"/>
            <w:shd w:val="clear" w:color="auto" w:fill="DEEAF6" w:themeFill="accent5" w:themeFillTint="33"/>
          </w:tcPr>
          <w:p w:rsidR="00F065C1" w:rsidRPr="00E97FBA" w:rsidRDefault="00F065C1" w:rsidP="002D15B6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E97FBA">
              <w:rPr>
                <w:color w:val="000000"/>
                <w:sz w:val="18"/>
                <w:szCs w:val="18"/>
                <w:lang w:eastAsia="cs-CZ" w:bidi="cs-CZ"/>
              </w:rPr>
              <w:t xml:space="preserve">Méně </w:t>
            </w:r>
            <w:r w:rsidR="009D2441">
              <w:rPr>
                <w:color w:val="000000"/>
                <w:sz w:val="18"/>
                <w:szCs w:val="18"/>
                <w:lang w:eastAsia="cs-CZ" w:bidi="cs-CZ"/>
              </w:rPr>
              <w:br/>
            </w:r>
            <w:r w:rsidRPr="00E97FBA">
              <w:rPr>
                <w:color w:val="000000"/>
                <w:sz w:val="18"/>
                <w:szCs w:val="18"/>
                <w:lang w:eastAsia="cs-CZ" w:bidi="cs-CZ"/>
              </w:rPr>
              <w:t>rozvinuté</w:t>
            </w:r>
          </w:p>
        </w:tc>
        <w:tc>
          <w:tcPr>
            <w:tcW w:w="441" w:type="pct"/>
            <w:vMerge/>
            <w:shd w:val="clear" w:color="auto" w:fill="DEEAF6" w:themeFill="accent5" w:themeFillTint="33"/>
          </w:tcPr>
          <w:p w:rsidR="00F065C1" w:rsidRPr="00E97FBA" w:rsidRDefault="00F065C1" w:rsidP="002D15B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</w:p>
        </w:tc>
        <w:tc>
          <w:tcPr>
            <w:tcW w:w="1152" w:type="pct"/>
            <w:vMerge/>
            <w:shd w:val="clear" w:color="auto" w:fill="DEEAF6" w:themeFill="accent5" w:themeFillTint="33"/>
          </w:tcPr>
          <w:p w:rsidR="00F065C1" w:rsidRPr="00E97FBA" w:rsidRDefault="00F065C1" w:rsidP="002D15B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</w:p>
        </w:tc>
        <w:tc>
          <w:tcPr>
            <w:tcW w:w="538" w:type="pct"/>
            <w:vMerge/>
            <w:shd w:val="clear" w:color="auto" w:fill="DEEAF6" w:themeFill="accent5" w:themeFillTint="33"/>
          </w:tcPr>
          <w:p w:rsidR="00F065C1" w:rsidRPr="00E97FBA" w:rsidRDefault="00F065C1" w:rsidP="002D15B6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437" w:type="pct"/>
            <w:shd w:val="clear" w:color="auto" w:fill="DEEAF6" w:themeFill="accent5" w:themeFillTint="33"/>
          </w:tcPr>
          <w:p w:rsidR="00F065C1" w:rsidRPr="00F065C1" w:rsidRDefault="00F065C1" w:rsidP="002D15B6">
            <w:pPr>
              <w:pStyle w:val="Text1"/>
              <w:spacing w:before="0" w:after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  <w:highlight w:val="yellow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46" w:type="pct"/>
            <w:shd w:val="clear" w:color="auto" w:fill="DEEAF6" w:themeFill="accent5" w:themeFillTint="33"/>
          </w:tcPr>
          <w:p w:rsidR="00F065C1" w:rsidRPr="00E97FBA" w:rsidRDefault="00F065C1" w:rsidP="002D15B6">
            <w:pPr>
              <w:pStyle w:val="Text1"/>
              <w:spacing w:before="0" w:after="0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  <w:highlight w:val="yellow"/>
              </w:rPr>
            </w:pPr>
            <w:r w:rsidRPr="00E97FBA">
              <w:rPr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9D2441" w:rsidRPr="001203D9" w:rsidTr="002D2E81">
        <w:tblPrEx>
          <w:tblLook w:val="04A0" w:firstRow="1" w:lastRow="0" w:firstColumn="1" w:lastColumn="0" w:noHBand="0" w:noVBand="1"/>
        </w:tblPrEx>
        <w:trPr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vMerge/>
            <w:shd w:val="clear" w:color="auto" w:fill="DEEAF6" w:themeFill="accent5" w:themeFillTint="33"/>
          </w:tcPr>
          <w:p w:rsidR="00F065C1" w:rsidRPr="00E97FBA" w:rsidRDefault="00F065C1" w:rsidP="002D15B6">
            <w:pPr>
              <w:pStyle w:val="Text1"/>
              <w:spacing w:before="0" w:after="0"/>
              <w:ind w:left="0"/>
              <w:rPr>
                <w:b w:val="0"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525" w:type="pct"/>
            <w:vMerge/>
            <w:shd w:val="clear" w:color="auto" w:fill="DEEAF6" w:themeFill="accent5" w:themeFillTint="33"/>
          </w:tcPr>
          <w:p w:rsidR="00F065C1" w:rsidRPr="00E97FBA" w:rsidRDefault="00F065C1" w:rsidP="002D15B6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368" w:type="pct"/>
            <w:vMerge/>
            <w:shd w:val="clear" w:color="auto" w:fill="DEEAF6" w:themeFill="accent5" w:themeFillTint="33"/>
          </w:tcPr>
          <w:p w:rsidR="00F065C1" w:rsidRPr="00E97FBA" w:rsidRDefault="00F065C1" w:rsidP="002D15B6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663" w:type="pct"/>
            <w:shd w:val="clear" w:color="auto" w:fill="DEEAF6" w:themeFill="accent5" w:themeFillTint="33"/>
          </w:tcPr>
          <w:p w:rsidR="00F065C1" w:rsidRPr="00E97FBA" w:rsidRDefault="00F065C1" w:rsidP="002D15B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E97FBA">
              <w:rPr>
                <w:color w:val="000000"/>
                <w:sz w:val="18"/>
                <w:szCs w:val="18"/>
                <w:lang w:eastAsia="cs-CZ" w:bidi="cs-CZ"/>
              </w:rPr>
              <w:t xml:space="preserve">Více </w:t>
            </w:r>
            <w:r w:rsidR="009D2441">
              <w:rPr>
                <w:color w:val="000000"/>
                <w:sz w:val="18"/>
                <w:szCs w:val="18"/>
                <w:lang w:eastAsia="cs-CZ" w:bidi="cs-CZ"/>
              </w:rPr>
              <w:br/>
            </w:r>
            <w:r w:rsidRPr="00E97FBA">
              <w:rPr>
                <w:color w:val="000000"/>
                <w:sz w:val="18"/>
                <w:szCs w:val="18"/>
                <w:lang w:eastAsia="cs-CZ" w:bidi="cs-CZ"/>
              </w:rPr>
              <w:t>rozvinuté</w:t>
            </w:r>
          </w:p>
        </w:tc>
        <w:tc>
          <w:tcPr>
            <w:tcW w:w="441" w:type="pct"/>
            <w:vMerge w:val="restart"/>
            <w:shd w:val="clear" w:color="auto" w:fill="DEEAF6" w:themeFill="accent5" w:themeFillTint="33"/>
          </w:tcPr>
          <w:p w:rsidR="00F065C1" w:rsidRPr="00E97FBA" w:rsidRDefault="00F065C1" w:rsidP="002D15B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  <w:r w:rsidRPr="00E97FBA"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  <w:t>5 21 00</w:t>
            </w:r>
          </w:p>
        </w:tc>
        <w:tc>
          <w:tcPr>
            <w:tcW w:w="1152" w:type="pct"/>
            <w:vMerge w:val="restart"/>
            <w:shd w:val="clear" w:color="auto" w:fill="DEEAF6" w:themeFill="accent5" w:themeFillTint="33"/>
          </w:tcPr>
          <w:p w:rsidR="00F065C1" w:rsidRPr="00E97FBA" w:rsidRDefault="00F065C1" w:rsidP="002D15B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  <w:r w:rsidRPr="00E97FBA">
              <w:rPr>
                <w:rFonts w:ascii="Times New Roman" w:hAnsi="Times New Roman" w:cs="Times New Roman"/>
                <w:sz w:val="18"/>
                <w:szCs w:val="18"/>
              </w:rPr>
              <w:t>Počet vytvořených produktů</w:t>
            </w:r>
          </w:p>
        </w:tc>
        <w:tc>
          <w:tcPr>
            <w:tcW w:w="538" w:type="pct"/>
            <w:vMerge w:val="restart"/>
            <w:shd w:val="clear" w:color="auto" w:fill="DEEAF6" w:themeFill="accent5" w:themeFillTint="33"/>
          </w:tcPr>
          <w:p w:rsidR="00F065C1" w:rsidRPr="00E97FBA" w:rsidRDefault="00F065C1" w:rsidP="002D15B6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  <w:lang w:eastAsia="cs-CZ" w:bidi="cs-CZ"/>
              </w:rPr>
              <w:t>P</w:t>
            </w:r>
            <w:r w:rsidRPr="00E97FBA">
              <w:rPr>
                <w:color w:val="000000"/>
                <w:sz w:val="18"/>
                <w:szCs w:val="18"/>
                <w:lang w:eastAsia="cs-CZ" w:bidi="cs-CZ"/>
              </w:rPr>
              <w:t>rodukty</w:t>
            </w:r>
          </w:p>
        </w:tc>
        <w:tc>
          <w:tcPr>
            <w:tcW w:w="437" w:type="pct"/>
            <w:shd w:val="clear" w:color="auto" w:fill="DEEAF6" w:themeFill="accent5" w:themeFillTint="33"/>
          </w:tcPr>
          <w:p w:rsidR="00F065C1" w:rsidRPr="00F065C1" w:rsidRDefault="00F065C1" w:rsidP="002D15B6">
            <w:pPr>
              <w:pStyle w:val="Text1"/>
              <w:spacing w:before="0" w:after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  <w:highlight w:val="yellow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46" w:type="pct"/>
            <w:shd w:val="clear" w:color="auto" w:fill="DEEAF6" w:themeFill="accent5" w:themeFillTint="33"/>
          </w:tcPr>
          <w:p w:rsidR="00F065C1" w:rsidRPr="00E97FBA" w:rsidRDefault="00F065C1" w:rsidP="002D15B6">
            <w:pPr>
              <w:pStyle w:val="Text1"/>
              <w:spacing w:before="0" w:after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  <w:highlight w:val="yellow"/>
              </w:rPr>
            </w:pPr>
            <w:r w:rsidRPr="00E97FBA">
              <w:rPr>
                <w:bCs/>
                <w:color w:val="000000"/>
                <w:sz w:val="18"/>
                <w:szCs w:val="18"/>
              </w:rPr>
              <w:t>2</w:t>
            </w:r>
          </w:p>
        </w:tc>
      </w:tr>
      <w:tr w:rsidR="009D2441" w:rsidRPr="001203D9" w:rsidTr="002D2E81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vMerge/>
            <w:shd w:val="clear" w:color="auto" w:fill="DEEAF6" w:themeFill="accent5" w:themeFillTint="33"/>
          </w:tcPr>
          <w:p w:rsidR="00F065C1" w:rsidRPr="00E97FBA" w:rsidRDefault="00F065C1" w:rsidP="002D15B6">
            <w:pPr>
              <w:pStyle w:val="Text1"/>
              <w:spacing w:before="0" w:after="0"/>
              <w:ind w:left="0"/>
              <w:rPr>
                <w:b w:val="0"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525" w:type="pct"/>
            <w:vMerge/>
            <w:shd w:val="clear" w:color="auto" w:fill="DEEAF6" w:themeFill="accent5" w:themeFillTint="33"/>
          </w:tcPr>
          <w:p w:rsidR="00F065C1" w:rsidRPr="00E97FBA" w:rsidRDefault="00F065C1" w:rsidP="002D15B6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368" w:type="pct"/>
            <w:vMerge/>
            <w:shd w:val="clear" w:color="auto" w:fill="DEEAF6" w:themeFill="accent5" w:themeFillTint="33"/>
          </w:tcPr>
          <w:p w:rsidR="00F065C1" w:rsidRPr="00E97FBA" w:rsidRDefault="00F065C1" w:rsidP="002D15B6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663" w:type="pct"/>
            <w:shd w:val="clear" w:color="auto" w:fill="DEEAF6" w:themeFill="accent5" w:themeFillTint="33"/>
          </w:tcPr>
          <w:p w:rsidR="00F065C1" w:rsidRPr="00E97FBA" w:rsidRDefault="00F065C1" w:rsidP="002D15B6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E97FBA">
              <w:rPr>
                <w:color w:val="000000"/>
                <w:sz w:val="18"/>
                <w:szCs w:val="18"/>
                <w:lang w:eastAsia="cs-CZ" w:bidi="cs-CZ"/>
              </w:rPr>
              <w:t>Přechodové</w:t>
            </w:r>
          </w:p>
        </w:tc>
        <w:tc>
          <w:tcPr>
            <w:tcW w:w="441" w:type="pct"/>
            <w:vMerge/>
            <w:shd w:val="clear" w:color="auto" w:fill="DEEAF6" w:themeFill="accent5" w:themeFillTint="33"/>
          </w:tcPr>
          <w:p w:rsidR="00F065C1" w:rsidRPr="00E97FBA" w:rsidRDefault="00F065C1" w:rsidP="002D15B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</w:p>
        </w:tc>
        <w:tc>
          <w:tcPr>
            <w:tcW w:w="1152" w:type="pct"/>
            <w:vMerge/>
            <w:shd w:val="clear" w:color="auto" w:fill="DEEAF6" w:themeFill="accent5" w:themeFillTint="33"/>
          </w:tcPr>
          <w:p w:rsidR="00F065C1" w:rsidRPr="00E97FBA" w:rsidRDefault="00F065C1" w:rsidP="002D15B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</w:p>
        </w:tc>
        <w:tc>
          <w:tcPr>
            <w:tcW w:w="538" w:type="pct"/>
            <w:vMerge/>
            <w:shd w:val="clear" w:color="auto" w:fill="DEEAF6" w:themeFill="accent5" w:themeFillTint="33"/>
          </w:tcPr>
          <w:p w:rsidR="00F065C1" w:rsidRPr="00E97FBA" w:rsidRDefault="00F065C1" w:rsidP="002D15B6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437" w:type="pct"/>
            <w:shd w:val="clear" w:color="auto" w:fill="DEEAF6" w:themeFill="accent5" w:themeFillTint="33"/>
          </w:tcPr>
          <w:p w:rsidR="00F065C1" w:rsidRPr="00F065C1" w:rsidRDefault="00F065C1" w:rsidP="002D15B6">
            <w:pPr>
              <w:pStyle w:val="Text1"/>
              <w:spacing w:before="0" w:after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  <w:highlight w:val="yellow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46" w:type="pct"/>
            <w:shd w:val="clear" w:color="auto" w:fill="DEEAF6" w:themeFill="accent5" w:themeFillTint="33"/>
          </w:tcPr>
          <w:p w:rsidR="00F065C1" w:rsidRPr="00E97FBA" w:rsidRDefault="00F065C1" w:rsidP="002D15B6">
            <w:pPr>
              <w:pStyle w:val="Text1"/>
              <w:spacing w:before="0" w:after="0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  <w:highlight w:val="yellow"/>
              </w:rPr>
            </w:pPr>
            <w:r w:rsidRPr="00E97FBA">
              <w:rPr>
                <w:bCs/>
                <w:color w:val="000000"/>
                <w:sz w:val="18"/>
                <w:szCs w:val="18"/>
              </w:rPr>
              <w:t>94</w:t>
            </w:r>
          </w:p>
        </w:tc>
      </w:tr>
      <w:tr w:rsidR="009D2441" w:rsidRPr="001203D9" w:rsidTr="002D2E81">
        <w:tblPrEx>
          <w:tblLook w:val="04A0" w:firstRow="1" w:lastRow="0" w:firstColumn="1" w:lastColumn="0" w:noHBand="0" w:noVBand="1"/>
        </w:tblPrEx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vMerge/>
            <w:shd w:val="clear" w:color="auto" w:fill="DEEAF6" w:themeFill="accent5" w:themeFillTint="33"/>
          </w:tcPr>
          <w:p w:rsidR="00F065C1" w:rsidRPr="00E97FBA" w:rsidRDefault="00F065C1" w:rsidP="002D15B6">
            <w:pPr>
              <w:pStyle w:val="Text1"/>
              <w:spacing w:before="0" w:after="0"/>
              <w:ind w:left="0"/>
              <w:rPr>
                <w:b w:val="0"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525" w:type="pct"/>
            <w:vMerge/>
            <w:shd w:val="clear" w:color="auto" w:fill="DEEAF6" w:themeFill="accent5" w:themeFillTint="33"/>
          </w:tcPr>
          <w:p w:rsidR="00F065C1" w:rsidRPr="00E97FBA" w:rsidRDefault="00F065C1" w:rsidP="002D15B6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368" w:type="pct"/>
            <w:vMerge/>
            <w:shd w:val="clear" w:color="auto" w:fill="DEEAF6" w:themeFill="accent5" w:themeFillTint="33"/>
          </w:tcPr>
          <w:p w:rsidR="00F065C1" w:rsidRPr="00E97FBA" w:rsidRDefault="00F065C1" w:rsidP="002D15B6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663" w:type="pct"/>
            <w:shd w:val="clear" w:color="auto" w:fill="DEEAF6" w:themeFill="accent5" w:themeFillTint="33"/>
          </w:tcPr>
          <w:p w:rsidR="00F065C1" w:rsidRPr="00E97FBA" w:rsidRDefault="00F065C1" w:rsidP="002D15B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E97FBA">
              <w:rPr>
                <w:color w:val="000000"/>
                <w:sz w:val="18"/>
                <w:szCs w:val="18"/>
                <w:lang w:eastAsia="cs-CZ" w:bidi="cs-CZ"/>
              </w:rPr>
              <w:t xml:space="preserve">Méně </w:t>
            </w:r>
            <w:r w:rsidR="009D2441">
              <w:rPr>
                <w:color w:val="000000"/>
                <w:sz w:val="18"/>
                <w:szCs w:val="18"/>
                <w:lang w:eastAsia="cs-CZ" w:bidi="cs-CZ"/>
              </w:rPr>
              <w:br/>
            </w:r>
            <w:r w:rsidRPr="00E97FBA">
              <w:rPr>
                <w:color w:val="000000"/>
                <w:sz w:val="18"/>
                <w:szCs w:val="18"/>
                <w:lang w:eastAsia="cs-CZ" w:bidi="cs-CZ"/>
              </w:rPr>
              <w:t>rozvinuté</w:t>
            </w:r>
          </w:p>
        </w:tc>
        <w:tc>
          <w:tcPr>
            <w:tcW w:w="441" w:type="pct"/>
            <w:vMerge/>
            <w:shd w:val="clear" w:color="auto" w:fill="DEEAF6" w:themeFill="accent5" w:themeFillTint="33"/>
          </w:tcPr>
          <w:p w:rsidR="00F065C1" w:rsidRPr="00E97FBA" w:rsidRDefault="00F065C1" w:rsidP="002D15B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</w:p>
        </w:tc>
        <w:tc>
          <w:tcPr>
            <w:tcW w:w="1152" w:type="pct"/>
            <w:vMerge/>
            <w:shd w:val="clear" w:color="auto" w:fill="DEEAF6" w:themeFill="accent5" w:themeFillTint="33"/>
          </w:tcPr>
          <w:p w:rsidR="00F065C1" w:rsidRPr="00E97FBA" w:rsidRDefault="00F065C1" w:rsidP="002D15B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</w:p>
        </w:tc>
        <w:tc>
          <w:tcPr>
            <w:tcW w:w="538" w:type="pct"/>
            <w:vMerge/>
            <w:shd w:val="clear" w:color="auto" w:fill="DEEAF6" w:themeFill="accent5" w:themeFillTint="33"/>
          </w:tcPr>
          <w:p w:rsidR="00F065C1" w:rsidRPr="00E97FBA" w:rsidRDefault="00F065C1" w:rsidP="002D15B6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437" w:type="pct"/>
            <w:shd w:val="clear" w:color="auto" w:fill="DEEAF6" w:themeFill="accent5" w:themeFillTint="33"/>
          </w:tcPr>
          <w:p w:rsidR="00F065C1" w:rsidRPr="00F065C1" w:rsidRDefault="00F065C1" w:rsidP="002D15B6">
            <w:pPr>
              <w:pStyle w:val="Text1"/>
              <w:spacing w:before="0" w:after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  <w:highlight w:val="yellow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46" w:type="pct"/>
            <w:shd w:val="clear" w:color="auto" w:fill="DEEAF6" w:themeFill="accent5" w:themeFillTint="33"/>
          </w:tcPr>
          <w:p w:rsidR="00F065C1" w:rsidRPr="00E97FBA" w:rsidRDefault="00F065C1" w:rsidP="002D15B6">
            <w:pPr>
              <w:pStyle w:val="Text1"/>
              <w:spacing w:before="0" w:after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  <w:highlight w:val="yellow"/>
              </w:rPr>
            </w:pPr>
            <w:r w:rsidRPr="00E97FBA">
              <w:rPr>
                <w:bCs/>
                <w:color w:val="000000"/>
                <w:sz w:val="18"/>
                <w:szCs w:val="18"/>
              </w:rPr>
              <w:t>104</w:t>
            </w:r>
          </w:p>
        </w:tc>
      </w:tr>
      <w:tr w:rsidR="009D2441" w:rsidRPr="001203D9" w:rsidTr="002D2E81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vMerge/>
            <w:shd w:val="clear" w:color="auto" w:fill="DEEAF6" w:themeFill="accent5" w:themeFillTint="33"/>
          </w:tcPr>
          <w:p w:rsidR="00F065C1" w:rsidRPr="00E97FBA" w:rsidRDefault="00F065C1" w:rsidP="002D15B6">
            <w:pPr>
              <w:pStyle w:val="Text1"/>
              <w:spacing w:before="0" w:after="0"/>
              <w:ind w:left="0"/>
              <w:rPr>
                <w:b w:val="0"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525" w:type="pct"/>
            <w:vMerge/>
            <w:shd w:val="clear" w:color="auto" w:fill="DEEAF6" w:themeFill="accent5" w:themeFillTint="33"/>
          </w:tcPr>
          <w:p w:rsidR="00F065C1" w:rsidRPr="00E97FBA" w:rsidRDefault="00F065C1" w:rsidP="002D15B6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368" w:type="pct"/>
            <w:vMerge/>
            <w:shd w:val="clear" w:color="auto" w:fill="DEEAF6" w:themeFill="accent5" w:themeFillTint="33"/>
          </w:tcPr>
          <w:p w:rsidR="00F065C1" w:rsidRPr="00E97FBA" w:rsidRDefault="00F065C1" w:rsidP="002D15B6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663" w:type="pct"/>
            <w:shd w:val="clear" w:color="auto" w:fill="DEEAF6" w:themeFill="accent5" w:themeFillTint="33"/>
          </w:tcPr>
          <w:p w:rsidR="00F065C1" w:rsidRPr="00E97FBA" w:rsidRDefault="00F065C1" w:rsidP="002D15B6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E97FBA">
              <w:rPr>
                <w:color w:val="000000"/>
                <w:sz w:val="18"/>
                <w:szCs w:val="18"/>
                <w:lang w:eastAsia="cs-CZ" w:bidi="cs-CZ"/>
              </w:rPr>
              <w:t xml:space="preserve">Více </w:t>
            </w:r>
            <w:r w:rsidR="009D2441">
              <w:rPr>
                <w:color w:val="000000"/>
                <w:sz w:val="18"/>
                <w:szCs w:val="18"/>
                <w:lang w:eastAsia="cs-CZ" w:bidi="cs-CZ"/>
              </w:rPr>
              <w:br/>
            </w:r>
            <w:r w:rsidRPr="00E97FBA">
              <w:rPr>
                <w:color w:val="000000"/>
                <w:sz w:val="18"/>
                <w:szCs w:val="18"/>
                <w:lang w:eastAsia="cs-CZ" w:bidi="cs-CZ"/>
              </w:rPr>
              <w:t>rozvinuté</w:t>
            </w:r>
          </w:p>
        </w:tc>
        <w:tc>
          <w:tcPr>
            <w:tcW w:w="441" w:type="pct"/>
            <w:vMerge w:val="restart"/>
            <w:shd w:val="clear" w:color="auto" w:fill="DEEAF6" w:themeFill="accent5" w:themeFillTint="33"/>
          </w:tcPr>
          <w:p w:rsidR="00F065C1" w:rsidRPr="00E97FBA" w:rsidRDefault="00F065C1" w:rsidP="002D15B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  <w:r w:rsidRPr="00E97FBA"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  <w:t>CO16</w:t>
            </w:r>
          </w:p>
        </w:tc>
        <w:tc>
          <w:tcPr>
            <w:tcW w:w="1152" w:type="pct"/>
            <w:vMerge w:val="restart"/>
            <w:shd w:val="clear" w:color="auto" w:fill="DEEAF6" w:themeFill="accent5" w:themeFillTint="33"/>
          </w:tcPr>
          <w:p w:rsidR="00F065C1" w:rsidRPr="009D2441" w:rsidRDefault="00F065C1" w:rsidP="002D15B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E97FBA">
              <w:rPr>
                <w:rFonts w:ascii="Times New Roman" w:hAnsi="Times New Roman" w:cs="Times New Roman"/>
                <w:sz w:val="18"/>
                <w:szCs w:val="18"/>
              </w:rPr>
              <w:t>Počet podporovaných orgánů veřejné správy nebo veřejných služeb na vnitrostátní, regionální 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E97FBA">
              <w:rPr>
                <w:rFonts w:ascii="Times New Roman" w:hAnsi="Times New Roman" w:cs="Times New Roman"/>
                <w:sz w:val="18"/>
                <w:szCs w:val="18"/>
              </w:rPr>
              <w:t xml:space="preserve">místní úrovni </w:t>
            </w:r>
          </w:p>
        </w:tc>
        <w:tc>
          <w:tcPr>
            <w:tcW w:w="538" w:type="pct"/>
            <w:vMerge w:val="restart"/>
            <w:shd w:val="clear" w:color="auto" w:fill="DEEAF6" w:themeFill="accent5" w:themeFillTint="33"/>
          </w:tcPr>
          <w:p w:rsidR="00F065C1" w:rsidRPr="00E97FBA" w:rsidRDefault="00F065C1" w:rsidP="002D15B6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  <w:lang w:eastAsia="cs-CZ" w:bidi="cs-CZ"/>
              </w:rPr>
              <w:t>O</w:t>
            </w:r>
            <w:r w:rsidRPr="00E97FBA">
              <w:rPr>
                <w:color w:val="000000"/>
                <w:sz w:val="18"/>
                <w:szCs w:val="18"/>
                <w:lang w:eastAsia="cs-CZ" w:bidi="cs-CZ"/>
              </w:rPr>
              <w:t>rganizace</w:t>
            </w:r>
          </w:p>
        </w:tc>
        <w:tc>
          <w:tcPr>
            <w:tcW w:w="437" w:type="pct"/>
            <w:shd w:val="clear" w:color="auto" w:fill="DEEAF6" w:themeFill="accent5" w:themeFillTint="33"/>
          </w:tcPr>
          <w:p w:rsidR="00F065C1" w:rsidRPr="00F065C1" w:rsidRDefault="00F065C1" w:rsidP="002D15B6">
            <w:pPr>
              <w:pStyle w:val="Text1"/>
              <w:spacing w:before="0" w:after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  <w:highlight w:val="yellow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46" w:type="pct"/>
            <w:shd w:val="clear" w:color="auto" w:fill="DEEAF6" w:themeFill="accent5" w:themeFillTint="33"/>
          </w:tcPr>
          <w:p w:rsidR="00F065C1" w:rsidRPr="00E97FBA" w:rsidRDefault="00F065C1" w:rsidP="002D15B6">
            <w:pPr>
              <w:pStyle w:val="Text1"/>
              <w:spacing w:before="0" w:after="0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  <w:highlight w:val="yellow"/>
              </w:rPr>
            </w:pPr>
            <w:r w:rsidRPr="00E97FBA">
              <w:rPr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9D2441" w:rsidRPr="001203D9" w:rsidTr="002D2E81">
        <w:tblPrEx>
          <w:tblLook w:val="04A0" w:firstRow="1" w:lastRow="0" w:firstColumn="1" w:lastColumn="0" w:noHBand="0" w:noVBand="1"/>
        </w:tblPrEx>
        <w:trPr>
          <w:trHeight w:val="1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vMerge/>
            <w:shd w:val="clear" w:color="auto" w:fill="DEEAF6" w:themeFill="accent5" w:themeFillTint="33"/>
          </w:tcPr>
          <w:p w:rsidR="00F065C1" w:rsidRPr="00E97FBA" w:rsidRDefault="00F065C1" w:rsidP="002D15B6">
            <w:pPr>
              <w:pStyle w:val="Text1"/>
              <w:spacing w:before="0" w:after="0"/>
              <w:ind w:left="0"/>
              <w:rPr>
                <w:b w:val="0"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525" w:type="pct"/>
            <w:vMerge/>
            <w:shd w:val="clear" w:color="auto" w:fill="DEEAF6" w:themeFill="accent5" w:themeFillTint="33"/>
          </w:tcPr>
          <w:p w:rsidR="00F065C1" w:rsidRPr="00E97FBA" w:rsidRDefault="00F065C1" w:rsidP="002D15B6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368" w:type="pct"/>
            <w:vMerge/>
            <w:shd w:val="clear" w:color="auto" w:fill="DEEAF6" w:themeFill="accent5" w:themeFillTint="33"/>
          </w:tcPr>
          <w:p w:rsidR="00F065C1" w:rsidRPr="00E97FBA" w:rsidRDefault="00F065C1" w:rsidP="002D15B6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663" w:type="pct"/>
            <w:shd w:val="clear" w:color="auto" w:fill="DEEAF6" w:themeFill="accent5" w:themeFillTint="33"/>
          </w:tcPr>
          <w:p w:rsidR="00F065C1" w:rsidRPr="00E97FBA" w:rsidRDefault="00F065C1" w:rsidP="002D15B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E97FBA">
              <w:rPr>
                <w:color w:val="000000"/>
                <w:sz w:val="18"/>
                <w:szCs w:val="18"/>
                <w:lang w:eastAsia="cs-CZ" w:bidi="cs-CZ"/>
              </w:rPr>
              <w:t>Přechodové</w:t>
            </w:r>
          </w:p>
        </w:tc>
        <w:tc>
          <w:tcPr>
            <w:tcW w:w="441" w:type="pct"/>
            <w:vMerge/>
            <w:shd w:val="clear" w:color="auto" w:fill="DEEAF6" w:themeFill="accent5" w:themeFillTint="33"/>
          </w:tcPr>
          <w:p w:rsidR="00F065C1" w:rsidRPr="00E97FBA" w:rsidRDefault="00F065C1" w:rsidP="002D15B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</w:p>
        </w:tc>
        <w:tc>
          <w:tcPr>
            <w:tcW w:w="1152" w:type="pct"/>
            <w:vMerge/>
            <w:shd w:val="clear" w:color="auto" w:fill="DEEAF6" w:themeFill="accent5" w:themeFillTint="33"/>
          </w:tcPr>
          <w:p w:rsidR="00F065C1" w:rsidRPr="00E97FBA" w:rsidRDefault="00F065C1" w:rsidP="002D15B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</w:p>
        </w:tc>
        <w:tc>
          <w:tcPr>
            <w:tcW w:w="538" w:type="pct"/>
            <w:vMerge/>
            <w:shd w:val="clear" w:color="auto" w:fill="DEEAF6" w:themeFill="accent5" w:themeFillTint="33"/>
          </w:tcPr>
          <w:p w:rsidR="00F065C1" w:rsidRPr="00E97FBA" w:rsidRDefault="00F065C1" w:rsidP="002D15B6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437" w:type="pct"/>
            <w:shd w:val="clear" w:color="auto" w:fill="DEEAF6" w:themeFill="accent5" w:themeFillTint="33"/>
          </w:tcPr>
          <w:p w:rsidR="00F065C1" w:rsidRPr="00F065C1" w:rsidRDefault="00F065C1" w:rsidP="002D15B6">
            <w:pPr>
              <w:pStyle w:val="Text1"/>
              <w:spacing w:before="0" w:after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  <w:highlight w:val="yellow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46" w:type="pct"/>
            <w:shd w:val="clear" w:color="auto" w:fill="DEEAF6" w:themeFill="accent5" w:themeFillTint="33"/>
          </w:tcPr>
          <w:p w:rsidR="00F065C1" w:rsidRPr="00E97FBA" w:rsidRDefault="00F065C1" w:rsidP="002D15B6">
            <w:pPr>
              <w:pStyle w:val="Text1"/>
              <w:spacing w:before="0" w:after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  <w:highlight w:val="yellow"/>
              </w:rPr>
            </w:pPr>
            <w:r w:rsidRPr="00E97FBA">
              <w:rPr>
                <w:bCs/>
                <w:color w:val="000000"/>
                <w:sz w:val="18"/>
                <w:szCs w:val="18"/>
              </w:rPr>
              <w:t>19</w:t>
            </w:r>
          </w:p>
        </w:tc>
      </w:tr>
      <w:tr w:rsidR="009D2441" w:rsidRPr="001203D9" w:rsidTr="002D2E81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vMerge/>
            <w:shd w:val="clear" w:color="auto" w:fill="DEEAF6" w:themeFill="accent5" w:themeFillTint="33"/>
          </w:tcPr>
          <w:p w:rsidR="00F065C1" w:rsidRPr="00E97FBA" w:rsidRDefault="00F065C1" w:rsidP="002D15B6">
            <w:pPr>
              <w:pStyle w:val="Text1"/>
              <w:spacing w:before="0" w:after="0"/>
              <w:ind w:left="0"/>
              <w:rPr>
                <w:b w:val="0"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525" w:type="pct"/>
            <w:vMerge/>
            <w:shd w:val="clear" w:color="auto" w:fill="DEEAF6" w:themeFill="accent5" w:themeFillTint="33"/>
          </w:tcPr>
          <w:p w:rsidR="00F065C1" w:rsidRPr="00E97FBA" w:rsidRDefault="00F065C1" w:rsidP="002D15B6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368" w:type="pct"/>
            <w:vMerge/>
            <w:shd w:val="clear" w:color="auto" w:fill="DEEAF6" w:themeFill="accent5" w:themeFillTint="33"/>
          </w:tcPr>
          <w:p w:rsidR="00F065C1" w:rsidRPr="00E97FBA" w:rsidRDefault="00F065C1" w:rsidP="002D15B6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663" w:type="pct"/>
            <w:shd w:val="clear" w:color="auto" w:fill="DEEAF6" w:themeFill="accent5" w:themeFillTint="33"/>
          </w:tcPr>
          <w:p w:rsidR="00F065C1" w:rsidRPr="00E97FBA" w:rsidRDefault="00F065C1" w:rsidP="002D15B6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E97FBA">
              <w:rPr>
                <w:color w:val="000000"/>
                <w:sz w:val="18"/>
                <w:szCs w:val="18"/>
                <w:lang w:eastAsia="cs-CZ" w:bidi="cs-CZ"/>
              </w:rPr>
              <w:t xml:space="preserve">Méně </w:t>
            </w:r>
            <w:r w:rsidR="009D2441">
              <w:rPr>
                <w:color w:val="000000"/>
                <w:sz w:val="18"/>
                <w:szCs w:val="18"/>
                <w:lang w:eastAsia="cs-CZ" w:bidi="cs-CZ"/>
              </w:rPr>
              <w:br/>
            </w:r>
            <w:r w:rsidRPr="00E97FBA">
              <w:rPr>
                <w:color w:val="000000"/>
                <w:sz w:val="18"/>
                <w:szCs w:val="18"/>
                <w:lang w:eastAsia="cs-CZ" w:bidi="cs-CZ"/>
              </w:rPr>
              <w:t>rozvinuté</w:t>
            </w:r>
          </w:p>
        </w:tc>
        <w:tc>
          <w:tcPr>
            <w:tcW w:w="441" w:type="pct"/>
            <w:vMerge/>
            <w:shd w:val="clear" w:color="auto" w:fill="DEEAF6" w:themeFill="accent5" w:themeFillTint="33"/>
          </w:tcPr>
          <w:p w:rsidR="00F065C1" w:rsidRPr="00E97FBA" w:rsidRDefault="00F065C1" w:rsidP="002D15B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</w:p>
        </w:tc>
        <w:tc>
          <w:tcPr>
            <w:tcW w:w="1152" w:type="pct"/>
            <w:vMerge/>
            <w:shd w:val="clear" w:color="auto" w:fill="DEEAF6" w:themeFill="accent5" w:themeFillTint="33"/>
          </w:tcPr>
          <w:p w:rsidR="00F065C1" w:rsidRPr="00E97FBA" w:rsidRDefault="00F065C1" w:rsidP="002D15B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cs-CZ" w:bidi="cs-CZ"/>
              </w:rPr>
            </w:pPr>
          </w:p>
        </w:tc>
        <w:tc>
          <w:tcPr>
            <w:tcW w:w="538" w:type="pct"/>
            <w:vMerge/>
            <w:shd w:val="clear" w:color="auto" w:fill="DEEAF6" w:themeFill="accent5" w:themeFillTint="33"/>
          </w:tcPr>
          <w:p w:rsidR="00F065C1" w:rsidRPr="00E97FBA" w:rsidRDefault="00F065C1" w:rsidP="002D15B6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noProof/>
                <w:sz w:val="18"/>
                <w:szCs w:val="18"/>
                <w:highlight w:val="yellow"/>
              </w:rPr>
            </w:pPr>
          </w:p>
        </w:tc>
        <w:tc>
          <w:tcPr>
            <w:tcW w:w="437" w:type="pct"/>
            <w:shd w:val="clear" w:color="auto" w:fill="DEEAF6" w:themeFill="accent5" w:themeFillTint="33"/>
          </w:tcPr>
          <w:p w:rsidR="00F065C1" w:rsidRPr="00F065C1" w:rsidRDefault="00F065C1" w:rsidP="002D15B6">
            <w:pPr>
              <w:pStyle w:val="Text1"/>
              <w:spacing w:before="0" w:after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  <w:highlight w:val="yellow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46" w:type="pct"/>
            <w:shd w:val="clear" w:color="auto" w:fill="DEEAF6" w:themeFill="accent5" w:themeFillTint="33"/>
          </w:tcPr>
          <w:p w:rsidR="00F065C1" w:rsidRPr="00E97FBA" w:rsidRDefault="00F065C1" w:rsidP="002D15B6">
            <w:pPr>
              <w:pStyle w:val="Text1"/>
              <w:spacing w:before="0" w:after="0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  <w:highlight w:val="yellow"/>
              </w:rPr>
            </w:pPr>
            <w:r w:rsidRPr="00E97FBA">
              <w:rPr>
                <w:bCs/>
                <w:color w:val="000000"/>
                <w:sz w:val="18"/>
                <w:szCs w:val="18"/>
              </w:rPr>
              <w:t>21</w:t>
            </w:r>
          </w:p>
        </w:tc>
      </w:tr>
    </w:tbl>
    <w:p w:rsidR="004B212A" w:rsidRPr="00B169F0" w:rsidRDefault="004B212A" w:rsidP="004B212A">
      <w:pPr>
        <w:pStyle w:val="Titulek"/>
        <w:rPr>
          <w:rFonts w:ascii="Times New Roman" w:hAnsi="Times New Roman" w:cs="Times New Roman"/>
        </w:rPr>
      </w:pPr>
      <w:bookmarkStart w:id="204" w:name="_Toc66346578"/>
      <w:r w:rsidRPr="00B169F0">
        <w:rPr>
          <w:rFonts w:ascii="Times New Roman" w:hAnsi="Times New Roman" w:cs="Times New Roman"/>
        </w:rPr>
        <w:t xml:space="preserve">Tabulka </w:t>
      </w:r>
      <w:r w:rsidRPr="00B169F0">
        <w:rPr>
          <w:rFonts w:ascii="Times New Roman" w:hAnsi="Times New Roman" w:cs="Times New Roman"/>
        </w:rPr>
        <w:fldChar w:fldCharType="begin"/>
      </w:r>
      <w:r w:rsidRPr="00B169F0">
        <w:rPr>
          <w:rFonts w:ascii="Times New Roman" w:hAnsi="Times New Roman" w:cs="Times New Roman"/>
        </w:rPr>
        <w:instrText xml:space="preserve"> SEQ Tabulka \* ARABIC </w:instrText>
      </w:r>
      <w:r w:rsidRPr="00B169F0">
        <w:rPr>
          <w:rFonts w:ascii="Times New Roman" w:hAnsi="Times New Roman" w:cs="Times New Roman"/>
        </w:rPr>
        <w:fldChar w:fldCharType="separate"/>
      </w:r>
      <w:r w:rsidR="00756BE0">
        <w:rPr>
          <w:rFonts w:ascii="Times New Roman" w:hAnsi="Times New Roman" w:cs="Times New Roman"/>
          <w:noProof/>
        </w:rPr>
        <w:t>36</w:t>
      </w:r>
      <w:r w:rsidRPr="00B169F0">
        <w:rPr>
          <w:rFonts w:ascii="Times New Roman" w:hAnsi="Times New Roman" w:cs="Times New Roman"/>
        </w:rPr>
        <w:fldChar w:fldCharType="end"/>
      </w:r>
      <w:r w:rsidRPr="00B169F0">
        <w:rPr>
          <w:rFonts w:ascii="Times New Roman" w:hAnsi="Times New Roman" w:cs="Times New Roman"/>
        </w:rPr>
        <w:t>: Ukazatel</w:t>
      </w:r>
      <w:r w:rsidR="005B64A1">
        <w:rPr>
          <w:rFonts w:ascii="Times New Roman" w:hAnsi="Times New Roman" w:cs="Times New Roman"/>
        </w:rPr>
        <w:t>e</w:t>
      </w:r>
      <w:r w:rsidRPr="00B169F0">
        <w:rPr>
          <w:rFonts w:ascii="Times New Roman" w:hAnsi="Times New Roman" w:cs="Times New Roman"/>
        </w:rPr>
        <w:t xml:space="preserve"> výsledků</w:t>
      </w:r>
      <w:bookmarkEnd w:id="204"/>
    </w:p>
    <w:tbl>
      <w:tblPr>
        <w:tblStyle w:val="Tabulkasmkou4zvraznn1"/>
        <w:tblW w:w="5004" w:type="pct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707"/>
        <w:gridCol w:w="709"/>
        <w:gridCol w:w="1419"/>
        <w:gridCol w:w="850"/>
        <w:gridCol w:w="1133"/>
        <w:gridCol w:w="1135"/>
        <w:gridCol w:w="709"/>
        <w:gridCol w:w="426"/>
        <w:gridCol w:w="709"/>
        <w:gridCol w:w="991"/>
        <w:gridCol w:w="428"/>
      </w:tblGrid>
      <w:tr w:rsidR="0071632F" w:rsidRPr="0000474A" w:rsidTr="00B64D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" w:type="pct"/>
            <w:tcBorders>
              <w:right w:val="single" w:sz="4" w:space="0" w:color="4472C4" w:themeColor="accent1"/>
            </w:tcBorders>
            <w:shd w:val="clear" w:color="auto" w:fill="002060"/>
            <w:textDirection w:val="btLr"/>
            <w:vAlign w:val="center"/>
            <w:hideMark/>
          </w:tcPr>
          <w:p w:rsidR="004B212A" w:rsidRPr="00A364D1" w:rsidRDefault="004B212A" w:rsidP="009D2441">
            <w:pPr>
              <w:pStyle w:val="Text1"/>
              <w:spacing w:before="0" w:after="0" w:line="240" w:lineRule="auto"/>
              <w:ind w:left="113" w:right="113"/>
              <w:jc w:val="center"/>
              <w:rPr>
                <w:b w:val="0"/>
                <w:noProof/>
                <w:sz w:val="18"/>
                <w:szCs w:val="18"/>
              </w:rPr>
            </w:pPr>
            <w:r w:rsidRPr="00A364D1">
              <w:rPr>
                <w:noProof/>
                <w:sz w:val="18"/>
                <w:szCs w:val="18"/>
              </w:rPr>
              <w:t>Priorita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7" w:type="pct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textDirection w:val="btLr"/>
            <w:vAlign w:val="center"/>
          </w:tcPr>
          <w:p w:rsidR="004B212A" w:rsidRPr="00A364D1" w:rsidRDefault="004B212A" w:rsidP="009D2441">
            <w:pPr>
              <w:pStyle w:val="Text1"/>
              <w:spacing w:before="0" w:after="0" w:line="240" w:lineRule="auto"/>
              <w:ind w:left="113" w:right="113"/>
              <w:jc w:val="center"/>
              <w:rPr>
                <w:b w:val="0"/>
                <w:noProof/>
                <w:sz w:val="18"/>
                <w:szCs w:val="18"/>
              </w:rPr>
            </w:pPr>
            <w:r w:rsidRPr="00A364D1">
              <w:rPr>
                <w:noProof/>
                <w:sz w:val="18"/>
                <w:szCs w:val="18"/>
              </w:rPr>
              <w:t>Specifický cíl</w:t>
            </w:r>
          </w:p>
        </w:tc>
        <w:tc>
          <w:tcPr>
            <w:tcW w:w="368" w:type="pct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textDirection w:val="btLr"/>
            <w:vAlign w:val="center"/>
            <w:hideMark/>
          </w:tcPr>
          <w:p w:rsidR="004B212A" w:rsidRPr="00A364D1" w:rsidRDefault="004B212A" w:rsidP="009D2441">
            <w:pPr>
              <w:pStyle w:val="Text1"/>
              <w:spacing w:before="0" w:after="0" w:line="240" w:lineRule="auto"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noProof/>
                <w:sz w:val="18"/>
                <w:szCs w:val="18"/>
              </w:rPr>
            </w:pPr>
            <w:r w:rsidRPr="00A364D1">
              <w:rPr>
                <w:noProof/>
                <w:sz w:val="18"/>
                <w:szCs w:val="18"/>
              </w:rPr>
              <w:t>Fond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6" w:type="pct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textDirection w:val="btLr"/>
            <w:vAlign w:val="center"/>
            <w:hideMark/>
          </w:tcPr>
          <w:p w:rsidR="004B212A" w:rsidRPr="00A364D1" w:rsidRDefault="004B212A" w:rsidP="009D2441">
            <w:pPr>
              <w:pStyle w:val="Textkomente"/>
              <w:spacing w:line="240" w:lineRule="auto"/>
              <w:ind w:left="113" w:right="113"/>
              <w:jc w:val="center"/>
              <w:rPr>
                <w:rFonts w:cs="Times New Roman"/>
                <w:b w:val="0"/>
                <w:noProof/>
                <w:sz w:val="18"/>
                <w:szCs w:val="18"/>
                <w:lang w:val="cs-CZ"/>
              </w:rPr>
            </w:pPr>
            <w:r w:rsidRPr="00A364D1">
              <w:rPr>
                <w:rFonts w:cs="Times New Roman"/>
                <w:noProof/>
                <w:sz w:val="18"/>
                <w:szCs w:val="18"/>
                <w:lang w:val="cs-CZ"/>
              </w:rPr>
              <w:t>Kategorie regionu</w:t>
            </w:r>
          </w:p>
        </w:tc>
        <w:tc>
          <w:tcPr>
            <w:tcW w:w="441" w:type="pct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textDirection w:val="btLr"/>
            <w:vAlign w:val="center"/>
            <w:hideMark/>
          </w:tcPr>
          <w:p w:rsidR="004B212A" w:rsidRPr="00A364D1" w:rsidRDefault="004B212A" w:rsidP="009D2441">
            <w:pPr>
              <w:pStyle w:val="Text1"/>
              <w:spacing w:before="0" w:after="0" w:line="240" w:lineRule="auto"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noProof/>
                <w:sz w:val="18"/>
                <w:szCs w:val="18"/>
              </w:rPr>
            </w:pPr>
            <w:r w:rsidRPr="00A364D1">
              <w:rPr>
                <w:noProof/>
                <w:sz w:val="18"/>
                <w:szCs w:val="18"/>
              </w:rPr>
              <w:t>ID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88" w:type="pct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textDirection w:val="btLr"/>
            <w:vAlign w:val="center"/>
            <w:hideMark/>
          </w:tcPr>
          <w:p w:rsidR="004B212A" w:rsidRPr="00A364D1" w:rsidRDefault="004B212A" w:rsidP="009D2441">
            <w:pPr>
              <w:pStyle w:val="Text1"/>
              <w:spacing w:before="0" w:after="0" w:line="240" w:lineRule="auto"/>
              <w:ind w:left="113" w:right="113"/>
              <w:jc w:val="center"/>
              <w:rPr>
                <w:b w:val="0"/>
                <w:noProof/>
                <w:sz w:val="18"/>
                <w:szCs w:val="18"/>
              </w:rPr>
            </w:pPr>
            <w:r w:rsidRPr="00A364D1">
              <w:rPr>
                <w:noProof/>
                <w:sz w:val="18"/>
                <w:szCs w:val="18"/>
              </w:rPr>
              <w:t>Ukazatel</w:t>
            </w:r>
          </w:p>
        </w:tc>
        <w:tc>
          <w:tcPr>
            <w:tcW w:w="589" w:type="pct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textDirection w:val="btLr"/>
            <w:vAlign w:val="center"/>
            <w:hideMark/>
          </w:tcPr>
          <w:p w:rsidR="004B212A" w:rsidRPr="00A364D1" w:rsidRDefault="004B212A" w:rsidP="009D2441">
            <w:pPr>
              <w:pStyle w:val="Text1"/>
              <w:spacing w:before="0" w:after="0" w:line="240" w:lineRule="auto"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noProof/>
                <w:sz w:val="18"/>
                <w:szCs w:val="18"/>
              </w:rPr>
            </w:pPr>
            <w:r w:rsidRPr="00A364D1">
              <w:rPr>
                <w:noProof/>
                <w:sz w:val="18"/>
                <w:szCs w:val="18"/>
              </w:rPr>
              <w:t xml:space="preserve">Jednotka </w:t>
            </w:r>
            <w:r w:rsidR="00756BE0">
              <w:rPr>
                <w:noProof/>
                <w:sz w:val="18"/>
                <w:szCs w:val="18"/>
              </w:rPr>
              <w:br/>
            </w:r>
            <w:r w:rsidRPr="00A364D1">
              <w:rPr>
                <w:noProof/>
                <w:sz w:val="18"/>
                <w:szCs w:val="18"/>
              </w:rPr>
              <w:t>měření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" w:type="pct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textDirection w:val="btLr"/>
            <w:vAlign w:val="center"/>
          </w:tcPr>
          <w:p w:rsidR="004B212A" w:rsidRPr="00A364D1" w:rsidRDefault="004B212A" w:rsidP="009D2441">
            <w:pPr>
              <w:pStyle w:val="Text1"/>
              <w:spacing w:before="0" w:after="0" w:line="240" w:lineRule="auto"/>
              <w:ind w:left="113" w:right="113"/>
              <w:jc w:val="center"/>
              <w:rPr>
                <w:b w:val="0"/>
                <w:noProof/>
                <w:sz w:val="18"/>
                <w:szCs w:val="18"/>
              </w:rPr>
            </w:pPr>
            <w:r w:rsidRPr="00A364D1">
              <w:rPr>
                <w:noProof/>
                <w:sz w:val="18"/>
                <w:szCs w:val="18"/>
              </w:rPr>
              <w:t>Základní nebo referenční hodnota</w:t>
            </w:r>
          </w:p>
        </w:tc>
        <w:tc>
          <w:tcPr>
            <w:tcW w:w="221" w:type="pct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textDirection w:val="btLr"/>
            <w:vAlign w:val="center"/>
            <w:hideMark/>
          </w:tcPr>
          <w:p w:rsidR="004B212A" w:rsidRPr="00A364D1" w:rsidRDefault="004B212A" w:rsidP="009D2441">
            <w:pPr>
              <w:pStyle w:val="Text1"/>
              <w:spacing w:before="0" w:after="0" w:line="240" w:lineRule="auto"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noProof/>
                <w:sz w:val="18"/>
                <w:szCs w:val="18"/>
              </w:rPr>
            </w:pPr>
            <w:r w:rsidRPr="00A364D1">
              <w:rPr>
                <w:noProof/>
                <w:sz w:val="18"/>
                <w:szCs w:val="18"/>
              </w:rPr>
              <w:t>Referenční rok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" w:type="pct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textDirection w:val="btLr"/>
            <w:vAlign w:val="center"/>
          </w:tcPr>
          <w:p w:rsidR="004B212A" w:rsidRPr="00A364D1" w:rsidRDefault="004B212A" w:rsidP="00756BE0">
            <w:pPr>
              <w:pStyle w:val="Text1"/>
              <w:spacing w:before="0" w:after="0" w:line="240" w:lineRule="auto"/>
              <w:ind w:left="113" w:right="113"/>
              <w:jc w:val="center"/>
              <w:rPr>
                <w:b w:val="0"/>
                <w:noProof/>
                <w:sz w:val="18"/>
                <w:szCs w:val="18"/>
              </w:rPr>
            </w:pPr>
            <w:r w:rsidRPr="00A364D1">
              <w:rPr>
                <w:noProof/>
                <w:sz w:val="18"/>
                <w:szCs w:val="18"/>
              </w:rPr>
              <w:t>Cíl (2029)</w:t>
            </w:r>
          </w:p>
        </w:tc>
        <w:tc>
          <w:tcPr>
            <w:tcW w:w="514" w:type="pct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textDirection w:val="btLr"/>
            <w:vAlign w:val="center"/>
            <w:hideMark/>
          </w:tcPr>
          <w:p w:rsidR="004B212A" w:rsidRPr="00A364D1" w:rsidRDefault="004B212A" w:rsidP="009D2441">
            <w:pPr>
              <w:pStyle w:val="Text1"/>
              <w:spacing w:before="0" w:after="0" w:line="240" w:lineRule="auto"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noProof/>
                <w:sz w:val="18"/>
                <w:szCs w:val="18"/>
              </w:rPr>
            </w:pPr>
            <w:r w:rsidRPr="00A364D1">
              <w:rPr>
                <w:noProof/>
                <w:sz w:val="18"/>
                <w:szCs w:val="18"/>
              </w:rPr>
              <w:t>Zdroj údajů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2" w:type="pct"/>
            <w:tcBorders>
              <w:left w:val="single" w:sz="4" w:space="0" w:color="4472C4" w:themeColor="accent1"/>
            </w:tcBorders>
            <w:shd w:val="clear" w:color="auto" w:fill="002060"/>
            <w:textDirection w:val="btLr"/>
            <w:hideMark/>
          </w:tcPr>
          <w:p w:rsidR="004B212A" w:rsidRPr="00A364D1" w:rsidRDefault="004B212A" w:rsidP="00756BE0">
            <w:pPr>
              <w:pStyle w:val="Text1"/>
              <w:spacing w:before="0" w:after="0" w:line="240" w:lineRule="auto"/>
              <w:ind w:left="113" w:right="113"/>
              <w:jc w:val="center"/>
              <w:rPr>
                <w:b w:val="0"/>
                <w:noProof/>
                <w:sz w:val="18"/>
                <w:szCs w:val="18"/>
              </w:rPr>
            </w:pPr>
            <w:r w:rsidRPr="00A364D1">
              <w:rPr>
                <w:noProof/>
                <w:sz w:val="18"/>
                <w:szCs w:val="18"/>
              </w:rPr>
              <w:t>Poznámky</w:t>
            </w:r>
          </w:p>
        </w:tc>
      </w:tr>
      <w:tr w:rsidR="0071632F" w:rsidRPr="0000474A" w:rsidTr="00B64D30">
        <w:tblPrEx>
          <w:tblBorders>
            <w:top w:val="single" w:sz="4" w:space="0" w:color="8EAADB" w:themeColor="accent1" w:themeTint="99"/>
            <w:left w:val="single" w:sz="4" w:space="0" w:color="8EAADB" w:themeColor="accent1" w:themeTint="99"/>
            <w:bottom w:val="single" w:sz="4" w:space="0" w:color="8EAADB" w:themeColor="accent1" w:themeTint="99"/>
            <w:right w:val="single" w:sz="4" w:space="0" w:color="8EAADB" w:themeColor="accent1" w:themeTint="99"/>
            <w:insideH w:val="single" w:sz="4" w:space="0" w:color="8EAADB" w:themeColor="accent1" w:themeTint="99"/>
            <w:insideV w:val="single" w:sz="4" w:space="0" w:color="8EAADB" w:themeColor="accent1" w:themeTint="99"/>
          </w:tblBorders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9D2441" w:rsidRDefault="00A364D1" w:rsidP="00AA316F">
            <w:pPr>
              <w:pStyle w:val="Text1"/>
              <w:spacing w:after="0"/>
              <w:ind w:left="0"/>
              <w:rPr>
                <w:b w:val="0"/>
                <w:noProof/>
                <w:sz w:val="18"/>
                <w:szCs w:val="18"/>
              </w:rPr>
            </w:pPr>
            <w:r w:rsidRPr="009D2441">
              <w:rPr>
                <w:b w:val="0"/>
                <w:noProof/>
                <w:sz w:val="18"/>
                <w:szCs w:val="18"/>
              </w:rPr>
              <w:t>P</w:t>
            </w:r>
            <w:r w:rsidR="0000474A" w:rsidRPr="009D2441">
              <w:rPr>
                <w:b w:val="0"/>
                <w:noProof/>
                <w:sz w:val="18"/>
                <w:szCs w:val="18"/>
              </w:rPr>
              <w:t>2</w:t>
            </w:r>
          </w:p>
        </w:tc>
        <w:tc>
          <w:tcPr>
            <w:tcW w:w="367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9D2441" w:rsidRDefault="0000474A" w:rsidP="0032415A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9D2441">
              <w:rPr>
                <w:color w:val="000000"/>
                <w:sz w:val="18"/>
                <w:szCs w:val="18"/>
                <w:lang w:eastAsia="cs-CZ" w:bidi="cs-CZ"/>
              </w:rPr>
              <w:t>2.4</w:t>
            </w:r>
          </w:p>
          <w:p w:rsidR="0000474A" w:rsidRPr="009D2441" w:rsidRDefault="0000474A" w:rsidP="0032415A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</w:p>
        </w:tc>
        <w:tc>
          <w:tcPr>
            <w:tcW w:w="368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9D2441" w:rsidRDefault="00A273E7" w:rsidP="00AA316F">
            <w:pPr>
              <w:pStyle w:val="Text1"/>
              <w:spacing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9D2441">
              <w:rPr>
                <w:noProof/>
                <w:sz w:val="18"/>
                <w:szCs w:val="18"/>
              </w:rPr>
              <w:t>ESF+</w:t>
            </w:r>
          </w:p>
        </w:tc>
        <w:tc>
          <w:tcPr>
            <w:tcW w:w="73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9D2441" w:rsidRDefault="0000474A" w:rsidP="004E348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9D2441">
              <w:rPr>
                <w:color w:val="000000"/>
                <w:sz w:val="18"/>
                <w:szCs w:val="18"/>
                <w:lang w:eastAsia="cs-CZ" w:bidi="cs-CZ"/>
              </w:rPr>
              <w:t>Více rozvinuté</w:t>
            </w:r>
          </w:p>
        </w:tc>
        <w:tc>
          <w:tcPr>
            <w:tcW w:w="441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9D2441" w:rsidRDefault="0000474A" w:rsidP="00EF596B">
            <w:pPr>
              <w:pStyle w:val="Text1"/>
              <w:spacing w:after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9D2441">
              <w:rPr>
                <w:noProof/>
                <w:sz w:val="18"/>
                <w:szCs w:val="18"/>
              </w:rPr>
              <w:t>5 08 10</w:t>
            </w:r>
          </w:p>
        </w:tc>
        <w:tc>
          <w:tcPr>
            <w:tcW w:w="588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9D2441" w:rsidRDefault="0000474A" w:rsidP="00AA316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9D2441">
              <w:rPr>
                <w:color w:val="000000"/>
                <w:sz w:val="18"/>
                <w:szCs w:val="18"/>
                <w:lang w:eastAsia="cs-CZ" w:bidi="cs-CZ"/>
              </w:rPr>
              <w:t xml:space="preserve">Počet </w:t>
            </w:r>
            <w:r w:rsidR="009D2441" w:rsidRPr="009D2441">
              <w:rPr>
                <w:color w:val="000000"/>
                <w:sz w:val="18"/>
                <w:szCs w:val="18"/>
                <w:lang w:eastAsia="cs-CZ" w:bidi="cs-CZ"/>
              </w:rPr>
              <w:br/>
            </w:r>
            <w:r w:rsidRPr="009D2441">
              <w:rPr>
                <w:color w:val="000000"/>
                <w:sz w:val="18"/>
                <w:szCs w:val="18"/>
                <w:lang w:eastAsia="cs-CZ" w:bidi="cs-CZ"/>
              </w:rPr>
              <w:t>organizací ovlivněných intervencí</w:t>
            </w:r>
          </w:p>
        </w:tc>
        <w:tc>
          <w:tcPr>
            <w:tcW w:w="589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9D2441" w:rsidRDefault="0000474A" w:rsidP="00AA316F">
            <w:pPr>
              <w:pStyle w:val="Text1"/>
              <w:spacing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  <w:r w:rsidRPr="009D2441">
              <w:rPr>
                <w:color w:val="000000"/>
                <w:sz w:val="18"/>
                <w:szCs w:val="18"/>
                <w:lang w:eastAsia="cs-CZ" w:bidi="cs-CZ"/>
              </w:rPr>
              <w:t>Organizace</w:t>
            </w:r>
          </w:p>
        </w:tc>
        <w:tc>
          <w:tcPr>
            <w:tcW w:w="368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9D2441" w:rsidRDefault="0000474A" w:rsidP="0032415A">
            <w:pPr>
              <w:pStyle w:val="Text1"/>
              <w:spacing w:after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  <w:r w:rsidRPr="009D2441">
              <w:rPr>
                <w:i/>
                <w:noProof/>
                <w:sz w:val="18"/>
                <w:szCs w:val="18"/>
              </w:rPr>
              <w:t>-</w:t>
            </w:r>
          </w:p>
        </w:tc>
        <w:tc>
          <w:tcPr>
            <w:tcW w:w="221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9D2441" w:rsidRDefault="0000474A" w:rsidP="00AA316F">
            <w:pPr>
              <w:pStyle w:val="Text1"/>
              <w:spacing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368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9D2441" w:rsidRDefault="0000474A" w:rsidP="0032415A">
            <w:pPr>
              <w:pStyle w:val="Text1"/>
              <w:spacing w:after="0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9D2441">
              <w:rPr>
                <w:bCs/>
                <w:color w:val="000000"/>
                <w:sz w:val="18"/>
                <w:szCs w:val="18"/>
                <w:lang w:bidi="cs-CZ"/>
              </w:rPr>
              <w:t>1</w:t>
            </w:r>
          </w:p>
        </w:tc>
        <w:tc>
          <w:tcPr>
            <w:tcW w:w="514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A364D1" w:rsidRDefault="0000474A" w:rsidP="004E3BDF">
            <w:pPr>
              <w:pStyle w:val="Text1"/>
              <w:spacing w:after="0" w:line="24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  <w:r w:rsidRPr="00A364D1">
              <w:rPr>
                <w:color w:val="000000"/>
                <w:sz w:val="18"/>
                <w:szCs w:val="18"/>
              </w:rPr>
              <w:t>Zpráva o</w:t>
            </w:r>
            <w:r w:rsidR="00F95C67">
              <w:rPr>
                <w:color w:val="000000"/>
                <w:sz w:val="18"/>
                <w:szCs w:val="18"/>
              </w:rPr>
              <w:t> </w:t>
            </w:r>
            <w:r w:rsidRPr="00A364D1">
              <w:rPr>
                <w:color w:val="000000"/>
                <w:sz w:val="18"/>
                <w:szCs w:val="18"/>
              </w:rPr>
              <w:t>realizaci projektu</w:t>
            </w:r>
          </w:p>
        </w:tc>
        <w:tc>
          <w:tcPr>
            <w:tcW w:w="222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A364D1" w:rsidRDefault="0000474A" w:rsidP="00AA316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</w:p>
        </w:tc>
      </w:tr>
      <w:tr w:rsidR="0071632F" w:rsidRPr="0000474A" w:rsidTr="00B64D30">
        <w:tblPrEx>
          <w:tblBorders>
            <w:top w:val="single" w:sz="4" w:space="0" w:color="8EAADB" w:themeColor="accent1" w:themeTint="99"/>
            <w:left w:val="single" w:sz="4" w:space="0" w:color="8EAADB" w:themeColor="accent1" w:themeTint="99"/>
            <w:bottom w:val="single" w:sz="4" w:space="0" w:color="8EAADB" w:themeColor="accent1" w:themeTint="99"/>
            <w:right w:val="single" w:sz="4" w:space="0" w:color="8EAADB" w:themeColor="accent1" w:themeTint="99"/>
            <w:insideH w:val="single" w:sz="4" w:space="0" w:color="8EAADB" w:themeColor="accent1" w:themeTint="99"/>
            <w:insideV w:val="single" w:sz="4" w:space="0" w:color="8EAADB" w:themeColor="accent1" w:themeTint="99"/>
          </w:tblBorders>
          <w:tblLook w:val="04A0" w:firstRow="1" w:lastRow="0" w:firstColumn="1" w:lastColumn="0" w:noHBand="0" w:noVBand="1"/>
        </w:tblPrEx>
        <w:trPr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9D2441" w:rsidRDefault="0000474A" w:rsidP="002D15B6">
            <w:pPr>
              <w:pStyle w:val="Text1"/>
              <w:spacing w:before="0" w:after="0"/>
              <w:ind w:left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367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9D2441" w:rsidRDefault="0000474A" w:rsidP="002D15B6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368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9D2441" w:rsidRDefault="0000474A" w:rsidP="002D15B6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73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9D2441" w:rsidRDefault="0000474A" w:rsidP="002D15B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9D2441">
              <w:rPr>
                <w:color w:val="000000"/>
                <w:sz w:val="18"/>
                <w:szCs w:val="18"/>
                <w:lang w:eastAsia="cs-CZ" w:bidi="cs-CZ"/>
              </w:rPr>
              <w:t>Přechodové</w:t>
            </w:r>
          </w:p>
        </w:tc>
        <w:tc>
          <w:tcPr>
            <w:tcW w:w="441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textDirection w:val="btLr"/>
          </w:tcPr>
          <w:p w:rsidR="0000474A" w:rsidRPr="009D2441" w:rsidRDefault="0000474A" w:rsidP="002D15B6">
            <w:pPr>
              <w:pStyle w:val="Text1"/>
              <w:spacing w:before="0" w:after="0"/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</w:p>
        </w:tc>
        <w:tc>
          <w:tcPr>
            <w:tcW w:w="588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9D2441" w:rsidRDefault="0000474A" w:rsidP="002D15B6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589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9D2441" w:rsidRDefault="0000474A" w:rsidP="002D15B6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368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9D2441" w:rsidRDefault="0000474A" w:rsidP="002D15B6">
            <w:pPr>
              <w:pStyle w:val="Text1"/>
              <w:spacing w:before="0" w:after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  <w:r w:rsidRPr="009D2441">
              <w:rPr>
                <w:i/>
                <w:noProof/>
                <w:sz w:val="18"/>
                <w:szCs w:val="18"/>
              </w:rPr>
              <w:t>-</w:t>
            </w:r>
          </w:p>
        </w:tc>
        <w:tc>
          <w:tcPr>
            <w:tcW w:w="221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9D2441" w:rsidRDefault="0000474A" w:rsidP="002D15B6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368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9D2441" w:rsidRDefault="0000474A" w:rsidP="002D15B6">
            <w:pPr>
              <w:pStyle w:val="Text1"/>
              <w:spacing w:before="0" w:after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9D2441">
              <w:rPr>
                <w:bCs/>
                <w:color w:val="000000"/>
                <w:sz w:val="18"/>
                <w:szCs w:val="18"/>
                <w:lang w:bidi="cs-CZ"/>
              </w:rPr>
              <w:t>9</w:t>
            </w:r>
          </w:p>
        </w:tc>
        <w:tc>
          <w:tcPr>
            <w:tcW w:w="514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A364D1" w:rsidRDefault="0000474A" w:rsidP="002D15B6">
            <w:pPr>
              <w:pStyle w:val="Text1"/>
              <w:spacing w:before="0" w:after="0" w:line="24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222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A364D1" w:rsidRDefault="0000474A" w:rsidP="002D15B6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</w:p>
        </w:tc>
      </w:tr>
      <w:tr w:rsidR="0071632F" w:rsidRPr="0000474A" w:rsidTr="00B64D30">
        <w:tblPrEx>
          <w:tblBorders>
            <w:top w:val="single" w:sz="4" w:space="0" w:color="8EAADB" w:themeColor="accent1" w:themeTint="99"/>
            <w:left w:val="single" w:sz="4" w:space="0" w:color="8EAADB" w:themeColor="accent1" w:themeTint="99"/>
            <w:bottom w:val="single" w:sz="4" w:space="0" w:color="8EAADB" w:themeColor="accent1" w:themeTint="99"/>
            <w:right w:val="single" w:sz="4" w:space="0" w:color="8EAADB" w:themeColor="accent1" w:themeTint="99"/>
            <w:insideH w:val="single" w:sz="4" w:space="0" w:color="8EAADB" w:themeColor="accent1" w:themeTint="99"/>
            <w:insideV w:val="single" w:sz="4" w:space="0" w:color="8EAADB" w:themeColor="accent1" w:themeTint="99"/>
          </w:tblBorders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9D2441" w:rsidRDefault="0000474A" w:rsidP="002D15B6">
            <w:pPr>
              <w:pStyle w:val="Text1"/>
              <w:spacing w:before="0" w:after="0"/>
              <w:ind w:left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367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9D2441" w:rsidRDefault="0000474A" w:rsidP="002D15B6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368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9D2441" w:rsidRDefault="0000474A" w:rsidP="002D15B6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73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9D2441" w:rsidRDefault="0000474A" w:rsidP="002D15B6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9D2441">
              <w:rPr>
                <w:color w:val="000000"/>
                <w:sz w:val="18"/>
                <w:szCs w:val="18"/>
                <w:lang w:eastAsia="cs-CZ" w:bidi="cs-CZ"/>
              </w:rPr>
              <w:t>Méně rozvinuté</w:t>
            </w:r>
          </w:p>
        </w:tc>
        <w:tc>
          <w:tcPr>
            <w:tcW w:w="441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textDirection w:val="btLr"/>
          </w:tcPr>
          <w:p w:rsidR="0000474A" w:rsidRPr="009D2441" w:rsidRDefault="0000474A" w:rsidP="002D15B6">
            <w:pPr>
              <w:pStyle w:val="Text1"/>
              <w:spacing w:before="0" w:after="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</w:p>
        </w:tc>
        <w:tc>
          <w:tcPr>
            <w:tcW w:w="588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9D2441" w:rsidRDefault="0000474A" w:rsidP="002D15B6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589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9D2441" w:rsidRDefault="0000474A" w:rsidP="002D15B6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368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9D2441" w:rsidRDefault="0000474A" w:rsidP="002D15B6">
            <w:pPr>
              <w:pStyle w:val="Text1"/>
              <w:spacing w:before="0" w:after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  <w:r w:rsidRPr="009D2441">
              <w:rPr>
                <w:i/>
                <w:noProof/>
                <w:sz w:val="18"/>
                <w:szCs w:val="18"/>
              </w:rPr>
              <w:t>-</w:t>
            </w:r>
          </w:p>
        </w:tc>
        <w:tc>
          <w:tcPr>
            <w:tcW w:w="221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9D2441" w:rsidRDefault="0000474A" w:rsidP="002D15B6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368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9D2441" w:rsidRDefault="0000474A" w:rsidP="002D15B6">
            <w:pPr>
              <w:pStyle w:val="Text1"/>
              <w:spacing w:before="0" w:after="0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9D2441">
              <w:rPr>
                <w:bCs/>
                <w:color w:val="000000"/>
                <w:sz w:val="18"/>
                <w:szCs w:val="18"/>
                <w:lang w:bidi="cs-CZ"/>
              </w:rPr>
              <w:t>10</w:t>
            </w:r>
          </w:p>
        </w:tc>
        <w:tc>
          <w:tcPr>
            <w:tcW w:w="514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A364D1" w:rsidRDefault="0000474A" w:rsidP="002D15B6">
            <w:pPr>
              <w:pStyle w:val="Text1"/>
              <w:spacing w:before="0" w:after="0" w:line="24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222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A364D1" w:rsidRDefault="0000474A" w:rsidP="002D15B6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</w:p>
        </w:tc>
      </w:tr>
      <w:tr w:rsidR="0071632F" w:rsidRPr="0000474A" w:rsidTr="00B64D30">
        <w:tblPrEx>
          <w:tblBorders>
            <w:top w:val="single" w:sz="4" w:space="0" w:color="8EAADB" w:themeColor="accent1" w:themeTint="99"/>
            <w:left w:val="single" w:sz="4" w:space="0" w:color="8EAADB" w:themeColor="accent1" w:themeTint="99"/>
            <w:bottom w:val="single" w:sz="4" w:space="0" w:color="8EAADB" w:themeColor="accent1" w:themeTint="99"/>
            <w:right w:val="single" w:sz="4" w:space="0" w:color="8EAADB" w:themeColor="accent1" w:themeTint="99"/>
            <w:insideH w:val="single" w:sz="4" w:space="0" w:color="8EAADB" w:themeColor="accent1" w:themeTint="99"/>
            <w:insideV w:val="single" w:sz="4" w:space="0" w:color="8EAADB" w:themeColor="accent1" w:themeTint="99"/>
          </w:tblBorders>
          <w:tblLook w:val="04A0" w:firstRow="1" w:lastRow="0" w:firstColumn="1" w:lastColumn="0" w:noHBand="0" w:noVBand="1"/>
        </w:tblPrEx>
        <w:trPr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9D2441" w:rsidRDefault="0000474A" w:rsidP="002D15B6">
            <w:pPr>
              <w:pStyle w:val="Text1"/>
              <w:spacing w:before="0" w:after="0"/>
              <w:ind w:left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367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9D2441" w:rsidRDefault="0000474A" w:rsidP="002D15B6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368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9D2441" w:rsidRDefault="0000474A" w:rsidP="002D15B6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73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9D2441" w:rsidRDefault="0000474A" w:rsidP="002D15B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9D2441">
              <w:rPr>
                <w:color w:val="000000"/>
                <w:sz w:val="18"/>
                <w:szCs w:val="18"/>
                <w:lang w:eastAsia="cs-CZ" w:bidi="cs-CZ"/>
              </w:rPr>
              <w:t>Více rozvinuté</w:t>
            </w:r>
          </w:p>
        </w:tc>
        <w:tc>
          <w:tcPr>
            <w:tcW w:w="441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textDirection w:val="btLr"/>
          </w:tcPr>
          <w:p w:rsidR="0000474A" w:rsidRPr="009D2441" w:rsidRDefault="0000474A" w:rsidP="002D15B6">
            <w:pPr>
              <w:pStyle w:val="Text1"/>
              <w:spacing w:before="0" w:after="0"/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</w:p>
        </w:tc>
        <w:tc>
          <w:tcPr>
            <w:tcW w:w="588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9D2441" w:rsidRDefault="0000474A" w:rsidP="002D15B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9D2441">
              <w:rPr>
                <w:color w:val="000000"/>
                <w:sz w:val="18"/>
                <w:szCs w:val="18"/>
                <w:lang w:eastAsia="cs-CZ" w:bidi="cs-CZ"/>
              </w:rPr>
              <w:t>Počet osob ovlivněných intervencí</w:t>
            </w:r>
          </w:p>
        </w:tc>
        <w:tc>
          <w:tcPr>
            <w:tcW w:w="589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9D2441" w:rsidRDefault="0000474A" w:rsidP="002D15B6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  <w:r w:rsidRPr="009D2441">
              <w:rPr>
                <w:rFonts w:eastAsia="Calibri"/>
                <w:color w:val="000000"/>
                <w:sz w:val="18"/>
                <w:szCs w:val="18"/>
                <w:lang w:eastAsia="cs-CZ" w:bidi="cs-CZ"/>
              </w:rPr>
              <w:t>Osoba</w:t>
            </w:r>
          </w:p>
        </w:tc>
        <w:tc>
          <w:tcPr>
            <w:tcW w:w="368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9D2441" w:rsidRDefault="0000474A" w:rsidP="002D15B6">
            <w:pPr>
              <w:pStyle w:val="Text1"/>
              <w:spacing w:before="0" w:after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9D2441">
              <w:rPr>
                <w:noProof/>
                <w:sz w:val="18"/>
                <w:szCs w:val="18"/>
              </w:rPr>
              <w:t>-</w:t>
            </w:r>
          </w:p>
        </w:tc>
        <w:tc>
          <w:tcPr>
            <w:tcW w:w="221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9D2441" w:rsidRDefault="0000474A" w:rsidP="002D15B6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368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9D2441" w:rsidRDefault="0000474A" w:rsidP="002D15B6">
            <w:pPr>
              <w:pStyle w:val="Text1"/>
              <w:spacing w:before="0" w:after="0"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9D2441">
              <w:rPr>
                <w:bCs/>
                <w:color w:val="000000"/>
                <w:sz w:val="18"/>
                <w:szCs w:val="18"/>
                <w:lang w:bidi="cs-CZ"/>
              </w:rPr>
              <w:t>40</w:t>
            </w:r>
          </w:p>
        </w:tc>
        <w:tc>
          <w:tcPr>
            <w:tcW w:w="514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A364D1" w:rsidRDefault="0000474A" w:rsidP="002D15B6">
            <w:pPr>
              <w:pStyle w:val="Text1"/>
              <w:spacing w:before="0" w:after="0"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  <w:r w:rsidRPr="00A364D1">
              <w:rPr>
                <w:color w:val="000000"/>
                <w:sz w:val="18"/>
                <w:szCs w:val="18"/>
              </w:rPr>
              <w:t>Zpráva o</w:t>
            </w:r>
            <w:r w:rsidR="00F95C67">
              <w:rPr>
                <w:color w:val="000000"/>
                <w:sz w:val="18"/>
                <w:szCs w:val="18"/>
              </w:rPr>
              <w:t> </w:t>
            </w:r>
            <w:r w:rsidRPr="00A364D1">
              <w:rPr>
                <w:color w:val="000000"/>
                <w:sz w:val="18"/>
                <w:szCs w:val="18"/>
              </w:rPr>
              <w:t>realizaci projektu</w:t>
            </w:r>
          </w:p>
        </w:tc>
        <w:tc>
          <w:tcPr>
            <w:tcW w:w="222" w:type="pct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A364D1" w:rsidRDefault="0000474A" w:rsidP="002D15B6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</w:p>
        </w:tc>
      </w:tr>
      <w:tr w:rsidR="0071632F" w:rsidRPr="003B3D2F" w:rsidTr="00B64D30">
        <w:tblPrEx>
          <w:tblBorders>
            <w:top w:val="single" w:sz="4" w:space="0" w:color="8EAADB" w:themeColor="accent1" w:themeTint="99"/>
            <w:left w:val="single" w:sz="4" w:space="0" w:color="8EAADB" w:themeColor="accent1" w:themeTint="99"/>
            <w:bottom w:val="single" w:sz="4" w:space="0" w:color="8EAADB" w:themeColor="accent1" w:themeTint="99"/>
            <w:right w:val="single" w:sz="4" w:space="0" w:color="8EAADB" w:themeColor="accent1" w:themeTint="99"/>
            <w:insideH w:val="single" w:sz="4" w:space="0" w:color="8EAADB" w:themeColor="accent1" w:themeTint="99"/>
            <w:insideV w:val="single" w:sz="4" w:space="0" w:color="8EAADB" w:themeColor="accent1" w:themeTint="99"/>
          </w:tblBorders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9D2441" w:rsidRDefault="0000474A" w:rsidP="002D15B6">
            <w:pPr>
              <w:pStyle w:val="Text1"/>
              <w:spacing w:before="0" w:after="0"/>
              <w:ind w:left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367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9D2441" w:rsidRDefault="0000474A" w:rsidP="002D15B6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368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9D2441" w:rsidRDefault="0000474A" w:rsidP="002D15B6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73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9D2441" w:rsidRDefault="0000474A" w:rsidP="002D15B6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9D2441">
              <w:rPr>
                <w:color w:val="000000"/>
                <w:sz w:val="18"/>
                <w:szCs w:val="18"/>
                <w:lang w:eastAsia="cs-CZ" w:bidi="cs-CZ"/>
              </w:rPr>
              <w:t>Přechodové</w:t>
            </w:r>
          </w:p>
        </w:tc>
        <w:tc>
          <w:tcPr>
            <w:tcW w:w="441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textDirection w:val="btLr"/>
          </w:tcPr>
          <w:p w:rsidR="0000474A" w:rsidRPr="009D2441" w:rsidRDefault="0000474A" w:rsidP="002D15B6">
            <w:pPr>
              <w:pStyle w:val="Text1"/>
              <w:spacing w:before="0" w:after="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</w:p>
        </w:tc>
        <w:tc>
          <w:tcPr>
            <w:tcW w:w="588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9D2441" w:rsidRDefault="0000474A" w:rsidP="002D15B6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</w:p>
        </w:tc>
        <w:tc>
          <w:tcPr>
            <w:tcW w:w="589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9D2441" w:rsidRDefault="0000474A" w:rsidP="002D15B6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000000"/>
                <w:sz w:val="18"/>
                <w:szCs w:val="18"/>
                <w:lang w:eastAsia="cs-CZ" w:bidi="cs-CZ"/>
              </w:rPr>
            </w:pPr>
          </w:p>
        </w:tc>
        <w:tc>
          <w:tcPr>
            <w:tcW w:w="368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9D2441" w:rsidRDefault="0000474A" w:rsidP="002D15B6">
            <w:pPr>
              <w:pStyle w:val="Text1"/>
              <w:spacing w:before="0" w:after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9D2441">
              <w:rPr>
                <w:noProof/>
                <w:sz w:val="18"/>
                <w:szCs w:val="18"/>
              </w:rPr>
              <w:t>-</w:t>
            </w:r>
          </w:p>
        </w:tc>
        <w:tc>
          <w:tcPr>
            <w:tcW w:w="221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9D2441" w:rsidRDefault="0000474A" w:rsidP="002D15B6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368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9D2441" w:rsidRDefault="0000474A" w:rsidP="002D15B6">
            <w:pPr>
              <w:pStyle w:val="Text1"/>
              <w:spacing w:before="0" w:after="0" w:line="240" w:lineRule="auto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000000"/>
                <w:sz w:val="18"/>
                <w:szCs w:val="18"/>
                <w:lang w:bidi="cs-CZ"/>
              </w:rPr>
            </w:pPr>
            <w:r w:rsidRPr="009D2441">
              <w:rPr>
                <w:bCs/>
                <w:color w:val="000000"/>
                <w:sz w:val="18"/>
                <w:szCs w:val="18"/>
                <w:lang w:bidi="cs-CZ"/>
              </w:rPr>
              <w:t>1 880</w:t>
            </w:r>
          </w:p>
        </w:tc>
        <w:tc>
          <w:tcPr>
            <w:tcW w:w="514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500F39" w:rsidRDefault="0000474A" w:rsidP="002D15B6">
            <w:pPr>
              <w:pStyle w:val="Text1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2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500F39" w:rsidRDefault="0000474A" w:rsidP="002D15B6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</w:p>
        </w:tc>
      </w:tr>
      <w:tr w:rsidR="0071632F" w:rsidRPr="003B3D2F" w:rsidTr="00B64D30">
        <w:tblPrEx>
          <w:tblBorders>
            <w:top w:val="single" w:sz="4" w:space="0" w:color="8EAADB" w:themeColor="accent1" w:themeTint="99"/>
            <w:left w:val="single" w:sz="4" w:space="0" w:color="8EAADB" w:themeColor="accent1" w:themeTint="99"/>
            <w:bottom w:val="single" w:sz="4" w:space="0" w:color="8EAADB" w:themeColor="accent1" w:themeTint="99"/>
            <w:right w:val="single" w:sz="4" w:space="0" w:color="8EAADB" w:themeColor="accent1" w:themeTint="99"/>
            <w:insideH w:val="single" w:sz="4" w:space="0" w:color="8EAADB" w:themeColor="accent1" w:themeTint="99"/>
            <w:insideV w:val="single" w:sz="4" w:space="0" w:color="8EAADB" w:themeColor="accent1" w:themeTint="99"/>
          </w:tblBorders>
          <w:tblLook w:val="04A0" w:firstRow="1" w:lastRow="0" w:firstColumn="1" w:lastColumn="0" w:noHBand="0" w:noVBand="1"/>
        </w:tblPrEx>
        <w:trPr>
          <w:trHeight w:val="5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9D2441" w:rsidRDefault="0000474A" w:rsidP="002D15B6">
            <w:pPr>
              <w:pStyle w:val="Text1"/>
              <w:spacing w:before="0" w:after="0"/>
              <w:ind w:left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367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9D2441" w:rsidRDefault="0000474A" w:rsidP="002D15B6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368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9D2441" w:rsidRDefault="0000474A" w:rsidP="002D15B6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</w:p>
        </w:tc>
        <w:tc>
          <w:tcPr>
            <w:tcW w:w="73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9D2441" w:rsidRDefault="0000474A" w:rsidP="002D15B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  <w:r w:rsidRPr="009D2441">
              <w:rPr>
                <w:color w:val="000000"/>
                <w:sz w:val="18"/>
                <w:szCs w:val="18"/>
                <w:lang w:eastAsia="cs-CZ" w:bidi="cs-CZ"/>
              </w:rPr>
              <w:t>Méně rozvinuté</w:t>
            </w:r>
          </w:p>
        </w:tc>
        <w:tc>
          <w:tcPr>
            <w:tcW w:w="441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textDirection w:val="btLr"/>
          </w:tcPr>
          <w:p w:rsidR="0000474A" w:rsidRPr="009D2441" w:rsidRDefault="0000474A" w:rsidP="002D15B6">
            <w:pPr>
              <w:pStyle w:val="Text1"/>
              <w:spacing w:before="0" w:after="0"/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</w:p>
        </w:tc>
        <w:tc>
          <w:tcPr>
            <w:tcW w:w="588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9D2441" w:rsidRDefault="0000474A" w:rsidP="002D15B6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eastAsia="cs-CZ" w:bidi="cs-CZ"/>
              </w:rPr>
            </w:pPr>
          </w:p>
        </w:tc>
        <w:tc>
          <w:tcPr>
            <w:tcW w:w="589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9D2441" w:rsidRDefault="0000474A" w:rsidP="002D15B6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000000"/>
                <w:sz w:val="18"/>
                <w:szCs w:val="18"/>
                <w:lang w:eastAsia="cs-CZ" w:bidi="cs-CZ"/>
              </w:rPr>
            </w:pPr>
          </w:p>
        </w:tc>
        <w:tc>
          <w:tcPr>
            <w:tcW w:w="368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9D2441" w:rsidRDefault="0000474A" w:rsidP="002D15B6">
            <w:pPr>
              <w:pStyle w:val="Text1"/>
              <w:spacing w:before="0" w:after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9D2441">
              <w:rPr>
                <w:noProof/>
                <w:sz w:val="18"/>
                <w:szCs w:val="18"/>
              </w:rPr>
              <w:t>-</w:t>
            </w:r>
          </w:p>
        </w:tc>
        <w:tc>
          <w:tcPr>
            <w:tcW w:w="221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9D2441" w:rsidRDefault="0000474A" w:rsidP="002D15B6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368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9D2441" w:rsidRDefault="0000474A" w:rsidP="002D15B6">
            <w:pPr>
              <w:pStyle w:val="Text1"/>
              <w:spacing w:before="0" w:after="0" w:line="240" w:lineRule="auto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  <w:sz w:val="18"/>
                <w:szCs w:val="18"/>
                <w:lang w:bidi="cs-CZ"/>
              </w:rPr>
            </w:pPr>
            <w:r w:rsidRPr="009D2441">
              <w:rPr>
                <w:bCs/>
                <w:color w:val="000000"/>
                <w:sz w:val="18"/>
                <w:szCs w:val="18"/>
                <w:lang w:bidi="cs-CZ"/>
              </w:rPr>
              <w:t>2 080</w:t>
            </w:r>
          </w:p>
        </w:tc>
        <w:tc>
          <w:tcPr>
            <w:tcW w:w="514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500F39" w:rsidRDefault="0000474A" w:rsidP="002D15B6">
            <w:pPr>
              <w:pStyle w:val="Text1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2" w:type="pct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</w:tcPr>
          <w:p w:rsidR="0000474A" w:rsidRPr="00500F39" w:rsidRDefault="0000474A" w:rsidP="002D15B6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noProof/>
                <w:sz w:val="18"/>
                <w:szCs w:val="18"/>
              </w:rPr>
            </w:pPr>
          </w:p>
        </w:tc>
      </w:tr>
    </w:tbl>
    <w:p w:rsidR="00B64D30" w:rsidRDefault="00B64D30" w:rsidP="00B64D30">
      <w:pPr>
        <w:pStyle w:val="Nadpis4"/>
        <w:numPr>
          <w:ilvl w:val="0"/>
          <w:numId w:val="0"/>
        </w:numPr>
        <w:ind w:left="851" w:hanging="851"/>
        <w:rPr>
          <w:b/>
          <w:color w:val="1F4E79" w:themeColor="accent5" w:themeShade="80"/>
          <w:lang w:val="cs-CZ" w:eastAsia="cs-CZ" w:bidi="cs-CZ"/>
        </w:rPr>
      </w:pPr>
      <w:bookmarkStart w:id="205" w:name="_Toc66476064"/>
      <w:bookmarkStart w:id="206" w:name="_Toc68611022"/>
    </w:p>
    <w:p w:rsidR="00B64D30" w:rsidRDefault="00B64D30" w:rsidP="00B64D30">
      <w:pPr>
        <w:rPr>
          <w:lang w:eastAsia="cs-CZ" w:bidi="cs-CZ"/>
        </w:rPr>
      </w:pPr>
    </w:p>
    <w:p w:rsidR="00B64D30" w:rsidRDefault="00B64D30" w:rsidP="00B64D30">
      <w:pPr>
        <w:rPr>
          <w:lang w:eastAsia="cs-CZ" w:bidi="cs-CZ"/>
        </w:rPr>
      </w:pPr>
    </w:p>
    <w:p w:rsidR="00B64D30" w:rsidRDefault="00B64D30" w:rsidP="00B64D30">
      <w:pPr>
        <w:rPr>
          <w:lang w:eastAsia="cs-CZ" w:bidi="cs-CZ"/>
        </w:rPr>
      </w:pPr>
    </w:p>
    <w:p w:rsidR="00B64D30" w:rsidRPr="00B64D30" w:rsidRDefault="00B64D30" w:rsidP="00B64D30">
      <w:pPr>
        <w:rPr>
          <w:lang w:eastAsia="cs-CZ" w:bidi="cs-CZ"/>
        </w:rPr>
      </w:pPr>
    </w:p>
    <w:p w:rsidR="00E239AE" w:rsidRPr="00FA5D6F" w:rsidRDefault="00E239AE" w:rsidP="00E239AE">
      <w:pPr>
        <w:pStyle w:val="Nadpis4"/>
        <w:rPr>
          <w:b/>
          <w:color w:val="1F4E79" w:themeColor="accent5" w:themeShade="80"/>
          <w:lang w:val="cs-CZ" w:eastAsia="cs-CZ" w:bidi="cs-CZ"/>
        </w:rPr>
      </w:pPr>
      <w:r w:rsidRPr="00FA5D6F">
        <w:rPr>
          <w:b/>
          <w:color w:val="1F4E79" w:themeColor="accent5" w:themeShade="80"/>
          <w:lang w:val="cs-CZ" w:eastAsia="cs-CZ" w:bidi="cs-CZ"/>
        </w:rPr>
        <w:t>Orientační rozdělení programových zdrojů (EU) podle typu intervence</w:t>
      </w:r>
      <w:bookmarkEnd w:id="205"/>
      <w:bookmarkEnd w:id="206"/>
      <w:r w:rsidRPr="00FA5D6F">
        <w:rPr>
          <w:b/>
          <w:color w:val="1F4E79" w:themeColor="accent5" w:themeShade="80"/>
          <w:lang w:val="cs-CZ" w:eastAsia="cs-CZ" w:bidi="cs-CZ"/>
        </w:rPr>
        <w:t xml:space="preserve"> </w:t>
      </w:r>
    </w:p>
    <w:p w:rsidR="00F85438" w:rsidRPr="009412C1" w:rsidRDefault="00F85438" w:rsidP="00F85438">
      <w:pPr>
        <w:pStyle w:val="Titulek"/>
        <w:rPr>
          <w:rFonts w:ascii="Times New Roman" w:hAnsi="Times New Roman" w:cs="Times New Roman"/>
        </w:rPr>
      </w:pPr>
      <w:r w:rsidRPr="00F85438">
        <w:rPr>
          <w:rFonts w:ascii="Times New Roman" w:hAnsi="Times New Roman" w:cs="Times New Roman"/>
        </w:rPr>
        <w:t xml:space="preserve"> </w:t>
      </w:r>
      <w:r w:rsidRPr="009412C1">
        <w:rPr>
          <w:rFonts w:ascii="Times New Roman" w:hAnsi="Times New Roman" w:cs="Times New Roman"/>
        </w:rPr>
        <w:t xml:space="preserve">Tabulka </w:t>
      </w:r>
      <w:r w:rsidRPr="009412C1">
        <w:rPr>
          <w:rFonts w:ascii="Times New Roman" w:hAnsi="Times New Roman" w:cs="Times New Roman"/>
        </w:rPr>
        <w:fldChar w:fldCharType="begin"/>
      </w:r>
      <w:r w:rsidRPr="009412C1">
        <w:rPr>
          <w:rFonts w:ascii="Times New Roman" w:hAnsi="Times New Roman" w:cs="Times New Roman"/>
        </w:rPr>
        <w:instrText xml:space="preserve"> SEQ Tabulka \* ARABIC </w:instrText>
      </w:r>
      <w:r w:rsidRPr="009412C1">
        <w:rPr>
          <w:rFonts w:ascii="Times New Roman" w:hAnsi="Times New Roman" w:cs="Times New Roman"/>
        </w:rPr>
        <w:fldChar w:fldCharType="separate"/>
      </w:r>
      <w:r w:rsidR="00756BE0">
        <w:rPr>
          <w:rFonts w:ascii="Times New Roman" w:hAnsi="Times New Roman" w:cs="Times New Roman"/>
          <w:noProof/>
        </w:rPr>
        <w:t>37</w:t>
      </w:r>
      <w:r w:rsidRPr="009412C1">
        <w:rPr>
          <w:rFonts w:ascii="Times New Roman" w:hAnsi="Times New Roman" w:cs="Times New Roman"/>
        </w:rPr>
        <w:fldChar w:fldCharType="end"/>
      </w:r>
      <w:r w:rsidRPr="009412C1">
        <w:rPr>
          <w:rFonts w:ascii="Times New Roman" w:hAnsi="Times New Roman" w:cs="Times New Roman"/>
        </w:rPr>
        <w:t>: SC 2.</w:t>
      </w:r>
      <w:r w:rsidR="0045720A">
        <w:rPr>
          <w:rFonts w:ascii="Times New Roman" w:hAnsi="Times New Roman" w:cs="Times New Roman"/>
        </w:rPr>
        <w:t>4</w:t>
      </w:r>
      <w:r w:rsidRPr="009412C1">
        <w:rPr>
          <w:rFonts w:ascii="Times New Roman" w:hAnsi="Times New Roman" w:cs="Times New Roman"/>
        </w:rPr>
        <w:t>: Dimenze 1 – oblast intervence</w:t>
      </w:r>
    </w:p>
    <w:tbl>
      <w:tblPr>
        <w:tblStyle w:val="Tabulkasmkou4zvraznn1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6"/>
        <w:gridCol w:w="1047"/>
        <w:gridCol w:w="2125"/>
        <w:gridCol w:w="1961"/>
        <w:gridCol w:w="1462"/>
        <w:gridCol w:w="1958"/>
      </w:tblGrid>
      <w:tr w:rsidR="00F85438" w:rsidRPr="00EC6162" w:rsidTr="00756B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F85438" w:rsidRPr="00EC6162" w:rsidRDefault="00F85438" w:rsidP="00BC7EF4">
            <w:pPr>
              <w:spacing w:before="0" w:after="0" w:line="276" w:lineRule="auto"/>
              <w:jc w:val="center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Číslo priority</w:t>
            </w:r>
          </w:p>
        </w:tc>
        <w:tc>
          <w:tcPr>
            <w:tcW w:w="104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F85438" w:rsidRPr="00EC6162" w:rsidRDefault="00F85438" w:rsidP="00BC7EF4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Fond</w:t>
            </w:r>
          </w:p>
        </w:tc>
        <w:tc>
          <w:tcPr>
            <w:tcW w:w="212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F85438" w:rsidRPr="00EC6162" w:rsidRDefault="00F85438" w:rsidP="00BC7EF4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Kategorie regionu</w:t>
            </w:r>
          </w:p>
        </w:tc>
        <w:tc>
          <w:tcPr>
            <w:tcW w:w="19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</w:tcPr>
          <w:p w:rsidR="00F85438" w:rsidRPr="00EC6162" w:rsidRDefault="00F85438" w:rsidP="00BC7EF4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Specifický cíl</w:t>
            </w:r>
          </w:p>
        </w:tc>
        <w:tc>
          <w:tcPr>
            <w:tcW w:w="14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F85438" w:rsidRPr="00EC6162" w:rsidRDefault="00F85438" w:rsidP="00BC7EF4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Kód</w:t>
            </w:r>
          </w:p>
        </w:tc>
        <w:tc>
          <w:tcPr>
            <w:tcW w:w="19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F85438" w:rsidRPr="00EC6162" w:rsidRDefault="00F85438" w:rsidP="00BC7EF4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Částka (v EUR)</w:t>
            </w:r>
          </w:p>
        </w:tc>
      </w:tr>
      <w:tr w:rsidR="00F85438" w:rsidRPr="00F61950" w:rsidTr="00BC7E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 w:val="restart"/>
            <w:shd w:val="clear" w:color="auto" w:fill="DEEAF6" w:themeFill="accent5" w:themeFillTint="33"/>
          </w:tcPr>
          <w:p w:rsidR="00F85438" w:rsidRPr="0013141D" w:rsidRDefault="00F85438" w:rsidP="00BC7EF4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b w:val="0"/>
                <w:iCs/>
                <w:noProof/>
                <w:sz w:val="18"/>
                <w:szCs w:val="18"/>
              </w:rPr>
              <w:t>P</w:t>
            </w:r>
            <w:r>
              <w:rPr>
                <w:rFonts w:eastAsia="Times New Roman"/>
                <w:b w:val="0"/>
                <w:iCs/>
                <w:noProof/>
                <w:sz w:val="18"/>
                <w:szCs w:val="18"/>
              </w:rPr>
              <w:t>2</w:t>
            </w:r>
          </w:p>
        </w:tc>
        <w:tc>
          <w:tcPr>
            <w:tcW w:w="1047" w:type="dxa"/>
            <w:vMerge w:val="restart"/>
            <w:shd w:val="clear" w:color="auto" w:fill="DEEAF6" w:themeFill="accent5" w:themeFillTint="33"/>
          </w:tcPr>
          <w:p w:rsidR="00F85438" w:rsidRPr="0013141D" w:rsidRDefault="00F85438" w:rsidP="00BC7EF4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noProof/>
                <w:sz w:val="18"/>
                <w:szCs w:val="18"/>
              </w:rPr>
              <w:t>ESF</w:t>
            </w:r>
            <w:r w:rsidRPr="00376202">
              <w:rPr>
                <w:rFonts w:eastAsia="Times New Roman"/>
                <w:noProof/>
                <w:sz w:val="18"/>
                <w:szCs w:val="18"/>
              </w:rPr>
              <w:t>+</w:t>
            </w:r>
          </w:p>
        </w:tc>
        <w:tc>
          <w:tcPr>
            <w:tcW w:w="2125" w:type="dxa"/>
            <w:shd w:val="clear" w:color="auto" w:fill="DEEAF6" w:themeFill="accent5" w:themeFillTint="33"/>
          </w:tcPr>
          <w:p w:rsidR="00F85438" w:rsidRPr="0013141D" w:rsidRDefault="00F85438" w:rsidP="00BC7EF4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Více rozvinuté</w:t>
            </w:r>
          </w:p>
        </w:tc>
        <w:tc>
          <w:tcPr>
            <w:tcW w:w="1961" w:type="dxa"/>
            <w:vMerge w:val="restart"/>
            <w:shd w:val="clear" w:color="auto" w:fill="DEEAF6" w:themeFill="accent5" w:themeFillTint="33"/>
            <w:vAlign w:val="center"/>
          </w:tcPr>
          <w:p w:rsidR="00F85438" w:rsidRPr="0013141D" w:rsidRDefault="00506FB4" w:rsidP="00BC7EF4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iCs/>
                <w:noProof/>
                <w:sz w:val="18"/>
                <w:szCs w:val="18"/>
              </w:rPr>
              <w:t>2.4</w:t>
            </w:r>
          </w:p>
        </w:tc>
        <w:tc>
          <w:tcPr>
            <w:tcW w:w="1462" w:type="dxa"/>
            <w:vMerge w:val="restart"/>
            <w:shd w:val="clear" w:color="auto" w:fill="DEEAF6" w:themeFill="accent5" w:themeFillTint="33"/>
            <w:vAlign w:val="center"/>
          </w:tcPr>
          <w:p w:rsidR="00F85438" w:rsidRPr="0013141D" w:rsidRDefault="00506FB4" w:rsidP="00BC7EF4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iCs/>
                <w:noProof/>
                <w:sz w:val="18"/>
                <w:szCs w:val="18"/>
              </w:rPr>
              <w:t>114</w:t>
            </w: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F85438" w:rsidRPr="00F61950" w:rsidRDefault="00506FB4" w:rsidP="00506FB4">
            <w:pPr>
              <w:spacing w:before="0" w:after="0"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 w:rsidRPr="00506FB4">
              <w:rPr>
                <w:rFonts w:eastAsia="Times New Roman"/>
                <w:noProof/>
                <w:sz w:val="18"/>
                <w:szCs w:val="18"/>
              </w:rPr>
              <w:t xml:space="preserve">            174 020    </w:t>
            </w:r>
          </w:p>
        </w:tc>
      </w:tr>
      <w:tr w:rsidR="00F85438" w:rsidRPr="00F61950" w:rsidTr="00BC7EF4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F85438" w:rsidRPr="0013141D" w:rsidRDefault="00F85438" w:rsidP="00BC7EF4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F85438" w:rsidRPr="0013141D" w:rsidRDefault="00F85438" w:rsidP="00BC7EF4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F85438" w:rsidRPr="0013141D" w:rsidRDefault="00F85438" w:rsidP="00BC7EF4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Přechodové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F85438" w:rsidRPr="0013141D" w:rsidRDefault="00F85438" w:rsidP="00BC7EF4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F85438" w:rsidRPr="0013141D" w:rsidRDefault="00F85438" w:rsidP="00BC7EF4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F85438" w:rsidRPr="00F61950" w:rsidRDefault="00506FB4" w:rsidP="00506FB4">
            <w:pPr>
              <w:spacing w:before="0" w:after="0"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 w:rsidRPr="00506FB4">
              <w:rPr>
                <w:rFonts w:eastAsia="Times New Roman"/>
                <w:noProof/>
                <w:sz w:val="18"/>
                <w:szCs w:val="18"/>
              </w:rPr>
              <w:t xml:space="preserve">      13 160 017    </w:t>
            </w:r>
          </w:p>
        </w:tc>
      </w:tr>
      <w:tr w:rsidR="00F85438" w:rsidRPr="00F61950" w:rsidTr="00BC7E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F85438" w:rsidRPr="0013141D" w:rsidRDefault="00F85438" w:rsidP="00BC7EF4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F85438" w:rsidRPr="0013141D" w:rsidRDefault="00F85438" w:rsidP="00BC7EF4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F85438" w:rsidRPr="0013141D" w:rsidRDefault="00F85438" w:rsidP="00BC7EF4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Méně rozvinuté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F85438" w:rsidRPr="0013141D" w:rsidRDefault="00F85438" w:rsidP="00BC7EF4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F85438" w:rsidRPr="0013141D" w:rsidRDefault="00F85438" w:rsidP="00BC7EF4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F85438" w:rsidRPr="00F61950" w:rsidRDefault="00506FB4" w:rsidP="00506FB4">
            <w:pPr>
              <w:spacing w:before="0" w:after="0"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 w:rsidRPr="00506FB4">
              <w:rPr>
                <w:rFonts w:eastAsia="Times New Roman"/>
                <w:noProof/>
                <w:sz w:val="18"/>
                <w:szCs w:val="18"/>
              </w:rPr>
              <w:t xml:space="preserve">      14 669 958    </w:t>
            </w:r>
          </w:p>
        </w:tc>
      </w:tr>
    </w:tbl>
    <w:p w:rsidR="00F85438" w:rsidRPr="009412C1" w:rsidRDefault="00F85438" w:rsidP="00F85438">
      <w:pPr>
        <w:pStyle w:val="Titulek"/>
        <w:rPr>
          <w:rFonts w:ascii="Times New Roman" w:hAnsi="Times New Roman" w:cs="Times New Roman"/>
          <w:szCs w:val="22"/>
        </w:rPr>
      </w:pPr>
      <w:r w:rsidRPr="009412C1">
        <w:rPr>
          <w:rFonts w:ascii="Times New Roman" w:hAnsi="Times New Roman" w:cs="Times New Roman"/>
        </w:rPr>
        <w:t xml:space="preserve">Tabulka </w:t>
      </w:r>
      <w:r w:rsidRPr="009412C1">
        <w:rPr>
          <w:rFonts w:ascii="Times New Roman" w:hAnsi="Times New Roman" w:cs="Times New Roman"/>
        </w:rPr>
        <w:fldChar w:fldCharType="begin"/>
      </w:r>
      <w:r w:rsidRPr="009412C1">
        <w:rPr>
          <w:rFonts w:ascii="Times New Roman" w:hAnsi="Times New Roman" w:cs="Times New Roman"/>
        </w:rPr>
        <w:instrText xml:space="preserve"> SEQ Tabulka \* ARABIC </w:instrText>
      </w:r>
      <w:r w:rsidRPr="009412C1">
        <w:rPr>
          <w:rFonts w:ascii="Times New Roman" w:hAnsi="Times New Roman" w:cs="Times New Roman"/>
        </w:rPr>
        <w:fldChar w:fldCharType="separate"/>
      </w:r>
      <w:r w:rsidR="00756BE0">
        <w:rPr>
          <w:rFonts w:ascii="Times New Roman" w:hAnsi="Times New Roman" w:cs="Times New Roman"/>
          <w:noProof/>
        </w:rPr>
        <w:t>38</w:t>
      </w:r>
      <w:r w:rsidRPr="009412C1">
        <w:rPr>
          <w:rFonts w:ascii="Times New Roman" w:hAnsi="Times New Roman" w:cs="Times New Roman"/>
        </w:rPr>
        <w:fldChar w:fldCharType="end"/>
      </w:r>
      <w:r w:rsidRPr="009412C1">
        <w:rPr>
          <w:rFonts w:ascii="Times New Roman" w:hAnsi="Times New Roman" w:cs="Times New Roman"/>
        </w:rPr>
        <w:t xml:space="preserve">: </w:t>
      </w:r>
      <w:r w:rsidRPr="009412C1">
        <w:rPr>
          <w:rFonts w:ascii="Times New Roman" w:hAnsi="Times New Roman" w:cs="Times New Roman"/>
          <w:szCs w:val="22"/>
        </w:rPr>
        <w:t>SC 2.</w:t>
      </w:r>
      <w:r w:rsidR="0045720A">
        <w:rPr>
          <w:rFonts w:ascii="Times New Roman" w:hAnsi="Times New Roman" w:cs="Times New Roman"/>
          <w:szCs w:val="22"/>
        </w:rPr>
        <w:t>4</w:t>
      </w:r>
      <w:r w:rsidRPr="009412C1">
        <w:rPr>
          <w:rFonts w:ascii="Times New Roman" w:hAnsi="Times New Roman" w:cs="Times New Roman"/>
          <w:szCs w:val="22"/>
        </w:rPr>
        <w:t>: Dimenze 2 – forma financování</w:t>
      </w:r>
    </w:p>
    <w:tbl>
      <w:tblPr>
        <w:tblStyle w:val="Tabulkasmkou4zvraznn1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6"/>
        <w:gridCol w:w="1047"/>
        <w:gridCol w:w="2125"/>
        <w:gridCol w:w="1961"/>
        <w:gridCol w:w="1462"/>
        <w:gridCol w:w="1958"/>
      </w:tblGrid>
      <w:tr w:rsidR="00F85438" w:rsidRPr="00EC6162" w:rsidTr="00756B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F85438" w:rsidRPr="00EC6162" w:rsidRDefault="00F85438" w:rsidP="00BC7EF4">
            <w:pPr>
              <w:spacing w:before="0" w:after="0" w:line="276" w:lineRule="auto"/>
              <w:jc w:val="center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Číslo priority</w:t>
            </w:r>
          </w:p>
        </w:tc>
        <w:tc>
          <w:tcPr>
            <w:tcW w:w="104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F85438" w:rsidRPr="00EC6162" w:rsidRDefault="00F85438" w:rsidP="00BC7EF4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Fond</w:t>
            </w:r>
          </w:p>
        </w:tc>
        <w:tc>
          <w:tcPr>
            <w:tcW w:w="212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F85438" w:rsidRPr="00EC6162" w:rsidRDefault="00F85438" w:rsidP="00BC7EF4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Kategorie regionu</w:t>
            </w:r>
          </w:p>
        </w:tc>
        <w:tc>
          <w:tcPr>
            <w:tcW w:w="19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</w:tcPr>
          <w:p w:rsidR="00F85438" w:rsidRPr="00EC6162" w:rsidRDefault="00F85438" w:rsidP="00BC7EF4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Specifický cíl</w:t>
            </w:r>
          </w:p>
        </w:tc>
        <w:tc>
          <w:tcPr>
            <w:tcW w:w="14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F85438" w:rsidRPr="00EC6162" w:rsidRDefault="00F85438" w:rsidP="00BC7EF4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Kód</w:t>
            </w:r>
          </w:p>
        </w:tc>
        <w:tc>
          <w:tcPr>
            <w:tcW w:w="19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F85438" w:rsidRPr="00EC6162" w:rsidRDefault="00F85438" w:rsidP="00BC7EF4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Částka (v EUR)</w:t>
            </w:r>
          </w:p>
        </w:tc>
      </w:tr>
      <w:tr w:rsidR="00F85438" w:rsidRPr="00F61950" w:rsidTr="007B1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 w:val="restart"/>
            <w:shd w:val="clear" w:color="auto" w:fill="DEEAF6" w:themeFill="accent5" w:themeFillTint="33"/>
          </w:tcPr>
          <w:p w:rsidR="00F85438" w:rsidRPr="0013141D" w:rsidRDefault="00F85438" w:rsidP="00BC7EF4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b w:val="0"/>
                <w:iCs/>
                <w:noProof/>
                <w:sz w:val="18"/>
                <w:szCs w:val="18"/>
              </w:rPr>
              <w:t>P</w:t>
            </w:r>
            <w:r>
              <w:rPr>
                <w:rFonts w:eastAsia="Times New Roman"/>
                <w:b w:val="0"/>
                <w:iCs/>
                <w:noProof/>
                <w:sz w:val="18"/>
                <w:szCs w:val="18"/>
              </w:rPr>
              <w:t>2</w:t>
            </w:r>
          </w:p>
        </w:tc>
        <w:tc>
          <w:tcPr>
            <w:tcW w:w="1047" w:type="dxa"/>
            <w:vMerge w:val="restart"/>
            <w:shd w:val="clear" w:color="auto" w:fill="DEEAF6" w:themeFill="accent5" w:themeFillTint="33"/>
          </w:tcPr>
          <w:p w:rsidR="00F85438" w:rsidRPr="0013141D" w:rsidRDefault="00F85438" w:rsidP="00BC7EF4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noProof/>
                <w:sz w:val="18"/>
                <w:szCs w:val="18"/>
              </w:rPr>
              <w:t>ESF</w:t>
            </w:r>
            <w:r w:rsidRPr="00376202">
              <w:rPr>
                <w:rFonts w:eastAsia="Times New Roman"/>
                <w:noProof/>
                <w:sz w:val="18"/>
                <w:szCs w:val="18"/>
              </w:rPr>
              <w:t>+</w:t>
            </w:r>
          </w:p>
        </w:tc>
        <w:tc>
          <w:tcPr>
            <w:tcW w:w="2125" w:type="dxa"/>
            <w:shd w:val="clear" w:color="auto" w:fill="DEEAF6" w:themeFill="accent5" w:themeFillTint="33"/>
          </w:tcPr>
          <w:p w:rsidR="00F85438" w:rsidRPr="0013141D" w:rsidRDefault="00F85438" w:rsidP="00BC7EF4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Více rozvinuté</w:t>
            </w:r>
          </w:p>
        </w:tc>
        <w:tc>
          <w:tcPr>
            <w:tcW w:w="1961" w:type="dxa"/>
            <w:vMerge w:val="restart"/>
            <w:shd w:val="clear" w:color="auto" w:fill="DEEAF6" w:themeFill="accent5" w:themeFillTint="33"/>
            <w:vAlign w:val="center"/>
          </w:tcPr>
          <w:p w:rsidR="00F85438" w:rsidRPr="0013141D" w:rsidRDefault="00C8356E" w:rsidP="00BC7EF4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iCs/>
                <w:noProof/>
                <w:sz w:val="18"/>
                <w:szCs w:val="18"/>
              </w:rPr>
              <w:t>2.4</w:t>
            </w:r>
          </w:p>
        </w:tc>
        <w:tc>
          <w:tcPr>
            <w:tcW w:w="1462" w:type="dxa"/>
            <w:vMerge w:val="restart"/>
            <w:shd w:val="clear" w:color="auto" w:fill="DEEAF6" w:themeFill="accent5" w:themeFillTint="33"/>
            <w:vAlign w:val="center"/>
          </w:tcPr>
          <w:p w:rsidR="00F85438" w:rsidRPr="0013141D" w:rsidRDefault="00C8356E" w:rsidP="00BC7EF4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iCs/>
                <w:noProof/>
                <w:sz w:val="18"/>
                <w:szCs w:val="18"/>
              </w:rPr>
              <w:t>01</w:t>
            </w: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F85438" w:rsidRPr="00F61950" w:rsidRDefault="00C8356E" w:rsidP="00C8356E">
            <w:pPr>
              <w:spacing w:before="0" w:after="0"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 w:rsidRPr="00C8356E">
              <w:rPr>
                <w:rFonts w:eastAsia="Times New Roman"/>
                <w:noProof/>
                <w:sz w:val="18"/>
                <w:szCs w:val="18"/>
              </w:rPr>
              <w:t xml:space="preserve">            174 020    </w:t>
            </w:r>
          </w:p>
        </w:tc>
      </w:tr>
      <w:tr w:rsidR="00F85438" w:rsidRPr="00F61950" w:rsidTr="007B1672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F85438" w:rsidRPr="0013141D" w:rsidRDefault="00F85438" w:rsidP="00BC7EF4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F85438" w:rsidRPr="0013141D" w:rsidRDefault="00F85438" w:rsidP="00BC7EF4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F85438" w:rsidRPr="0013141D" w:rsidRDefault="00F85438" w:rsidP="00BC7EF4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Přechodové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F85438" w:rsidRPr="0013141D" w:rsidRDefault="00F85438" w:rsidP="00BC7EF4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F85438" w:rsidRPr="0013141D" w:rsidRDefault="00F85438" w:rsidP="00BC7EF4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F85438" w:rsidRPr="00F61950" w:rsidRDefault="00C8356E" w:rsidP="00C8356E">
            <w:pPr>
              <w:spacing w:before="0" w:after="0"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 w:rsidRPr="00C8356E">
              <w:rPr>
                <w:rFonts w:eastAsia="Times New Roman"/>
                <w:noProof/>
                <w:sz w:val="18"/>
                <w:szCs w:val="18"/>
              </w:rPr>
              <w:t xml:space="preserve">      13 160 017    </w:t>
            </w:r>
          </w:p>
        </w:tc>
      </w:tr>
      <w:tr w:rsidR="00F85438" w:rsidRPr="00F61950" w:rsidTr="007B1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F85438" w:rsidRPr="0013141D" w:rsidRDefault="00F85438" w:rsidP="00BC7EF4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F85438" w:rsidRPr="0013141D" w:rsidRDefault="00F85438" w:rsidP="00BC7EF4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F85438" w:rsidRPr="0013141D" w:rsidRDefault="00F85438" w:rsidP="00BC7EF4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Méně rozvinuté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F85438" w:rsidRPr="0013141D" w:rsidRDefault="00F85438" w:rsidP="00BC7EF4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F85438" w:rsidRPr="0013141D" w:rsidRDefault="00F85438" w:rsidP="00BC7EF4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F85438" w:rsidRPr="00F61950" w:rsidRDefault="00C8356E" w:rsidP="00C8356E">
            <w:pPr>
              <w:spacing w:before="0" w:after="0"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 w:rsidRPr="00C8356E">
              <w:rPr>
                <w:rFonts w:eastAsia="Times New Roman"/>
                <w:noProof/>
                <w:sz w:val="18"/>
                <w:szCs w:val="18"/>
              </w:rPr>
              <w:t xml:space="preserve">      14 669 958    </w:t>
            </w:r>
          </w:p>
        </w:tc>
      </w:tr>
    </w:tbl>
    <w:p w:rsidR="00F85438" w:rsidRPr="0024470E" w:rsidRDefault="00F85438" w:rsidP="00F85438">
      <w:pPr>
        <w:pStyle w:val="Titulek"/>
        <w:rPr>
          <w:rFonts w:ascii="Times New Roman" w:hAnsi="Times New Roman" w:cs="Times New Roman"/>
          <w:szCs w:val="22"/>
        </w:rPr>
      </w:pPr>
      <w:r w:rsidRPr="0024470E">
        <w:rPr>
          <w:rFonts w:ascii="Times New Roman" w:hAnsi="Times New Roman" w:cs="Times New Roman"/>
        </w:rPr>
        <w:t xml:space="preserve">Tabulka </w:t>
      </w:r>
      <w:r w:rsidRPr="0024470E">
        <w:rPr>
          <w:rFonts w:ascii="Times New Roman" w:hAnsi="Times New Roman" w:cs="Times New Roman"/>
        </w:rPr>
        <w:fldChar w:fldCharType="begin"/>
      </w:r>
      <w:r w:rsidRPr="0024470E">
        <w:rPr>
          <w:rFonts w:ascii="Times New Roman" w:hAnsi="Times New Roman" w:cs="Times New Roman"/>
        </w:rPr>
        <w:instrText xml:space="preserve"> SEQ Tabulka \* ARABIC </w:instrText>
      </w:r>
      <w:r w:rsidRPr="0024470E">
        <w:rPr>
          <w:rFonts w:ascii="Times New Roman" w:hAnsi="Times New Roman" w:cs="Times New Roman"/>
        </w:rPr>
        <w:fldChar w:fldCharType="separate"/>
      </w:r>
      <w:r w:rsidR="00756BE0">
        <w:rPr>
          <w:rFonts w:ascii="Times New Roman" w:hAnsi="Times New Roman" w:cs="Times New Roman"/>
          <w:noProof/>
        </w:rPr>
        <w:t>39</w:t>
      </w:r>
      <w:r w:rsidRPr="0024470E">
        <w:rPr>
          <w:rFonts w:ascii="Times New Roman" w:hAnsi="Times New Roman" w:cs="Times New Roman"/>
        </w:rPr>
        <w:fldChar w:fldCharType="end"/>
      </w:r>
      <w:r w:rsidRPr="0024470E">
        <w:rPr>
          <w:rFonts w:ascii="Times New Roman" w:hAnsi="Times New Roman" w:cs="Times New Roman"/>
        </w:rPr>
        <w:t xml:space="preserve">: </w:t>
      </w:r>
      <w:r w:rsidRPr="0024470E">
        <w:rPr>
          <w:rFonts w:ascii="Times New Roman" w:hAnsi="Times New Roman" w:cs="Times New Roman"/>
          <w:szCs w:val="22"/>
        </w:rPr>
        <w:t xml:space="preserve">SC </w:t>
      </w:r>
      <w:r>
        <w:rPr>
          <w:rFonts w:ascii="Times New Roman" w:hAnsi="Times New Roman" w:cs="Times New Roman"/>
          <w:szCs w:val="22"/>
        </w:rPr>
        <w:t>2</w:t>
      </w:r>
      <w:r w:rsidRPr="0024470E">
        <w:rPr>
          <w:rFonts w:ascii="Times New Roman" w:hAnsi="Times New Roman" w:cs="Times New Roman"/>
          <w:szCs w:val="22"/>
        </w:rPr>
        <w:t>.</w:t>
      </w:r>
      <w:r w:rsidR="0045720A">
        <w:rPr>
          <w:rFonts w:ascii="Times New Roman" w:hAnsi="Times New Roman" w:cs="Times New Roman"/>
          <w:szCs w:val="22"/>
        </w:rPr>
        <w:t>4</w:t>
      </w:r>
      <w:r w:rsidRPr="0024470E">
        <w:rPr>
          <w:rFonts w:ascii="Times New Roman" w:hAnsi="Times New Roman" w:cs="Times New Roman"/>
          <w:szCs w:val="22"/>
        </w:rPr>
        <w:t>: Dimenze 3 – mechanismus územního plnění a územní zaměření</w:t>
      </w:r>
    </w:p>
    <w:tbl>
      <w:tblPr>
        <w:tblStyle w:val="Tabulkasmkou4zvraznn1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6"/>
        <w:gridCol w:w="1047"/>
        <w:gridCol w:w="2125"/>
        <w:gridCol w:w="1961"/>
        <w:gridCol w:w="1462"/>
        <w:gridCol w:w="1958"/>
      </w:tblGrid>
      <w:tr w:rsidR="00F85438" w:rsidRPr="00EC6162" w:rsidTr="00756B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F85438" w:rsidRPr="00EC6162" w:rsidRDefault="00F85438" w:rsidP="00BC7EF4">
            <w:pPr>
              <w:spacing w:before="0" w:after="0" w:line="276" w:lineRule="auto"/>
              <w:jc w:val="center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Číslo priority</w:t>
            </w:r>
          </w:p>
        </w:tc>
        <w:tc>
          <w:tcPr>
            <w:tcW w:w="104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F85438" w:rsidRPr="00EC6162" w:rsidRDefault="00F85438" w:rsidP="00BC7EF4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Fond</w:t>
            </w:r>
          </w:p>
        </w:tc>
        <w:tc>
          <w:tcPr>
            <w:tcW w:w="212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F85438" w:rsidRPr="00EC6162" w:rsidRDefault="00F85438" w:rsidP="00BC7EF4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Kategorie regionu</w:t>
            </w:r>
          </w:p>
        </w:tc>
        <w:tc>
          <w:tcPr>
            <w:tcW w:w="19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</w:tcPr>
          <w:p w:rsidR="00F85438" w:rsidRPr="00EC6162" w:rsidRDefault="00F85438" w:rsidP="00BC7EF4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Specifický cíl</w:t>
            </w:r>
          </w:p>
        </w:tc>
        <w:tc>
          <w:tcPr>
            <w:tcW w:w="14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F85438" w:rsidRPr="00EC6162" w:rsidRDefault="00F85438" w:rsidP="00BC7EF4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Kód</w:t>
            </w:r>
          </w:p>
        </w:tc>
        <w:tc>
          <w:tcPr>
            <w:tcW w:w="19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F85438" w:rsidRPr="00EC6162" w:rsidRDefault="00F85438" w:rsidP="00BC7EF4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Částka (v EUR)</w:t>
            </w:r>
          </w:p>
        </w:tc>
      </w:tr>
      <w:tr w:rsidR="00F85438" w:rsidRPr="00F61950" w:rsidTr="00BC7E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 w:val="restart"/>
            <w:shd w:val="clear" w:color="auto" w:fill="DEEAF6" w:themeFill="accent5" w:themeFillTint="33"/>
          </w:tcPr>
          <w:p w:rsidR="00F85438" w:rsidRPr="0013141D" w:rsidRDefault="00F85438" w:rsidP="00BC7EF4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b w:val="0"/>
                <w:iCs/>
                <w:noProof/>
                <w:sz w:val="18"/>
                <w:szCs w:val="18"/>
              </w:rPr>
              <w:t>P</w:t>
            </w:r>
            <w:r>
              <w:rPr>
                <w:rFonts w:eastAsia="Times New Roman"/>
                <w:b w:val="0"/>
                <w:iCs/>
                <w:noProof/>
                <w:sz w:val="18"/>
                <w:szCs w:val="18"/>
              </w:rPr>
              <w:t>2</w:t>
            </w:r>
          </w:p>
        </w:tc>
        <w:tc>
          <w:tcPr>
            <w:tcW w:w="1047" w:type="dxa"/>
            <w:vMerge w:val="restart"/>
            <w:shd w:val="clear" w:color="auto" w:fill="DEEAF6" w:themeFill="accent5" w:themeFillTint="33"/>
          </w:tcPr>
          <w:p w:rsidR="00F85438" w:rsidRPr="0013141D" w:rsidRDefault="00F85438" w:rsidP="00BC7EF4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noProof/>
                <w:sz w:val="18"/>
                <w:szCs w:val="18"/>
              </w:rPr>
              <w:t>ESF</w:t>
            </w:r>
            <w:r w:rsidRPr="00376202">
              <w:rPr>
                <w:rFonts w:eastAsia="Times New Roman"/>
                <w:noProof/>
                <w:sz w:val="18"/>
                <w:szCs w:val="18"/>
              </w:rPr>
              <w:t>+</w:t>
            </w:r>
          </w:p>
        </w:tc>
        <w:tc>
          <w:tcPr>
            <w:tcW w:w="2125" w:type="dxa"/>
            <w:shd w:val="clear" w:color="auto" w:fill="DEEAF6" w:themeFill="accent5" w:themeFillTint="33"/>
          </w:tcPr>
          <w:p w:rsidR="00F85438" w:rsidRPr="0013141D" w:rsidRDefault="00F85438" w:rsidP="00BC7EF4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Více rozvinuté</w:t>
            </w:r>
          </w:p>
        </w:tc>
        <w:tc>
          <w:tcPr>
            <w:tcW w:w="1961" w:type="dxa"/>
            <w:vMerge w:val="restart"/>
            <w:shd w:val="clear" w:color="auto" w:fill="DEEAF6" w:themeFill="accent5" w:themeFillTint="33"/>
            <w:vAlign w:val="center"/>
          </w:tcPr>
          <w:p w:rsidR="00F85438" w:rsidRPr="0013141D" w:rsidRDefault="007B1672" w:rsidP="00BC7EF4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iCs/>
                <w:noProof/>
                <w:sz w:val="18"/>
                <w:szCs w:val="18"/>
              </w:rPr>
              <w:t>2.4</w:t>
            </w:r>
          </w:p>
        </w:tc>
        <w:tc>
          <w:tcPr>
            <w:tcW w:w="1462" w:type="dxa"/>
            <w:vMerge w:val="restart"/>
            <w:shd w:val="clear" w:color="auto" w:fill="DEEAF6" w:themeFill="accent5" w:themeFillTint="33"/>
            <w:vAlign w:val="center"/>
          </w:tcPr>
          <w:p w:rsidR="00F85438" w:rsidRPr="0013141D" w:rsidRDefault="007B1672" w:rsidP="00BC7EF4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iCs/>
                <w:noProof/>
                <w:sz w:val="18"/>
                <w:szCs w:val="18"/>
              </w:rPr>
              <w:t>48</w:t>
            </w: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F85438" w:rsidRPr="00F61950" w:rsidRDefault="007B1672" w:rsidP="007B1672">
            <w:pPr>
              <w:spacing w:before="0" w:after="0"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 w:rsidRPr="007B1672">
              <w:rPr>
                <w:rFonts w:eastAsia="Times New Roman"/>
                <w:noProof/>
                <w:sz w:val="18"/>
                <w:szCs w:val="18"/>
              </w:rPr>
              <w:t xml:space="preserve">            174 020    </w:t>
            </w:r>
          </w:p>
        </w:tc>
      </w:tr>
      <w:tr w:rsidR="00F85438" w:rsidRPr="00F61950" w:rsidTr="00BC7EF4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F85438" w:rsidRPr="0013141D" w:rsidRDefault="00F85438" w:rsidP="00BC7EF4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F85438" w:rsidRPr="0013141D" w:rsidRDefault="00F85438" w:rsidP="00BC7EF4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F85438" w:rsidRPr="0013141D" w:rsidRDefault="00F85438" w:rsidP="00BC7EF4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Přechodové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F85438" w:rsidRPr="0013141D" w:rsidRDefault="00F85438" w:rsidP="00BC7EF4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F85438" w:rsidRPr="0013141D" w:rsidRDefault="00F85438" w:rsidP="00BC7EF4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F85438" w:rsidRPr="00F61950" w:rsidRDefault="007B1672" w:rsidP="007B1672">
            <w:pPr>
              <w:spacing w:before="0" w:after="0"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 w:rsidRPr="007B1672">
              <w:rPr>
                <w:rFonts w:eastAsia="Times New Roman"/>
                <w:noProof/>
                <w:sz w:val="18"/>
                <w:szCs w:val="18"/>
              </w:rPr>
              <w:t xml:space="preserve">      13 160 017    </w:t>
            </w:r>
          </w:p>
        </w:tc>
      </w:tr>
      <w:tr w:rsidR="00F85438" w:rsidRPr="00F61950" w:rsidTr="00BC7E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F85438" w:rsidRPr="0013141D" w:rsidRDefault="00F85438" w:rsidP="00BC7EF4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F85438" w:rsidRPr="0013141D" w:rsidRDefault="00F85438" w:rsidP="00BC7EF4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F85438" w:rsidRPr="0013141D" w:rsidRDefault="00F85438" w:rsidP="00BC7EF4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Méně rozvinuté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F85438" w:rsidRPr="0013141D" w:rsidRDefault="00F85438" w:rsidP="00BC7EF4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F85438" w:rsidRPr="0013141D" w:rsidRDefault="00F85438" w:rsidP="00BC7EF4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F85438" w:rsidRPr="00F61950" w:rsidRDefault="007B1672" w:rsidP="007B1672">
            <w:pPr>
              <w:spacing w:before="0" w:after="0"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 w:rsidRPr="007B1672">
              <w:rPr>
                <w:rFonts w:eastAsia="Times New Roman"/>
                <w:noProof/>
                <w:sz w:val="18"/>
                <w:szCs w:val="18"/>
              </w:rPr>
              <w:t xml:space="preserve">      14 669 958    </w:t>
            </w:r>
          </w:p>
        </w:tc>
      </w:tr>
    </w:tbl>
    <w:p w:rsidR="00F85438" w:rsidRPr="008A1F8A" w:rsidRDefault="00F85438" w:rsidP="00F85438">
      <w:pPr>
        <w:pStyle w:val="Titulek"/>
        <w:rPr>
          <w:rFonts w:ascii="Times New Roman" w:hAnsi="Times New Roman" w:cs="Times New Roman"/>
          <w:szCs w:val="22"/>
        </w:rPr>
      </w:pPr>
      <w:r w:rsidRPr="008A1F8A">
        <w:rPr>
          <w:rFonts w:ascii="Times New Roman" w:hAnsi="Times New Roman" w:cs="Times New Roman"/>
        </w:rPr>
        <w:t xml:space="preserve">Tabulka </w:t>
      </w:r>
      <w:r w:rsidRPr="008A1F8A">
        <w:rPr>
          <w:rFonts w:ascii="Times New Roman" w:hAnsi="Times New Roman" w:cs="Times New Roman"/>
        </w:rPr>
        <w:fldChar w:fldCharType="begin"/>
      </w:r>
      <w:r w:rsidRPr="008A1F8A">
        <w:rPr>
          <w:rFonts w:ascii="Times New Roman" w:hAnsi="Times New Roman" w:cs="Times New Roman"/>
        </w:rPr>
        <w:instrText xml:space="preserve"> SEQ Tabulka \* ARABIC </w:instrText>
      </w:r>
      <w:r w:rsidRPr="008A1F8A">
        <w:rPr>
          <w:rFonts w:ascii="Times New Roman" w:hAnsi="Times New Roman" w:cs="Times New Roman"/>
        </w:rPr>
        <w:fldChar w:fldCharType="separate"/>
      </w:r>
      <w:r w:rsidR="00756BE0">
        <w:rPr>
          <w:rFonts w:ascii="Times New Roman" w:hAnsi="Times New Roman" w:cs="Times New Roman"/>
          <w:noProof/>
        </w:rPr>
        <w:t>40</w:t>
      </w:r>
      <w:r w:rsidRPr="008A1F8A">
        <w:rPr>
          <w:rFonts w:ascii="Times New Roman" w:hAnsi="Times New Roman" w:cs="Times New Roman"/>
        </w:rPr>
        <w:fldChar w:fldCharType="end"/>
      </w:r>
      <w:r w:rsidRPr="008A1F8A">
        <w:rPr>
          <w:rFonts w:ascii="Times New Roman" w:hAnsi="Times New Roman" w:cs="Times New Roman"/>
        </w:rPr>
        <w:t>:</w:t>
      </w:r>
      <w:r w:rsidRPr="008A1F8A">
        <w:rPr>
          <w:rFonts w:ascii="Times New Roman" w:hAnsi="Times New Roman" w:cs="Times New Roman"/>
          <w:szCs w:val="22"/>
        </w:rPr>
        <w:t xml:space="preserve"> SC </w:t>
      </w:r>
      <w:r>
        <w:rPr>
          <w:rFonts w:ascii="Times New Roman" w:hAnsi="Times New Roman" w:cs="Times New Roman"/>
          <w:szCs w:val="22"/>
        </w:rPr>
        <w:t>2</w:t>
      </w:r>
      <w:r w:rsidRPr="008A1F8A">
        <w:rPr>
          <w:rFonts w:ascii="Times New Roman" w:hAnsi="Times New Roman" w:cs="Times New Roman"/>
          <w:szCs w:val="22"/>
        </w:rPr>
        <w:t>.</w:t>
      </w:r>
      <w:r w:rsidR="0045720A">
        <w:rPr>
          <w:rFonts w:ascii="Times New Roman" w:hAnsi="Times New Roman" w:cs="Times New Roman"/>
          <w:szCs w:val="22"/>
        </w:rPr>
        <w:t>4</w:t>
      </w:r>
      <w:r w:rsidRPr="008A1F8A">
        <w:rPr>
          <w:rFonts w:ascii="Times New Roman" w:hAnsi="Times New Roman" w:cs="Times New Roman"/>
          <w:szCs w:val="22"/>
        </w:rPr>
        <w:t>: Dimenze 6 – sekundární témata ESF</w:t>
      </w:r>
      <w:r w:rsidRPr="008A1F8A">
        <w:rPr>
          <w:rFonts w:ascii="Times New Roman" w:hAnsi="Times New Roman" w:cs="Times New Roman"/>
          <w:b w:val="0"/>
          <w:szCs w:val="22"/>
        </w:rPr>
        <w:t>+</w:t>
      </w:r>
    </w:p>
    <w:tbl>
      <w:tblPr>
        <w:tblStyle w:val="Tabulkasmkou4zvraznn1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6"/>
        <w:gridCol w:w="1047"/>
        <w:gridCol w:w="2125"/>
        <w:gridCol w:w="1961"/>
        <w:gridCol w:w="1462"/>
        <w:gridCol w:w="1958"/>
      </w:tblGrid>
      <w:tr w:rsidR="00F85438" w:rsidRPr="00EC6162" w:rsidTr="00756B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F85438" w:rsidRPr="007B1672" w:rsidRDefault="00F85438" w:rsidP="00BC7EF4">
            <w:pPr>
              <w:spacing w:before="0" w:after="0" w:line="276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7B1672">
              <w:rPr>
                <w:rFonts w:eastAsia="Times New Roman"/>
                <w:sz w:val="18"/>
                <w:szCs w:val="18"/>
              </w:rPr>
              <w:t>Číslo priority</w:t>
            </w:r>
          </w:p>
        </w:tc>
        <w:tc>
          <w:tcPr>
            <w:tcW w:w="104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F85438" w:rsidRPr="007B1672" w:rsidRDefault="00F85438" w:rsidP="00BC7EF4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7B1672">
              <w:rPr>
                <w:rFonts w:eastAsia="Times New Roman"/>
                <w:sz w:val="18"/>
                <w:szCs w:val="18"/>
              </w:rPr>
              <w:t>Fond</w:t>
            </w:r>
          </w:p>
        </w:tc>
        <w:tc>
          <w:tcPr>
            <w:tcW w:w="212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F85438" w:rsidRPr="007B1672" w:rsidRDefault="00F85438" w:rsidP="00BC7EF4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7B1672">
              <w:rPr>
                <w:rFonts w:eastAsia="Times New Roman"/>
                <w:sz w:val="18"/>
                <w:szCs w:val="18"/>
              </w:rPr>
              <w:t>Kategorie regionu</w:t>
            </w:r>
          </w:p>
        </w:tc>
        <w:tc>
          <w:tcPr>
            <w:tcW w:w="19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</w:tcPr>
          <w:p w:rsidR="00F85438" w:rsidRPr="007B1672" w:rsidRDefault="00F85438" w:rsidP="00BC7EF4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7B1672">
              <w:rPr>
                <w:rFonts w:eastAsia="Times New Roman"/>
                <w:sz w:val="18"/>
                <w:szCs w:val="18"/>
              </w:rPr>
              <w:t>Specifický cíl</w:t>
            </w:r>
          </w:p>
        </w:tc>
        <w:tc>
          <w:tcPr>
            <w:tcW w:w="14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F85438" w:rsidRPr="007B1672" w:rsidRDefault="00F85438" w:rsidP="00BC7EF4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7B1672">
              <w:rPr>
                <w:rFonts w:eastAsia="Times New Roman"/>
                <w:sz w:val="18"/>
                <w:szCs w:val="18"/>
              </w:rPr>
              <w:t>Kód</w:t>
            </w:r>
          </w:p>
        </w:tc>
        <w:tc>
          <w:tcPr>
            <w:tcW w:w="19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F85438" w:rsidRPr="007B1672" w:rsidRDefault="00F85438" w:rsidP="00BC7EF4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7B1672">
              <w:rPr>
                <w:rFonts w:eastAsia="Times New Roman"/>
                <w:sz w:val="18"/>
                <w:szCs w:val="18"/>
              </w:rPr>
              <w:t>Částka (v EUR)</w:t>
            </w:r>
          </w:p>
        </w:tc>
      </w:tr>
      <w:tr w:rsidR="00F85438" w:rsidRPr="00F61950" w:rsidTr="00BC7E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 w:val="restart"/>
            <w:shd w:val="clear" w:color="auto" w:fill="DEEAF6" w:themeFill="accent5" w:themeFillTint="33"/>
          </w:tcPr>
          <w:p w:rsidR="00F85438" w:rsidRPr="007B1672" w:rsidRDefault="00F85438" w:rsidP="00BC7EF4">
            <w:pPr>
              <w:spacing w:before="0" w:after="0" w:line="276" w:lineRule="auto"/>
              <w:rPr>
                <w:rFonts w:eastAsia="Times New Roman"/>
                <w:b w:val="0"/>
                <w:sz w:val="18"/>
                <w:szCs w:val="18"/>
              </w:rPr>
            </w:pPr>
            <w:r w:rsidRPr="007B1672">
              <w:rPr>
                <w:rFonts w:eastAsia="Times New Roman"/>
                <w:b w:val="0"/>
                <w:sz w:val="18"/>
                <w:szCs w:val="18"/>
              </w:rPr>
              <w:t>P2</w:t>
            </w:r>
          </w:p>
        </w:tc>
        <w:tc>
          <w:tcPr>
            <w:tcW w:w="1047" w:type="dxa"/>
            <w:vMerge w:val="restart"/>
            <w:shd w:val="clear" w:color="auto" w:fill="DEEAF6" w:themeFill="accent5" w:themeFillTint="33"/>
          </w:tcPr>
          <w:p w:rsidR="00F85438" w:rsidRPr="007B1672" w:rsidRDefault="00F85438" w:rsidP="00BC7EF4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7B1672">
              <w:rPr>
                <w:rFonts w:eastAsia="Times New Roman"/>
                <w:sz w:val="18"/>
                <w:szCs w:val="18"/>
              </w:rPr>
              <w:t>ESF+</w:t>
            </w:r>
          </w:p>
        </w:tc>
        <w:tc>
          <w:tcPr>
            <w:tcW w:w="2125" w:type="dxa"/>
            <w:shd w:val="clear" w:color="auto" w:fill="DEEAF6" w:themeFill="accent5" w:themeFillTint="33"/>
          </w:tcPr>
          <w:p w:rsidR="00F85438" w:rsidRPr="007B1672" w:rsidRDefault="00F85438" w:rsidP="00BC7EF4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7B1672">
              <w:rPr>
                <w:rFonts w:eastAsia="Times New Roman"/>
                <w:sz w:val="18"/>
                <w:szCs w:val="18"/>
              </w:rPr>
              <w:t>Více rozvinuté</w:t>
            </w:r>
          </w:p>
        </w:tc>
        <w:tc>
          <w:tcPr>
            <w:tcW w:w="1961" w:type="dxa"/>
            <w:vMerge w:val="restart"/>
            <w:shd w:val="clear" w:color="auto" w:fill="DEEAF6" w:themeFill="accent5" w:themeFillTint="33"/>
            <w:vAlign w:val="center"/>
          </w:tcPr>
          <w:p w:rsidR="00F85438" w:rsidRPr="007B1672" w:rsidRDefault="007B1672" w:rsidP="00BC7EF4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7B1672">
              <w:rPr>
                <w:rFonts w:eastAsia="Times New Roman"/>
                <w:iCs/>
                <w:noProof/>
                <w:sz w:val="18"/>
                <w:szCs w:val="18"/>
              </w:rPr>
              <w:t>2.4</w:t>
            </w:r>
          </w:p>
        </w:tc>
        <w:tc>
          <w:tcPr>
            <w:tcW w:w="1462" w:type="dxa"/>
            <w:vMerge w:val="restart"/>
            <w:shd w:val="clear" w:color="auto" w:fill="DEEAF6" w:themeFill="accent5" w:themeFillTint="33"/>
            <w:vAlign w:val="center"/>
          </w:tcPr>
          <w:p w:rsidR="00F85438" w:rsidRPr="007B1672" w:rsidRDefault="007B1672" w:rsidP="00BC7EF4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7B1672">
              <w:rPr>
                <w:rFonts w:eastAsia="Times New Roman"/>
                <w:iCs/>
                <w:noProof/>
                <w:sz w:val="18"/>
                <w:szCs w:val="18"/>
              </w:rPr>
              <w:t>09</w:t>
            </w: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F85438" w:rsidRPr="007B1672" w:rsidRDefault="007B1672" w:rsidP="007B1672">
            <w:pPr>
              <w:spacing w:before="0" w:after="0"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7B1672">
              <w:rPr>
                <w:rFonts w:eastAsia="Times New Roman"/>
                <w:noProof/>
                <w:sz w:val="18"/>
                <w:szCs w:val="18"/>
              </w:rPr>
              <w:t xml:space="preserve">            174 020    </w:t>
            </w:r>
          </w:p>
        </w:tc>
      </w:tr>
      <w:tr w:rsidR="00F85438" w:rsidRPr="00F61950" w:rsidTr="00BC7EF4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F85438" w:rsidRPr="007B1672" w:rsidRDefault="00F85438" w:rsidP="00BC7EF4">
            <w:pPr>
              <w:spacing w:before="0" w:after="0" w:line="276" w:lineRule="auto"/>
              <w:rPr>
                <w:rFonts w:eastAsia="Times New Roman"/>
                <w:b w:val="0"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F85438" w:rsidRPr="007B1672" w:rsidRDefault="00F85438" w:rsidP="00BC7EF4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F85438" w:rsidRPr="007B1672" w:rsidRDefault="00F85438" w:rsidP="00BC7EF4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7B1672">
              <w:rPr>
                <w:rFonts w:eastAsia="Times New Roman"/>
                <w:sz w:val="18"/>
                <w:szCs w:val="18"/>
              </w:rPr>
              <w:t>Přechodové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F85438" w:rsidRPr="007B1672" w:rsidRDefault="00F85438" w:rsidP="00BC7EF4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F85438" w:rsidRPr="007B1672" w:rsidRDefault="00F85438" w:rsidP="00BC7EF4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F85438" w:rsidRPr="007B1672" w:rsidRDefault="007B1672" w:rsidP="007B1672">
            <w:pPr>
              <w:spacing w:before="0" w:after="0"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7B1672">
              <w:rPr>
                <w:rFonts w:eastAsia="Times New Roman"/>
                <w:noProof/>
                <w:sz w:val="18"/>
                <w:szCs w:val="18"/>
              </w:rPr>
              <w:t xml:space="preserve">      13 160 017    </w:t>
            </w:r>
          </w:p>
        </w:tc>
      </w:tr>
      <w:tr w:rsidR="00F85438" w:rsidRPr="00F61950" w:rsidTr="00BC7E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F85438" w:rsidRPr="007B1672" w:rsidRDefault="00F85438" w:rsidP="00BC7EF4">
            <w:pPr>
              <w:spacing w:before="0" w:after="0" w:line="276" w:lineRule="auto"/>
              <w:rPr>
                <w:rFonts w:eastAsia="Times New Roman"/>
                <w:b w:val="0"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F85438" w:rsidRPr="007B1672" w:rsidRDefault="00F85438" w:rsidP="00BC7EF4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F85438" w:rsidRPr="007B1672" w:rsidRDefault="00F85438" w:rsidP="00BC7EF4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7B1672">
              <w:rPr>
                <w:rFonts w:eastAsia="Times New Roman"/>
                <w:sz w:val="18"/>
                <w:szCs w:val="18"/>
              </w:rPr>
              <w:t>Méně rozvinuté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F85438" w:rsidRPr="007B1672" w:rsidRDefault="00F85438" w:rsidP="00BC7EF4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F85438" w:rsidRPr="007B1672" w:rsidRDefault="00F85438" w:rsidP="00BC7EF4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F85438" w:rsidRPr="007B1672" w:rsidRDefault="007B1672" w:rsidP="007B1672">
            <w:pPr>
              <w:spacing w:before="0" w:after="0"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7B1672">
              <w:rPr>
                <w:rFonts w:eastAsia="Times New Roman"/>
                <w:noProof/>
                <w:sz w:val="18"/>
                <w:szCs w:val="18"/>
              </w:rPr>
              <w:t xml:space="preserve">      14 669 958    </w:t>
            </w:r>
          </w:p>
        </w:tc>
      </w:tr>
    </w:tbl>
    <w:p w:rsidR="00F85438" w:rsidRPr="00B4546B" w:rsidRDefault="00F85438" w:rsidP="00F85438">
      <w:pPr>
        <w:pStyle w:val="Titulek"/>
        <w:rPr>
          <w:rFonts w:ascii="Times New Roman" w:hAnsi="Times New Roman" w:cs="Times New Roman"/>
          <w:szCs w:val="22"/>
        </w:rPr>
      </w:pPr>
      <w:r w:rsidRPr="00B4546B">
        <w:rPr>
          <w:rFonts w:ascii="Times New Roman" w:hAnsi="Times New Roman" w:cs="Times New Roman"/>
        </w:rPr>
        <w:t xml:space="preserve">Tabulka </w:t>
      </w:r>
      <w:r w:rsidRPr="00B4546B">
        <w:rPr>
          <w:rFonts w:ascii="Times New Roman" w:hAnsi="Times New Roman" w:cs="Times New Roman"/>
        </w:rPr>
        <w:fldChar w:fldCharType="begin"/>
      </w:r>
      <w:r w:rsidRPr="00B4546B">
        <w:rPr>
          <w:rFonts w:ascii="Times New Roman" w:hAnsi="Times New Roman" w:cs="Times New Roman"/>
        </w:rPr>
        <w:instrText xml:space="preserve"> SEQ Tabulka \* ARABIC </w:instrText>
      </w:r>
      <w:r w:rsidRPr="00B4546B">
        <w:rPr>
          <w:rFonts w:ascii="Times New Roman" w:hAnsi="Times New Roman" w:cs="Times New Roman"/>
        </w:rPr>
        <w:fldChar w:fldCharType="separate"/>
      </w:r>
      <w:r w:rsidR="00756BE0">
        <w:rPr>
          <w:rFonts w:ascii="Times New Roman" w:hAnsi="Times New Roman" w:cs="Times New Roman"/>
          <w:noProof/>
        </w:rPr>
        <w:t>41</w:t>
      </w:r>
      <w:r w:rsidRPr="00B4546B">
        <w:rPr>
          <w:rFonts w:ascii="Times New Roman" w:hAnsi="Times New Roman" w:cs="Times New Roman"/>
        </w:rPr>
        <w:fldChar w:fldCharType="end"/>
      </w:r>
      <w:r w:rsidRPr="00B4546B">
        <w:rPr>
          <w:rFonts w:ascii="Times New Roman" w:hAnsi="Times New Roman" w:cs="Times New Roman"/>
        </w:rPr>
        <w:t>:</w:t>
      </w:r>
      <w:r w:rsidRPr="00B4546B">
        <w:rPr>
          <w:rFonts w:ascii="Times New Roman" w:hAnsi="Times New Roman" w:cs="Times New Roman"/>
          <w:szCs w:val="22"/>
        </w:rPr>
        <w:t xml:space="preserve"> SC </w:t>
      </w:r>
      <w:r>
        <w:rPr>
          <w:rFonts w:ascii="Times New Roman" w:hAnsi="Times New Roman" w:cs="Times New Roman"/>
          <w:szCs w:val="22"/>
        </w:rPr>
        <w:t>2</w:t>
      </w:r>
      <w:r w:rsidRPr="00B4546B">
        <w:rPr>
          <w:rFonts w:ascii="Times New Roman" w:hAnsi="Times New Roman" w:cs="Times New Roman"/>
          <w:szCs w:val="22"/>
        </w:rPr>
        <w:t>.</w:t>
      </w:r>
      <w:r w:rsidR="0045720A">
        <w:rPr>
          <w:rFonts w:ascii="Times New Roman" w:hAnsi="Times New Roman" w:cs="Times New Roman"/>
          <w:szCs w:val="22"/>
        </w:rPr>
        <w:t>4</w:t>
      </w:r>
      <w:r w:rsidRPr="00B4546B">
        <w:rPr>
          <w:rFonts w:ascii="Times New Roman" w:hAnsi="Times New Roman" w:cs="Times New Roman"/>
          <w:szCs w:val="22"/>
        </w:rPr>
        <w:t>: Dimenze 7 – ESF+, ERDF, CF a JTF a dimenze rovnosti žen a mužů</w:t>
      </w:r>
    </w:p>
    <w:tbl>
      <w:tblPr>
        <w:tblStyle w:val="Tabulkasmkou4zvraznn1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6"/>
        <w:gridCol w:w="1047"/>
        <w:gridCol w:w="2125"/>
        <w:gridCol w:w="1961"/>
        <w:gridCol w:w="1462"/>
        <w:gridCol w:w="1958"/>
      </w:tblGrid>
      <w:tr w:rsidR="00F85438" w:rsidRPr="00EC6162" w:rsidTr="00756B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F85438" w:rsidRPr="00EC6162" w:rsidRDefault="00F85438" w:rsidP="00BC7EF4">
            <w:pPr>
              <w:spacing w:before="0" w:after="0" w:line="276" w:lineRule="auto"/>
              <w:jc w:val="center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Číslo priority</w:t>
            </w:r>
          </w:p>
        </w:tc>
        <w:tc>
          <w:tcPr>
            <w:tcW w:w="104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F85438" w:rsidRPr="00EC6162" w:rsidRDefault="00F85438" w:rsidP="00BC7EF4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Fond</w:t>
            </w:r>
          </w:p>
        </w:tc>
        <w:tc>
          <w:tcPr>
            <w:tcW w:w="212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F85438" w:rsidRPr="00EC6162" w:rsidRDefault="00F85438" w:rsidP="00BC7EF4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Kategorie regionu</w:t>
            </w:r>
          </w:p>
        </w:tc>
        <w:tc>
          <w:tcPr>
            <w:tcW w:w="19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</w:tcPr>
          <w:p w:rsidR="00F85438" w:rsidRPr="00EC6162" w:rsidRDefault="00F85438" w:rsidP="00BC7EF4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Specifický cíl</w:t>
            </w:r>
          </w:p>
        </w:tc>
        <w:tc>
          <w:tcPr>
            <w:tcW w:w="14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F85438" w:rsidRPr="00EC6162" w:rsidRDefault="00F85438" w:rsidP="00BC7EF4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Kód</w:t>
            </w:r>
          </w:p>
        </w:tc>
        <w:tc>
          <w:tcPr>
            <w:tcW w:w="19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F85438" w:rsidRPr="00EC6162" w:rsidRDefault="00F85438" w:rsidP="00BC7EF4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Částka (v EUR)</w:t>
            </w:r>
          </w:p>
        </w:tc>
      </w:tr>
      <w:tr w:rsidR="00F85438" w:rsidRPr="00F61950" w:rsidTr="00BC7E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 w:val="restart"/>
            <w:shd w:val="clear" w:color="auto" w:fill="DEEAF6" w:themeFill="accent5" w:themeFillTint="33"/>
          </w:tcPr>
          <w:p w:rsidR="00F85438" w:rsidRPr="0013141D" w:rsidRDefault="00F85438" w:rsidP="00BC7EF4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b w:val="0"/>
                <w:iCs/>
                <w:noProof/>
                <w:sz w:val="18"/>
                <w:szCs w:val="18"/>
              </w:rPr>
              <w:t>P</w:t>
            </w:r>
            <w:r>
              <w:rPr>
                <w:rFonts w:eastAsia="Times New Roman"/>
                <w:b w:val="0"/>
                <w:iCs/>
                <w:noProof/>
                <w:sz w:val="18"/>
                <w:szCs w:val="18"/>
              </w:rPr>
              <w:t>2</w:t>
            </w:r>
          </w:p>
        </w:tc>
        <w:tc>
          <w:tcPr>
            <w:tcW w:w="1047" w:type="dxa"/>
            <w:vMerge w:val="restart"/>
            <w:shd w:val="clear" w:color="auto" w:fill="DEEAF6" w:themeFill="accent5" w:themeFillTint="33"/>
          </w:tcPr>
          <w:p w:rsidR="00F85438" w:rsidRPr="0013141D" w:rsidRDefault="00F85438" w:rsidP="00BC7EF4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noProof/>
                <w:sz w:val="18"/>
                <w:szCs w:val="18"/>
              </w:rPr>
              <w:t>ESF</w:t>
            </w:r>
            <w:r w:rsidRPr="00376202">
              <w:rPr>
                <w:rFonts w:eastAsia="Times New Roman"/>
                <w:noProof/>
                <w:sz w:val="18"/>
                <w:szCs w:val="18"/>
              </w:rPr>
              <w:t>+</w:t>
            </w:r>
          </w:p>
        </w:tc>
        <w:tc>
          <w:tcPr>
            <w:tcW w:w="2125" w:type="dxa"/>
            <w:shd w:val="clear" w:color="auto" w:fill="DEEAF6" w:themeFill="accent5" w:themeFillTint="33"/>
          </w:tcPr>
          <w:p w:rsidR="00F85438" w:rsidRPr="0013141D" w:rsidRDefault="00F85438" w:rsidP="00BC7EF4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Více rozvinuté</w:t>
            </w:r>
          </w:p>
        </w:tc>
        <w:tc>
          <w:tcPr>
            <w:tcW w:w="1961" w:type="dxa"/>
            <w:vMerge w:val="restart"/>
            <w:shd w:val="clear" w:color="auto" w:fill="DEEAF6" w:themeFill="accent5" w:themeFillTint="33"/>
            <w:vAlign w:val="center"/>
          </w:tcPr>
          <w:p w:rsidR="00F85438" w:rsidRPr="0013141D" w:rsidRDefault="00F55FAC" w:rsidP="00BC7EF4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iCs/>
                <w:noProof/>
                <w:sz w:val="18"/>
                <w:szCs w:val="18"/>
              </w:rPr>
              <w:t>2.4</w:t>
            </w:r>
          </w:p>
        </w:tc>
        <w:tc>
          <w:tcPr>
            <w:tcW w:w="1462" w:type="dxa"/>
            <w:vMerge w:val="restart"/>
            <w:shd w:val="clear" w:color="auto" w:fill="DEEAF6" w:themeFill="accent5" w:themeFillTint="33"/>
            <w:vAlign w:val="center"/>
          </w:tcPr>
          <w:p w:rsidR="00F85438" w:rsidRPr="0013141D" w:rsidRDefault="00F55FAC" w:rsidP="00BC7EF4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iCs/>
                <w:noProof/>
                <w:sz w:val="18"/>
                <w:szCs w:val="18"/>
              </w:rPr>
              <w:t>3</w:t>
            </w: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F85438" w:rsidRPr="00F61950" w:rsidRDefault="00F55FAC" w:rsidP="00F55FAC">
            <w:pPr>
              <w:spacing w:before="0" w:after="0"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 w:rsidRPr="00F55FAC">
              <w:rPr>
                <w:rFonts w:eastAsia="Times New Roman"/>
                <w:noProof/>
                <w:sz w:val="18"/>
                <w:szCs w:val="18"/>
              </w:rPr>
              <w:t xml:space="preserve">            174 020    </w:t>
            </w:r>
          </w:p>
        </w:tc>
      </w:tr>
      <w:tr w:rsidR="00F85438" w:rsidRPr="00F61950" w:rsidTr="00BC7EF4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F85438" w:rsidRPr="0013141D" w:rsidRDefault="00F85438" w:rsidP="00BC7EF4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F85438" w:rsidRPr="0013141D" w:rsidRDefault="00F85438" w:rsidP="00BC7EF4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F85438" w:rsidRPr="0013141D" w:rsidRDefault="00F85438" w:rsidP="00BC7EF4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Přechodové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F85438" w:rsidRPr="0013141D" w:rsidRDefault="00F85438" w:rsidP="00BC7EF4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F85438" w:rsidRPr="0013141D" w:rsidRDefault="00F85438" w:rsidP="00BC7EF4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F85438" w:rsidRPr="00F61950" w:rsidRDefault="00F55FAC" w:rsidP="00F55FAC">
            <w:pPr>
              <w:spacing w:before="0" w:after="0"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 w:rsidRPr="00F55FAC">
              <w:rPr>
                <w:rFonts w:eastAsia="Times New Roman"/>
                <w:noProof/>
                <w:sz w:val="18"/>
                <w:szCs w:val="18"/>
              </w:rPr>
              <w:t xml:space="preserve">      13 160 017    </w:t>
            </w:r>
          </w:p>
        </w:tc>
      </w:tr>
      <w:tr w:rsidR="00F85438" w:rsidRPr="00F61950" w:rsidTr="00BC7E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F85438" w:rsidRPr="0013141D" w:rsidRDefault="00F85438" w:rsidP="00BC7EF4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F85438" w:rsidRPr="0013141D" w:rsidRDefault="00F85438" w:rsidP="00BC7EF4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F85438" w:rsidRPr="0013141D" w:rsidRDefault="00F85438" w:rsidP="00BC7EF4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Méně rozvinuté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F85438" w:rsidRPr="0013141D" w:rsidRDefault="00F85438" w:rsidP="00BC7EF4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F85438" w:rsidRPr="0013141D" w:rsidRDefault="00F85438" w:rsidP="00BC7EF4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F85438" w:rsidRPr="00F61950" w:rsidRDefault="00F55FAC" w:rsidP="00F55FAC">
            <w:pPr>
              <w:spacing w:before="0" w:after="0"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 w:rsidRPr="00F55FAC">
              <w:rPr>
                <w:rFonts w:eastAsia="Times New Roman"/>
                <w:noProof/>
                <w:sz w:val="18"/>
                <w:szCs w:val="18"/>
              </w:rPr>
              <w:t xml:space="preserve">      14 669 958    </w:t>
            </w:r>
          </w:p>
        </w:tc>
      </w:tr>
    </w:tbl>
    <w:p w:rsidR="00114426" w:rsidRDefault="00114426">
      <w:pPr>
        <w:spacing w:before="0" w:after="160" w:line="259" w:lineRule="auto"/>
        <w:rPr>
          <w:rFonts w:ascii="Arial" w:eastAsia="Batang" w:hAnsi="Arial" w:cstheme="minorBidi"/>
          <w:b/>
          <w:color w:val="1F4E79" w:themeColor="accent5" w:themeShade="80"/>
          <w:sz w:val="22"/>
          <w:szCs w:val="18"/>
          <w:lang w:eastAsia="cs-CZ"/>
        </w:rPr>
      </w:pPr>
    </w:p>
    <w:p w:rsidR="00B315CB" w:rsidRDefault="00B315CB" w:rsidP="00B315CB">
      <w:pPr>
        <w:pStyle w:val="Nadpis2"/>
        <w:numPr>
          <w:ilvl w:val="0"/>
          <w:numId w:val="0"/>
        </w:numPr>
        <w:ind w:left="851" w:hanging="851"/>
        <w:rPr>
          <w:color w:val="1F4E79" w:themeColor="accent5" w:themeShade="80"/>
          <w:lang w:val="cs-CZ"/>
        </w:rPr>
      </w:pPr>
      <w:bookmarkStart w:id="207" w:name="_Toc66476065"/>
      <w:bookmarkStart w:id="208" w:name="_Toc68611023"/>
    </w:p>
    <w:p w:rsidR="00B315CB" w:rsidRDefault="00B315CB" w:rsidP="00B315CB"/>
    <w:p w:rsidR="00B315CB" w:rsidRPr="00B315CB" w:rsidRDefault="00B315CB" w:rsidP="00B315CB"/>
    <w:p w:rsidR="00114426" w:rsidRPr="00B175FB" w:rsidRDefault="00656BDE" w:rsidP="009D3D54">
      <w:pPr>
        <w:pStyle w:val="Nadpis2"/>
        <w:rPr>
          <w:color w:val="1F4E79" w:themeColor="accent5" w:themeShade="80"/>
          <w:lang w:val="cs-CZ"/>
        </w:rPr>
      </w:pPr>
      <w:r w:rsidRPr="00B175FB">
        <w:rPr>
          <w:color w:val="1F4E79" w:themeColor="accent5" w:themeShade="80"/>
          <w:lang w:val="cs-CZ"/>
        </w:rPr>
        <w:t xml:space="preserve">Priorita </w:t>
      </w:r>
      <w:r w:rsidR="009653C4">
        <w:rPr>
          <w:color w:val="1F4E79" w:themeColor="accent5" w:themeShade="80"/>
          <w:lang w:val="cs-CZ"/>
        </w:rPr>
        <w:t>3</w:t>
      </w:r>
      <w:r w:rsidR="009653C4" w:rsidRPr="00B175FB">
        <w:rPr>
          <w:color w:val="1F4E79" w:themeColor="accent5" w:themeShade="80"/>
          <w:lang w:val="cs-CZ"/>
        </w:rPr>
        <w:t xml:space="preserve"> </w:t>
      </w:r>
      <w:r w:rsidR="00264DAD" w:rsidRPr="00B175FB">
        <w:rPr>
          <w:color w:val="1F4E79" w:themeColor="accent5" w:themeShade="80"/>
          <w:lang w:val="cs-CZ"/>
        </w:rPr>
        <w:t>–</w:t>
      </w:r>
      <w:r w:rsidR="009653C4" w:rsidRPr="00B175FB">
        <w:rPr>
          <w:color w:val="1F4E79" w:themeColor="accent5" w:themeShade="80"/>
          <w:lang w:val="cs-CZ"/>
        </w:rPr>
        <w:t xml:space="preserve"> </w:t>
      </w:r>
      <w:r w:rsidRPr="00B175FB">
        <w:rPr>
          <w:color w:val="1F4E79" w:themeColor="accent5" w:themeShade="80"/>
          <w:lang w:val="cs-CZ"/>
        </w:rPr>
        <w:t>Technická pomoc</w:t>
      </w:r>
      <w:r w:rsidR="00754417" w:rsidRPr="00B175FB">
        <w:rPr>
          <w:color w:val="1F4E79" w:themeColor="accent5" w:themeShade="80"/>
          <w:lang w:val="cs-CZ"/>
        </w:rPr>
        <w:t xml:space="preserve"> </w:t>
      </w:r>
      <w:r w:rsidR="00264DAD">
        <w:rPr>
          <w:color w:val="1F4E79" w:themeColor="accent5" w:themeShade="80"/>
          <w:lang w:val="cs-CZ"/>
        </w:rPr>
        <w:t>(</w:t>
      </w:r>
      <w:r w:rsidR="00754417" w:rsidRPr="00B175FB">
        <w:rPr>
          <w:color w:val="1F4E79" w:themeColor="accent5" w:themeShade="80"/>
          <w:lang w:val="cs-CZ"/>
        </w:rPr>
        <w:t>P</w:t>
      </w:r>
      <w:r w:rsidR="00754417">
        <w:rPr>
          <w:color w:val="1F4E79" w:themeColor="accent5" w:themeShade="80"/>
          <w:lang w:val="cs-CZ"/>
        </w:rPr>
        <w:t>3</w:t>
      </w:r>
      <w:r w:rsidR="00264DAD">
        <w:rPr>
          <w:color w:val="1F4E79" w:themeColor="accent5" w:themeShade="80"/>
          <w:lang w:val="cs-CZ"/>
        </w:rPr>
        <w:t>)</w:t>
      </w:r>
      <w:r w:rsidR="00F63B39">
        <w:rPr>
          <w:color w:val="1F4E79" w:themeColor="accent5" w:themeShade="80"/>
          <w:lang w:val="cs-CZ"/>
        </w:rPr>
        <w:t xml:space="preserve"> </w:t>
      </w:r>
      <w:r w:rsidR="00264DAD">
        <w:rPr>
          <w:color w:val="1F4E79" w:themeColor="accent5" w:themeShade="80"/>
          <w:lang w:val="cs-CZ"/>
        </w:rPr>
        <w:t>–</w:t>
      </w:r>
      <w:r w:rsidR="00F63B39">
        <w:rPr>
          <w:color w:val="1F4E79" w:themeColor="accent5" w:themeShade="80"/>
          <w:lang w:val="cs-CZ"/>
        </w:rPr>
        <w:t xml:space="preserve"> ERDF</w:t>
      </w:r>
      <w:bookmarkEnd w:id="207"/>
      <w:bookmarkEnd w:id="208"/>
    </w:p>
    <w:p w:rsidR="00114426" w:rsidRPr="00B175FB" w:rsidRDefault="00656BDE" w:rsidP="00114426">
      <w:pPr>
        <w:rPr>
          <w:rFonts w:eastAsia="Times New Roman"/>
          <w:b/>
          <w:noProof/>
          <w:szCs w:val="24"/>
        </w:rPr>
      </w:pPr>
      <w:r w:rsidRPr="00B175FB">
        <w:rPr>
          <w:rFonts w:eastAsia="Times New Roman"/>
          <w:b/>
          <w:noProof/>
          <w:szCs w:val="24"/>
        </w:rPr>
        <w:t>Priorita pro technickou pomoc</w:t>
      </w:r>
      <w:r w:rsidR="00443334">
        <w:rPr>
          <w:rStyle w:val="Znakapoznpodarou"/>
          <w:rFonts w:eastAsia="Times New Roman"/>
          <w:b w:val="0"/>
          <w:noProof/>
          <w:szCs w:val="24"/>
        </w:rPr>
        <w:footnoteReference w:id="83"/>
      </w:r>
    </w:p>
    <w:p w:rsidR="00FB0226" w:rsidRPr="00943447" w:rsidRDefault="00FB0226" w:rsidP="00FB0226">
      <w:pPr>
        <w:pStyle w:val="Nadpis3"/>
        <w:tabs>
          <w:tab w:val="clear" w:pos="851"/>
        </w:tabs>
        <w:rPr>
          <w:b/>
          <w:noProof/>
          <w:color w:val="1F4E79" w:themeColor="accent5" w:themeShade="80"/>
          <w:lang w:val="cs-CZ"/>
        </w:rPr>
      </w:pPr>
      <w:bookmarkStart w:id="209" w:name="_Toc51924519"/>
      <w:bookmarkStart w:id="210" w:name="_Toc66476066"/>
      <w:bookmarkStart w:id="211" w:name="_Toc68611024"/>
      <w:r w:rsidRPr="00943447">
        <w:rPr>
          <w:b/>
          <w:noProof/>
          <w:color w:val="1F4E79" w:themeColor="accent5" w:themeShade="80"/>
          <w:lang w:val="cs-CZ"/>
        </w:rPr>
        <w:t xml:space="preserve">Specifický cíl </w:t>
      </w:r>
      <w:r w:rsidR="00B454A2">
        <w:rPr>
          <w:b/>
          <w:noProof/>
          <w:color w:val="1F4E79" w:themeColor="accent5" w:themeShade="80"/>
          <w:lang w:val="cs-CZ"/>
        </w:rPr>
        <w:t>3</w:t>
      </w:r>
      <w:r w:rsidRPr="00943447">
        <w:rPr>
          <w:b/>
          <w:noProof/>
          <w:color w:val="1F4E79" w:themeColor="accent5" w:themeShade="80"/>
          <w:lang w:val="cs-CZ"/>
        </w:rPr>
        <w:t>.1: Zajištění kvalitního řízení a implementace programu</w:t>
      </w:r>
      <w:bookmarkEnd w:id="209"/>
      <w:bookmarkEnd w:id="210"/>
      <w:bookmarkEnd w:id="211"/>
    </w:p>
    <w:p w:rsidR="008D2CAD" w:rsidRPr="00943447" w:rsidRDefault="008D2CAD" w:rsidP="00FB0226">
      <w:pPr>
        <w:pStyle w:val="Nadpis4"/>
        <w:rPr>
          <w:b/>
          <w:noProof/>
          <w:color w:val="1F4E79" w:themeColor="accent5" w:themeShade="80"/>
          <w:lang w:val="cs-CZ"/>
        </w:rPr>
      </w:pPr>
      <w:bookmarkStart w:id="212" w:name="_Toc66476067"/>
      <w:bookmarkStart w:id="213" w:name="_Toc68611025"/>
      <w:r w:rsidRPr="00943447">
        <w:rPr>
          <w:b/>
          <w:noProof/>
          <w:color w:val="1F4E79" w:themeColor="accent5" w:themeShade="80"/>
          <w:lang w:val="cs-CZ"/>
        </w:rPr>
        <w:t>Intervence fondů</w:t>
      </w:r>
      <w:bookmarkEnd w:id="212"/>
      <w:bookmarkEnd w:id="213"/>
      <w:r w:rsidRPr="00943447">
        <w:rPr>
          <w:b/>
          <w:noProof/>
          <w:color w:val="1F4E79" w:themeColor="accent5" w:themeShade="80"/>
          <w:lang w:val="cs-CZ"/>
        </w:rPr>
        <w:t xml:space="preserve"> </w:t>
      </w:r>
    </w:p>
    <w:p w:rsidR="00531ED3" w:rsidRPr="00B175FB" w:rsidRDefault="00531ED3" w:rsidP="00531ED3">
      <w:pPr>
        <w:spacing w:line="276" w:lineRule="auto"/>
        <w:rPr>
          <w:rFonts w:eastAsia="Times New Roman"/>
          <w:b/>
          <w:noProof/>
          <w:color w:val="D0CECE" w:themeColor="background2" w:themeShade="E6"/>
          <w:szCs w:val="24"/>
        </w:rPr>
      </w:pPr>
      <w:r w:rsidRPr="00B175FB">
        <w:rPr>
          <w:rFonts w:eastAsia="Times New Roman"/>
          <w:b/>
          <w:i/>
          <w:noProof/>
          <w:szCs w:val="24"/>
        </w:rPr>
        <w:t xml:space="preserve">Související druhy činností </w:t>
      </w:r>
      <w:r w:rsidRPr="00B175FB">
        <w:rPr>
          <w:rFonts w:eastAsia="Times New Roman"/>
          <w:i/>
          <w:noProof/>
          <w:szCs w:val="24"/>
        </w:rPr>
        <w:t xml:space="preserve"> </w:t>
      </w: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531ED3" w:rsidRPr="00B175FB" w:rsidTr="00E53BA1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D3" w:rsidRPr="00B175FB" w:rsidRDefault="00531ED3" w:rsidP="00AF78A9">
            <w:pPr>
              <w:spacing w:line="276" w:lineRule="auto"/>
              <w:jc w:val="both"/>
              <w:rPr>
                <w:sz w:val="22"/>
              </w:rPr>
            </w:pPr>
            <w:bookmarkStart w:id="214" w:name="_Hlk33529569"/>
            <w:r w:rsidRPr="00B175FB">
              <w:rPr>
                <w:sz w:val="22"/>
              </w:rPr>
              <w:t xml:space="preserve">Technická pomoc OP JAK (dále jen „TP“) slouží jako komplexní i specifická horizontální podpora celé implementační struktury směřující k zajištění všech nezbytných procesů relevantních pro řádnou implementaci OP JAK po celou dobu jeho realizace tak, aby bylo možné splnit jeho vytyčený cíl, kterým je </w:t>
            </w:r>
            <w:r w:rsidRPr="00B175FB">
              <w:rPr>
                <w:rFonts w:eastAsia="Times New Roman"/>
                <w:sz w:val="22"/>
              </w:rPr>
              <w:t>podpora rozvoje otevřené a vzdělané společnosti založené na znalostech a dovednostech, rovných příležitostech a rozvíjející potenciál každého jednotlivce</w:t>
            </w:r>
            <w:r w:rsidRPr="00B175FB">
              <w:rPr>
                <w:sz w:val="22"/>
              </w:rPr>
              <w:t xml:space="preserve">. </w:t>
            </w:r>
          </w:p>
          <w:p w:rsidR="00531ED3" w:rsidRPr="00B175FB" w:rsidRDefault="00531ED3" w:rsidP="00AF78A9">
            <w:pPr>
              <w:spacing w:line="276" w:lineRule="auto"/>
              <w:jc w:val="both"/>
              <w:rPr>
                <w:sz w:val="22"/>
              </w:rPr>
            </w:pPr>
            <w:r w:rsidRPr="00B175FB">
              <w:rPr>
                <w:sz w:val="22"/>
              </w:rPr>
              <w:t>V programovém období 2014</w:t>
            </w:r>
            <w:r w:rsidR="005D6FD7">
              <w:rPr>
                <w:rFonts w:eastAsia="Times New Roman"/>
                <w:sz w:val="22"/>
              </w:rPr>
              <w:t>-</w:t>
            </w:r>
            <w:r w:rsidRPr="00B175FB">
              <w:rPr>
                <w:sz w:val="22"/>
              </w:rPr>
              <w:t>2020 se pro potřeby efektivní implementace technické pomoci OP VVV v souladu s principy „3E“ osvědčilo využívat tzv. Postup koordinace. Z tohoto důvodu bude</w:t>
            </w:r>
            <w:r w:rsidRPr="00B175FB" w:rsidDel="00D40423">
              <w:rPr>
                <w:sz w:val="22"/>
              </w:rPr>
              <w:t xml:space="preserve"> </w:t>
            </w:r>
            <w:r w:rsidR="001C6029" w:rsidRPr="00B175FB">
              <w:rPr>
                <w:sz w:val="22"/>
              </w:rPr>
              <w:t>ŘO</w:t>
            </w:r>
            <w:r w:rsidRPr="00B175FB">
              <w:rPr>
                <w:sz w:val="22"/>
              </w:rPr>
              <w:t xml:space="preserve"> OP JAK obdobný mechanismus využit i pro programové období 2021</w:t>
            </w:r>
            <w:r w:rsidR="005D6FD7">
              <w:rPr>
                <w:rFonts w:eastAsia="Times New Roman"/>
                <w:sz w:val="22"/>
              </w:rPr>
              <w:t>-</w:t>
            </w:r>
            <w:r w:rsidRPr="00B175FB">
              <w:rPr>
                <w:sz w:val="22"/>
              </w:rPr>
              <w:t>2027. Postup koordinace bude specifikovat komplexní koordinaci činností jednak interně v rámci ŘO OP JAK a jednak externě ve vazbě na implementaci a podporované aktivity Operačního programu Technická pomoc v gesci Ministerstva pro místní rozvoj</w:t>
            </w:r>
            <w:r w:rsidR="00B87742" w:rsidRPr="00B175FB">
              <w:rPr>
                <w:sz w:val="22"/>
              </w:rPr>
              <w:t> (dále jen „MMR</w:t>
            </w:r>
            <w:r w:rsidR="005D6FD7">
              <w:rPr>
                <w:sz w:val="22"/>
              </w:rPr>
              <w:t>“</w:t>
            </w:r>
            <w:r w:rsidR="00B87742" w:rsidRPr="00B175FB">
              <w:rPr>
                <w:sz w:val="22"/>
              </w:rPr>
              <w:t>)</w:t>
            </w:r>
            <w:r w:rsidRPr="00B175FB">
              <w:rPr>
                <w:sz w:val="22"/>
              </w:rPr>
              <w:t>. Hlavním strategickým dokumentem Postupu koordinace bude tedy tzv.</w:t>
            </w:r>
            <w:r w:rsidR="00AF78A9" w:rsidRPr="00B175FB">
              <w:rPr>
                <w:sz w:val="22"/>
              </w:rPr>
              <w:t> </w:t>
            </w:r>
            <w:r w:rsidRPr="00B175FB">
              <w:rPr>
                <w:sz w:val="22"/>
              </w:rPr>
              <w:t>Dlouhodobý plán realizace Technické pomoci.</w:t>
            </w:r>
          </w:p>
          <w:p w:rsidR="00531ED3" w:rsidRPr="00B175FB" w:rsidRDefault="00531ED3" w:rsidP="00AF78A9">
            <w:pPr>
              <w:spacing w:line="276" w:lineRule="auto"/>
              <w:rPr>
                <w:b/>
                <w:sz w:val="22"/>
              </w:rPr>
            </w:pPr>
            <w:r w:rsidRPr="00B175FB">
              <w:rPr>
                <w:b/>
                <w:sz w:val="22"/>
              </w:rPr>
              <w:t>Výsledkem intervencí bude</w:t>
            </w:r>
          </w:p>
          <w:p w:rsidR="00531ED3" w:rsidRPr="00DE5FD7" w:rsidRDefault="00531ED3" w:rsidP="006A2F6A">
            <w:pPr>
              <w:pStyle w:val="Odstavecseseznamem"/>
              <w:numPr>
                <w:ilvl w:val="0"/>
                <w:numId w:val="83"/>
              </w:numPr>
              <w:spacing w:after="160" w:line="276" w:lineRule="auto"/>
              <w:rPr>
                <w:rFonts w:cs="Times New Roman"/>
                <w:sz w:val="22"/>
              </w:rPr>
            </w:pPr>
            <w:r w:rsidRPr="00DE5FD7">
              <w:rPr>
                <w:rFonts w:cs="Times New Roman"/>
                <w:sz w:val="22"/>
              </w:rPr>
              <w:t xml:space="preserve">Administrativní kapacita  </w:t>
            </w:r>
          </w:p>
          <w:p w:rsidR="000A220F" w:rsidRPr="00DE5FD7" w:rsidRDefault="0018612D" w:rsidP="00393FC0">
            <w:pPr>
              <w:pStyle w:val="Textkomente"/>
              <w:numPr>
                <w:ilvl w:val="0"/>
                <w:numId w:val="84"/>
              </w:numPr>
              <w:spacing w:after="240" w:line="276" w:lineRule="auto"/>
              <w:ind w:left="720"/>
              <w:jc w:val="both"/>
              <w:rPr>
                <w:rFonts w:cs="Times New Roman"/>
                <w:sz w:val="22"/>
                <w:szCs w:val="22"/>
                <w:lang w:val="cs-CZ"/>
              </w:rPr>
            </w:pPr>
            <w:r w:rsidRPr="00DE5FD7">
              <w:rPr>
                <w:rFonts w:cs="Times New Roman"/>
                <w:sz w:val="22"/>
                <w:szCs w:val="22"/>
                <w:lang w:val="cs-CZ"/>
              </w:rPr>
              <w:t xml:space="preserve">Dostatečná a kvalifikovaná </w:t>
            </w:r>
            <w:r w:rsidR="000A220F" w:rsidRPr="00DE5FD7">
              <w:rPr>
                <w:rFonts w:cs="Times New Roman"/>
                <w:sz w:val="22"/>
                <w:szCs w:val="22"/>
                <w:lang w:val="cs-CZ"/>
              </w:rPr>
              <w:t>administrativní kapacita</w:t>
            </w:r>
          </w:p>
          <w:p w:rsidR="00531ED3" w:rsidRPr="00DE5FD7" w:rsidRDefault="00531ED3" w:rsidP="006A2F6A">
            <w:pPr>
              <w:pStyle w:val="Odstavecseseznamem"/>
              <w:numPr>
                <w:ilvl w:val="0"/>
                <w:numId w:val="83"/>
              </w:numPr>
              <w:spacing w:after="160" w:line="276" w:lineRule="auto"/>
              <w:jc w:val="both"/>
              <w:rPr>
                <w:rFonts w:cs="Times New Roman"/>
                <w:sz w:val="22"/>
              </w:rPr>
            </w:pPr>
            <w:r w:rsidRPr="00DE5FD7">
              <w:rPr>
                <w:rFonts w:cs="Times New Roman"/>
                <w:sz w:val="22"/>
              </w:rPr>
              <w:t>Řízení programu a zajištění souvisejících procesů</w:t>
            </w:r>
          </w:p>
          <w:p w:rsidR="000A220F" w:rsidRPr="00DE5FD7" w:rsidRDefault="000A220F" w:rsidP="00393FC0">
            <w:pPr>
              <w:pStyle w:val="Textkomente"/>
              <w:numPr>
                <w:ilvl w:val="0"/>
                <w:numId w:val="84"/>
              </w:numPr>
              <w:spacing w:after="240" w:line="276" w:lineRule="auto"/>
              <w:ind w:left="720"/>
              <w:jc w:val="both"/>
              <w:rPr>
                <w:rFonts w:cs="Times New Roman"/>
                <w:sz w:val="22"/>
                <w:szCs w:val="22"/>
                <w:lang w:val="cs-CZ"/>
              </w:rPr>
            </w:pPr>
            <w:r w:rsidRPr="00DE5FD7">
              <w:rPr>
                <w:rFonts w:cs="Times New Roman"/>
                <w:sz w:val="22"/>
                <w:szCs w:val="22"/>
                <w:lang w:val="cs-CZ"/>
              </w:rPr>
              <w:t>Efektivní implementace programu</w:t>
            </w:r>
          </w:p>
          <w:p w:rsidR="00531ED3" w:rsidRPr="00B175FB" w:rsidRDefault="00531ED3" w:rsidP="006A2F6A">
            <w:pPr>
              <w:pStyle w:val="Odstavecseseznamem"/>
              <w:numPr>
                <w:ilvl w:val="0"/>
                <w:numId w:val="83"/>
              </w:numPr>
              <w:spacing w:after="160" w:line="276" w:lineRule="auto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>Technické zajištění</w:t>
            </w:r>
          </w:p>
          <w:p w:rsidR="00531ED3" w:rsidRPr="00B175FB" w:rsidRDefault="00531ED3" w:rsidP="006A2F6A">
            <w:pPr>
              <w:pStyle w:val="Textkomente"/>
              <w:numPr>
                <w:ilvl w:val="0"/>
                <w:numId w:val="84"/>
              </w:numPr>
              <w:spacing w:after="240" w:line="276" w:lineRule="auto"/>
              <w:ind w:left="720"/>
              <w:jc w:val="both"/>
              <w:rPr>
                <w:rFonts w:cs="Times New Roman"/>
                <w:sz w:val="22"/>
                <w:szCs w:val="22"/>
                <w:lang w:val="cs-CZ"/>
              </w:rPr>
            </w:pPr>
            <w:r w:rsidRPr="00B175FB">
              <w:rPr>
                <w:rFonts w:cs="Times New Roman"/>
                <w:sz w:val="22"/>
                <w:szCs w:val="22"/>
                <w:lang w:val="cs-CZ"/>
              </w:rPr>
              <w:t>Optimální zajištění pracovních podmínek vedoucí ke stabilitě zaměstnanců implementační struktury prostřednictvím standardu zaměstnance</w:t>
            </w:r>
            <w:r w:rsidR="00CE71CA" w:rsidRPr="00B175FB">
              <w:rPr>
                <w:rFonts w:cs="Times New Roman"/>
                <w:sz w:val="22"/>
                <w:szCs w:val="22"/>
                <w:lang w:val="cs-CZ"/>
              </w:rPr>
              <w:t>.</w:t>
            </w:r>
          </w:p>
          <w:p w:rsidR="00531ED3" w:rsidRPr="00B175FB" w:rsidRDefault="00531ED3" w:rsidP="006A2F6A">
            <w:pPr>
              <w:pStyle w:val="Odstavecseseznamem"/>
              <w:numPr>
                <w:ilvl w:val="0"/>
                <w:numId w:val="83"/>
              </w:numPr>
              <w:spacing w:after="160" w:line="276" w:lineRule="auto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>Komunikace a viditelnost</w:t>
            </w:r>
          </w:p>
          <w:p w:rsidR="00531ED3" w:rsidRPr="00B175FB" w:rsidRDefault="00531ED3" w:rsidP="006A2F6A">
            <w:pPr>
              <w:pStyle w:val="Textkomente"/>
              <w:numPr>
                <w:ilvl w:val="0"/>
                <w:numId w:val="84"/>
              </w:numPr>
              <w:spacing w:after="160" w:line="276" w:lineRule="auto"/>
              <w:ind w:left="720"/>
              <w:rPr>
                <w:rFonts w:cs="Times New Roman"/>
                <w:sz w:val="22"/>
                <w:szCs w:val="22"/>
                <w:lang w:val="cs-CZ"/>
              </w:rPr>
            </w:pPr>
            <w:r w:rsidRPr="00B175FB">
              <w:rPr>
                <w:rFonts w:cs="Times New Roman"/>
                <w:sz w:val="22"/>
                <w:szCs w:val="22"/>
                <w:lang w:val="cs-CZ"/>
              </w:rPr>
              <w:t>Budou doplněny výsledky dle SKS a D</w:t>
            </w:r>
            <w:r w:rsidR="000F475B">
              <w:rPr>
                <w:rFonts w:cs="Times New Roman"/>
                <w:sz w:val="22"/>
                <w:szCs w:val="22"/>
                <w:lang w:val="cs-CZ"/>
              </w:rPr>
              <w:t>I</w:t>
            </w:r>
            <w:r w:rsidRPr="00B175FB">
              <w:rPr>
                <w:rFonts w:cs="Times New Roman"/>
                <w:sz w:val="22"/>
                <w:szCs w:val="22"/>
                <w:lang w:val="cs-CZ"/>
              </w:rPr>
              <w:t>K</w:t>
            </w:r>
            <w:r w:rsidR="000F475B">
              <w:rPr>
                <w:rFonts w:cs="Times New Roman"/>
                <w:sz w:val="22"/>
                <w:szCs w:val="22"/>
                <w:lang w:val="cs-CZ"/>
              </w:rPr>
              <w:t>o</w:t>
            </w:r>
            <w:r w:rsidRPr="00B175FB">
              <w:rPr>
                <w:rFonts w:cs="Times New Roman"/>
                <w:sz w:val="22"/>
                <w:szCs w:val="22"/>
                <w:lang w:val="cs-CZ"/>
              </w:rPr>
              <w:t>P</w:t>
            </w:r>
            <w:r w:rsidR="00CE71CA" w:rsidRPr="00B175FB">
              <w:rPr>
                <w:rFonts w:cs="Times New Roman"/>
                <w:sz w:val="22"/>
                <w:szCs w:val="22"/>
                <w:lang w:val="cs-CZ"/>
              </w:rPr>
              <w:t>.</w:t>
            </w:r>
          </w:p>
          <w:p w:rsidR="00531ED3" w:rsidRPr="00B175FB" w:rsidRDefault="00531ED3" w:rsidP="00AF78A9">
            <w:pPr>
              <w:pStyle w:val="Odstavecseseznamem"/>
              <w:spacing w:line="276" w:lineRule="auto"/>
              <w:ind w:left="0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>Podporované aktivity budou prováděny za účelem naplnění vytyčených cílů OP JAK, resp. výše uvedených výsledků intervencí. Součástí relevantních aktivit budou také aktivity zaměřené průřezově na dokončení a přípravu jiných programových období v gesci MŠMT; tyto činnosti jsou integrální součástí všech výše uvedených výsledků intervencí. Zmíněná agenda bude v celé své šíři v tomto smyslu zajištěna průřezově nad rámec jednotlivých specifických výsledků.</w:t>
            </w:r>
          </w:p>
          <w:p w:rsidR="00531ED3" w:rsidRPr="00B175FB" w:rsidRDefault="00531ED3" w:rsidP="00AF78A9">
            <w:pPr>
              <w:spacing w:line="276" w:lineRule="auto"/>
              <w:jc w:val="both"/>
              <w:rPr>
                <w:sz w:val="22"/>
              </w:rPr>
            </w:pPr>
            <w:r w:rsidRPr="00B175FB">
              <w:rPr>
                <w:sz w:val="22"/>
              </w:rPr>
              <w:t>Jedním ze zásadních ukazatelů řádného fungování relevantních procesů ŘO OP JAK je plnění tzv. pravidla N+</w:t>
            </w:r>
            <w:r w:rsidR="009F7D4B">
              <w:rPr>
                <w:sz w:val="22"/>
              </w:rPr>
              <w:t>3/</w:t>
            </w:r>
            <w:r w:rsidRPr="00B175FB">
              <w:rPr>
                <w:sz w:val="22"/>
              </w:rPr>
              <w:t>2 definovaného obecn</w:t>
            </w:r>
            <w:r w:rsidR="009F7D4B">
              <w:rPr>
                <w:sz w:val="22"/>
              </w:rPr>
              <w:t>ým</w:t>
            </w:r>
            <w:r w:rsidRPr="00B175FB">
              <w:rPr>
                <w:sz w:val="22"/>
              </w:rPr>
              <w:t xml:space="preserve"> nařízení</w:t>
            </w:r>
            <w:r w:rsidR="009F7D4B">
              <w:rPr>
                <w:sz w:val="22"/>
              </w:rPr>
              <w:t>m</w:t>
            </w:r>
            <w:r w:rsidRPr="00B175FB">
              <w:rPr>
                <w:sz w:val="22"/>
              </w:rPr>
              <w:t xml:space="preserve">. Z tohoto důvodu </w:t>
            </w:r>
            <w:r w:rsidR="009F7D4B">
              <w:rPr>
                <w:sz w:val="22"/>
              </w:rPr>
              <w:t xml:space="preserve">bude </w:t>
            </w:r>
            <w:r w:rsidRPr="00B175FB">
              <w:rPr>
                <w:sz w:val="22"/>
              </w:rPr>
              <w:t>probíh</w:t>
            </w:r>
            <w:r w:rsidR="00264DAD">
              <w:rPr>
                <w:sz w:val="22"/>
              </w:rPr>
              <w:t>at</w:t>
            </w:r>
            <w:r w:rsidRPr="00B175FB">
              <w:rPr>
                <w:sz w:val="22"/>
              </w:rPr>
              <w:t xml:space="preserve"> financování TP v souladu s čl. </w:t>
            </w:r>
            <w:r w:rsidR="009F7D4B">
              <w:rPr>
                <w:sz w:val="22"/>
              </w:rPr>
              <w:t>48</w:t>
            </w:r>
            <w:r w:rsidRPr="00B175FB">
              <w:rPr>
                <w:sz w:val="22"/>
              </w:rPr>
              <w:t xml:space="preserve"> obecného nařízení prostřednictvím jednorázové částky.</w:t>
            </w:r>
          </w:p>
          <w:p w:rsidR="00E22EF8" w:rsidRDefault="00E22EF8" w:rsidP="00AF78A9">
            <w:pPr>
              <w:spacing w:line="276" w:lineRule="auto"/>
              <w:rPr>
                <w:b/>
                <w:sz w:val="22"/>
              </w:rPr>
            </w:pPr>
          </w:p>
          <w:p w:rsidR="00531ED3" w:rsidRPr="00B175FB" w:rsidRDefault="00531ED3" w:rsidP="00AF78A9">
            <w:pPr>
              <w:spacing w:line="276" w:lineRule="auto"/>
              <w:rPr>
                <w:b/>
                <w:sz w:val="22"/>
              </w:rPr>
            </w:pPr>
            <w:r w:rsidRPr="00B175FB">
              <w:rPr>
                <w:b/>
                <w:sz w:val="22"/>
              </w:rPr>
              <w:t>Mezi podporované aktivity patří zejména:</w:t>
            </w:r>
          </w:p>
          <w:p w:rsidR="00531ED3" w:rsidRPr="00B175FB" w:rsidRDefault="00531ED3" w:rsidP="00AF78A9">
            <w:pPr>
              <w:spacing w:line="276" w:lineRule="auto"/>
              <w:rPr>
                <w:sz w:val="22"/>
              </w:rPr>
            </w:pPr>
            <w:r w:rsidRPr="00B175FB">
              <w:rPr>
                <w:sz w:val="22"/>
              </w:rPr>
              <w:t xml:space="preserve">Administrativní kapacita  </w:t>
            </w:r>
          </w:p>
          <w:p w:rsidR="00531ED3" w:rsidRPr="00B175FB" w:rsidRDefault="00531ED3" w:rsidP="006A2F6A">
            <w:pPr>
              <w:pStyle w:val="Odstavecseseznamem"/>
              <w:numPr>
                <w:ilvl w:val="0"/>
                <w:numId w:val="86"/>
              </w:numPr>
              <w:spacing w:after="160" w:line="276" w:lineRule="auto"/>
              <w:ind w:left="720"/>
              <w:jc w:val="both"/>
              <w:rPr>
                <w:rFonts w:cs="Times New Roman"/>
                <w:b/>
                <w:sz w:val="22"/>
              </w:rPr>
            </w:pPr>
            <w:r w:rsidRPr="00B175FB">
              <w:rPr>
                <w:rFonts w:cs="Times New Roman"/>
                <w:sz w:val="22"/>
              </w:rPr>
              <w:t>Administrativní kapacita zahrnuje veškeré zaměstnance MŠMT ve služebním i pracovním poměru, jež</w:t>
            </w:r>
            <w:r w:rsidR="00AF78A9" w:rsidRPr="00B175FB">
              <w:rPr>
                <w:rFonts w:cs="Times New Roman"/>
                <w:sz w:val="22"/>
              </w:rPr>
              <w:t> </w:t>
            </w:r>
            <w:r w:rsidRPr="00B175FB">
              <w:rPr>
                <w:rFonts w:cs="Times New Roman"/>
                <w:sz w:val="22"/>
              </w:rPr>
              <w:t>jsou v souladu s platnou a účinnou systemizací MŠMT hrazeni plně či z části z prostředků TP.</w:t>
            </w:r>
            <w:r w:rsidRPr="00B175FB">
              <w:rPr>
                <w:rStyle w:val="Znakapoznpodarou"/>
                <w:sz w:val="22"/>
              </w:rPr>
              <w:footnoteReference w:id="84"/>
            </w:r>
          </w:p>
          <w:p w:rsidR="00531ED3" w:rsidRPr="00B175FB" w:rsidRDefault="00531ED3" w:rsidP="006A2F6A">
            <w:pPr>
              <w:pStyle w:val="Odstavecseseznamem"/>
              <w:numPr>
                <w:ilvl w:val="0"/>
                <w:numId w:val="86"/>
              </w:numPr>
              <w:spacing w:after="160" w:line="276" w:lineRule="auto"/>
              <w:ind w:left="720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>Administrativní kapacita a stabilizace pracovních týmů tvořících společně implementační strukturu (včetně dokončení a přípravy jiných programových období) spočívá zejména v úhradě mezd a platů a</w:t>
            </w:r>
            <w:r w:rsidR="00AF78A9" w:rsidRPr="00B175FB">
              <w:rPr>
                <w:rFonts w:cs="Times New Roman"/>
                <w:sz w:val="22"/>
              </w:rPr>
              <w:t> </w:t>
            </w:r>
            <w:r w:rsidRPr="00B175FB">
              <w:rPr>
                <w:rFonts w:cs="Times New Roman"/>
                <w:sz w:val="22"/>
              </w:rPr>
              <w:t>odměn z dohod včetně souvisejících odvodů a v úhradě ostatních osobních výdajů vyplývajících z pracovněprávní legislativy, kolektivní smlouvy či interních předpisů a též finanční a nefinanční motivace.</w:t>
            </w:r>
          </w:p>
          <w:p w:rsidR="00F70BB1" w:rsidRDefault="00531ED3" w:rsidP="006A2F6A">
            <w:pPr>
              <w:pStyle w:val="Odstavecseseznamem"/>
              <w:numPr>
                <w:ilvl w:val="0"/>
                <w:numId w:val="86"/>
              </w:numPr>
              <w:spacing w:after="160" w:line="276" w:lineRule="auto"/>
              <w:ind w:left="720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>Podpora stabilizace administrativní kapacity, která zároveň přispěje k plnění tzv. horizontálních principů (např. náklady spojené se slaďováním rodinného a osobního života s výkonem služby/práce).</w:t>
            </w:r>
          </w:p>
          <w:p w:rsidR="00531ED3" w:rsidRPr="00B175FB" w:rsidRDefault="00531ED3" w:rsidP="006A2F6A">
            <w:pPr>
              <w:pStyle w:val="Odstavecseseznamem"/>
              <w:numPr>
                <w:ilvl w:val="0"/>
                <w:numId w:val="86"/>
              </w:numPr>
              <w:spacing w:after="160" w:line="276" w:lineRule="auto"/>
              <w:ind w:left="720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>Zajištění a úhrada zahraničních a tuzemských cest pro potřeby administrativní kapacity a další aktivity zajišťující podporu administrativní kapacity (např. náklady na výroční setkání či výjezdní zasedání apod.).</w:t>
            </w:r>
          </w:p>
          <w:p w:rsidR="00531ED3" w:rsidRPr="00B175FB" w:rsidRDefault="00531ED3" w:rsidP="006A2F6A">
            <w:pPr>
              <w:pStyle w:val="Odstavecseseznamem"/>
              <w:numPr>
                <w:ilvl w:val="0"/>
                <w:numId w:val="85"/>
              </w:numPr>
              <w:spacing w:after="160" w:line="276" w:lineRule="auto"/>
              <w:ind w:left="720"/>
              <w:jc w:val="both"/>
              <w:rPr>
                <w:rFonts w:cs="Times New Roman"/>
                <w:b/>
                <w:sz w:val="22"/>
              </w:rPr>
            </w:pPr>
            <w:r w:rsidRPr="00B175FB">
              <w:rPr>
                <w:rFonts w:cs="Times New Roman"/>
                <w:sz w:val="22"/>
              </w:rPr>
              <w:t>Zvyšování kvalifikace a odbornosti administrativní kapacity (např. školení, workshopy či semináře, konference, odborné publikace a další studijní materiály). V rámci TP bude realizováno vzdělávání relevantní pro implementaci OP JAK.</w:t>
            </w:r>
          </w:p>
          <w:p w:rsidR="00531ED3" w:rsidRPr="00B175FB" w:rsidRDefault="00531ED3" w:rsidP="00AF78A9">
            <w:pPr>
              <w:spacing w:line="276" w:lineRule="auto"/>
              <w:rPr>
                <w:sz w:val="22"/>
              </w:rPr>
            </w:pPr>
            <w:r w:rsidRPr="00B175FB">
              <w:rPr>
                <w:sz w:val="22"/>
              </w:rPr>
              <w:t>Řízení programu a zajištění souvisejících procesů</w:t>
            </w:r>
            <w:r w:rsidRPr="00B175FB" w:rsidDel="001538C4">
              <w:rPr>
                <w:sz w:val="22"/>
              </w:rPr>
              <w:t xml:space="preserve"> </w:t>
            </w:r>
          </w:p>
          <w:p w:rsidR="00531ED3" w:rsidRPr="00B175FB" w:rsidRDefault="00531ED3" w:rsidP="006A2F6A">
            <w:pPr>
              <w:pStyle w:val="Odstavecseseznamem"/>
              <w:numPr>
                <w:ilvl w:val="0"/>
                <w:numId w:val="86"/>
              </w:numPr>
              <w:spacing w:after="160" w:line="276" w:lineRule="auto"/>
              <w:ind w:left="720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>Zajištění odpovídajícího prostředí pro realizaci všech procesů definovaných v Operačním manuálu, např. procesu přípravy a vyhlášení výzvy, procesu výběru operací (včetně personálního zajištění externí odborné hodnotitelské činnosti a úhradu s tím souvisejících osobních i dalších výdajů), procesu realizace projektů včetně procesu administrativního ověření, kontrol na místě a </w:t>
            </w:r>
            <w:r w:rsidR="000F475B">
              <w:rPr>
                <w:rFonts w:cs="Times New Roman"/>
                <w:sz w:val="22"/>
              </w:rPr>
              <w:t>autorizace</w:t>
            </w:r>
            <w:r w:rsidRPr="00B175FB">
              <w:rPr>
                <w:rFonts w:cs="Times New Roman"/>
                <w:sz w:val="22"/>
              </w:rPr>
              <w:t>.</w:t>
            </w:r>
          </w:p>
          <w:p w:rsidR="00531ED3" w:rsidRPr="00B175FB" w:rsidRDefault="00531ED3" w:rsidP="006A2F6A">
            <w:pPr>
              <w:pStyle w:val="Odstavecseseznamem"/>
              <w:numPr>
                <w:ilvl w:val="0"/>
                <w:numId w:val="86"/>
              </w:numPr>
              <w:spacing w:after="160" w:line="276" w:lineRule="auto"/>
              <w:ind w:left="720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 xml:space="preserve">Tvorba, vydání a aktualizace dokumentace zejména metodického charakteru (např. pravidel, postupů, pokynů či doporučení) zajišťujících řádnou implementaci v návaznosti na tzv. Jednotný národní rámec či relevantní legislativu na úrovni národní i evropské. </w:t>
            </w:r>
          </w:p>
          <w:p w:rsidR="00531ED3" w:rsidRPr="00B175FB" w:rsidRDefault="00531ED3" w:rsidP="006A2F6A">
            <w:pPr>
              <w:pStyle w:val="Odstavecseseznamem"/>
              <w:numPr>
                <w:ilvl w:val="0"/>
                <w:numId w:val="86"/>
              </w:numPr>
              <w:spacing w:after="160" w:line="276" w:lineRule="auto"/>
              <w:ind w:left="720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 xml:space="preserve">Aktivity přispívající ke snižování administrativní zátěže na straně žadatelů/příjemců (zejména podpora činností zajišťujících zjednodušenou administraci formou typizovaných projektů, podpora jednotného metodického prostředí především v oblasti přípravy řádných a včasných podmínek pro realizaci projektů, interních metodik, příruček a pokynů pro žadatele, příjemce). </w:t>
            </w:r>
          </w:p>
          <w:p w:rsidR="00531ED3" w:rsidRPr="00B175FB" w:rsidRDefault="00531ED3" w:rsidP="006A2F6A">
            <w:pPr>
              <w:pStyle w:val="Odstavecseseznamem"/>
              <w:numPr>
                <w:ilvl w:val="0"/>
                <w:numId w:val="86"/>
              </w:numPr>
              <w:spacing w:after="160" w:line="276" w:lineRule="auto"/>
              <w:ind w:left="720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>Zpracování odborných expertíz, analýz, studií, evaluací a metodik pro nastavení či posouzení funkčnosti a efektivnosti systémů řízení, kontroly, pravidel a postupů realizace pro jednotlivé fáze implementace.</w:t>
            </w:r>
          </w:p>
          <w:p w:rsidR="00531ED3" w:rsidRPr="00B175FB" w:rsidRDefault="00531ED3" w:rsidP="006A2F6A">
            <w:pPr>
              <w:pStyle w:val="Odstavecseseznamem"/>
              <w:numPr>
                <w:ilvl w:val="0"/>
                <w:numId w:val="86"/>
              </w:numPr>
              <w:spacing w:after="160" w:line="276" w:lineRule="auto"/>
              <w:ind w:left="720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 xml:space="preserve">Zajištění protikorupčních mechanizmů. Využití systému ARACHNE a aplikace protikorupčních mechanizmů ve všech úrovních implementace. </w:t>
            </w:r>
          </w:p>
          <w:p w:rsidR="00531ED3" w:rsidRPr="00B175FB" w:rsidRDefault="00531ED3" w:rsidP="006A2F6A">
            <w:pPr>
              <w:pStyle w:val="Odstavecseseznamem"/>
              <w:numPr>
                <w:ilvl w:val="0"/>
                <w:numId w:val="86"/>
              </w:numPr>
              <w:spacing w:after="160" w:line="276" w:lineRule="auto"/>
              <w:ind w:left="720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>Zajištění veškerých pracovních jednání a akcí souvisejících s řízením programu či podporou absorpční kapacity (např. monitorovací výbor, plánovací komise programu, hodnotitelské komise, školení hodnotitelů, semináře pro žadatele/příjemce a další související pracovní skupiny).</w:t>
            </w:r>
          </w:p>
          <w:p w:rsidR="00531ED3" w:rsidRPr="00D057F8" w:rsidRDefault="00531ED3" w:rsidP="00D057F8">
            <w:pPr>
              <w:pStyle w:val="Odstavecseseznamem"/>
              <w:numPr>
                <w:ilvl w:val="0"/>
                <w:numId w:val="86"/>
              </w:numPr>
              <w:spacing w:after="160" w:line="276" w:lineRule="auto"/>
              <w:ind w:left="720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>Zajištění plynulého průběhu ukončování a vyhodnocení předchozích programových období v gesci MŠMT a také provádění aktivit souvisejících s přípravou a zahájením realizace dalšího programového období.</w:t>
            </w:r>
          </w:p>
          <w:p w:rsidR="00531ED3" w:rsidRPr="00B175FB" w:rsidRDefault="00531ED3" w:rsidP="00AF78A9">
            <w:pPr>
              <w:tabs>
                <w:tab w:val="left" w:pos="5760"/>
              </w:tabs>
              <w:spacing w:line="276" w:lineRule="auto"/>
              <w:rPr>
                <w:sz w:val="22"/>
              </w:rPr>
            </w:pPr>
            <w:r w:rsidRPr="00B175FB">
              <w:rPr>
                <w:sz w:val="22"/>
              </w:rPr>
              <w:t>Technické zajištění</w:t>
            </w:r>
            <w:r w:rsidRPr="00B175FB">
              <w:rPr>
                <w:sz w:val="22"/>
              </w:rPr>
              <w:tab/>
            </w:r>
          </w:p>
          <w:p w:rsidR="00531ED3" w:rsidRPr="00B175FB" w:rsidRDefault="00531ED3" w:rsidP="006A2F6A">
            <w:pPr>
              <w:pStyle w:val="Odstavecseseznamem"/>
              <w:numPr>
                <w:ilvl w:val="0"/>
                <w:numId w:val="86"/>
              </w:numPr>
              <w:spacing w:after="160" w:line="276" w:lineRule="auto"/>
              <w:ind w:left="720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 xml:space="preserve">Zajištění potřebného nebytového prostoru včetně souvisejícího zázemí pro implementační strukturu. </w:t>
            </w:r>
          </w:p>
          <w:p w:rsidR="00531ED3" w:rsidRPr="00B175FB" w:rsidRDefault="00531ED3" w:rsidP="006A2F6A">
            <w:pPr>
              <w:pStyle w:val="Odstavecseseznamem"/>
              <w:numPr>
                <w:ilvl w:val="0"/>
                <w:numId w:val="86"/>
              </w:numPr>
              <w:spacing w:after="160" w:line="276" w:lineRule="auto"/>
              <w:ind w:left="720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 xml:space="preserve">Pořizování a obnova technického vybavení pro implementační strukturu. </w:t>
            </w:r>
          </w:p>
          <w:p w:rsidR="00531ED3" w:rsidRPr="00B175FB" w:rsidRDefault="00531ED3" w:rsidP="006A2F6A">
            <w:pPr>
              <w:pStyle w:val="Odstavecseseznamem"/>
              <w:numPr>
                <w:ilvl w:val="0"/>
                <w:numId w:val="86"/>
              </w:numPr>
              <w:spacing w:after="160" w:line="276" w:lineRule="auto"/>
              <w:ind w:left="720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 xml:space="preserve">Služby a materiál pro zajištění odpovídajícího pracovního prostředí a uspokojování relevantních požadavků implementační struktury. </w:t>
            </w:r>
          </w:p>
          <w:p w:rsidR="00531ED3" w:rsidRPr="00B175FB" w:rsidRDefault="00531ED3" w:rsidP="006A2F6A">
            <w:pPr>
              <w:pStyle w:val="Odstavecseseznamem"/>
              <w:numPr>
                <w:ilvl w:val="0"/>
                <w:numId w:val="86"/>
              </w:numPr>
              <w:spacing w:after="160" w:line="276" w:lineRule="auto"/>
              <w:ind w:left="720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>Pořizování, zajišťování rozvoje a technické podpory vnitřních provozních informačních systémů a aplikací.</w:t>
            </w:r>
          </w:p>
          <w:p w:rsidR="00531ED3" w:rsidRPr="00B175FB" w:rsidRDefault="00531ED3" w:rsidP="006A2F6A">
            <w:pPr>
              <w:pStyle w:val="Odstavecseseznamem"/>
              <w:numPr>
                <w:ilvl w:val="0"/>
                <w:numId w:val="86"/>
              </w:numPr>
              <w:spacing w:after="160" w:line="276" w:lineRule="auto"/>
              <w:ind w:left="720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>Pořizování hmotného a nehmotného majetku investičního charakteru.</w:t>
            </w:r>
          </w:p>
          <w:p w:rsidR="00531ED3" w:rsidRPr="00B175FB" w:rsidRDefault="00531ED3" w:rsidP="00AF78A9">
            <w:pPr>
              <w:spacing w:line="276" w:lineRule="auto"/>
              <w:rPr>
                <w:sz w:val="22"/>
              </w:rPr>
            </w:pPr>
            <w:r w:rsidRPr="00B175FB">
              <w:rPr>
                <w:sz w:val="22"/>
              </w:rPr>
              <w:t>Komunikace a viditelnost</w:t>
            </w:r>
          </w:p>
          <w:p w:rsidR="00531ED3" w:rsidRPr="00B175FB" w:rsidRDefault="00531ED3" w:rsidP="006A2F6A">
            <w:pPr>
              <w:pStyle w:val="Odstavecseseznamem"/>
              <w:numPr>
                <w:ilvl w:val="0"/>
                <w:numId w:val="86"/>
              </w:numPr>
              <w:spacing w:after="160" w:line="276" w:lineRule="auto"/>
              <w:ind w:left="720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 xml:space="preserve">Zajištění externích i interních komunikačních a informačních aktivit směrem k odborné i široké veřejnosti vedoucích ke zlepšení povědomí a znalosti o OP JAK a evropských fondech včetně popularizace výstupů a dopadů realizace OP JAK i předchozích programů v gesci MŠMT </w:t>
            </w:r>
            <w:r w:rsidR="00946D38">
              <w:rPr>
                <w:rFonts w:cs="Times New Roman"/>
                <w:sz w:val="22"/>
              </w:rPr>
              <w:br/>
            </w:r>
            <w:r w:rsidRPr="00B175FB">
              <w:rPr>
                <w:rFonts w:cs="Times New Roman"/>
                <w:sz w:val="22"/>
              </w:rPr>
              <w:t>(např.</w:t>
            </w:r>
            <w:r w:rsidR="00820BA9">
              <w:rPr>
                <w:rFonts w:cs="Times New Roman"/>
                <w:sz w:val="22"/>
              </w:rPr>
              <w:t xml:space="preserve"> </w:t>
            </w:r>
            <w:r w:rsidRPr="00B175FB">
              <w:rPr>
                <w:rFonts w:cs="Times New Roman"/>
                <w:sz w:val="22"/>
              </w:rPr>
              <w:t xml:space="preserve">mediální kampaň, veletrhy, výstavy, soutěže apod.). </w:t>
            </w:r>
          </w:p>
          <w:p w:rsidR="00531ED3" w:rsidRPr="00B175FB" w:rsidRDefault="00531ED3" w:rsidP="006A2F6A">
            <w:pPr>
              <w:pStyle w:val="Odstavecseseznamem"/>
              <w:numPr>
                <w:ilvl w:val="0"/>
                <w:numId w:val="86"/>
              </w:numPr>
              <w:spacing w:after="160" w:line="276" w:lineRule="auto"/>
              <w:ind w:left="720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>Zajištění včasných, komplexních a přehledných informací, jež přispějí k podpoře absorpční kapacity (např. vlastní webové stránky, publikační tiskoviny apod.).</w:t>
            </w:r>
          </w:p>
          <w:p w:rsidR="00531ED3" w:rsidRPr="00B175FB" w:rsidRDefault="00531ED3" w:rsidP="006A2F6A">
            <w:pPr>
              <w:pStyle w:val="Odstavecseseznamem"/>
              <w:numPr>
                <w:ilvl w:val="0"/>
                <w:numId w:val="86"/>
              </w:numPr>
              <w:spacing w:after="160" w:line="276" w:lineRule="auto"/>
              <w:ind w:left="720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>Pořizování, zajišťování rozvoje a technické podpory vnějších informačních systémů a aplikací zabezpečující komunikační prostředek mezi ŘO OP JAK a veřejností.</w:t>
            </w:r>
          </w:p>
          <w:p w:rsidR="00531ED3" w:rsidRPr="00B175FB" w:rsidRDefault="00531ED3" w:rsidP="000C0DDB">
            <w:pPr>
              <w:pStyle w:val="Odstavecseseznamem"/>
              <w:numPr>
                <w:ilvl w:val="0"/>
                <w:numId w:val="86"/>
              </w:numPr>
              <w:spacing w:after="160" w:line="276" w:lineRule="auto"/>
              <w:ind w:left="720"/>
              <w:jc w:val="both"/>
            </w:pPr>
            <w:r w:rsidRPr="00B175FB">
              <w:rPr>
                <w:rFonts w:cs="Times New Roman"/>
                <w:sz w:val="22"/>
              </w:rPr>
              <w:t>Bližší informace jsou uvedeny v kapitole 7 Komunikace a viditelnost.</w:t>
            </w:r>
            <w:bookmarkEnd w:id="214"/>
          </w:p>
        </w:tc>
      </w:tr>
    </w:tbl>
    <w:p w:rsidR="00531ED3" w:rsidRPr="00B175FB" w:rsidRDefault="00531ED3" w:rsidP="00531ED3">
      <w:pPr>
        <w:rPr>
          <w:rFonts w:eastAsia="Times New Roman"/>
          <w:i/>
          <w:iCs/>
          <w:noProof/>
          <w:szCs w:val="24"/>
        </w:rPr>
      </w:pPr>
      <w:r w:rsidRPr="00B175FB">
        <w:rPr>
          <w:rFonts w:eastAsia="Times New Roman"/>
          <w:b/>
          <w:i/>
          <w:noProof/>
          <w:szCs w:val="24"/>
        </w:rPr>
        <w:t>Hlavní cílové skupiny</w:t>
      </w:r>
      <w:r w:rsidRPr="00B175FB">
        <w:rPr>
          <w:rFonts w:eastAsia="Times New Roman"/>
          <w:i/>
          <w:noProof/>
          <w:szCs w:val="24"/>
        </w:rPr>
        <w:t xml:space="preserve"> </w:t>
      </w:r>
    </w:p>
    <w:p w:rsidR="00531ED3" w:rsidRPr="00B175FB" w:rsidRDefault="00531ED3" w:rsidP="00531ED3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276" w:lineRule="auto"/>
        <w:ind w:left="0"/>
        <w:jc w:val="both"/>
        <w:rPr>
          <w:rFonts w:eastAsia="Times New Roman" w:cs="Times New Roman"/>
          <w:b/>
          <w:sz w:val="22"/>
        </w:rPr>
      </w:pPr>
      <w:r w:rsidRPr="00B175FB">
        <w:rPr>
          <w:rFonts w:eastAsia="Times New Roman" w:cs="Times New Roman"/>
          <w:b/>
          <w:sz w:val="22"/>
        </w:rPr>
        <w:t xml:space="preserve">Hlavními cílovými skupinami jsou: </w:t>
      </w:r>
    </w:p>
    <w:p w:rsidR="00531ED3" w:rsidRPr="00B175FB" w:rsidRDefault="00531ED3" w:rsidP="00531ED3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276" w:lineRule="auto"/>
        <w:jc w:val="both"/>
        <w:rPr>
          <w:rFonts w:eastAsia="Times New Roman" w:cs="Times New Roman"/>
          <w:sz w:val="22"/>
        </w:rPr>
      </w:pPr>
      <w:r w:rsidRPr="00B175FB">
        <w:rPr>
          <w:rFonts w:eastAsia="Times New Roman" w:cs="Times New Roman"/>
          <w:sz w:val="22"/>
        </w:rPr>
        <w:t>pracovníci (všichni zaměstnanci v jakémkoliv pracovněprávním vztahu/služebním poměru) ŘO OP JAK;</w:t>
      </w:r>
    </w:p>
    <w:p w:rsidR="00531ED3" w:rsidRPr="00B175FB" w:rsidRDefault="00531ED3" w:rsidP="00531ED3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276" w:lineRule="auto"/>
        <w:jc w:val="both"/>
        <w:rPr>
          <w:rFonts w:eastAsia="Times New Roman" w:cs="Times New Roman"/>
          <w:sz w:val="22"/>
        </w:rPr>
      </w:pPr>
      <w:r w:rsidRPr="00B175FB">
        <w:rPr>
          <w:rFonts w:eastAsia="Times New Roman" w:cs="Times New Roman"/>
          <w:sz w:val="22"/>
        </w:rPr>
        <w:t>další pracovníci podílející se na implementaci operačních programů v gesci MŠMT;</w:t>
      </w:r>
    </w:p>
    <w:p w:rsidR="00531ED3" w:rsidRPr="00B175FB" w:rsidRDefault="00531ED3" w:rsidP="00531ED3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276" w:lineRule="auto"/>
        <w:jc w:val="both"/>
        <w:rPr>
          <w:rFonts w:eastAsia="Times New Roman" w:cs="Times New Roman"/>
          <w:sz w:val="22"/>
        </w:rPr>
      </w:pPr>
      <w:r w:rsidRPr="00B175FB">
        <w:rPr>
          <w:rFonts w:eastAsia="Times New Roman" w:cs="Times New Roman"/>
          <w:sz w:val="22"/>
        </w:rPr>
        <w:t>členové pracovních platforem (včetně monitorovacích výborů) definovaných Operačním manuálem OP</w:t>
      </w:r>
      <w:r w:rsidR="00855F6A" w:rsidRPr="00B175FB">
        <w:rPr>
          <w:rFonts w:eastAsia="Times New Roman" w:cs="Times New Roman"/>
          <w:sz w:val="22"/>
        </w:rPr>
        <w:t> </w:t>
      </w:r>
      <w:r w:rsidRPr="00B175FB">
        <w:rPr>
          <w:rFonts w:eastAsia="Times New Roman" w:cs="Times New Roman"/>
          <w:sz w:val="22"/>
        </w:rPr>
        <w:t>JAK;</w:t>
      </w:r>
    </w:p>
    <w:p w:rsidR="00531ED3" w:rsidRPr="00B175FB" w:rsidRDefault="00531ED3" w:rsidP="00531ED3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276" w:lineRule="auto"/>
        <w:jc w:val="both"/>
        <w:rPr>
          <w:rFonts w:eastAsia="Times New Roman" w:cs="Times New Roman"/>
          <w:sz w:val="22"/>
        </w:rPr>
      </w:pPr>
      <w:r w:rsidRPr="00B175FB">
        <w:rPr>
          <w:rFonts w:eastAsia="Times New Roman" w:cs="Times New Roman"/>
          <w:sz w:val="22"/>
        </w:rPr>
        <w:t>odborná i široká veřejnost;</w:t>
      </w:r>
    </w:p>
    <w:p w:rsidR="00531ED3" w:rsidRPr="00B175FB" w:rsidRDefault="00531ED3" w:rsidP="00531ED3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276" w:lineRule="auto"/>
        <w:jc w:val="both"/>
        <w:rPr>
          <w:rFonts w:eastAsia="Times New Roman" w:cs="Times New Roman"/>
          <w:sz w:val="22"/>
        </w:rPr>
      </w:pPr>
      <w:r w:rsidRPr="00B175FB">
        <w:rPr>
          <w:rFonts w:eastAsia="Times New Roman" w:cs="Times New Roman"/>
          <w:sz w:val="22"/>
        </w:rPr>
        <w:t xml:space="preserve">zástupci (i potenciálních) žadatelů a příjemců podpory; </w:t>
      </w:r>
    </w:p>
    <w:p w:rsidR="00531ED3" w:rsidRPr="00B175FB" w:rsidRDefault="00531ED3" w:rsidP="00531ED3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276" w:lineRule="auto"/>
        <w:jc w:val="both"/>
        <w:rPr>
          <w:rFonts w:eastAsia="Times New Roman"/>
          <w:bCs/>
          <w:i/>
          <w:noProof/>
          <w:sz w:val="22"/>
        </w:rPr>
      </w:pPr>
      <w:r w:rsidRPr="00B175FB">
        <w:rPr>
          <w:rFonts w:eastAsia="Times New Roman" w:cs="Times New Roman"/>
          <w:sz w:val="22"/>
        </w:rPr>
        <w:t xml:space="preserve">zástupci externích partnerů, kteří jsou zapojeni do předchozích programových období a do přípravy dalšího programového období. </w:t>
      </w:r>
    </w:p>
    <w:p w:rsidR="001826C5" w:rsidRDefault="001826C5" w:rsidP="001826C5">
      <w:pPr>
        <w:pStyle w:val="Nadpis4"/>
        <w:numPr>
          <w:ilvl w:val="0"/>
          <w:numId w:val="0"/>
        </w:numPr>
        <w:rPr>
          <w:rFonts w:eastAsia="Times New Roman"/>
          <w:i/>
          <w:strike/>
          <w:noProof/>
          <w:sz w:val="22"/>
          <w:lang w:val="cs-CZ"/>
        </w:rPr>
      </w:pPr>
    </w:p>
    <w:p w:rsidR="00114426" w:rsidRPr="003E194E" w:rsidRDefault="008D2CAD" w:rsidP="003E194E">
      <w:pPr>
        <w:pStyle w:val="Nadpis4"/>
        <w:rPr>
          <w:b/>
          <w:color w:val="1F4E79" w:themeColor="accent5" w:themeShade="80"/>
          <w:lang w:val="cs-CZ" w:eastAsia="cs-CZ" w:bidi="cs-CZ"/>
        </w:rPr>
      </w:pPr>
      <w:bookmarkStart w:id="215" w:name="_Toc66476068"/>
      <w:bookmarkStart w:id="216" w:name="_Toc68611026"/>
      <w:r w:rsidRPr="003E194E">
        <w:rPr>
          <w:b/>
          <w:color w:val="1F4E79" w:themeColor="accent5" w:themeShade="80"/>
          <w:lang w:val="cs-CZ" w:eastAsia="cs-CZ" w:bidi="cs-CZ"/>
        </w:rPr>
        <w:t>Ukazatel</w:t>
      </w:r>
      <w:r w:rsidR="005B64A1">
        <w:rPr>
          <w:b/>
          <w:color w:val="1F4E79" w:themeColor="accent5" w:themeShade="80"/>
          <w:lang w:val="cs-CZ" w:eastAsia="cs-CZ" w:bidi="cs-CZ"/>
        </w:rPr>
        <w:t>e</w:t>
      </w:r>
      <w:bookmarkEnd w:id="215"/>
      <w:bookmarkEnd w:id="216"/>
    </w:p>
    <w:p w:rsidR="009536CB" w:rsidRPr="00B169F0" w:rsidRDefault="009536CB" w:rsidP="009536CB">
      <w:pPr>
        <w:pStyle w:val="Titulek"/>
        <w:rPr>
          <w:rFonts w:ascii="Times New Roman" w:hAnsi="Times New Roman" w:cs="Times New Roman"/>
          <w:szCs w:val="22"/>
        </w:rPr>
      </w:pPr>
      <w:bookmarkStart w:id="217" w:name="_Toc66346579"/>
      <w:r w:rsidRPr="00B169F0">
        <w:rPr>
          <w:rFonts w:ascii="Times New Roman" w:hAnsi="Times New Roman" w:cs="Times New Roman"/>
          <w:szCs w:val="22"/>
        </w:rPr>
        <w:t xml:space="preserve">Tabulka </w:t>
      </w:r>
      <w:r w:rsidRPr="00B169F0">
        <w:rPr>
          <w:rFonts w:ascii="Times New Roman" w:hAnsi="Times New Roman" w:cs="Times New Roman"/>
          <w:szCs w:val="22"/>
        </w:rPr>
        <w:fldChar w:fldCharType="begin"/>
      </w:r>
      <w:r w:rsidRPr="00B169F0">
        <w:rPr>
          <w:rFonts w:ascii="Times New Roman" w:hAnsi="Times New Roman" w:cs="Times New Roman"/>
          <w:szCs w:val="22"/>
        </w:rPr>
        <w:instrText xml:space="preserve"> SEQ Tabulka \* ARABIC </w:instrText>
      </w:r>
      <w:r w:rsidRPr="00B169F0">
        <w:rPr>
          <w:rFonts w:ascii="Times New Roman" w:hAnsi="Times New Roman" w:cs="Times New Roman"/>
          <w:szCs w:val="22"/>
        </w:rPr>
        <w:fldChar w:fldCharType="separate"/>
      </w:r>
      <w:r w:rsidR="00756BE0">
        <w:rPr>
          <w:rFonts w:ascii="Times New Roman" w:hAnsi="Times New Roman" w:cs="Times New Roman"/>
          <w:noProof/>
          <w:szCs w:val="22"/>
        </w:rPr>
        <w:t>42</w:t>
      </w:r>
      <w:r w:rsidRPr="00B169F0">
        <w:rPr>
          <w:rFonts w:ascii="Times New Roman" w:hAnsi="Times New Roman" w:cs="Times New Roman"/>
          <w:szCs w:val="22"/>
        </w:rPr>
        <w:fldChar w:fldCharType="end"/>
      </w:r>
      <w:r w:rsidRPr="00B169F0">
        <w:rPr>
          <w:rFonts w:ascii="Times New Roman" w:hAnsi="Times New Roman" w:cs="Times New Roman"/>
          <w:szCs w:val="22"/>
        </w:rPr>
        <w:t>: Ukazatel</w:t>
      </w:r>
      <w:r w:rsidR="005B64A1">
        <w:rPr>
          <w:rFonts w:ascii="Times New Roman" w:hAnsi="Times New Roman" w:cs="Times New Roman"/>
          <w:szCs w:val="22"/>
        </w:rPr>
        <w:t>e</w:t>
      </w:r>
      <w:r w:rsidRPr="00B169F0">
        <w:rPr>
          <w:rFonts w:ascii="Times New Roman" w:hAnsi="Times New Roman" w:cs="Times New Roman"/>
          <w:szCs w:val="22"/>
        </w:rPr>
        <w:t xml:space="preserve"> výstupů</w:t>
      </w:r>
      <w:bookmarkEnd w:id="217"/>
    </w:p>
    <w:tbl>
      <w:tblPr>
        <w:tblStyle w:val="Tabulkasmkou4zvraznn1"/>
        <w:tblW w:w="5000" w:type="pct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1E0" w:firstRow="1" w:lastRow="1" w:firstColumn="1" w:lastColumn="1" w:noHBand="0" w:noVBand="0"/>
      </w:tblPr>
      <w:tblGrid>
        <w:gridCol w:w="843"/>
        <w:gridCol w:w="1006"/>
        <w:gridCol w:w="840"/>
        <w:gridCol w:w="992"/>
        <w:gridCol w:w="992"/>
        <w:gridCol w:w="2128"/>
        <w:gridCol w:w="1132"/>
        <w:gridCol w:w="851"/>
        <w:gridCol w:w="845"/>
      </w:tblGrid>
      <w:tr w:rsidR="00832F77" w:rsidRPr="00756BE0" w:rsidTr="001B13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9536CB" w:rsidRPr="00756BE0" w:rsidRDefault="009536CB" w:rsidP="0032415A">
            <w:pPr>
              <w:pStyle w:val="Text1"/>
              <w:ind w:left="0"/>
              <w:jc w:val="center"/>
              <w:rPr>
                <w:b w:val="0"/>
                <w:noProof/>
                <w:sz w:val="18"/>
                <w:szCs w:val="18"/>
              </w:rPr>
            </w:pPr>
            <w:r w:rsidRPr="00756BE0">
              <w:rPr>
                <w:noProof/>
                <w:sz w:val="18"/>
                <w:szCs w:val="18"/>
              </w:rPr>
              <w:t>Priorita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9536CB" w:rsidRPr="00756BE0" w:rsidRDefault="009536CB" w:rsidP="0032415A">
            <w:pPr>
              <w:pStyle w:val="Text1"/>
              <w:ind w:left="0"/>
              <w:jc w:val="center"/>
              <w:rPr>
                <w:b w:val="0"/>
                <w:noProof/>
                <w:sz w:val="18"/>
                <w:szCs w:val="18"/>
              </w:rPr>
            </w:pPr>
            <w:r w:rsidRPr="00756BE0">
              <w:rPr>
                <w:noProof/>
                <w:sz w:val="18"/>
                <w:szCs w:val="18"/>
              </w:rPr>
              <w:t>Specifický cíl</w:t>
            </w:r>
          </w:p>
        </w:tc>
        <w:tc>
          <w:tcPr>
            <w:tcW w:w="43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9536CB" w:rsidRPr="00756BE0" w:rsidRDefault="009536CB" w:rsidP="0032415A">
            <w:pPr>
              <w:pStyle w:val="Text1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noProof/>
                <w:sz w:val="18"/>
                <w:szCs w:val="18"/>
              </w:rPr>
            </w:pPr>
            <w:r w:rsidRPr="00756BE0">
              <w:rPr>
                <w:noProof/>
                <w:sz w:val="18"/>
                <w:szCs w:val="18"/>
              </w:rPr>
              <w:t>Fond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9536CB" w:rsidRPr="00756BE0" w:rsidRDefault="009536CB" w:rsidP="0032415A">
            <w:pPr>
              <w:pStyle w:val="Text1"/>
              <w:ind w:left="0"/>
              <w:jc w:val="center"/>
              <w:rPr>
                <w:b w:val="0"/>
                <w:noProof/>
                <w:sz w:val="18"/>
                <w:szCs w:val="18"/>
              </w:rPr>
            </w:pPr>
            <w:r w:rsidRPr="00756BE0">
              <w:rPr>
                <w:noProof/>
                <w:sz w:val="18"/>
                <w:szCs w:val="18"/>
              </w:rPr>
              <w:t>Kategorie regionu</w:t>
            </w:r>
          </w:p>
        </w:tc>
        <w:tc>
          <w:tcPr>
            <w:tcW w:w="51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9536CB" w:rsidRPr="00756BE0" w:rsidRDefault="009536CB" w:rsidP="0032415A">
            <w:pPr>
              <w:pStyle w:val="Text1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noProof/>
                <w:sz w:val="18"/>
                <w:szCs w:val="18"/>
              </w:rPr>
            </w:pPr>
            <w:r w:rsidRPr="00756BE0">
              <w:rPr>
                <w:noProof/>
                <w:sz w:val="18"/>
                <w:szCs w:val="18"/>
              </w:rPr>
              <w:t>ID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9536CB" w:rsidRPr="00756BE0" w:rsidRDefault="009536CB" w:rsidP="0032415A">
            <w:pPr>
              <w:pStyle w:val="Text1"/>
              <w:ind w:left="0"/>
              <w:jc w:val="center"/>
              <w:rPr>
                <w:b w:val="0"/>
                <w:noProof/>
                <w:sz w:val="18"/>
                <w:szCs w:val="18"/>
              </w:rPr>
            </w:pPr>
            <w:r w:rsidRPr="00756BE0">
              <w:rPr>
                <w:noProof/>
                <w:sz w:val="18"/>
                <w:szCs w:val="18"/>
              </w:rPr>
              <w:t>Ukazatel</w:t>
            </w:r>
          </w:p>
        </w:tc>
        <w:tc>
          <w:tcPr>
            <w:tcW w:w="58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9536CB" w:rsidRPr="00756BE0" w:rsidRDefault="009536CB" w:rsidP="0032415A">
            <w:pPr>
              <w:pStyle w:val="Text1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noProof/>
                <w:sz w:val="18"/>
                <w:szCs w:val="18"/>
              </w:rPr>
            </w:pPr>
            <w:r w:rsidRPr="00756BE0">
              <w:rPr>
                <w:noProof/>
                <w:sz w:val="18"/>
                <w:szCs w:val="18"/>
              </w:rPr>
              <w:t>Jednotka měření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</w:tcPr>
          <w:p w:rsidR="009536CB" w:rsidRPr="00756BE0" w:rsidRDefault="009536CB" w:rsidP="00D057F8">
            <w:pPr>
              <w:pStyle w:val="Text1"/>
              <w:ind w:left="0"/>
              <w:jc w:val="center"/>
              <w:rPr>
                <w:b w:val="0"/>
                <w:noProof/>
                <w:sz w:val="18"/>
                <w:szCs w:val="18"/>
              </w:rPr>
            </w:pPr>
            <w:r w:rsidRPr="00756BE0">
              <w:rPr>
                <w:noProof/>
                <w:sz w:val="18"/>
                <w:szCs w:val="18"/>
              </w:rPr>
              <w:t>Milník (2024)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</w:tcPr>
          <w:p w:rsidR="009536CB" w:rsidRPr="00756BE0" w:rsidRDefault="009536CB" w:rsidP="00D057F8">
            <w:pPr>
              <w:pStyle w:val="Text1"/>
              <w:ind w:left="0"/>
              <w:jc w:val="center"/>
              <w:rPr>
                <w:b w:val="0"/>
                <w:noProof/>
                <w:sz w:val="18"/>
                <w:szCs w:val="18"/>
              </w:rPr>
            </w:pPr>
            <w:r w:rsidRPr="00756BE0">
              <w:rPr>
                <w:noProof/>
                <w:sz w:val="18"/>
                <w:szCs w:val="18"/>
              </w:rPr>
              <w:t>Cíl (2029)</w:t>
            </w:r>
          </w:p>
        </w:tc>
      </w:tr>
      <w:tr w:rsidR="009536CB" w:rsidRPr="00756BE0" w:rsidTr="001B13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" w:type="pct"/>
          </w:tcPr>
          <w:p w:rsidR="009536CB" w:rsidRPr="00D057F8" w:rsidRDefault="002D1777" w:rsidP="008B66FC">
            <w:pPr>
              <w:pStyle w:val="Text1"/>
              <w:ind w:left="0"/>
              <w:rPr>
                <w:b w:val="0"/>
                <w:noProof/>
                <w:sz w:val="18"/>
                <w:szCs w:val="18"/>
              </w:rPr>
            </w:pPr>
            <w:r w:rsidRPr="00D057F8">
              <w:rPr>
                <w:b w:val="0"/>
                <w:noProof/>
                <w:sz w:val="18"/>
                <w:szCs w:val="18"/>
              </w:rPr>
              <w:t>P</w:t>
            </w:r>
            <w:r w:rsidR="00920735">
              <w:rPr>
                <w:b w:val="0"/>
                <w:noProof/>
                <w:sz w:val="18"/>
                <w:szCs w:val="18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2" w:type="pct"/>
          </w:tcPr>
          <w:p w:rsidR="009536CB" w:rsidRPr="00D057F8" w:rsidRDefault="00F44784" w:rsidP="00920735">
            <w:pPr>
              <w:pStyle w:val="Text1"/>
              <w:ind w:left="0"/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3.1</w:t>
            </w:r>
          </w:p>
        </w:tc>
        <w:tc>
          <w:tcPr>
            <w:tcW w:w="436" w:type="pct"/>
          </w:tcPr>
          <w:p w:rsidR="009536CB" w:rsidRPr="00D057F8" w:rsidRDefault="002D1777" w:rsidP="008B66FC">
            <w:pPr>
              <w:pStyle w:val="Text1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D057F8">
              <w:rPr>
                <w:noProof/>
                <w:sz w:val="18"/>
                <w:szCs w:val="18"/>
              </w:rPr>
              <w:t>ERDF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5" w:type="pct"/>
          </w:tcPr>
          <w:p w:rsidR="009536CB" w:rsidRPr="00D057F8" w:rsidRDefault="00D057F8" w:rsidP="00920735">
            <w:pPr>
              <w:pStyle w:val="Text1"/>
              <w:ind w:left="0"/>
              <w:jc w:val="center"/>
              <w:rPr>
                <w:noProof/>
                <w:sz w:val="18"/>
                <w:szCs w:val="18"/>
              </w:rPr>
            </w:pPr>
            <w:r w:rsidRPr="00D057F8">
              <w:rPr>
                <w:noProof/>
                <w:sz w:val="18"/>
                <w:szCs w:val="18"/>
              </w:rPr>
              <w:t>-</w:t>
            </w:r>
          </w:p>
        </w:tc>
        <w:tc>
          <w:tcPr>
            <w:tcW w:w="515" w:type="pct"/>
          </w:tcPr>
          <w:p w:rsidR="009536CB" w:rsidRPr="00D057F8" w:rsidRDefault="002D1777" w:rsidP="008B66FC">
            <w:pPr>
              <w:pStyle w:val="Text1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D057F8">
              <w:rPr>
                <w:sz w:val="18"/>
                <w:szCs w:val="18"/>
              </w:rPr>
              <w:t xml:space="preserve">8 06 00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5" w:type="pct"/>
          </w:tcPr>
          <w:p w:rsidR="009536CB" w:rsidRPr="00D057F8" w:rsidRDefault="002D1777" w:rsidP="008B66FC">
            <w:pPr>
              <w:pStyle w:val="Text1"/>
              <w:ind w:left="0"/>
              <w:rPr>
                <w:noProof/>
                <w:sz w:val="18"/>
                <w:szCs w:val="18"/>
              </w:rPr>
            </w:pPr>
            <w:r w:rsidRPr="00D057F8">
              <w:rPr>
                <w:sz w:val="18"/>
                <w:szCs w:val="18"/>
              </w:rPr>
              <w:t>Počet jednání orgánů, pracovních či poradních skupin jednání</w:t>
            </w:r>
          </w:p>
        </w:tc>
        <w:tc>
          <w:tcPr>
            <w:tcW w:w="588" w:type="pct"/>
          </w:tcPr>
          <w:p w:rsidR="009536CB" w:rsidRPr="00D057F8" w:rsidRDefault="00920735" w:rsidP="008B66FC">
            <w:pPr>
              <w:pStyle w:val="Text1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="002D1777" w:rsidRPr="00D057F8">
              <w:rPr>
                <w:sz w:val="18"/>
                <w:szCs w:val="18"/>
              </w:rPr>
              <w:t>ednání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2" w:type="pct"/>
          </w:tcPr>
          <w:p w:rsidR="009536CB" w:rsidRPr="00D057F8" w:rsidRDefault="00920735" w:rsidP="00920735">
            <w:pPr>
              <w:pStyle w:val="Text1"/>
              <w:ind w:left="0"/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9" w:type="pct"/>
          </w:tcPr>
          <w:p w:rsidR="009536CB" w:rsidRPr="00D057F8" w:rsidRDefault="002D1777" w:rsidP="00274790">
            <w:pPr>
              <w:pStyle w:val="Text1"/>
              <w:ind w:left="0"/>
              <w:jc w:val="right"/>
              <w:rPr>
                <w:b w:val="0"/>
                <w:noProof/>
                <w:sz w:val="18"/>
                <w:szCs w:val="18"/>
              </w:rPr>
            </w:pPr>
            <w:r w:rsidRPr="00D057F8">
              <w:rPr>
                <w:b w:val="0"/>
                <w:noProof/>
                <w:sz w:val="18"/>
                <w:szCs w:val="18"/>
              </w:rPr>
              <w:t>25</w:t>
            </w:r>
          </w:p>
        </w:tc>
      </w:tr>
      <w:tr w:rsidR="009536CB" w:rsidRPr="00756BE0" w:rsidTr="001B130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" w:type="pct"/>
            <w:tcBorders>
              <w:top w:val="none" w:sz="0" w:space="0" w:color="auto"/>
            </w:tcBorders>
            <w:shd w:val="clear" w:color="auto" w:fill="auto"/>
          </w:tcPr>
          <w:p w:rsidR="009536CB" w:rsidRPr="00D057F8" w:rsidRDefault="002D1777" w:rsidP="008B66FC">
            <w:pPr>
              <w:pStyle w:val="Text1"/>
              <w:ind w:left="0"/>
              <w:rPr>
                <w:b w:val="0"/>
                <w:noProof/>
                <w:sz w:val="18"/>
                <w:szCs w:val="18"/>
              </w:rPr>
            </w:pPr>
            <w:r w:rsidRPr="00D057F8">
              <w:rPr>
                <w:b w:val="0"/>
                <w:noProof/>
                <w:sz w:val="18"/>
                <w:szCs w:val="18"/>
              </w:rPr>
              <w:t>P</w:t>
            </w:r>
            <w:r w:rsidR="00920735">
              <w:rPr>
                <w:b w:val="0"/>
                <w:noProof/>
                <w:sz w:val="18"/>
                <w:szCs w:val="18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2" w:type="pct"/>
            <w:tcBorders>
              <w:top w:val="none" w:sz="0" w:space="0" w:color="auto"/>
            </w:tcBorders>
            <w:shd w:val="clear" w:color="auto" w:fill="auto"/>
          </w:tcPr>
          <w:p w:rsidR="009536CB" w:rsidRPr="00D057F8" w:rsidRDefault="00F44784" w:rsidP="00920735">
            <w:pPr>
              <w:pStyle w:val="Text1"/>
              <w:ind w:left="0"/>
              <w:jc w:val="center"/>
              <w:rPr>
                <w:b w:val="0"/>
                <w:noProof/>
                <w:sz w:val="18"/>
                <w:szCs w:val="18"/>
              </w:rPr>
            </w:pPr>
            <w:r>
              <w:rPr>
                <w:b w:val="0"/>
                <w:noProof/>
                <w:sz w:val="18"/>
                <w:szCs w:val="18"/>
              </w:rPr>
              <w:t>3.1</w:t>
            </w:r>
          </w:p>
        </w:tc>
        <w:tc>
          <w:tcPr>
            <w:tcW w:w="436" w:type="pct"/>
            <w:tcBorders>
              <w:top w:val="none" w:sz="0" w:space="0" w:color="auto"/>
            </w:tcBorders>
            <w:shd w:val="clear" w:color="auto" w:fill="auto"/>
          </w:tcPr>
          <w:p w:rsidR="009536CB" w:rsidRPr="00D057F8" w:rsidRDefault="002D1777" w:rsidP="008B66FC">
            <w:pPr>
              <w:pStyle w:val="Text1"/>
              <w:ind w:left="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noProof/>
                <w:sz w:val="18"/>
                <w:szCs w:val="18"/>
              </w:rPr>
            </w:pPr>
            <w:r w:rsidRPr="00D057F8">
              <w:rPr>
                <w:b w:val="0"/>
                <w:noProof/>
                <w:sz w:val="18"/>
                <w:szCs w:val="18"/>
              </w:rPr>
              <w:t>ERDF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5" w:type="pct"/>
            <w:tcBorders>
              <w:top w:val="none" w:sz="0" w:space="0" w:color="auto"/>
            </w:tcBorders>
            <w:shd w:val="clear" w:color="auto" w:fill="auto"/>
          </w:tcPr>
          <w:p w:rsidR="009536CB" w:rsidRPr="00D057F8" w:rsidRDefault="00D057F8" w:rsidP="00920735">
            <w:pPr>
              <w:pStyle w:val="Text1"/>
              <w:ind w:left="0"/>
              <w:jc w:val="center"/>
              <w:rPr>
                <w:b w:val="0"/>
                <w:noProof/>
                <w:sz w:val="18"/>
                <w:szCs w:val="18"/>
              </w:rPr>
            </w:pPr>
            <w:r w:rsidRPr="00D057F8">
              <w:rPr>
                <w:b w:val="0"/>
                <w:noProof/>
                <w:sz w:val="18"/>
                <w:szCs w:val="18"/>
              </w:rPr>
              <w:t>-</w:t>
            </w:r>
          </w:p>
        </w:tc>
        <w:tc>
          <w:tcPr>
            <w:tcW w:w="515" w:type="pct"/>
            <w:tcBorders>
              <w:top w:val="none" w:sz="0" w:space="0" w:color="auto"/>
            </w:tcBorders>
            <w:shd w:val="clear" w:color="auto" w:fill="auto"/>
          </w:tcPr>
          <w:p w:rsidR="009536CB" w:rsidRPr="00D057F8" w:rsidRDefault="002D1777" w:rsidP="008B66FC">
            <w:pPr>
              <w:pStyle w:val="Text1"/>
              <w:ind w:left="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noProof/>
                <w:sz w:val="18"/>
                <w:szCs w:val="18"/>
              </w:rPr>
            </w:pPr>
            <w:r w:rsidRPr="00D057F8">
              <w:rPr>
                <w:b w:val="0"/>
                <w:sz w:val="18"/>
                <w:szCs w:val="18"/>
              </w:rPr>
              <w:t>8 20 00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5" w:type="pct"/>
            <w:tcBorders>
              <w:top w:val="none" w:sz="0" w:space="0" w:color="auto"/>
            </w:tcBorders>
            <w:shd w:val="clear" w:color="auto" w:fill="auto"/>
          </w:tcPr>
          <w:p w:rsidR="009536CB" w:rsidRPr="00D057F8" w:rsidRDefault="002D1777" w:rsidP="008B66FC">
            <w:pPr>
              <w:pStyle w:val="Text1"/>
              <w:ind w:left="0"/>
              <w:rPr>
                <w:b w:val="0"/>
                <w:noProof/>
                <w:sz w:val="18"/>
                <w:szCs w:val="18"/>
              </w:rPr>
            </w:pPr>
            <w:r w:rsidRPr="00D057F8">
              <w:rPr>
                <w:b w:val="0"/>
                <w:sz w:val="18"/>
                <w:szCs w:val="18"/>
              </w:rPr>
              <w:t>Počet uskutečněných školení, seminářů, workshopů, konferencí</w:t>
            </w:r>
          </w:p>
        </w:tc>
        <w:tc>
          <w:tcPr>
            <w:tcW w:w="588" w:type="pct"/>
            <w:tcBorders>
              <w:top w:val="none" w:sz="0" w:space="0" w:color="auto"/>
            </w:tcBorders>
            <w:shd w:val="clear" w:color="auto" w:fill="auto"/>
          </w:tcPr>
          <w:p w:rsidR="009536CB" w:rsidRPr="00D057F8" w:rsidRDefault="002D1777" w:rsidP="008B66FC">
            <w:pPr>
              <w:pStyle w:val="Text1"/>
              <w:ind w:left="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noProof/>
                <w:sz w:val="18"/>
                <w:szCs w:val="18"/>
              </w:rPr>
            </w:pPr>
            <w:r w:rsidRPr="00D057F8">
              <w:rPr>
                <w:b w:val="0"/>
                <w:noProof/>
                <w:sz w:val="18"/>
                <w:szCs w:val="18"/>
              </w:rPr>
              <w:t>Aktivita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2" w:type="pct"/>
            <w:tcBorders>
              <w:top w:val="none" w:sz="0" w:space="0" w:color="auto"/>
            </w:tcBorders>
            <w:shd w:val="clear" w:color="auto" w:fill="auto"/>
          </w:tcPr>
          <w:p w:rsidR="009536CB" w:rsidRPr="00D057F8" w:rsidRDefault="00920735" w:rsidP="00920735">
            <w:pPr>
              <w:pStyle w:val="Text1"/>
              <w:ind w:left="0"/>
              <w:jc w:val="center"/>
              <w:rPr>
                <w:b w:val="0"/>
                <w:noProof/>
                <w:sz w:val="18"/>
                <w:szCs w:val="18"/>
              </w:rPr>
            </w:pPr>
            <w:r>
              <w:rPr>
                <w:b w:val="0"/>
                <w:noProof/>
                <w:sz w:val="18"/>
                <w:szCs w:val="18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9" w:type="pct"/>
            <w:tcBorders>
              <w:top w:val="none" w:sz="0" w:space="0" w:color="auto"/>
            </w:tcBorders>
            <w:shd w:val="clear" w:color="auto" w:fill="auto"/>
          </w:tcPr>
          <w:p w:rsidR="009536CB" w:rsidRPr="00D057F8" w:rsidRDefault="002D1777" w:rsidP="00274790">
            <w:pPr>
              <w:pStyle w:val="Text1"/>
              <w:ind w:left="0"/>
              <w:jc w:val="right"/>
              <w:rPr>
                <w:b w:val="0"/>
                <w:noProof/>
                <w:sz w:val="18"/>
                <w:szCs w:val="18"/>
              </w:rPr>
            </w:pPr>
            <w:r w:rsidRPr="00D057F8">
              <w:rPr>
                <w:b w:val="0"/>
                <w:noProof/>
                <w:sz w:val="18"/>
                <w:szCs w:val="18"/>
              </w:rPr>
              <w:t>250</w:t>
            </w:r>
          </w:p>
        </w:tc>
      </w:tr>
    </w:tbl>
    <w:p w:rsidR="00114426" w:rsidRDefault="002A72D0" w:rsidP="003E194E">
      <w:pPr>
        <w:pStyle w:val="Nadpis4"/>
        <w:rPr>
          <w:b/>
          <w:color w:val="1F4E79" w:themeColor="accent5" w:themeShade="80"/>
          <w:lang w:val="cs-CZ" w:eastAsia="cs-CZ" w:bidi="cs-CZ"/>
        </w:rPr>
      </w:pPr>
      <w:bookmarkStart w:id="218" w:name="_Toc66476069"/>
      <w:bookmarkStart w:id="219" w:name="_Toc68611027"/>
      <w:r w:rsidRPr="003E194E">
        <w:rPr>
          <w:b/>
          <w:color w:val="1F4E79" w:themeColor="accent5" w:themeShade="80"/>
          <w:lang w:val="cs-CZ" w:eastAsia="cs-CZ" w:bidi="cs-CZ"/>
        </w:rPr>
        <w:t>Orientační rozdělení programových zdrojů (EU) podle typu intervence</w:t>
      </w:r>
      <w:bookmarkEnd w:id="218"/>
      <w:bookmarkEnd w:id="219"/>
      <w:r w:rsidRPr="003E194E" w:rsidDel="002A72D0">
        <w:rPr>
          <w:b/>
          <w:color w:val="1F4E79" w:themeColor="accent5" w:themeShade="80"/>
          <w:lang w:val="cs-CZ" w:eastAsia="cs-CZ" w:bidi="cs-CZ"/>
        </w:rPr>
        <w:t xml:space="preserve"> </w:t>
      </w:r>
    </w:p>
    <w:p w:rsidR="007D5BBC" w:rsidRPr="009412C1" w:rsidRDefault="007D5BBC" w:rsidP="007D5BBC">
      <w:pPr>
        <w:pStyle w:val="Titulek"/>
        <w:rPr>
          <w:rFonts w:ascii="Times New Roman" w:hAnsi="Times New Roman" w:cs="Times New Roman"/>
        </w:rPr>
      </w:pPr>
      <w:r w:rsidRPr="009412C1">
        <w:rPr>
          <w:rFonts w:ascii="Times New Roman" w:hAnsi="Times New Roman" w:cs="Times New Roman"/>
        </w:rPr>
        <w:t xml:space="preserve">Tabulka </w:t>
      </w:r>
      <w:r w:rsidRPr="009412C1">
        <w:rPr>
          <w:rFonts w:ascii="Times New Roman" w:hAnsi="Times New Roman" w:cs="Times New Roman"/>
        </w:rPr>
        <w:fldChar w:fldCharType="begin"/>
      </w:r>
      <w:r w:rsidRPr="009412C1">
        <w:rPr>
          <w:rFonts w:ascii="Times New Roman" w:hAnsi="Times New Roman" w:cs="Times New Roman"/>
        </w:rPr>
        <w:instrText xml:space="preserve"> SEQ Tabulka \* ARABIC </w:instrText>
      </w:r>
      <w:r w:rsidRPr="009412C1">
        <w:rPr>
          <w:rFonts w:ascii="Times New Roman" w:hAnsi="Times New Roman" w:cs="Times New Roman"/>
        </w:rPr>
        <w:fldChar w:fldCharType="separate"/>
      </w:r>
      <w:r w:rsidR="00AF3C4A">
        <w:rPr>
          <w:rFonts w:ascii="Times New Roman" w:hAnsi="Times New Roman" w:cs="Times New Roman"/>
          <w:noProof/>
        </w:rPr>
        <w:t>43</w:t>
      </w:r>
      <w:r w:rsidRPr="009412C1">
        <w:rPr>
          <w:rFonts w:ascii="Times New Roman" w:hAnsi="Times New Roman" w:cs="Times New Roman"/>
        </w:rPr>
        <w:fldChar w:fldCharType="end"/>
      </w:r>
      <w:r w:rsidRPr="009412C1">
        <w:rPr>
          <w:rFonts w:ascii="Times New Roman" w:hAnsi="Times New Roman" w:cs="Times New Roman"/>
        </w:rPr>
        <w:t xml:space="preserve">: SC </w:t>
      </w:r>
      <w:r w:rsidR="00044DF8">
        <w:rPr>
          <w:rFonts w:ascii="Times New Roman" w:hAnsi="Times New Roman" w:cs="Times New Roman"/>
        </w:rPr>
        <w:t>3</w:t>
      </w:r>
      <w:r w:rsidRPr="009412C1">
        <w:rPr>
          <w:rFonts w:ascii="Times New Roman" w:hAnsi="Times New Roman" w:cs="Times New Roman"/>
        </w:rPr>
        <w:t>.</w:t>
      </w:r>
      <w:r w:rsidR="00044DF8">
        <w:rPr>
          <w:rFonts w:ascii="Times New Roman" w:hAnsi="Times New Roman" w:cs="Times New Roman"/>
        </w:rPr>
        <w:t>1</w:t>
      </w:r>
      <w:r w:rsidRPr="009412C1">
        <w:rPr>
          <w:rFonts w:ascii="Times New Roman" w:hAnsi="Times New Roman" w:cs="Times New Roman"/>
        </w:rPr>
        <w:t>: Dimenze 1 – oblast intervence</w:t>
      </w:r>
    </w:p>
    <w:tbl>
      <w:tblPr>
        <w:tblStyle w:val="Tabulkasmkou4zvraznn1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6"/>
        <w:gridCol w:w="1047"/>
        <w:gridCol w:w="2125"/>
        <w:gridCol w:w="1961"/>
        <w:gridCol w:w="1462"/>
        <w:gridCol w:w="1958"/>
      </w:tblGrid>
      <w:tr w:rsidR="007D5BBC" w:rsidRPr="00EC6162" w:rsidTr="003A23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7D5BBC" w:rsidRPr="00EC6162" w:rsidRDefault="007D5BBC" w:rsidP="00BB2B97">
            <w:pPr>
              <w:spacing w:before="0" w:after="0" w:line="276" w:lineRule="auto"/>
              <w:jc w:val="center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Číslo priority</w:t>
            </w:r>
          </w:p>
        </w:tc>
        <w:tc>
          <w:tcPr>
            <w:tcW w:w="104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7D5BBC" w:rsidRPr="00EC6162" w:rsidRDefault="007D5BBC" w:rsidP="00BB2B97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Fond</w:t>
            </w:r>
          </w:p>
        </w:tc>
        <w:tc>
          <w:tcPr>
            <w:tcW w:w="212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7D5BBC" w:rsidRPr="00EC6162" w:rsidRDefault="007D5BBC" w:rsidP="00BB2B97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Kategorie regionu</w:t>
            </w:r>
          </w:p>
        </w:tc>
        <w:tc>
          <w:tcPr>
            <w:tcW w:w="19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</w:tcPr>
          <w:p w:rsidR="007D5BBC" w:rsidRPr="00EC6162" w:rsidRDefault="007D5BBC" w:rsidP="00BB2B97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Specifický cíl</w:t>
            </w:r>
          </w:p>
        </w:tc>
        <w:tc>
          <w:tcPr>
            <w:tcW w:w="14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7D5BBC" w:rsidRPr="00EC6162" w:rsidRDefault="007D5BBC" w:rsidP="00BB2B97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Kód</w:t>
            </w:r>
          </w:p>
        </w:tc>
        <w:tc>
          <w:tcPr>
            <w:tcW w:w="19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7D5BBC" w:rsidRPr="00EC6162" w:rsidRDefault="007D5BBC" w:rsidP="00BB2B97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Částka (v EUR)</w:t>
            </w:r>
          </w:p>
        </w:tc>
      </w:tr>
      <w:tr w:rsidR="007D5BBC" w:rsidRPr="00F61950" w:rsidTr="00BB2B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 w:val="restart"/>
            <w:shd w:val="clear" w:color="auto" w:fill="DEEAF6" w:themeFill="accent5" w:themeFillTint="33"/>
          </w:tcPr>
          <w:p w:rsidR="007D5BBC" w:rsidRPr="0013141D" w:rsidRDefault="007D5BBC" w:rsidP="00BB2B97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b w:val="0"/>
                <w:iCs/>
                <w:noProof/>
                <w:sz w:val="18"/>
                <w:szCs w:val="18"/>
              </w:rPr>
              <w:t>P</w:t>
            </w:r>
            <w:r>
              <w:rPr>
                <w:rFonts w:eastAsia="Times New Roman"/>
                <w:b w:val="0"/>
                <w:iCs/>
                <w:noProof/>
                <w:sz w:val="18"/>
                <w:szCs w:val="18"/>
              </w:rPr>
              <w:t>3</w:t>
            </w:r>
          </w:p>
        </w:tc>
        <w:tc>
          <w:tcPr>
            <w:tcW w:w="1047" w:type="dxa"/>
            <w:vMerge w:val="restart"/>
            <w:shd w:val="clear" w:color="auto" w:fill="DEEAF6" w:themeFill="accent5" w:themeFillTint="33"/>
          </w:tcPr>
          <w:p w:rsidR="007D5BBC" w:rsidRPr="0013141D" w:rsidRDefault="007D5BBC" w:rsidP="00BB2B97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iCs/>
                <w:noProof/>
                <w:sz w:val="18"/>
                <w:szCs w:val="18"/>
              </w:rPr>
              <w:t>ERDF</w:t>
            </w:r>
          </w:p>
        </w:tc>
        <w:tc>
          <w:tcPr>
            <w:tcW w:w="2125" w:type="dxa"/>
            <w:shd w:val="clear" w:color="auto" w:fill="DEEAF6" w:themeFill="accent5" w:themeFillTint="33"/>
          </w:tcPr>
          <w:p w:rsidR="007D5BBC" w:rsidRPr="0013141D" w:rsidRDefault="007D5BBC" w:rsidP="00BB2B97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Více rozvinuté</w:t>
            </w:r>
          </w:p>
        </w:tc>
        <w:tc>
          <w:tcPr>
            <w:tcW w:w="1961" w:type="dxa"/>
            <w:vMerge w:val="restart"/>
            <w:shd w:val="clear" w:color="auto" w:fill="DEEAF6" w:themeFill="accent5" w:themeFillTint="33"/>
            <w:vAlign w:val="center"/>
          </w:tcPr>
          <w:p w:rsidR="007D5BBC" w:rsidRPr="0013141D" w:rsidRDefault="00F44784" w:rsidP="00BB2B97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iCs/>
                <w:noProof/>
                <w:sz w:val="18"/>
                <w:szCs w:val="18"/>
              </w:rPr>
              <w:t>3.1</w:t>
            </w:r>
          </w:p>
        </w:tc>
        <w:tc>
          <w:tcPr>
            <w:tcW w:w="1462" w:type="dxa"/>
            <w:vMerge w:val="restart"/>
            <w:shd w:val="clear" w:color="auto" w:fill="DEEAF6" w:themeFill="accent5" w:themeFillTint="33"/>
            <w:vAlign w:val="center"/>
          </w:tcPr>
          <w:p w:rsidR="007D5BBC" w:rsidRPr="0013141D" w:rsidRDefault="002E321C" w:rsidP="00BB2B97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iCs/>
                <w:noProof/>
                <w:sz w:val="18"/>
                <w:szCs w:val="18"/>
              </w:rPr>
              <w:t>140</w:t>
            </w: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7D5BBC" w:rsidRPr="00F61950" w:rsidRDefault="00DD5C4B" w:rsidP="00BB2B97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bCs/>
                <w:iCs/>
                <w:noProof/>
                <w:sz w:val="18"/>
                <w:szCs w:val="18"/>
              </w:rPr>
              <w:t>-</w:t>
            </w:r>
          </w:p>
        </w:tc>
      </w:tr>
      <w:tr w:rsidR="007D5BBC" w:rsidRPr="00F61950" w:rsidTr="00BB2B97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7D5BBC" w:rsidRPr="0013141D" w:rsidRDefault="007D5BBC" w:rsidP="00BB2B97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7D5BBC" w:rsidRPr="0013141D" w:rsidRDefault="007D5BBC" w:rsidP="00BB2B97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7D5BBC" w:rsidRPr="0013141D" w:rsidRDefault="007D5BBC" w:rsidP="00BB2B97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Přechodové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7D5BBC" w:rsidRPr="0013141D" w:rsidRDefault="007D5BBC" w:rsidP="00BB2B97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7D5BBC" w:rsidRPr="0013141D" w:rsidRDefault="007D5BBC" w:rsidP="00BB2B97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7D5BBC" w:rsidRPr="00F61950" w:rsidRDefault="00DD5C4B" w:rsidP="00BB2B97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bCs/>
                <w:iCs/>
                <w:noProof/>
                <w:sz w:val="18"/>
                <w:szCs w:val="18"/>
              </w:rPr>
              <w:t>-</w:t>
            </w:r>
          </w:p>
        </w:tc>
      </w:tr>
      <w:tr w:rsidR="007D5BBC" w:rsidRPr="00F61950" w:rsidTr="00BB2B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7D5BBC" w:rsidRPr="0013141D" w:rsidRDefault="007D5BBC" w:rsidP="00BB2B97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7D5BBC" w:rsidRPr="0013141D" w:rsidRDefault="007D5BBC" w:rsidP="00BB2B97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7D5BBC" w:rsidRPr="0013141D" w:rsidRDefault="007D5BBC" w:rsidP="00BB2B97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Méně rozvinuté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7D5BBC" w:rsidRPr="0013141D" w:rsidRDefault="007D5BBC" w:rsidP="00BB2B97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7D5BBC" w:rsidRPr="0013141D" w:rsidRDefault="007D5BBC" w:rsidP="00BB2B97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7D5BBC" w:rsidRPr="00F61950" w:rsidRDefault="00DD5C4B" w:rsidP="00BB2B97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bCs/>
                <w:iCs/>
                <w:noProof/>
                <w:sz w:val="18"/>
                <w:szCs w:val="18"/>
              </w:rPr>
              <w:t>-</w:t>
            </w:r>
          </w:p>
        </w:tc>
      </w:tr>
      <w:tr w:rsidR="007D5BBC" w:rsidRPr="00F61950" w:rsidTr="00BB2B97">
        <w:trPr>
          <w:trHeight w:val="1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7D5BBC" w:rsidRPr="0013141D" w:rsidRDefault="007D5BBC" w:rsidP="00BB2B97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7D5BBC" w:rsidRPr="0013141D" w:rsidRDefault="007D5BBC" w:rsidP="00BB2B97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7D5BBC" w:rsidRPr="0013141D" w:rsidRDefault="007D5BBC" w:rsidP="00BB2B97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Více rozvinuté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7D5BBC" w:rsidRPr="0013141D" w:rsidRDefault="007D5BBC" w:rsidP="00BB2B97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 w:val="restart"/>
            <w:shd w:val="clear" w:color="auto" w:fill="DEEAF6" w:themeFill="accent5" w:themeFillTint="33"/>
            <w:vAlign w:val="center"/>
          </w:tcPr>
          <w:p w:rsidR="007D5BBC" w:rsidRPr="0013141D" w:rsidRDefault="002E321C" w:rsidP="00BB2B97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iCs/>
                <w:noProof/>
                <w:sz w:val="18"/>
                <w:szCs w:val="18"/>
              </w:rPr>
              <w:t>141</w:t>
            </w: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7D5BBC" w:rsidRPr="00F61950" w:rsidRDefault="00DD5C4B" w:rsidP="00BB2B97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bCs/>
                <w:iCs/>
                <w:noProof/>
                <w:sz w:val="18"/>
                <w:szCs w:val="18"/>
              </w:rPr>
              <w:t>-</w:t>
            </w:r>
          </w:p>
        </w:tc>
      </w:tr>
      <w:tr w:rsidR="007D5BBC" w:rsidRPr="00F61950" w:rsidTr="00BB2B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7D5BBC" w:rsidRPr="0013141D" w:rsidRDefault="007D5BBC" w:rsidP="00BB2B97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7D5BBC" w:rsidRPr="0013141D" w:rsidRDefault="007D5BBC" w:rsidP="00BB2B97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7D5BBC" w:rsidRPr="0013141D" w:rsidRDefault="007D5BBC" w:rsidP="00BB2B97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Přechodové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7D5BBC" w:rsidRPr="0013141D" w:rsidRDefault="007D5BBC" w:rsidP="00BB2B97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7D5BBC" w:rsidRPr="0013141D" w:rsidRDefault="007D5BBC" w:rsidP="00BB2B97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7D5BBC" w:rsidRPr="00F61950" w:rsidRDefault="00DD5C4B" w:rsidP="00BB2B97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bCs/>
                <w:iCs/>
                <w:noProof/>
                <w:sz w:val="18"/>
                <w:szCs w:val="18"/>
              </w:rPr>
              <w:t>-</w:t>
            </w:r>
          </w:p>
        </w:tc>
      </w:tr>
      <w:tr w:rsidR="007D5BBC" w:rsidRPr="00F61950" w:rsidTr="00BB2B97">
        <w:trPr>
          <w:trHeight w:val="1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7D5BBC" w:rsidRPr="0013141D" w:rsidRDefault="007D5BBC" w:rsidP="00BB2B97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7D5BBC" w:rsidRPr="0013141D" w:rsidRDefault="007D5BBC" w:rsidP="00BB2B97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7D5BBC" w:rsidRPr="0013141D" w:rsidRDefault="007D5BBC" w:rsidP="00BB2B97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Méně rozvinuté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7D5BBC" w:rsidRPr="0013141D" w:rsidRDefault="007D5BBC" w:rsidP="00BB2B97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7D5BBC" w:rsidRPr="0013141D" w:rsidRDefault="007D5BBC" w:rsidP="00BB2B97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7D5BBC" w:rsidRPr="00F61950" w:rsidRDefault="00DD5C4B" w:rsidP="00BB2B97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bCs/>
                <w:iCs/>
                <w:noProof/>
                <w:sz w:val="18"/>
                <w:szCs w:val="18"/>
              </w:rPr>
              <w:t>-</w:t>
            </w:r>
          </w:p>
        </w:tc>
      </w:tr>
      <w:tr w:rsidR="002E321C" w:rsidRPr="00F61950" w:rsidTr="00BB2B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2E321C" w:rsidRPr="0013141D" w:rsidRDefault="002E321C" w:rsidP="002E321C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2E321C" w:rsidRPr="0013141D" w:rsidRDefault="002E321C" w:rsidP="002E321C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2E321C" w:rsidRPr="0013141D" w:rsidRDefault="002E321C" w:rsidP="002E321C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Více rozvinuté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2E321C" w:rsidRPr="0013141D" w:rsidRDefault="002E321C" w:rsidP="002E321C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 w:val="restart"/>
            <w:shd w:val="clear" w:color="auto" w:fill="DEEAF6" w:themeFill="accent5" w:themeFillTint="33"/>
            <w:vAlign w:val="center"/>
          </w:tcPr>
          <w:p w:rsidR="002E321C" w:rsidRPr="0013141D" w:rsidRDefault="002E321C" w:rsidP="002E321C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iCs/>
                <w:noProof/>
                <w:sz w:val="18"/>
                <w:szCs w:val="18"/>
              </w:rPr>
              <w:t>142</w:t>
            </w: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2E321C" w:rsidRPr="00F61950" w:rsidRDefault="00DD5C4B" w:rsidP="002E321C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bCs/>
                <w:iCs/>
                <w:noProof/>
                <w:sz w:val="18"/>
                <w:szCs w:val="18"/>
              </w:rPr>
              <w:t>-</w:t>
            </w:r>
          </w:p>
        </w:tc>
      </w:tr>
      <w:tr w:rsidR="002E321C" w:rsidRPr="00F61950" w:rsidTr="00BB2B97">
        <w:trPr>
          <w:trHeight w:val="1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2E321C" w:rsidRPr="0013141D" w:rsidRDefault="002E321C" w:rsidP="002E321C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2E321C" w:rsidRPr="0013141D" w:rsidRDefault="002E321C" w:rsidP="002E321C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2E321C" w:rsidRPr="0013141D" w:rsidRDefault="002E321C" w:rsidP="002E321C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Přechodové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2E321C" w:rsidRPr="0013141D" w:rsidRDefault="002E321C" w:rsidP="002E321C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2E321C" w:rsidRPr="0013141D" w:rsidRDefault="002E321C" w:rsidP="002E321C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2E321C" w:rsidRPr="00F61950" w:rsidRDefault="00DD5C4B" w:rsidP="002E321C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bCs/>
                <w:iCs/>
                <w:noProof/>
                <w:sz w:val="18"/>
                <w:szCs w:val="18"/>
              </w:rPr>
              <w:t>-</w:t>
            </w:r>
          </w:p>
        </w:tc>
      </w:tr>
      <w:tr w:rsidR="002E321C" w:rsidRPr="00F61950" w:rsidTr="00BB2B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2E321C" w:rsidRPr="0013141D" w:rsidRDefault="002E321C" w:rsidP="002E321C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2E321C" w:rsidRPr="0013141D" w:rsidRDefault="002E321C" w:rsidP="002E321C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2E321C" w:rsidRPr="0013141D" w:rsidRDefault="002E321C" w:rsidP="002E321C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Méně rozvinuté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2E321C" w:rsidRPr="0013141D" w:rsidRDefault="002E321C" w:rsidP="002E321C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2E321C" w:rsidRPr="0013141D" w:rsidRDefault="002E321C" w:rsidP="002E321C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2E321C" w:rsidRPr="00F61950" w:rsidRDefault="00DD5C4B" w:rsidP="002E321C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bCs/>
                <w:iCs/>
                <w:noProof/>
                <w:sz w:val="18"/>
                <w:szCs w:val="18"/>
              </w:rPr>
              <w:t>-</w:t>
            </w:r>
          </w:p>
        </w:tc>
      </w:tr>
    </w:tbl>
    <w:p w:rsidR="007D5BBC" w:rsidRPr="00B4546B" w:rsidRDefault="007D5BBC" w:rsidP="007D5BBC">
      <w:pPr>
        <w:pStyle w:val="Titulek"/>
        <w:rPr>
          <w:rFonts w:ascii="Times New Roman" w:hAnsi="Times New Roman" w:cs="Times New Roman"/>
          <w:szCs w:val="22"/>
        </w:rPr>
      </w:pPr>
      <w:r w:rsidRPr="00B4546B">
        <w:rPr>
          <w:rFonts w:ascii="Times New Roman" w:hAnsi="Times New Roman" w:cs="Times New Roman"/>
        </w:rPr>
        <w:t xml:space="preserve">Tabulka </w:t>
      </w:r>
      <w:r w:rsidRPr="00B4546B">
        <w:rPr>
          <w:rFonts w:ascii="Times New Roman" w:hAnsi="Times New Roman" w:cs="Times New Roman"/>
        </w:rPr>
        <w:fldChar w:fldCharType="begin"/>
      </w:r>
      <w:r w:rsidRPr="002E321C">
        <w:rPr>
          <w:rFonts w:ascii="Times New Roman" w:hAnsi="Times New Roman" w:cs="Times New Roman"/>
          <w:strike/>
        </w:rPr>
        <w:instrText xml:space="preserve"> SEQ Tabulka \* ARABIC </w:instrText>
      </w:r>
      <w:r w:rsidRPr="00B4546B">
        <w:rPr>
          <w:rFonts w:ascii="Times New Roman" w:hAnsi="Times New Roman" w:cs="Times New Roman"/>
        </w:rPr>
        <w:fldChar w:fldCharType="separate"/>
      </w:r>
      <w:r w:rsidR="00AF3C4A">
        <w:rPr>
          <w:rFonts w:ascii="Times New Roman" w:hAnsi="Times New Roman" w:cs="Times New Roman"/>
          <w:strike/>
        </w:rPr>
        <w:t>44</w:t>
      </w:r>
      <w:r w:rsidRPr="00B4546B">
        <w:rPr>
          <w:rFonts w:ascii="Times New Roman" w:hAnsi="Times New Roman" w:cs="Times New Roman"/>
        </w:rPr>
        <w:fldChar w:fldCharType="end"/>
      </w:r>
      <w:r w:rsidRPr="00B4546B">
        <w:rPr>
          <w:rFonts w:ascii="Times New Roman" w:hAnsi="Times New Roman" w:cs="Times New Roman"/>
        </w:rPr>
        <w:t>:</w:t>
      </w:r>
      <w:r w:rsidRPr="00B4546B">
        <w:rPr>
          <w:rFonts w:ascii="Times New Roman" w:hAnsi="Times New Roman" w:cs="Times New Roman"/>
          <w:szCs w:val="22"/>
        </w:rPr>
        <w:t xml:space="preserve"> SC </w:t>
      </w:r>
      <w:r w:rsidR="00044DF8">
        <w:rPr>
          <w:rFonts w:ascii="Times New Roman" w:hAnsi="Times New Roman" w:cs="Times New Roman"/>
          <w:szCs w:val="22"/>
        </w:rPr>
        <w:t>3</w:t>
      </w:r>
      <w:r w:rsidRPr="00B4546B">
        <w:rPr>
          <w:rFonts w:ascii="Times New Roman" w:hAnsi="Times New Roman" w:cs="Times New Roman"/>
          <w:szCs w:val="22"/>
        </w:rPr>
        <w:t>.</w:t>
      </w:r>
      <w:r w:rsidR="00044DF8">
        <w:rPr>
          <w:rFonts w:ascii="Times New Roman" w:hAnsi="Times New Roman" w:cs="Times New Roman"/>
          <w:szCs w:val="22"/>
        </w:rPr>
        <w:t>1</w:t>
      </w:r>
      <w:r w:rsidRPr="00B4546B">
        <w:rPr>
          <w:rFonts w:ascii="Times New Roman" w:hAnsi="Times New Roman" w:cs="Times New Roman"/>
          <w:szCs w:val="22"/>
        </w:rPr>
        <w:t>: Dimenze 7 – ESF+, ERDF, CF a JTF a dimenze rovnosti žen a mužů</w:t>
      </w:r>
    </w:p>
    <w:tbl>
      <w:tblPr>
        <w:tblStyle w:val="Tabulkasmkou4zvraznn1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6"/>
        <w:gridCol w:w="1047"/>
        <w:gridCol w:w="2125"/>
        <w:gridCol w:w="1961"/>
        <w:gridCol w:w="1462"/>
        <w:gridCol w:w="1958"/>
      </w:tblGrid>
      <w:tr w:rsidR="007D5BBC" w:rsidRPr="00EC6162" w:rsidTr="003A23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7D5BBC" w:rsidRPr="00EC6162" w:rsidRDefault="007D5BBC" w:rsidP="00BB2B97">
            <w:pPr>
              <w:spacing w:before="0" w:after="0" w:line="276" w:lineRule="auto"/>
              <w:jc w:val="center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Číslo priority</w:t>
            </w:r>
          </w:p>
        </w:tc>
        <w:tc>
          <w:tcPr>
            <w:tcW w:w="104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7D5BBC" w:rsidRPr="00EC6162" w:rsidRDefault="007D5BBC" w:rsidP="00BB2B97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Fond</w:t>
            </w:r>
          </w:p>
        </w:tc>
        <w:tc>
          <w:tcPr>
            <w:tcW w:w="212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7D5BBC" w:rsidRPr="00EC6162" w:rsidRDefault="007D5BBC" w:rsidP="00BB2B97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Kategorie regionu</w:t>
            </w:r>
          </w:p>
        </w:tc>
        <w:tc>
          <w:tcPr>
            <w:tcW w:w="19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</w:tcPr>
          <w:p w:rsidR="007D5BBC" w:rsidRPr="00EC6162" w:rsidRDefault="007D5BBC" w:rsidP="00BB2B97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Specifický cíl</w:t>
            </w:r>
          </w:p>
        </w:tc>
        <w:tc>
          <w:tcPr>
            <w:tcW w:w="14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7D5BBC" w:rsidRPr="00EC6162" w:rsidRDefault="007D5BBC" w:rsidP="00BB2B97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Kód</w:t>
            </w:r>
          </w:p>
        </w:tc>
        <w:tc>
          <w:tcPr>
            <w:tcW w:w="19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7D5BBC" w:rsidRPr="00EC6162" w:rsidRDefault="007D5BBC" w:rsidP="00BB2B97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Částka (v EUR)</w:t>
            </w:r>
          </w:p>
        </w:tc>
      </w:tr>
      <w:tr w:rsidR="007D5BBC" w:rsidRPr="00F61950" w:rsidTr="00BB2B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 w:val="restart"/>
            <w:shd w:val="clear" w:color="auto" w:fill="DEEAF6" w:themeFill="accent5" w:themeFillTint="33"/>
          </w:tcPr>
          <w:p w:rsidR="007D5BBC" w:rsidRPr="0013141D" w:rsidRDefault="007D5BBC" w:rsidP="00BB2B97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b w:val="0"/>
                <w:iCs/>
                <w:noProof/>
                <w:sz w:val="18"/>
                <w:szCs w:val="18"/>
              </w:rPr>
              <w:t>P</w:t>
            </w:r>
            <w:r>
              <w:rPr>
                <w:rFonts w:eastAsia="Times New Roman"/>
                <w:b w:val="0"/>
                <w:iCs/>
                <w:noProof/>
                <w:sz w:val="18"/>
                <w:szCs w:val="18"/>
              </w:rPr>
              <w:t>3</w:t>
            </w:r>
          </w:p>
        </w:tc>
        <w:tc>
          <w:tcPr>
            <w:tcW w:w="1047" w:type="dxa"/>
            <w:vMerge w:val="restart"/>
            <w:shd w:val="clear" w:color="auto" w:fill="DEEAF6" w:themeFill="accent5" w:themeFillTint="33"/>
          </w:tcPr>
          <w:p w:rsidR="007D5BBC" w:rsidRPr="0013141D" w:rsidRDefault="007D5BBC" w:rsidP="00BB2B97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noProof/>
                <w:sz w:val="18"/>
                <w:szCs w:val="18"/>
              </w:rPr>
              <w:t>ERDF</w:t>
            </w:r>
          </w:p>
        </w:tc>
        <w:tc>
          <w:tcPr>
            <w:tcW w:w="2125" w:type="dxa"/>
            <w:shd w:val="clear" w:color="auto" w:fill="DEEAF6" w:themeFill="accent5" w:themeFillTint="33"/>
          </w:tcPr>
          <w:p w:rsidR="007D5BBC" w:rsidRPr="0013141D" w:rsidRDefault="007D5BBC" w:rsidP="00BB2B97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Více rozvinuté</w:t>
            </w:r>
          </w:p>
        </w:tc>
        <w:tc>
          <w:tcPr>
            <w:tcW w:w="1961" w:type="dxa"/>
            <w:vMerge w:val="restart"/>
            <w:shd w:val="clear" w:color="auto" w:fill="DEEAF6" w:themeFill="accent5" w:themeFillTint="33"/>
            <w:vAlign w:val="center"/>
          </w:tcPr>
          <w:p w:rsidR="007D5BBC" w:rsidRPr="0013141D" w:rsidRDefault="00F44784" w:rsidP="00BB2B97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iCs/>
                <w:noProof/>
                <w:sz w:val="18"/>
                <w:szCs w:val="18"/>
              </w:rPr>
              <w:t>3.1</w:t>
            </w:r>
          </w:p>
        </w:tc>
        <w:tc>
          <w:tcPr>
            <w:tcW w:w="1462" w:type="dxa"/>
            <w:vMerge w:val="restart"/>
            <w:shd w:val="clear" w:color="auto" w:fill="DEEAF6" w:themeFill="accent5" w:themeFillTint="33"/>
            <w:vAlign w:val="center"/>
          </w:tcPr>
          <w:p w:rsidR="007D5BBC" w:rsidRPr="0013141D" w:rsidRDefault="002C1D96" w:rsidP="00BB2B97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iCs/>
                <w:noProof/>
                <w:sz w:val="18"/>
                <w:szCs w:val="18"/>
              </w:rPr>
              <w:t>3</w:t>
            </w: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7D5BBC" w:rsidRPr="00F61950" w:rsidRDefault="002C1D96" w:rsidP="00BB2B97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 w:rsidRPr="002C1D96">
              <w:rPr>
                <w:rFonts w:eastAsia="Times New Roman"/>
                <w:color w:val="000000"/>
                <w:sz w:val="16"/>
                <w:szCs w:val="16"/>
                <w:lang w:eastAsia="cs-CZ"/>
              </w:rPr>
              <w:t>15 360 529</w:t>
            </w:r>
          </w:p>
        </w:tc>
      </w:tr>
      <w:tr w:rsidR="007D5BBC" w:rsidRPr="00F61950" w:rsidTr="00BB2B97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7D5BBC" w:rsidRPr="0013141D" w:rsidRDefault="007D5BBC" w:rsidP="00BB2B97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7D5BBC" w:rsidRPr="0013141D" w:rsidRDefault="007D5BBC" w:rsidP="00BB2B97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7D5BBC" w:rsidRPr="0013141D" w:rsidRDefault="007D5BBC" w:rsidP="00BB2B97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Přechodové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7D5BBC" w:rsidRPr="0013141D" w:rsidRDefault="007D5BBC" w:rsidP="00BB2B97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7D5BBC" w:rsidRPr="0013141D" w:rsidRDefault="007D5BBC" w:rsidP="00BB2B97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7D5BBC" w:rsidRPr="00F61950" w:rsidRDefault="002C1D96" w:rsidP="00BB2B97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 w:rsidRPr="002C1D96">
              <w:rPr>
                <w:rFonts w:eastAsia="Times New Roman"/>
                <w:color w:val="000000"/>
                <w:sz w:val="16"/>
                <w:szCs w:val="16"/>
                <w:lang w:eastAsia="cs-CZ"/>
              </w:rPr>
              <w:t>17 207 154</w:t>
            </w:r>
          </w:p>
        </w:tc>
      </w:tr>
      <w:tr w:rsidR="007D5BBC" w:rsidRPr="00F61950" w:rsidTr="00BB2B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7D5BBC" w:rsidRPr="0013141D" w:rsidRDefault="007D5BBC" w:rsidP="00BB2B97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7D5BBC" w:rsidRPr="0013141D" w:rsidRDefault="007D5BBC" w:rsidP="00BB2B97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7D5BBC" w:rsidRPr="0013141D" w:rsidRDefault="007D5BBC" w:rsidP="00BB2B97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Méně rozvinuté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7D5BBC" w:rsidRPr="0013141D" w:rsidRDefault="007D5BBC" w:rsidP="00BB2B97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7D5BBC" w:rsidRPr="0013141D" w:rsidRDefault="007D5BBC" w:rsidP="00BB2B97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7D5BBC" w:rsidRPr="00F61950" w:rsidRDefault="002C1D96" w:rsidP="00BB2B97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 w:rsidRPr="002C1D96">
              <w:rPr>
                <w:rFonts w:eastAsia="Times New Roman"/>
                <w:color w:val="000000"/>
                <w:sz w:val="16"/>
                <w:szCs w:val="16"/>
                <w:lang w:eastAsia="cs-CZ"/>
              </w:rPr>
              <w:t>4 563 495</w:t>
            </w:r>
          </w:p>
        </w:tc>
      </w:tr>
    </w:tbl>
    <w:p w:rsidR="00C837AC" w:rsidRDefault="00C837AC" w:rsidP="00C837AC">
      <w:pPr>
        <w:pStyle w:val="Nadpis2"/>
        <w:numPr>
          <w:ilvl w:val="0"/>
          <w:numId w:val="0"/>
        </w:numPr>
        <w:rPr>
          <w:noProof/>
          <w:color w:val="1F4E79" w:themeColor="accent5" w:themeShade="80"/>
          <w:lang w:val="cs-CZ"/>
        </w:rPr>
      </w:pPr>
      <w:bookmarkStart w:id="220" w:name="_Toc32998643"/>
      <w:bookmarkStart w:id="221" w:name="_Toc32998690"/>
      <w:bookmarkStart w:id="222" w:name="_Toc33000822"/>
      <w:bookmarkStart w:id="223" w:name="_Toc33000256"/>
    </w:p>
    <w:p w:rsidR="00DA17B4" w:rsidRPr="00B175FB" w:rsidRDefault="00DA17B4" w:rsidP="00DA17B4">
      <w:pPr>
        <w:pStyle w:val="Nadpis2"/>
        <w:rPr>
          <w:noProof/>
          <w:color w:val="1F4E79" w:themeColor="accent5" w:themeShade="80"/>
          <w:lang w:val="cs-CZ"/>
        </w:rPr>
      </w:pPr>
      <w:bookmarkStart w:id="224" w:name="_Toc66476070"/>
      <w:bookmarkStart w:id="225" w:name="_Toc68611028"/>
      <w:r w:rsidRPr="00B175FB">
        <w:rPr>
          <w:noProof/>
          <w:color w:val="1F4E79" w:themeColor="accent5" w:themeShade="80"/>
          <w:lang w:val="cs-CZ"/>
        </w:rPr>
        <w:t xml:space="preserve">Priorita </w:t>
      </w:r>
      <w:r>
        <w:rPr>
          <w:noProof/>
          <w:color w:val="1F4E79" w:themeColor="accent5" w:themeShade="80"/>
          <w:lang w:val="cs-CZ"/>
        </w:rPr>
        <w:t>4</w:t>
      </w:r>
      <w:r w:rsidRPr="00B175FB">
        <w:rPr>
          <w:noProof/>
          <w:color w:val="1F4E79" w:themeColor="accent5" w:themeShade="80"/>
          <w:lang w:val="cs-CZ"/>
        </w:rPr>
        <w:t xml:space="preserve"> </w:t>
      </w:r>
      <w:r w:rsidR="00264DAD" w:rsidRPr="00B175FB">
        <w:rPr>
          <w:noProof/>
          <w:color w:val="1F4E79" w:themeColor="accent5" w:themeShade="80"/>
          <w:lang w:val="cs-CZ"/>
        </w:rPr>
        <w:t>–</w:t>
      </w:r>
      <w:r w:rsidRPr="00B175FB">
        <w:rPr>
          <w:noProof/>
          <w:color w:val="1F4E79" w:themeColor="accent5" w:themeShade="80"/>
          <w:lang w:val="cs-CZ"/>
        </w:rPr>
        <w:t xml:space="preserve"> Technická pomoc </w:t>
      </w:r>
      <w:r w:rsidR="00264DAD">
        <w:rPr>
          <w:noProof/>
          <w:color w:val="1F4E79" w:themeColor="accent5" w:themeShade="80"/>
          <w:lang w:val="cs-CZ"/>
        </w:rPr>
        <w:t>(</w:t>
      </w:r>
      <w:r w:rsidRPr="00B175FB">
        <w:rPr>
          <w:noProof/>
          <w:color w:val="1F4E79" w:themeColor="accent5" w:themeShade="80"/>
          <w:lang w:val="cs-CZ"/>
        </w:rPr>
        <w:t>P</w:t>
      </w:r>
      <w:r>
        <w:rPr>
          <w:noProof/>
          <w:color w:val="1F4E79" w:themeColor="accent5" w:themeShade="80"/>
          <w:lang w:val="cs-CZ"/>
        </w:rPr>
        <w:t>4</w:t>
      </w:r>
      <w:r w:rsidR="00264DAD">
        <w:rPr>
          <w:noProof/>
          <w:color w:val="1F4E79" w:themeColor="accent5" w:themeShade="80"/>
          <w:lang w:val="cs-CZ"/>
        </w:rPr>
        <w:t>)</w:t>
      </w:r>
      <w:r w:rsidR="00F63B39">
        <w:rPr>
          <w:noProof/>
          <w:color w:val="1F4E79" w:themeColor="accent5" w:themeShade="80"/>
          <w:lang w:val="cs-CZ"/>
        </w:rPr>
        <w:t xml:space="preserve"> – ESF+</w:t>
      </w:r>
      <w:bookmarkEnd w:id="224"/>
      <w:bookmarkEnd w:id="225"/>
    </w:p>
    <w:p w:rsidR="00DA17B4" w:rsidRDefault="00DA17B4" w:rsidP="00DA17B4">
      <w:pPr>
        <w:rPr>
          <w:rFonts w:eastAsia="Times New Roman"/>
          <w:b/>
          <w:noProof/>
          <w:szCs w:val="24"/>
        </w:rPr>
      </w:pPr>
      <w:r w:rsidRPr="00B175FB">
        <w:rPr>
          <w:rFonts w:eastAsia="Times New Roman"/>
          <w:b/>
          <w:noProof/>
          <w:szCs w:val="24"/>
        </w:rPr>
        <w:t>Priorita pro technickou pomoc</w:t>
      </w:r>
    </w:p>
    <w:p w:rsidR="003E194E" w:rsidRPr="00C34CCD" w:rsidRDefault="003E194E" w:rsidP="003E194E">
      <w:pPr>
        <w:pStyle w:val="Nadpis3"/>
        <w:tabs>
          <w:tab w:val="clear" w:pos="851"/>
        </w:tabs>
        <w:rPr>
          <w:b/>
          <w:noProof/>
          <w:color w:val="1F4E79" w:themeColor="accent5" w:themeShade="80"/>
          <w:lang w:val="cs-CZ"/>
        </w:rPr>
      </w:pPr>
      <w:bookmarkStart w:id="226" w:name="_Toc66476071"/>
      <w:bookmarkStart w:id="227" w:name="_Toc68611029"/>
      <w:r w:rsidRPr="00C34CCD">
        <w:rPr>
          <w:b/>
          <w:noProof/>
          <w:color w:val="1F4E79" w:themeColor="accent5" w:themeShade="80"/>
          <w:lang w:val="cs-CZ"/>
        </w:rPr>
        <w:t xml:space="preserve">Specifický cíl </w:t>
      </w:r>
      <w:r w:rsidR="008A5FFC">
        <w:rPr>
          <w:b/>
          <w:noProof/>
          <w:color w:val="1F4E79" w:themeColor="accent5" w:themeShade="80"/>
          <w:lang w:val="cs-CZ"/>
        </w:rPr>
        <w:t>4</w:t>
      </w:r>
      <w:r w:rsidRPr="00C34CCD">
        <w:rPr>
          <w:b/>
          <w:noProof/>
          <w:color w:val="1F4E79" w:themeColor="accent5" w:themeShade="80"/>
          <w:lang w:val="cs-CZ"/>
        </w:rPr>
        <w:t>.1: Zajištění kvalitního řízení a implementace programu</w:t>
      </w:r>
      <w:bookmarkEnd w:id="226"/>
      <w:bookmarkEnd w:id="227"/>
    </w:p>
    <w:p w:rsidR="00DA17B4" w:rsidRPr="00C34CCD" w:rsidRDefault="00DA17B4" w:rsidP="003E194E">
      <w:pPr>
        <w:pStyle w:val="Nadpis4"/>
        <w:rPr>
          <w:b/>
          <w:noProof/>
          <w:color w:val="1F4E79" w:themeColor="accent5" w:themeShade="80"/>
          <w:lang w:val="cs-CZ"/>
        </w:rPr>
      </w:pPr>
      <w:bookmarkStart w:id="228" w:name="_Toc66476072"/>
      <w:bookmarkStart w:id="229" w:name="_Toc68611030"/>
      <w:r w:rsidRPr="00C34CCD">
        <w:rPr>
          <w:b/>
          <w:noProof/>
          <w:color w:val="1F4E79" w:themeColor="accent5" w:themeShade="80"/>
          <w:lang w:val="cs-CZ"/>
        </w:rPr>
        <w:t>Intervence fondů</w:t>
      </w:r>
      <w:bookmarkEnd w:id="228"/>
      <w:bookmarkEnd w:id="229"/>
      <w:r w:rsidRPr="00C34CCD">
        <w:rPr>
          <w:b/>
          <w:noProof/>
          <w:color w:val="1F4E79" w:themeColor="accent5" w:themeShade="80"/>
          <w:lang w:val="cs-CZ"/>
        </w:rPr>
        <w:t xml:space="preserve"> </w:t>
      </w:r>
    </w:p>
    <w:p w:rsidR="00DA17B4" w:rsidRPr="00B175FB" w:rsidRDefault="00DA17B4" w:rsidP="00DA17B4">
      <w:pPr>
        <w:spacing w:line="276" w:lineRule="auto"/>
        <w:rPr>
          <w:rFonts w:eastAsia="Times New Roman"/>
          <w:b/>
          <w:noProof/>
          <w:color w:val="D0CECE" w:themeColor="background2" w:themeShade="E6"/>
          <w:szCs w:val="24"/>
        </w:rPr>
      </w:pPr>
      <w:r w:rsidRPr="00B175FB">
        <w:rPr>
          <w:rFonts w:eastAsia="Times New Roman"/>
          <w:b/>
          <w:i/>
          <w:noProof/>
          <w:szCs w:val="24"/>
        </w:rPr>
        <w:t xml:space="preserve">Související druhy činností </w:t>
      </w:r>
      <w:r w:rsidRPr="00B175FB">
        <w:rPr>
          <w:rFonts w:eastAsia="Times New Roman"/>
          <w:i/>
          <w:noProof/>
          <w:szCs w:val="24"/>
        </w:rPr>
        <w:t xml:space="preserve"> </w:t>
      </w: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DA17B4" w:rsidRPr="00B175FB" w:rsidTr="00346A64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7B4" w:rsidRPr="00B175FB" w:rsidRDefault="00DA17B4" w:rsidP="00346A64">
            <w:pPr>
              <w:spacing w:line="276" w:lineRule="auto"/>
              <w:jc w:val="both"/>
              <w:rPr>
                <w:sz w:val="22"/>
              </w:rPr>
            </w:pPr>
            <w:r w:rsidRPr="00B175FB">
              <w:rPr>
                <w:sz w:val="22"/>
              </w:rPr>
              <w:t xml:space="preserve">TP OP JAK slouží jako komplexní i specifická horizontální podpora celé implementační struktury směřující k zajištění všech nezbytných procesů relevantních pro řádnou implementaci OP JAK po celou dobu jeho realizace tak, aby bylo možné splnit jeho vytyčený cíl, kterým je </w:t>
            </w:r>
            <w:r w:rsidRPr="00B175FB">
              <w:rPr>
                <w:rFonts w:eastAsia="Times New Roman"/>
                <w:sz w:val="22"/>
              </w:rPr>
              <w:t>podpora rozvoje otevřené a vzdělané společnosti založené na znalostech a dovednostech, rovných příležitostech a rozvíjející potenciál každého jednotlivce</w:t>
            </w:r>
            <w:r w:rsidRPr="00B175FB">
              <w:rPr>
                <w:sz w:val="22"/>
              </w:rPr>
              <w:t xml:space="preserve">. </w:t>
            </w:r>
          </w:p>
          <w:p w:rsidR="00DA17B4" w:rsidRPr="00B175FB" w:rsidRDefault="00DA17B4" w:rsidP="00346A64">
            <w:pPr>
              <w:spacing w:line="276" w:lineRule="auto"/>
              <w:jc w:val="both"/>
              <w:rPr>
                <w:sz w:val="22"/>
              </w:rPr>
            </w:pPr>
            <w:r w:rsidRPr="00B175FB">
              <w:rPr>
                <w:sz w:val="22"/>
              </w:rPr>
              <w:t>V programovém období 2014</w:t>
            </w:r>
            <w:r w:rsidR="00F70BB1">
              <w:rPr>
                <w:rFonts w:eastAsia="Times New Roman"/>
                <w:sz w:val="22"/>
              </w:rPr>
              <w:t>-</w:t>
            </w:r>
            <w:r w:rsidRPr="00B175FB">
              <w:rPr>
                <w:sz w:val="22"/>
              </w:rPr>
              <w:t>2020 se pro potřeby efektivní implementace technické pomoci OP VVV v souladu s principy „3E“ osvědčilo využívat tzv. Postup koordinace. Z tohoto důvodu bude</w:t>
            </w:r>
            <w:r w:rsidRPr="00B175FB" w:rsidDel="00D40423">
              <w:rPr>
                <w:sz w:val="22"/>
              </w:rPr>
              <w:t xml:space="preserve"> </w:t>
            </w:r>
            <w:r w:rsidRPr="00B175FB">
              <w:rPr>
                <w:sz w:val="22"/>
              </w:rPr>
              <w:t>ŘO OP JAK obdobný mechanismus využit i pro programové období 2021</w:t>
            </w:r>
            <w:r w:rsidR="00F70BB1">
              <w:rPr>
                <w:rFonts w:eastAsia="Times New Roman"/>
                <w:sz w:val="22"/>
              </w:rPr>
              <w:t>-</w:t>
            </w:r>
            <w:r w:rsidRPr="00B175FB">
              <w:rPr>
                <w:sz w:val="22"/>
              </w:rPr>
              <w:t>2027. Postup koordinace bude specifikovat komplexní koordinaci činností jednak interně v rámci ŘO OP JAK a jednak externě ve vazbě na implementaci a podporované aktivity Operačního programu Technická pomoc v gesci MMR. Hlavním strategickým dokumentem Postupu koordinace bude tedy tzv. Dlouhodobý plán realizace Technické pomoci.</w:t>
            </w:r>
          </w:p>
          <w:p w:rsidR="00DA17B4" w:rsidRPr="00B175FB" w:rsidRDefault="00DA17B4" w:rsidP="00346A64">
            <w:pPr>
              <w:spacing w:line="276" w:lineRule="auto"/>
              <w:rPr>
                <w:b/>
                <w:sz w:val="22"/>
              </w:rPr>
            </w:pPr>
            <w:r w:rsidRPr="00B175FB">
              <w:rPr>
                <w:b/>
                <w:sz w:val="22"/>
              </w:rPr>
              <w:t>Výsledkem intervencí bude</w:t>
            </w:r>
          </w:p>
          <w:p w:rsidR="00DA17B4" w:rsidRPr="00DE5FD7" w:rsidRDefault="00DA17B4" w:rsidP="00F6239D">
            <w:pPr>
              <w:pStyle w:val="Odstavecseseznamem"/>
              <w:numPr>
                <w:ilvl w:val="0"/>
                <w:numId w:val="92"/>
              </w:numPr>
              <w:spacing w:after="160" w:line="276" w:lineRule="auto"/>
              <w:rPr>
                <w:rFonts w:cs="Times New Roman"/>
                <w:sz w:val="22"/>
              </w:rPr>
            </w:pPr>
            <w:r w:rsidRPr="00DE5FD7">
              <w:rPr>
                <w:rFonts w:cs="Times New Roman"/>
                <w:sz w:val="22"/>
              </w:rPr>
              <w:t xml:space="preserve">Administrativní kapacita  </w:t>
            </w:r>
          </w:p>
          <w:p w:rsidR="00DA17B4" w:rsidRPr="00DE5FD7" w:rsidRDefault="00DA17B4" w:rsidP="00346A64">
            <w:pPr>
              <w:pStyle w:val="Textkomente"/>
              <w:numPr>
                <w:ilvl w:val="0"/>
                <w:numId w:val="84"/>
              </w:numPr>
              <w:spacing w:after="240" w:line="276" w:lineRule="auto"/>
              <w:ind w:left="720"/>
              <w:jc w:val="both"/>
              <w:rPr>
                <w:rFonts w:cs="Times New Roman"/>
                <w:sz w:val="22"/>
                <w:szCs w:val="22"/>
                <w:lang w:val="cs-CZ"/>
              </w:rPr>
            </w:pPr>
            <w:r w:rsidRPr="00DE5FD7">
              <w:rPr>
                <w:rFonts w:cs="Times New Roman"/>
                <w:sz w:val="22"/>
                <w:szCs w:val="22"/>
                <w:lang w:val="cs-CZ"/>
              </w:rPr>
              <w:t>Dostatečná a kvalifikovaná administrativní kapacita</w:t>
            </w:r>
          </w:p>
          <w:p w:rsidR="00E22EF8" w:rsidRDefault="00E22EF8" w:rsidP="00E22EF8">
            <w:pPr>
              <w:pStyle w:val="Odstavecseseznamem"/>
              <w:spacing w:after="160" w:line="276" w:lineRule="auto"/>
              <w:jc w:val="both"/>
              <w:rPr>
                <w:rFonts w:cs="Times New Roman"/>
                <w:sz w:val="22"/>
              </w:rPr>
            </w:pPr>
          </w:p>
          <w:p w:rsidR="00DA17B4" w:rsidRPr="00DE5FD7" w:rsidRDefault="00DA17B4" w:rsidP="00F6239D">
            <w:pPr>
              <w:pStyle w:val="Odstavecseseznamem"/>
              <w:numPr>
                <w:ilvl w:val="0"/>
                <w:numId w:val="92"/>
              </w:numPr>
              <w:spacing w:after="160" w:line="276" w:lineRule="auto"/>
              <w:jc w:val="both"/>
              <w:rPr>
                <w:rFonts w:cs="Times New Roman"/>
                <w:sz w:val="22"/>
              </w:rPr>
            </w:pPr>
            <w:r w:rsidRPr="00DE5FD7">
              <w:rPr>
                <w:rFonts w:cs="Times New Roman"/>
                <w:sz w:val="22"/>
              </w:rPr>
              <w:t>Řízení programu a zajištění souvisejících procesů</w:t>
            </w:r>
          </w:p>
          <w:p w:rsidR="00DA17B4" w:rsidRPr="00DE5FD7" w:rsidRDefault="00DA17B4" w:rsidP="00346A64">
            <w:pPr>
              <w:pStyle w:val="Textkomente"/>
              <w:numPr>
                <w:ilvl w:val="0"/>
                <w:numId w:val="84"/>
              </w:numPr>
              <w:spacing w:after="240" w:line="276" w:lineRule="auto"/>
              <w:ind w:left="720"/>
              <w:jc w:val="both"/>
              <w:rPr>
                <w:rFonts w:cs="Times New Roman"/>
                <w:sz w:val="22"/>
                <w:szCs w:val="22"/>
                <w:lang w:val="cs-CZ"/>
              </w:rPr>
            </w:pPr>
            <w:r w:rsidRPr="00DE5FD7">
              <w:rPr>
                <w:rFonts w:cs="Times New Roman"/>
                <w:sz w:val="22"/>
                <w:szCs w:val="22"/>
                <w:lang w:val="cs-CZ"/>
              </w:rPr>
              <w:t>Efektivní implementace programu</w:t>
            </w:r>
          </w:p>
          <w:p w:rsidR="00DA17B4" w:rsidRPr="00B175FB" w:rsidRDefault="00DA17B4" w:rsidP="00F6239D">
            <w:pPr>
              <w:pStyle w:val="Odstavecseseznamem"/>
              <w:numPr>
                <w:ilvl w:val="0"/>
                <w:numId w:val="92"/>
              </w:numPr>
              <w:spacing w:after="160" w:line="276" w:lineRule="auto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>Technické zajištění</w:t>
            </w:r>
          </w:p>
          <w:p w:rsidR="00DA17B4" w:rsidRPr="00B175FB" w:rsidRDefault="00DA17B4" w:rsidP="00346A64">
            <w:pPr>
              <w:pStyle w:val="Textkomente"/>
              <w:numPr>
                <w:ilvl w:val="0"/>
                <w:numId w:val="84"/>
              </w:numPr>
              <w:spacing w:after="240" w:line="276" w:lineRule="auto"/>
              <w:ind w:left="720"/>
              <w:jc w:val="both"/>
              <w:rPr>
                <w:rFonts w:cs="Times New Roman"/>
                <w:sz w:val="22"/>
                <w:szCs w:val="22"/>
                <w:lang w:val="cs-CZ"/>
              </w:rPr>
            </w:pPr>
            <w:r w:rsidRPr="00B175FB">
              <w:rPr>
                <w:rFonts w:cs="Times New Roman"/>
                <w:sz w:val="22"/>
                <w:szCs w:val="22"/>
                <w:lang w:val="cs-CZ"/>
              </w:rPr>
              <w:t>Optimální zajištění pracovních podmínek vedoucí ke stabilitě zaměstnanců implementační struktury prostřednictvím standardu zaměstnance.</w:t>
            </w:r>
          </w:p>
          <w:p w:rsidR="00DA17B4" w:rsidRPr="00B175FB" w:rsidRDefault="00DA17B4" w:rsidP="00F6239D">
            <w:pPr>
              <w:pStyle w:val="Odstavecseseznamem"/>
              <w:numPr>
                <w:ilvl w:val="0"/>
                <w:numId w:val="92"/>
              </w:numPr>
              <w:spacing w:after="160" w:line="276" w:lineRule="auto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>Komunikace a viditelnost</w:t>
            </w:r>
          </w:p>
          <w:p w:rsidR="00DA17B4" w:rsidRPr="00B175FB" w:rsidRDefault="00DA17B4" w:rsidP="00346A64">
            <w:pPr>
              <w:pStyle w:val="Textkomente"/>
              <w:numPr>
                <w:ilvl w:val="0"/>
                <w:numId w:val="84"/>
              </w:numPr>
              <w:spacing w:after="160" w:line="276" w:lineRule="auto"/>
              <w:ind w:left="720"/>
              <w:rPr>
                <w:rFonts w:cs="Times New Roman"/>
                <w:sz w:val="22"/>
                <w:szCs w:val="22"/>
                <w:lang w:val="cs-CZ"/>
              </w:rPr>
            </w:pPr>
            <w:r w:rsidRPr="00B175FB">
              <w:rPr>
                <w:rFonts w:cs="Times New Roman"/>
                <w:sz w:val="22"/>
                <w:szCs w:val="22"/>
                <w:lang w:val="cs-CZ"/>
              </w:rPr>
              <w:t>Budou doplněny výsledky dle SKS a D</w:t>
            </w:r>
            <w:r w:rsidR="000F475B">
              <w:rPr>
                <w:rFonts w:cs="Times New Roman"/>
                <w:sz w:val="22"/>
                <w:szCs w:val="22"/>
                <w:lang w:val="cs-CZ"/>
              </w:rPr>
              <w:t>I</w:t>
            </w:r>
            <w:r w:rsidRPr="00B175FB">
              <w:rPr>
                <w:rFonts w:cs="Times New Roman"/>
                <w:sz w:val="22"/>
                <w:szCs w:val="22"/>
                <w:lang w:val="cs-CZ"/>
              </w:rPr>
              <w:t>K</w:t>
            </w:r>
            <w:r w:rsidR="000F475B">
              <w:rPr>
                <w:rFonts w:cs="Times New Roman"/>
                <w:sz w:val="22"/>
                <w:szCs w:val="22"/>
                <w:lang w:val="cs-CZ"/>
              </w:rPr>
              <w:t>o</w:t>
            </w:r>
            <w:r w:rsidRPr="00B175FB">
              <w:rPr>
                <w:rFonts w:cs="Times New Roman"/>
                <w:sz w:val="22"/>
                <w:szCs w:val="22"/>
                <w:lang w:val="cs-CZ"/>
              </w:rPr>
              <w:t>P.</w:t>
            </w:r>
          </w:p>
          <w:p w:rsidR="00DA17B4" w:rsidRPr="00B175FB" w:rsidRDefault="00DA17B4" w:rsidP="00346A64">
            <w:pPr>
              <w:pStyle w:val="Odstavecseseznamem"/>
              <w:spacing w:line="276" w:lineRule="auto"/>
              <w:ind w:left="0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>Podporované aktivity budou prováděny za účelem naplnění vytyčených cílů OP JAK, resp. výše uvedených výsledků intervencí. Součástí relevantních aktivit budou také aktivity zaměřené průřezově na dokončení a přípravu jiných programových období v gesci MŠMT; tyto činnosti jsou integrální součástí všech výše uvedených výsledků intervencí. Zmíněná agenda bude v celé své šíři v tomto smyslu zajištěna průřezově nad rámec jednotlivých specifických výsledků.</w:t>
            </w:r>
          </w:p>
          <w:p w:rsidR="00DA17B4" w:rsidRPr="00B175FB" w:rsidRDefault="00DA17B4" w:rsidP="00346A64">
            <w:pPr>
              <w:spacing w:line="276" w:lineRule="auto"/>
              <w:jc w:val="both"/>
              <w:rPr>
                <w:sz w:val="22"/>
              </w:rPr>
            </w:pPr>
            <w:r w:rsidRPr="00B175FB">
              <w:rPr>
                <w:sz w:val="22"/>
              </w:rPr>
              <w:t>Jedním ze zásadních ukazatelů řádného fungování relevantních procesů ŘO OP JAK je plnění tzv. pravidla N+</w:t>
            </w:r>
            <w:r>
              <w:rPr>
                <w:sz w:val="22"/>
              </w:rPr>
              <w:t>3/</w:t>
            </w:r>
            <w:r w:rsidRPr="00B175FB">
              <w:rPr>
                <w:sz w:val="22"/>
              </w:rPr>
              <w:t>2 definovaného obecn</w:t>
            </w:r>
            <w:r>
              <w:rPr>
                <w:sz w:val="22"/>
              </w:rPr>
              <w:t>ým</w:t>
            </w:r>
            <w:r w:rsidRPr="00B175FB">
              <w:rPr>
                <w:sz w:val="22"/>
              </w:rPr>
              <w:t xml:space="preserve"> nařízení</w:t>
            </w:r>
            <w:r>
              <w:rPr>
                <w:sz w:val="22"/>
              </w:rPr>
              <w:t>m</w:t>
            </w:r>
            <w:r w:rsidRPr="00B175FB">
              <w:rPr>
                <w:sz w:val="22"/>
              </w:rPr>
              <w:t xml:space="preserve">. Z tohoto důvodu </w:t>
            </w:r>
            <w:r>
              <w:rPr>
                <w:sz w:val="22"/>
              </w:rPr>
              <w:t xml:space="preserve">bude </w:t>
            </w:r>
            <w:r w:rsidRPr="00B175FB">
              <w:rPr>
                <w:sz w:val="22"/>
              </w:rPr>
              <w:t>probíh</w:t>
            </w:r>
            <w:r w:rsidR="00264DAD">
              <w:rPr>
                <w:sz w:val="22"/>
              </w:rPr>
              <w:t>at</w:t>
            </w:r>
            <w:r w:rsidRPr="00B175FB">
              <w:rPr>
                <w:sz w:val="22"/>
              </w:rPr>
              <w:t xml:space="preserve"> financování TP v souladu s čl. </w:t>
            </w:r>
            <w:r>
              <w:rPr>
                <w:sz w:val="22"/>
              </w:rPr>
              <w:t>48</w:t>
            </w:r>
            <w:r w:rsidRPr="00B175FB">
              <w:rPr>
                <w:sz w:val="22"/>
              </w:rPr>
              <w:t xml:space="preserve"> obecného nařízení prostřednictvím jednorázové částky.</w:t>
            </w:r>
          </w:p>
          <w:p w:rsidR="00DA17B4" w:rsidRPr="00B175FB" w:rsidRDefault="00DA17B4" w:rsidP="00346A64">
            <w:pPr>
              <w:spacing w:line="276" w:lineRule="auto"/>
              <w:rPr>
                <w:b/>
                <w:sz w:val="22"/>
              </w:rPr>
            </w:pPr>
            <w:r w:rsidRPr="00B175FB">
              <w:rPr>
                <w:b/>
                <w:sz w:val="22"/>
              </w:rPr>
              <w:t>Mezi podporované aktivity patří zejména:</w:t>
            </w:r>
          </w:p>
          <w:p w:rsidR="00DA17B4" w:rsidRPr="00B175FB" w:rsidRDefault="00DA17B4" w:rsidP="00346A64">
            <w:pPr>
              <w:spacing w:line="276" w:lineRule="auto"/>
              <w:rPr>
                <w:sz w:val="22"/>
              </w:rPr>
            </w:pPr>
            <w:r w:rsidRPr="00B175FB">
              <w:rPr>
                <w:sz w:val="22"/>
              </w:rPr>
              <w:t xml:space="preserve">Administrativní kapacita  </w:t>
            </w:r>
          </w:p>
          <w:p w:rsidR="00DA17B4" w:rsidRPr="00B175FB" w:rsidRDefault="00DA17B4" w:rsidP="00346A64">
            <w:pPr>
              <w:pStyle w:val="Odstavecseseznamem"/>
              <w:numPr>
                <w:ilvl w:val="0"/>
                <w:numId w:val="86"/>
              </w:numPr>
              <w:spacing w:after="160" w:line="276" w:lineRule="auto"/>
              <w:ind w:left="720"/>
              <w:jc w:val="both"/>
              <w:rPr>
                <w:rFonts w:cs="Times New Roman"/>
                <w:b/>
                <w:sz w:val="22"/>
              </w:rPr>
            </w:pPr>
            <w:r w:rsidRPr="00B175FB">
              <w:rPr>
                <w:rFonts w:cs="Times New Roman"/>
                <w:sz w:val="22"/>
              </w:rPr>
              <w:t>Administrativní kapacita zahrnuje veškeré zaměstnance MŠMT ve služebním i pracovním poměru, jež jsou v souladu s platnou a účinnou systemizací MŠMT hrazeni plně či z části z prostředků TP.</w:t>
            </w:r>
            <w:r w:rsidRPr="00B175FB">
              <w:rPr>
                <w:rStyle w:val="Znakapoznpodarou"/>
                <w:sz w:val="22"/>
              </w:rPr>
              <w:footnoteReference w:id="85"/>
            </w:r>
          </w:p>
          <w:p w:rsidR="00DA17B4" w:rsidRPr="00B175FB" w:rsidRDefault="00DA17B4" w:rsidP="00346A64">
            <w:pPr>
              <w:pStyle w:val="Odstavecseseznamem"/>
              <w:numPr>
                <w:ilvl w:val="0"/>
                <w:numId w:val="86"/>
              </w:numPr>
              <w:spacing w:after="160" w:line="276" w:lineRule="auto"/>
              <w:ind w:left="720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>Administrativní kapacita a stabilizace pracovních týmů tvořících společně implementační strukturu (včetně dokončení a přípravy jiných programových období) spočívá zejména v úhradě mezd a platů a odměn z dohod včetně souvisejících odvodů a v úhradě ostatních osobních výdajů vyplývajících z pracovněprávní legislativy, kolektivní smlouvy či interních předpisů a též finanční a nefinanční motivace.</w:t>
            </w:r>
          </w:p>
          <w:p w:rsidR="001D19E0" w:rsidRDefault="00DA17B4" w:rsidP="00346A64">
            <w:pPr>
              <w:pStyle w:val="Odstavecseseznamem"/>
              <w:numPr>
                <w:ilvl w:val="0"/>
                <w:numId w:val="86"/>
              </w:numPr>
              <w:spacing w:after="160" w:line="276" w:lineRule="auto"/>
              <w:ind w:left="720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>Podpora stabilizace administrativní kapacity, která zároveň přispěje k plnění tzv. horizontálních principů (např. náklady spojené se slaďováním rodinného a osobního života s výkonem služby/práce).</w:t>
            </w:r>
          </w:p>
          <w:p w:rsidR="00DA17B4" w:rsidRPr="00B175FB" w:rsidRDefault="00DA17B4" w:rsidP="00346A64">
            <w:pPr>
              <w:pStyle w:val="Odstavecseseznamem"/>
              <w:numPr>
                <w:ilvl w:val="0"/>
                <w:numId w:val="86"/>
              </w:numPr>
              <w:spacing w:after="160" w:line="276" w:lineRule="auto"/>
              <w:ind w:left="720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>Zajištění a úhrada zahraničních a tuzemských cest pro potřeby administrativní kapacity a další aktivity zajišťující podporu administrativní kapacity (např. náklady na výroční setkání či výjezdní zasedání apod.).</w:t>
            </w:r>
          </w:p>
          <w:p w:rsidR="00DA17B4" w:rsidRPr="00B175FB" w:rsidRDefault="00DA17B4" w:rsidP="00346A64">
            <w:pPr>
              <w:pStyle w:val="Odstavecseseznamem"/>
              <w:numPr>
                <w:ilvl w:val="0"/>
                <w:numId w:val="85"/>
              </w:numPr>
              <w:spacing w:after="160" w:line="276" w:lineRule="auto"/>
              <w:ind w:left="720"/>
              <w:jc w:val="both"/>
              <w:rPr>
                <w:rFonts w:cs="Times New Roman"/>
                <w:b/>
                <w:sz w:val="22"/>
              </w:rPr>
            </w:pPr>
            <w:r w:rsidRPr="00B175FB">
              <w:rPr>
                <w:rFonts w:cs="Times New Roman"/>
                <w:sz w:val="22"/>
              </w:rPr>
              <w:t>Zvyšování kvalifikace a odbornosti administrativní kapacity (např. školení, workshopy či semináře, konference, odborné publikace a další studijní materiály). V rámci TP bude realizováno vzdělávání relevantní pro implementaci OP JAK.</w:t>
            </w:r>
          </w:p>
          <w:p w:rsidR="00DA17B4" w:rsidRPr="00B175FB" w:rsidRDefault="00DA17B4" w:rsidP="00346A64">
            <w:pPr>
              <w:spacing w:line="276" w:lineRule="auto"/>
              <w:rPr>
                <w:sz w:val="22"/>
              </w:rPr>
            </w:pPr>
            <w:r w:rsidRPr="00B175FB">
              <w:rPr>
                <w:sz w:val="22"/>
              </w:rPr>
              <w:t>Řízení programu a zajištění souvisejících procesů</w:t>
            </w:r>
            <w:r w:rsidRPr="00B175FB" w:rsidDel="001538C4">
              <w:rPr>
                <w:sz w:val="22"/>
              </w:rPr>
              <w:t xml:space="preserve"> </w:t>
            </w:r>
          </w:p>
          <w:p w:rsidR="00DA17B4" w:rsidRPr="00B175FB" w:rsidRDefault="00DA17B4" w:rsidP="00346A64">
            <w:pPr>
              <w:pStyle w:val="Odstavecseseznamem"/>
              <w:numPr>
                <w:ilvl w:val="0"/>
                <w:numId w:val="86"/>
              </w:numPr>
              <w:spacing w:after="160" w:line="276" w:lineRule="auto"/>
              <w:ind w:left="720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>Zajištění odpovídajícího prostředí pro realizaci všech procesů definovaných v Operačním manuálu, např. procesu přípravy a vyhlášení výzvy, procesu výběru operací (včetně personálního zajištění externí odborné hodnotitelské činnosti a úhradu s tím souvisejících osobních i dalších výdajů), procesu realizace projektů včetně procesu administrativního ověření, kontrol na místě a </w:t>
            </w:r>
            <w:r w:rsidR="000F475B">
              <w:rPr>
                <w:rFonts w:cs="Times New Roman"/>
                <w:sz w:val="22"/>
              </w:rPr>
              <w:t>autorizace</w:t>
            </w:r>
            <w:r w:rsidRPr="00B175FB">
              <w:rPr>
                <w:rFonts w:cs="Times New Roman"/>
                <w:sz w:val="22"/>
              </w:rPr>
              <w:t>.</w:t>
            </w:r>
          </w:p>
          <w:p w:rsidR="00DA17B4" w:rsidRPr="00B175FB" w:rsidRDefault="00DA17B4" w:rsidP="00346A64">
            <w:pPr>
              <w:pStyle w:val="Odstavecseseznamem"/>
              <w:numPr>
                <w:ilvl w:val="0"/>
                <w:numId w:val="86"/>
              </w:numPr>
              <w:spacing w:after="160" w:line="276" w:lineRule="auto"/>
              <w:ind w:left="720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 xml:space="preserve">Tvorba, vydání a aktualizace dokumentace zejména metodického charakteru (např. pravidel, postupů, pokynů či doporučení) zajišťujících řádnou implementaci v návaznosti na tzv. Jednotný národní rámec či relevantní legislativu na úrovni národní i evropské. </w:t>
            </w:r>
          </w:p>
          <w:p w:rsidR="00DA17B4" w:rsidRPr="00B175FB" w:rsidRDefault="00DA17B4" w:rsidP="00346A64">
            <w:pPr>
              <w:pStyle w:val="Odstavecseseznamem"/>
              <w:numPr>
                <w:ilvl w:val="0"/>
                <w:numId w:val="86"/>
              </w:numPr>
              <w:spacing w:after="160" w:line="276" w:lineRule="auto"/>
              <w:ind w:left="720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 xml:space="preserve">Aktivity přispívající ke snižování administrativní zátěže na straně žadatelů/příjemců (zejména podpora činností zajišťujících zjednodušenou administraci formou typizovaných projektů, podpora jednotného metodického prostředí především v oblasti přípravy řádných a včasných podmínek pro realizaci projektů, interních metodik, příruček a pokynů pro žadatele, příjemce). </w:t>
            </w:r>
          </w:p>
          <w:p w:rsidR="00DA17B4" w:rsidRPr="00B175FB" w:rsidRDefault="00DA17B4" w:rsidP="00346A64">
            <w:pPr>
              <w:pStyle w:val="Odstavecseseznamem"/>
              <w:numPr>
                <w:ilvl w:val="0"/>
                <w:numId w:val="86"/>
              </w:numPr>
              <w:spacing w:after="160" w:line="276" w:lineRule="auto"/>
              <w:ind w:left="720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>Zpracování odborných expertíz, analýz, studií, evaluací a metodik pro nastavení či posouzení funkčnosti a efektivnosti systémů řízení, kontroly, pravidel a postupů realizace pro jednotlivé fáze implementace.</w:t>
            </w:r>
          </w:p>
          <w:p w:rsidR="00DA17B4" w:rsidRPr="00B175FB" w:rsidRDefault="00DA17B4" w:rsidP="00346A64">
            <w:pPr>
              <w:pStyle w:val="Odstavecseseznamem"/>
              <w:numPr>
                <w:ilvl w:val="0"/>
                <w:numId w:val="86"/>
              </w:numPr>
              <w:spacing w:after="160" w:line="276" w:lineRule="auto"/>
              <w:ind w:left="720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 xml:space="preserve">Zajištění protikorupčních mechanizmů. Využití systému ARACHNE a aplikace protikorupčních mechanizmů ve všech úrovních implementace. </w:t>
            </w:r>
          </w:p>
          <w:p w:rsidR="00DA17B4" w:rsidRPr="00B175FB" w:rsidRDefault="00DA17B4" w:rsidP="00346A64">
            <w:pPr>
              <w:pStyle w:val="Odstavecseseznamem"/>
              <w:numPr>
                <w:ilvl w:val="0"/>
                <w:numId w:val="86"/>
              </w:numPr>
              <w:spacing w:after="160" w:line="276" w:lineRule="auto"/>
              <w:ind w:left="720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>Zajištění veškerých pracovních jednání a akcí souvisejících s řízením programu či podporou absorpční kapacity (např. monitorovací výbor, plánovací komise programu, hodnotitelské komise, školení hodnotitelů, semináře pro žadatele/příjemce a další související pracovní skupiny).</w:t>
            </w:r>
          </w:p>
          <w:p w:rsidR="00DA17B4" w:rsidRPr="00B175FB" w:rsidRDefault="00DA17B4" w:rsidP="00346A64">
            <w:pPr>
              <w:pStyle w:val="Odstavecseseznamem"/>
              <w:numPr>
                <w:ilvl w:val="0"/>
                <w:numId w:val="86"/>
              </w:numPr>
              <w:spacing w:after="160" w:line="276" w:lineRule="auto"/>
              <w:ind w:left="720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>Zajištění plynulého průběhu ukončování a vyhodnocení předchozích programových období v gesci MŠMT a také provádění aktivit souvisejících s přípravou a zahájením realizace dalšího programového období.</w:t>
            </w:r>
          </w:p>
          <w:p w:rsidR="00DA17B4" w:rsidRPr="00B175FB" w:rsidRDefault="00DA17B4" w:rsidP="00346A64">
            <w:pPr>
              <w:tabs>
                <w:tab w:val="left" w:pos="5760"/>
              </w:tabs>
              <w:spacing w:line="276" w:lineRule="auto"/>
              <w:rPr>
                <w:sz w:val="22"/>
              </w:rPr>
            </w:pPr>
            <w:r w:rsidRPr="00B175FB">
              <w:rPr>
                <w:sz w:val="22"/>
              </w:rPr>
              <w:t>Technické zajištění</w:t>
            </w:r>
            <w:r w:rsidRPr="00B175FB">
              <w:rPr>
                <w:sz w:val="22"/>
              </w:rPr>
              <w:tab/>
            </w:r>
          </w:p>
          <w:p w:rsidR="00DA17B4" w:rsidRPr="00B175FB" w:rsidRDefault="00DA17B4" w:rsidP="00346A64">
            <w:pPr>
              <w:pStyle w:val="Odstavecseseznamem"/>
              <w:numPr>
                <w:ilvl w:val="0"/>
                <w:numId w:val="86"/>
              </w:numPr>
              <w:spacing w:after="160" w:line="276" w:lineRule="auto"/>
              <w:ind w:left="720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 xml:space="preserve">Zajištění potřebného nebytového prostoru včetně souvisejícího zázemí pro implementační strukturu. </w:t>
            </w:r>
          </w:p>
          <w:p w:rsidR="00DA17B4" w:rsidRPr="00B175FB" w:rsidRDefault="00DA17B4" w:rsidP="00346A64">
            <w:pPr>
              <w:pStyle w:val="Odstavecseseznamem"/>
              <w:numPr>
                <w:ilvl w:val="0"/>
                <w:numId w:val="86"/>
              </w:numPr>
              <w:spacing w:after="160" w:line="276" w:lineRule="auto"/>
              <w:ind w:left="720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 xml:space="preserve">Pořizování a obnova technického vybavení pro implementační strukturu. </w:t>
            </w:r>
          </w:p>
          <w:p w:rsidR="00DA17B4" w:rsidRPr="00B175FB" w:rsidRDefault="00DA17B4" w:rsidP="00346A64">
            <w:pPr>
              <w:pStyle w:val="Odstavecseseznamem"/>
              <w:numPr>
                <w:ilvl w:val="0"/>
                <w:numId w:val="86"/>
              </w:numPr>
              <w:spacing w:after="160" w:line="276" w:lineRule="auto"/>
              <w:ind w:left="720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 xml:space="preserve">Služby a materiál pro zajištění odpovídajícího pracovního prostředí a uspokojování relevantních požadavků implementační struktury. </w:t>
            </w:r>
          </w:p>
          <w:p w:rsidR="00DA17B4" w:rsidRPr="00B175FB" w:rsidRDefault="00DA17B4" w:rsidP="00346A64">
            <w:pPr>
              <w:pStyle w:val="Odstavecseseznamem"/>
              <w:numPr>
                <w:ilvl w:val="0"/>
                <w:numId w:val="86"/>
              </w:numPr>
              <w:spacing w:after="160" w:line="276" w:lineRule="auto"/>
              <w:ind w:left="720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>Pořizování, zajišťování rozvoje a technické podpory vnitřních provozních informačních systémů a aplikací.</w:t>
            </w:r>
          </w:p>
          <w:p w:rsidR="00DA17B4" w:rsidRPr="00B175FB" w:rsidRDefault="00DA17B4" w:rsidP="00346A64">
            <w:pPr>
              <w:pStyle w:val="Odstavecseseznamem"/>
              <w:numPr>
                <w:ilvl w:val="0"/>
                <w:numId w:val="86"/>
              </w:numPr>
              <w:spacing w:after="160" w:line="276" w:lineRule="auto"/>
              <w:ind w:left="720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>Pořizování hmotného a nehmotného majetku investičního charakteru.</w:t>
            </w:r>
          </w:p>
          <w:p w:rsidR="00DA17B4" w:rsidRPr="00B175FB" w:rsidRDefault="00DA17B4" w:rsidP="00346A64">
            <w:pPr>
              <w:spacing w:line="276" w:lineRule="auto"/>
              <w:rPr>
                <w:sz w:val="22"/>
              </w:rPr>
            </w:pPr>
            <w:r w:rsidRPr="00B175FB">
              <w:rPr>
                <w:sz w:val="22"/>
              </w:rPr>
              <w:t>Komunikace a viditelnost</w:t>
            </w:r>
          </w:p>
          <w:p w:rsidR="00DA17B4" w:rsidRPr="00B175FB" w:rsidRDefault="00DA17B4" w:rsidP="00346A64">
            <w:pPr>
              <w:pStyle w:val="Odstavecseseznamem"/>
              <w:numPr>
                <w:ilvl w:val="0"/>
                <w:numId w:val="86"/>
              </w:numPr>
              <w:spacing w:after="160" w:line="276" w:lineRule="auto"/>
              <w:ind w:left="720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>Zajištění externích i interních komunikačních a informačních aktivit směrem k odborné i široké veřejnosti vedoucích ke zlepšení povědomí a znalosti o OP JAK a evropských fondech včetně popularizace výstupů a dopadů realizace OP JAK i předchozích programů v gesci MŠMT (např.</w:t>
            </w:r>
            <w:r>
              <w:rPr>
                <w:rFonts w:cs="Times New Roman"/>
                <w:sz w:val="22"/>
              </w:rPr>
              <w:t xml:space="preserve"> </w:t>
            </w:r>
            <w:r w:rsidRPr="00B175FB">
              <w:rPr>
                <w:rFonts w:cs="Times New Roman"/>
                <w:sz w:val="22"/>
              </w:rPr>
              <w:t xml:space="preserve">mediální kampaň, veletrhy, výstavy, soutěže apod.). </w:t>
            </w:r>
          </w:p>
          <w:p w:rsidR="00DA17B4" w:rsidRPr="00B175FB" w:rsidRDefault="00DA17B4" w:rsidP="00346A64">
            <w:pPr>
              <w:pStyle w:val="Odstavecseseznamem"/>
              <w:numPr>
                <w:ilvl w:val="0"/>
                <w:numId w:val="86"/>
              </w:numPr>
              <w:spacing w:after="160" w:line="276" w:lineRule="auto"/>
              <w:ind w:left="720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>Zajištění včasných, komplexních a přehledných informací, jež přispějí k podpoře absorpční kapacity (např. vlastní webové stránky, publikační tiskoviny apod.).</w:t>
            </w:r>
          </w:p>
          <w:p w:rsidR="00DA17B4" w:rsidRPr="00B175FB" w:rsidRDefault="00DA17B4" w:rsidP="00346A64">
            <w:pPr>
              <w:pStyle w:val="Odstavecseseznamem"/>
              <w:numPr>
                <w:ilvl w:val="0"/>
                <w:numId w:val="86"/>
              </w:numPr>
              <w:spacing w:after="160" w:line="276" w:lineRule="auto"/>
              <w:ind w:left="720"/>
              <w:jc w:val="both"/>
              <w:rPr>
                <w:rFonts w:cs="Times New Roman"/>
                <w:sz w:val="22"/>
              </w:rPr>
            </w:pPr>
            <w:r w:rsidRPr="00B175FB">
              <w:rPr>
                <w:rFonts w:cs="Times New Roman"/>
                <w:sz w:val="22"/>
              </w:rPr>
              <w:t>Pořizování, zajišťování rozvoje a technické podpory vnějších informačních systémů a aplikací zabezpečující komunikační prostředek mezi ŘO OP JAK a veřejností.</w:t>
            </w:r>
          </w:p>
          <w:p w:rsidR="00DA17B4" w:rsidRPr="00B175FB" w:rsidRDefault="00DA17B4" w:rsidP="00346A64">
            <w:pPr>
              <w:pStyle w:val="Odstavecseseznamem"/>
              <w:numPr>
                <w:ilvl w:val="0"/>
                <w:numId w:val="86"/>
              </w:numPr>
              <w:spacing w:after="160" w:line="276" w:lineRule="auto"/>
              <w:ind w:left="720"/>
              <w:jc w:val="both"/>
            </w:pPr>
            <w:r w:rsidRPr="00B175FB">
              <w:rPr>
                <w:rFonts w:cs="Times New Roman"/>
                <w:sz w:val="22"/>
              </w:rPr>
              <w:t>Bližší informace jsou uvedeny v kapitole 7 Komunikace a viditelnost.</w:t>
            </w:r>
          </w:p>
        </w:tc>
      </w:tr>
    </w:tbl>
    <w:p w:rsidR="00DA17B4" w:rsidRPr="00B175FB" w:rsidRDefault="00DA17B4" w:rsidP="00DA17B4">
      <w:pPr>
        <w:rPr>
          <w:rFonts w:eastAsia="Times New Roman"/>
          <w:i/>
          <w:iCs/>
          <w:noProof/>
          <w:szCs w:val="24"/>
        </w:rPr>
      </w:pPr>
      <w:r w:rsidRPr="00B175FB">
        <w:rPr>
          <w:rFonts w:eastAsia="Times New Roman"/>
          <w:b/>
          <w:i/>
          <w:noProof/>
          <w:szCs w:val="24"/>
        </w:rPr>
        <w:t>Hlavní cílové skupiny</w:t>
      </w:r>
      <w:r w:rsidRPr="00B175FB">
        <w:rPr>
          <w:rFonts w:eastAsia="Times New Roman"/>
          <w:i/>
          <w:noProof/>
          <w:szCs w:val="24"/>
        </w:rPr>
        <w:t xml:space="preserve"> </w:t>
      </w:r>
    </w:p>
    <w:p w:rsidR="00DA17B4" w:rsidRPr="00B175FB" w:rsidRDefault="00DA17B4" w:rsidP="00DA17B4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276" w:lineRule="auto"/>
        <w:ind w:left="0"/>
        <w:jc w:val="both"/>
        <w:rPr>
          <w:rFonts w:eastAsia="Times New Roman" w:cs="Times New Roman"/>
          <w:b/>
          <w:sz w:val="22"/>
        </w:rPr>
      </w:pPr>
      <w:r w:rsidRPr="00B175FB">
        <w:rPr>
          <w:rFonts w:eastAsia="Times New Roman" w:cs="Times New Roman"/>
          <w:b/>
          <w:sz w:val="22"/>
        </w:rPr>
        <w:t xml:space="preserve">Hlavními cílovými skupinami jsou: </w:t>
      </w:r>
    </w:p>
    <w:p w:rsidR="00DA17B4" w:rsidRPr="00B175FB" w:rsidRDefault="00DA17B4" w:rsidP="00DA17B4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276" w:lineRule="auto"/>
        <w:jc w:val="both"/>
        <w:rPr>
          <w:rFonts w:eastAsia="Times New Roman" w:cs="Times New Roman"/>
          <w:sz w:val="22"/>
        </w:rPr>
      </w:pPr>
      <w:r w:rsidRPr="00B175FB">
        <w:rPr>
          <w:rFonts w:eastAsia="Times New Roman" w:cs="Times New Roman"/>
          <w:sz w:val="22"/>
        </w:rPr>
        <w:t>pracovníci (všichni zaměstnanci v jakémkoliv pracovněprávním vztahu/služebním poměru) ŘO OP JAK;</w:t>
      </w:r>
    </w:p>
    <w:p w:rsidR="00DA17B4" w:rsidRPr="00B175FB" w:rsidRDefault="00DA17B4" w:rsidP="00DA17B4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276" w:lineRule="auto"/>
        <w:jc w:val="both"/>
        <w:rPr>
          <w:rFonts w:eastAsia="Times New Roman" w:cs="Times New Roman"/>
          <w:sz w:val="22"/>
        </w:rPr>
      </w:pPr>
      <w:r w:rsidRPr="00B175FB">
        <w:rPr>
          <w:rFonts w:eastAsia="Times New Roman" w:cs="Times New Roman"/>
          <w:sz w:val="22"/>
        </w:rPr>
        <w:t>další pracovníci podílející se na implementaci operačních programů v gesci MŠMT;</w:t>
      </w:r>
    </w:p>
    <w:p w:rsidR="00DA17B4" w:rsidRPr="00B175FB" w:rsidRDefault="00DA17B4" w:rsidP="00DA17B4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276" w:lineRule="auto"/>
        <w:jc w:val="both"/>
        <w:rPr>
          <w:rFonts w:eastAsia="Times New Roman" w:cs="Times New Roman"/>
          <w:sz w:val="22"/>
        </w:rPr>
      </w:pPr>
      <w:r w:rsidRPr="00B175FB">
        <w:rPr>
          <w:rFonts w:eastAsia="Times New Roman" w:cs="Times New Roman"/>
          <w:sz w:val="22"/>
        </w:rPr>
        <w:t>členové pracovních platforem (včetně monitorovacích výborů) definovaných Operačním manuálem OP JAK;</w:t>
      </w:r>
    </w:p>
    <w:p w:rsidR="00DA17B4" w:rsidRPr="00B175FB" w:rsidRDefault="00DA17B4" w:rsidP="00DA17B4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276" w:lineRule="auto"/>
        <w:jc w:val="both"/>
        <w:rPr>
          <w:rFonts w:eastAsia="Times New Roman" w:cs="Times New Roman"/>
          <w:sz w:val="22"/>
        </w:rPr>
      </w:pPr>
      <w:r w:rsidRPr="00B175FB">
        <w:rPr>
          <w:rFonts w:eastAsia="Times New Roman" w:cs="Times New Roman"/>
          <w:sz w:val="22"/>
        </w:rPr>
        <w:t>odborná i široká veřejnost;</w:t>
      </w:r>
    </w:p>
    <w:p w:rsidR="00DA17B4" w:rsidRPr="00B175FB" w:rsidRDefault="00DA17B4" w:rsidP="00DA17B4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276" w:lineRule="auto"/>
        <w:jc w:val="both"/>
        <w:rPr>
          <w:rFonts w:eastAsia="Times New Roman" w:cs="Times New Roman"/>
          <w:sz w:val="22"/>
        </w:rPr>
      </w:pPr>
      <w:r w:rsidRPr="00B175FB">
        <w:rPr>
          <w:rFonts w:eastAsia="Times New Roman" w:cs="Times New Roman"/>
          <w:sz w:val="22"/>
        </w:rPr>
        <w:t xml:space="preserve">zástupci (i potenciálních) žadatelů a příjemců podpory; </w:t>
      </w:r>
    </w:p>
    <w:p w:rsidR="00DA17B4" w:rsidRPr="00B175FB" w:rsidRDefault="00DA17B4" w:rsidP="00DA17B4">
      <w:pPr>
        <w:pStyle w:val="Odstavecseseznamem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276" w:lineRule="auto"/>
        <w:jc w:val="both"/>
        <w:rPr>
          <w:rFonts w:eastAsia="Times New Roman"/>
          <w:bCs/>
          <w:i/>
          <w:noProof/>
          <w:sz w:val="22"/>
        </w:rPr>
      </w:pPr>
      <w:r w:rsidRPr="00B175FB">
        <w:rPr>
          <w:rFonts w:eastAsia="Times New Roman" w:cs="Times New Roman"/>
          <w:sz w:val="22"/>
        </w:rPr>
        <w:t xml:space="preserve">zástupci externích partnerů, kteří jsou zapojeni do předchozích programových období a do přípravy dalšího programového období. </w:t>
      </w:r>
    </w:p>
    <w:p w:rsidR="00DA17B4" w:rsidRDefault="00DA17B4" w:rsidP="00DA17B4">
      <w:pPr>
        <w:pStyle w:val="Nadpis4"/>
        <w:numPr>
          <w:ilvl w:val="0"/>
          <w:numId w:val="0"/>
        </w:numPr>
        <w:rPr>
          <w:rFonts w:eastAsia="Times New Roman"/>
          <w:i/>
          <w:strike/>
          <w:noProof/>
          <w:sz w:val="22"/>
          <w:lang w:val="cs-CZ"/>
        </w:rPr>
      </w:pPr>
    </w:p>
    <w:p w:rsidR="00DA17B4" w:rsidRPr="00775F0C" w:rsidRDefault="00DA17B4" w:rsidP="001E3935">
      <w:pPr>
        <w:pStyle w:val="Nadpis4"/>
        <w:rPr>
          <w:b/>
          <w:color w:val="1F4E79" w:themeColor="accent5" w:themeShade="80"/>
          <w:lang w:val="cs-CZ" w:eastAsia="cs-CZ" w:bidi="cs-CZ"/>
        </w:rPr>
      </w:pPr>
      <w:bookmarkStart w:id="230" w:name="_Toc66476073"/>
      <w:bookmarkStart w:id="231" w:name="_Toc68611031"/>
      <w:bookmarkStart w:id="232" w:name="_Hlk66718980"/>
      <w:r w:rsidRPr="00775F0C">
        <w:rPr>
          <w:b/>
          <w:color w:val="1F4E79" w:themeColor="accent5" w:themeShade="80"/>
          <w:lang w:val="cs-CZ" w:eastAsia="cs-CZ" w:bidi="cs-CZ"/>
        </w:rPr>
        <w:t>Ukazatel</w:t>
      </w:r>
      <w:r w:rsidR="005B64A1">
        <w:rPr>
          <w:b/>
          <w:color w:val="1F4E79" w:themeColor="accent5" w:themeShade="80"/>
          <w:lang w:val="cs-CZ" w:eastAsia="cs-CZ" w:bidi="cs-CZ"/>
        </w:rPr>
        <w:t>e</w:t>
      </w:r>
      <w:bookmarkEnd w:id="230"/>
      <w:bookmarkEnd w:id="231"/>
    </w:p>
    <w:p w:rsidR="00FB6F5C" w:rsidRPr="00B169F0" w:rsidRDefault="00FB6F5C" w:rsidP="00FB6F5C">
      <w:pPr>
        <w:pStyle w:val="Titulek"/>
        <w:rPr>
          <w:rFonts w:ascii="Times New Roman" w:hAnsi="Times New Roman" w:cs="Times New Roman"/>
          <w:szCs w:val="22"/>
        </w:rPr>
      </w:pPr>
      <w:bookmarkStart w:id="233" w:name="_Toc66346581"/>
      <w:bookmarkStart w:id="234" w:name="_Hlk66719066"/>
      <w:r w:rsidRPr="00B169F0">
        <w:rPr>
          <w:rFonts w:ascii="Times New Roman" w:hAnsi="Times New Roman" w:cs="Times New Roman"/>
          <w:szCs w:val="22"/>
        </w:rPr>
        <w:t xml:space="preserve">Tabulka </w:t>
      </w:r>
      <w:r w:rsidRPr="00B169F0">
        <w:rPr>
          <w:rFonts w:ascii="Times New Roman" w:hAnsi="Times New Roman" w:cs="Times New Roman"/>
          <w:szCs w:val="22"/>
        </w:rPr>
        <w:fldChar w:fldCharType="begin"/>
      </w:r>
      <w:r w:rsidRPr="00B169F0">
        <w:rPr>
          <w:rFonts w:ascii="Times New Roman" w:hAnsi="Times New Roman" w:cs="Times New Roman"/>
          <w:szCs w:val="22"/>
        </w:rPr>
        <w:instrText xml:space="preserve"> SEQ Tabulka \* ARABIC </w:instrText>
      </w:r>
      <w:r w:rsidRPr="00B169F0">
        <w:rPr>
          <w:rFonts w:ascii="Times New Roman" w:hAnsi="Times New Roman" w:cs="Times New Roman"/>
          <w:szCs w:val="22"/>
        </w:rPr>
        <w:fldChar w:fldCharType="separate"/>
      </w:r>
      <w:r w:rsidR="00D52090">
        <w:rPr>
          <w:rFonts w:ascii="Times New Roman" w:hAnsi="Times New Roman" w:cs="Times New Roman"/>
          <w:noProof/>
          <w:szCs w:val="22"/>
        </w:rPr>
        <w:t>45</w:t>
      </w:r>
      <w:r w:rsidRPr="00B169F0">
        <w:rPr>
          <w:rFonts w:ascii="Times New Roman" w:hAnsi="Times New Roman" w:cs="Times New Roman"/>
          <w:szCs w:val="22"/>
        </w:rPr>
        <w:fldChar w:fldCharType="end"/>
      </w:r>
      <w:r w:rsidRPr="00B169F0">
        <w:rPr>
          <w:rFonts w:ascii="Times New Roman" w:hAnsi="Times New Roman" w:cs="Times New Roman"/>
          <w:szCs w:val="22"/>
        </w:rPr>
        <w:t>: Ukazatel</w:t>
      </w:r>
      <w:r w:rsidR="005B64A1">
        <w:rPr>
          <w:rFonts w:ascii="Times New Roman" w:hAnsi="Times New Roman" w:cs="Times New Roman"/>
          <w:szCs w:val="22"/>
        </w:rPr>
        <w:t>e</w:t>
      </w:r>
      <w:r w:rsidRPr="00B169F0">
        <w:rPr>
          <w:rFonts w:ascii="Times New Roman" w:hAnsi="Times New Roman" w:cs="Times New Roman"/>
          <w:szCs w:val="22"/>
        </w:rPr>
        <w:t xml:space="preserve"> výstupů</w:t>
      </w:r>
      <w:bookmarkEnd w:id="233"/>
    </w:p>
    <w:tbl>
      <w:tblPr>
        <w:tblStyle w:val="Tabulkasmkou4zvraznn1"/>
        <w:tblW w:w="5000" w:type="pct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1E0" w:firstRow="1" w:lastRow="1" w:firstColumn="1" w:lastColumn="1" w:noHBand="0" w:noVBand="0"/>
      </w:tblPr>
      <w:tblGrid>
        <w:gridCol w:w="826"/>
        <w:gridCol w:w="1006"/>
        <w:gridCol w:w="628"/>
        <w:gridCol w:w="976"/>
        <w:gridCol w:w="812"/>
        <w:gridCol w:w="2848"/>
        <w:gridCol w:w="927"/>
        <w:gridCol w:w="909"/>
        <w:gridCol w:w="697"/>
      </w:tblGrid>
      <w:tr w:rsidR="00D70DB0" w:rsidRPr="00B175FB" w:rsidTr="00D520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FB6F5C" w:rsidRPr="00D70DB0" w:rsidRDefault="00FB6F5C" w:rsidP="0032415A">
            <w:pPr>
              <w:pStyle w:val="Text1"/>
              <w:ind w:left="0"/>
              <w:jc w:val="center"/>
              <w:rPr>
                <w:noProof/>
                <w:sz w:val="18"/>
                <w:szCs w:val="18"/>
              </w:rPr>
            </w:pPr>
            <w:r w:rsidRPr="00D70DB0">
              <w:rPr>
                <w:noProof/>
                <w:sz w:val="18"/>
                <w:szCs w:val="18"/>
              </w:rPr>
              <w:t>Priorita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FB6F5C" w:rsidRPr="00D70DB0" w:rsidRDefault="00FB6F5C" w:rsidP="0032415A">
            <w:pPr>
              <w:pStyle w:val="Text1"/>
              <w:ind w:left="0"/>
              <w:jc w:val="center"/>
              <w:rPr>
                <w:noProof/>
                <w:sz w:val="18"/>
                <w:szCs w:val="18"/>
              </w:rPr>
            </w:pPr>
            <w:r w:rsidRPr="00D70DB0">
              <w:rPr>
                <w:noProof/>
                <w:sz w:val="18"/>
                <w:szCs w:val="18"/>
              </w:rPr>
              <w:t>Specifický cíl</w:t>
            </w:r>
          </w:p>
        </w:tc>
        <w:tc>
          <w:tcPr>
            <w:tcW w:w="32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FB6F5C" w:rsidRPr="00D70DB0" w:rsidRDefault="00FB6F5C" w:rsidP="0032415A">
            <w:pPr>
              <w:pStyle w:val="Text1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D70DB0">
              <w:rPr>
                <w:noProof/>
                <w:sz w:val="18"/>
                <w:szCs w:val="18"/>
              </w:rPr>
              <w:t>Fond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FB6F5C" w:rsidRPr="00D70DB0" w:rsidRDefault="00FB6F5C" w:rsidP="0032415A">
            <w:pPr>
              <w:pStyle w:val="Text1"/>
              <w:ind w:left="0"/>
              <w:jc w:val="center"/>
              <w:rPr>
                <w:noProof/>
                <w:sz w:val="18"/>
                <w:szCs w:val="18"/>
              </w:rPr>
            </w:pPr>
            <w:r w:rsidRPr="00D70DB0">
              <w:rPr>
                <w:noProof/>
                <w:sz w:val="18"/>
                <w:szCs w:val="18"/>
              </w:rPr>
              <w:t>Kategorie regionu</w:t>
            </w:r>
          </w:p>
        </w:tc>
        <w:tc>
          <w:tcPr>
            <w:tcW w:w="42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FB6F5C" w:rsidRPr="00D70DB0" w:rsidRDefault="00FB6F5C" w:rsidP="0032415A">
            <w:pPr>
              <w:pStyle w:val="Text1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D70DB0">
              <w:rPr>
                <w:noProof/>
                <w:sz w:val="18"/>
                <w:szCs w:val="18"/>
              </w:rPr>
              <w:t>ID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FB6F5C" w:rsidRPr="00D70DB0" w:rsidRDefault="00FB6F5C" w:rsidP="0032415A">
            <w:pPr>
              <w:pStyle w:val="Text1"/>
              <w:ind w:left="0"/>
              <w:jc w:val="center"/>
              <w:rPr>
                <w:noProof/>
                <w:sz w:val="18"/>
                <w:szCs w:val="18"/>
              </w:rPr>
            </w:pPr>
            <w:r w:rsidRPr="00D70DB0">
              <w:rPr>
                <w:noProof/>
                <w:sz w:val="18"/>
                <w:szCs w:val="18"/>
              </w:rPr>
              <w:t>Ukazatel</w:t>
            </w:r>
          </w:p>
        </w:tc>
        <w:tc>
          <w:tcPr>
            <w:tcW w:w="48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FB6F5C" w:rsidRPr="00D70DB0" w:rsidRDefault="00FB6F5C" w:rsidP="0032415A">
            <w:pPr>
              <w:pStyle w:val="Text1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D70DB0">
              <w:rPr>
                <w:noProof/>
                <w:sz w:val="18"/>
                <w:szCs w:val="18"/>
              </w:rPr>
              <w:t>Jednotka měření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</w:tcPr>
          <w:p w:rsidR="00FB6F5C" w:rsidRPr="00D70DB0" w:rsidRDefault="00FB6F5C" w:rsidP="00D70DB0">
            <w:pPr>
              <w:pStyle w:val="Text1"/>
              <w:ind w:left="0"/>
              <w:jc w:val="center"/>
              <w:rPr>
                <w:noProof/>
                <w:sz w:val="18"/>
                <w:szCs w:val="18"/>
              </w:rPr>
            </w:pPr>
            <w:r w:rsidRPr="00D70DB0">
              <w:rPr>
                <w:noProof/>
                <w:sz w:val="18"/>
                <w:szCs w:val="18"/>
              </w:rPr>
              <w:t>Milník (2024)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</w:tcPr>
          <w:p w:rsidR="00FB6F5C" w:rsidRPr="00D70DB0" w:rsidRDefault="00FB6F5C" w:rsidP="00D70DB0">
            <w:pPr>
              <w:pStyle w:val="Text1"/>
              <w:ind w:left="0"/>
              <w:jc w:val="center"/>
              <w:rPr>
                <w:noProof/>
                <w:sz w:val="18"/>
                <w:szCs w:val="18"/>
              </w:rPr>
            </w:pPr>
            <w:r w:rsidRPr="00D70DB0">
              <w:rPr>
                <w:noProof/>
                <w:sz w:val="18"/>
                <w:szCs w:val="18"/>
              </w:rPr>
              <w:t>Cíl (2029)</w:t>
            </w:r>
          </w:p>
        </w:tc>
      </w:tr>
      <w:tr w:rsidR="00D70DB0" w:rsidRPr="00B175FB" w:rsidTr="00D520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</w:tcPr>
          <w:p w:rsidR="00FB6F5C" w:rsidRPr="00D70DB0" w:rsidRDefault="002D1777" w:rsidP="008B66FC">
            <w:pPr>
              <w:pStyle w:val="Text1"/>
              <w:ind w:left="0"/>
              <w:rPr>
                <w:b w:val="0"/>
                <w:noProof/>
                <w:sz w:val="18"/>
                <w:szCs w:val="18"/>
              </w:rPr>
            </w:pPr>
            <w:r w:rsidRPr="00D70DB0">
              <w:rPr>
                <w:b w:val="0"/>
                <w:noProof/>
                <w:sz w:val="18"/>
                <w:szCs w:val="18"/>
              </w:rPr>
              <w:t>P</w:t>
            </w:r>
            <w:r w:rsidR="00653E3F" w:rsidRPr="00D70DB0">
              <w:rPr>
                <w:b w:val="0"/>
                <w:noProof/>
                <w:sz w:val="18"/>
                <w:szCs w:val="18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2" w:type="pct"/>
          </w:tcPr>
          <w:p w:rsidR="00FB6F5C" w:rsidRPr="00D70DB0" w:rsidRDefault="00F44784" w:rsidP="00920735">
            <w:pPr>
              <w:pStyle w:val="Text1"/>
              <w:ind w:left="0"/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4.1</w:t>
            </w:r>
          </w:p>
        </w:tc>
        <w:tc>
          <w:tcPr>
            <w:tcW w:w="326" w:type="pct"/>
          </w:tcPr>
          <w:p w:rsidR="00FB6F5C" w:rsidRPr="00D70DB0" w:rsidRDefault="00653E3F" w:rsidP="008B66FC">
            <w:pPr>
              <w:pStyle w:val="Text1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D70DB0">
              <w:rPr>
                <w:noProof/>
                <w:sz w:val="18"/>
                <w:szCs w:val="18"/>
              </w:rPr>
              <w:t>ESF+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7" w:type="pct"/>
          </w:tcPr>
          <w:p w:rsidR="00FB6F5C" w:rsidRPr="00D70DB0" w:rsidRDefault="00D70DB0" w:rsidP="00920735">
            <w:pPr>
              <w:pStyle w:val="Text1"/>
              <w:ind w:left="0"/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-</w:t>
            </w:r>
          </w:p>
        </w:tc>
        <w:tc>
          <w:tcPr>
            <w:tcW w:w="422" w:type="pct"/>
          </w:tcPr>
          <w:p w:rsidR="00FB6F5C" w:rsidRPr="00D70DB0" w:rsidRDefault="005A2F45" w:rsidP="008B66FC">
            <w:pPr>
              <w:pStyle w:val="Text1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D70DB0">
              <w:rPr>
                <w:sz w:val="18"/>
                <w:szCs w:val="18"/>
              </w:rPr>
              <w:t xml:space="preserve">8 06 00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9" w:type="pct"/>
          </w:tcPr>
          <w:p w:rsidR="00FB6F5C" w:rsidRPr="00D70DB0" w:rsidRDefault="00653E3F" w:rsidP="008B66FC">
            <w:pPr>
              <w:pStyle w:val="Text1"/>
              <w:ind w:left="0"/>
              <w:rPr>
                <w:noProof/>
                <w:sz w:val="18"/>
                <w:szCs w:val="18"/>
              </w:rPr>
            </w:pPr>
            <w:r w:rsidRPr="00D70DB0">
              <w:rPr>
                <w:sz w:val="18"/>
                <w:szCs w:val="18"/>
              </w:rPr>
              <w:t>Počet jednání orgánů, pracovních či poradních skupin jednání</w:t>
            </w:r>
          </w:p>
        </w:tc>
        <w:tc>
          <w:tcPr>
            <w:tcW w:w="481" w:type="pct"/>
          </w:tcPr>
          <w:p w:rsidR="00FB6F5C" w:rsidRPr="00D70DB0" w:rsidRDefault="00920735" w:rsidP="008B66FC">
            <w:pPr>
              <w:pStyle w:val="Text1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="00653E3F" w:rsidRPr="00D70DB0">
              <w:rPr>
                <w:sz w:val="18"/>
                <w:szCs w:val="18"/>
              </w:rPr>
              <w:t>ednání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2" w:type="pct"/>
          </w:tcPr>
          <w:p w:rsidR="00FB6F5C" w:rsidRPr="00D70DB0" w:rsidRDefault="00D70DB0" w:rsidP="00920735">
            <w:pPr>
              <w:pStyle w:val="Text1"/>
              <w:ind w:left="0"/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2" w:type="pct"/>
          </w:tcPr>
          <w:p w:rsidR="00FB6F5C" w:rsidRPr="00D70DB0" w:rsidRDefault="00653E3F" w:rsidP="00920735">
            <w:pPr>
              <w:pStyle w:val="Text1"/>
              <w:ind w:left="0"/>
              <w:jc w:val="right"/>
              <w:rPr>
                <w:b w:val="0"/>
                <w:noProof/>
                <w:sz w:val="18"/>
                <w:szCs w:val="18"/>
              </w:rPr>
            </w:pPr>
            <w:r w:rsidRPr="00D70DB0">
              <w:rPr>
                <w:b w:val="0"/>
                <w:noProof/>
                <w:sz w:val="18"/>
                <w:szCs w:val="18"/>
              </w:rPr>
              <w:t>25</w:t>
            </w:r>
          </w:p>
        </w:tc>
      </w:tr>
      <w:tr w:rsidR="00D70DB0" w:rsidRPr="00B175FB" w:rsidTr="00D5209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tcBorders>
              <w:top w:val="none" w:sz="0" w:space="0" w:color="auto"/>
            </w:tcBorders>
            <w:shd w:val="clear" w:color="auto" w:fill="auto"/>
          </w:tcPr>
          <w:p w:rsidR="00FB6F5C" w:rsidRPr="00D70DB0" w:rsidRDefault="002D1777" w:rsidP="008B66FC">
            <w:pPr>
              <w:pStyle w:val="Text1"/>
              <w:ind w:left="0"/>
              <w:rPr>
                <w:b w:val="0"/>
                <w:noProof/>
                <w:sz w:val="18"/>
                <w:szCs w:val="18"/>
              </w:rPr>
            </w:pPr>
            <w:r w:rsidRPr="00D70DB0">
              <w:rPr>
                <w:b w:val="0"/>
                <w:noProof/>
                <w:sz w:val="18"/>
                <w:szCs w:val="18"/>
              </w:rPr>
              <w:t>P4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2" w:type="pct"/>
            <w:tcBorders>
              <w:top w:val="none" w:sz="0" w:space="0" w:color="auto"/>
            </w:tcBorders>
            <w:shd w:val="clear" w:color="auto" w:fill="auto"/>
          </w:tcPr>
          <w:p w:rsidR="00FB6F5C" w:rsidRPr="00D70DB0" w:rsidRDefault="00F44784" w:rsidP="00920735">
            <w:pPr>
              <w:pStyle w:val="Text1"/>
              <w:ind w:left="0"/>
              <w:jc w:val="center"/>
              <w:rPr>
                <w:b w:val="0"/>
                <w:noProof/>
                <w:sz w:val="18"/>
                <w:szCs w:val="18"/>
              </w:rPr>
            </w:pPr>
            <w:r>
              <w:rPr>
                <w:b w:val="0"/>
                <w:noProof/>
                <w:sz w:val="18"/>
                <w:szCs w:val="18"/>
              </w:rPr>
              <w:t>4.1</w:t>
            </w:r>
          </w:p>
        </w:tc>
        <w:tc>
          <w:tcPr>
            <w:tcW w:w="326" w:type="pct"/>
            <w:tcBorders>
              <w:top w:val="none" w:sz="0" w:space="0" w:color="auto"/>
            </w:tcBorders>
            <w:shd w:val="clear" w:color="auto" w:fill="auto"/>
          </w:tcPr>
          <w:p w:rsidR="00FB6F5C" w:rsidRPr="00D70DB0" w:rsidRDefault="002D1777" w:rsidP="008B66FC">
            <w:pPr>
              <w:pStyle w:val="Text1"/>
              <w:ind w:left="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noProof/>
                <w:sz w:val="18"/>
                <w:szCs w:val="18"/>
              </w:rPr>
            </w:pPr>
            <w:r w:rsidRPr="00D70DB0">
              <w:rPr>
                <w:b w:val="0"/>
                <w:noProof/>
                <w:sz w:val="18"/>
                <w:szCs w:val="18"/>
              </w:rPr>
              <w:t>ESF+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7" w:type="pct"/>
            <w:tcBorders>
              <w:top w:val="none" w:sz="0" w:space="0" w:color="auto"/>
            </w:tcBorders>
            <w:shd w:val="clear" w:color="auto" w:fill="auto"/>
          </w:tcPr>
          <w:p w:rsidR="00FB6F5C" w:rsidRPr="00D70DB0" w:rsidRDefault="00D70DB0" w:rsidP="00920735">
            <w:pPr>
              <w:pStyle w:val="Text1"/>
              <w:ind w:left="0"/>
              <w:jc w:val="center"/>
              <w:rPr>
                <w:b w:val="0"/>
                <w:noProof/>
                <w:sz w:val="18"/>
                <w:szCs w:val="18"/>
              </w:rPr>
            </w:pPr>
            <w:r>
              <w:rPr>
                <w:b w:val="0"/>
                <w:noProof/>
                <w:sz w:val="18"/>
                <w:szCs w:val="18"/>
              </w:rPr>
              <w:t>-</w:t>
            </w:r>
          </w:p>
        </w:tc>
        <w:tc>
          <w:tcPr>
            <w:tcW w:w="422" w:type="pct"/>
            <w:tcBorders>
              <w:top w:val="none" w:sz="0" w:space="0" w:color="auto"/>
            </w:tcBorders>
            <w:shd w:val="clear" w:color="auto" w:fill="auto"/>
          </w:tcPr>
          <w:p w:rsidR="00FB6F5C" w:rsidRPr="00D70DB0" w:rsidRDefault="00653E3F" w:rsidP="008B66FC">
            <w:pPr>
              <w:pStyle w:val="Text1"/>
              <w:ind w:left="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noProof/>
                <w:sz w:val="18"/>
                <w:szCs w:val="18"/>
              </w:rPr>
            </w:pPr>
            <w:r w:rsidRPr="00D70DB0">
              <w:rPr>
                <w:b w:val="0"/>
                <w:sz w:val="18"/>
                <w:szCs w:val="18"/>
              </w:rPr>
              <w:t>8 20 00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9" w:type="pct"/>
            <w:tcBorders>
              <w:top w:val="none" w:sz="0" w:space="0" w:color="auto"/>
            </w:tcBorders>
            <w:shd w:val="clear" w:color="auto" w:fill="auto"/>
          </w:tcPr>
          <w:p w:rsidR="00FB6F5C" w:rsidRPr="00D70DB0" w:rsidRDefault="00653E3F" w:rsidP="008B66FC">
            <w:pPr>
              <w:pStyle w:val="Text1"/>
              <w:ind w:left="0"/>
              <w:rPr>
                <w:b w:val="0"/>
                <w:noProof/>
                <w:sz w:val="18"/>
                <w:szCs w:val="18"/>
              </w:rPr>
            </w:pPr>
            <w:r w:rsidRPr="00D70DB0">
              <w:rPr>
                <w:b w:val="0"/>
                <w:sz w:val="18"/>
                <w:szCs w:val="18"/>
              </w:rPr>
              <w:t>Počet uskutečněných školení, seminářů, workshopů, konferencí</w:t>
            </w:r>
          </w:p>
        </w:tc>
        <w:tc>
          <w:tcPr>
            <w:tcW w:w="481" w:type="pct"/>
            <w:tcBorders>
              <w:top w:val="none" w:sz="0" w:space="0" w:color="auto"/>
            </w:tcBorders>
            <w:shd w:val="clear" w:color="auto" w:fill="auto"/>
          </w:tcPr>
          <w:p w:rsidR="00FB6F5C" w:rsidRPr="00D70DB0" w:rsidRDefault="00920735" w:rsidP="008B66FC">
            <w:pPr>
              <w:pStyle w:val="Text1"/>
              <w:ind w:left="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noProof/>
                <w:sz w:val="18"/>
                <w:szCs w:val="18"/>
              </w:rPr>
            </w:pPr>
            <w:r>
              <w:rPr>
                <w:b w:val="0"/>
                <w:noProof/>
                <w:sz w:val="18"/>
                <w:szCs w:val="18"/>
              </w:rPr>
              <w:t>A</w:t>
            </w:r>
            <w:r w:rsidR="003C039F" w:rsidRPr="00D70DB0">
              <w:rPr>
                <w:b w:val="0"/>
                <w:noProof/>
                <w:sz w:val="18"/>
                <w:szCs w:val="18"/>
              </w:rPr>
              <w:t>ktivita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2" w:type="pct"/>
            <w:tcBorders>
              <w:top w:val="none" w:sz="0" w:space="0" w:color="auto"/>
            </w:tcBorders>
            <w:shd w:val="clear" w:color="auto" w:fill="auto"/>
          </w:tcPr>
          <w:p w:rsidR="00FB6F5C" w:rsidRPr="00D70DB0" w:rsidRDefault="00D70DB0" w:rsidP="00920735">
            <w:pPr>
              <w:pStyle w:val="Text1"/>
              <w:ind w:left="0"/>
              <w:jc w:val="center"/>
              <w:rPr>
                <w:b w:val="0"/>
                <w:noProof/>
                <w:sz w:val="18"/>
                <w:szCs w:val="18"/>
              </w:rPr>
            </w:pPr>
            <w:r>
              <w:rPr>
                <w:b w:val="0"/>
                <w:noProof/>
                <w:sz w:val="18"/>
                <w:szCs w:val="18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2" w:type="pct"/>
            <w:tcBorders>
              <w:top w:val="none" w:sz="0" w:space="0" w:color="auto"/>
            </w:tcBorders>
            <w:shd w:val="clear" w:color="auto" w:fill="auto"/>
          </w:tcPr>
          <w:p w:rsidR="00FB6F5C" w:rsidRPr="00D70DB0" w:rsidRDefault="00653E3F" w:rsidP="00920735">
            <w:pPr>
              <w:pStyle w:val="Text1"/>
              <w:ind w:left="0"/>
              <w:jc w:val="right"/>
              <w:rPr>
                <w:b w:val="0"/>
                <w:noProof/>
                <w:sz w:val="18"/>
                <w:szCs w:val="18"/>
              </w:rPr>
            </w:pPr>
            <w:r w:rsidRPr="00D70DB0">
              <w:rPr>
                <w:b w:val="0"/>
                <w:noProof/>
                <w:sz w:val="18"/>
                <w:szCs w:val="18"/>
              </w:rPr>
              <w:t>250</w:t>
            </w:r>
          </w:p>
        </w:tc>
      </w:tr>
    </w:tbl>
    <w:p w:rsidR="00AE7698" w:rsidRDefault="00AE7698" w:rsidP="00AE7698">
      <w:pPr>
        <w:pStyle w:val="Nadpis4"/>
        <w:rPr>
          <w:b/>
          <w:color w:val="1F4E79" w:themeColor="accent5" w:themeShade="80"/>
          <w:lang w:val="cs-CZ" w:eastAsia="cs-CZ" w:bidi="cs-CZ"/>
        </w:rPr>
      </w:pPr>
      <w:bookmarkStart w:id="235" w:name="_Toc66476074"/>
      <w:bookmarkStart w:id="236" w:name="_Toc68611032"/>
      <w:r w:rsidRPr="003E194E">
        <w:rPr>
          <w:b/>
          <w:color w:val="1F4E79" w:themeColor="accent5" w:themeShade="80"/>
          <w:lang w:val="cs-CZ" w:eastAsia="cs-CZ" w:bidi="cs-CZ"/>
        </w:rPr>
        <w:t>Orientační rozdělení programových zdrojů (EU) podle typu intervence</w:t>
      </w:r>
      <w:bookmarkEnd w:id="235"/>
      <w:bookmarkEnd w:id="236"/>
      <w:r w:rsidRPr="003E194E" w:rsidDel="002A72D0">
        <w:rPr>
          <w:b/>
          <w:color w:val="1F4E79" w:themeColor="accent5" w:themeShade="80"/>
          <w:lang w:val="cs-CZ" w:eastAsia="cs-CZ" w:bidi="cs-CZ"/>
        </w:rPr>
        <w:t xml:space="preserve"> </w:t>
      </w:r>
    </w:p>
    <w:p w:rsidR="00FE6A4E" w:rsidRPr="009412C1" w:rsidRDefault="008B66FC" w:rsidP="00FE6A4E">
      <w:pPr>
        <w:pStyle w:val="Titulek"/>
        <w:rPr>
          <w:rFonts w:ascii="Times New Roman" w:hAnsi="Times New Roman" w:cs="Times New Roman"/>
        </w:rPr>
      </w:pPr>
      <w:r w:rsidRPr="004E3489">
        <w:rPr>
          <w:rFonts w:ascii="Times New Roman" w:hAnsi="Times New Roman" w:cs="Times New Roman"/>
        </w:rPr>
        <w:t xml:space="preserve">Tabulka </w:t>
      </w:r>
      <w:r w:rsidRPr="009128AB">
        <w:rPr>
          <w:rFonts w:ascii="Times New Roman" w:hAnsi="Times New Roman" w:cs="Times New Roman"/>
        </w:rPr>
        <w:fldChar w:fldCharType="begin"/>
      </w:r>
      <w:r w:rsidRPr="009128AB">
        <w:rPr>
          <w:rFonts w:ascii="Times New Roman" w:hAnsi="Times New Roman" w:cs="Times New Roman"/>
        </w:rPr>
        <w:instrText xml:space="preserve"> SEQ Tabulka \* ARABIC </w:instrText>
      </w:r>
      <w:r w:rsidRPr="009128AB">
        <w:rPr>
          <w:rFonts w:ascii="Times New Roman" w:hAnsi="Times New Roman" w:cs="Times New Roman"/>
        </w:rPr>
        <w:fldChar w:fldCharType="separate"/>
      </w:r>
      <w:r w:rsidR="00D52090" w:rsidRPr="009128AB">
        <w:rPr>
          <w:rFonts w:ascii="Times New Roman" w:hAnsi="Times New Roman" w:cs="Times New Roman"/>
        </w:rPr>
        <w:t>46</w:t>
      </w:r>
      <w:r w:rsidRPr="009128AB">
        <w:rPr>
          <w:rFonts w:ascii="Times New Roman" w:hAnsi="Times New Roman" w:cs="Times New Roman"/>
        </w:rPr>
        <w:fldChar w:fldCharType="end"/>
      </w:r>
      <w:r w:rsidR="00FE6A4E" w:rsidRPr="009412C1">
        <w:rPr>
          <w:rFonts w:ascii="Times New Roman" w:hAnsi="Times New Roman" w:cs="Times New Roman"/>
        </w:rPr>
        <w:t xml:space="preserve">: SC </w:t>
      </w:r>
      <w:r w:rsidR="00073C2E">
        <w:rPr>
          <w:rFonts w:ascii="Times New Roman" w:hAnsi="Times New Roman" w:cs="Times New Roman"/>
        </w:rPr>
        <w:t>4</w:t>
      </w:r>
      <w:r w:rsidR="00FE6A4E" w:rsidRPr="009412C1">
        <w:rPr>
          <w:rFonts w:ascii="Times New Roman" w:hAnsi="Times New Roman" w:cs="Times New Roman"/>
        </w:rPr>
        <w:t>.</w:t>
      </w:r>
      <w:r w:rsidR="00073C2E">
        <w:rPr>
          <w:rFonts w:ascii="Times New Roman" w:hAnsi="Times New Roman" w:cs="Times New Roman"/>
        </w:rPr>
        <w:t>1</w:t>
      </w:r>
      <w:r w:rsidR="00FE6A4E" w:rsidRPr="009412C1">
        <w:rPr>
          <w:rFonts w:ascii="Times New Roman" w:hAnsi="Times New Roman" w:cs="Times New Roman"/>
        </w:rPr>
        <w:t>: Dimenze 1 – oblast intervence</w:t>
      </w:r>
    </w:p>
    <w:tbl>
      <w:tblPr>
        <w:tblStyle w:val="Tabulkasmkou4zvraznn1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6"/>
        <w:gridCol w:w="1047"/>
        <w:gridCol w:w="2125"/>
        <w:gridCol w:w="1961"/>
        <w:gridCol w:w="1462"/>
        <w:gridCol w:w="1958"/>
      </w:tblGrid>
      <w:tr w:rsidR="00FE6A4E" w:rsidRPr="00EC6162" w:rsidTr="003A23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FE6A4E" w:rsidRPr="00EC6162" w:rsidRDefault="00FE6A4E" w:rsidP="00073C2E">
            <w:pPr>
              <w:spacing w:before="0" w:after="0" w:line="276" w:lineRule="auto"/>
              <w:jc w:val="center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Číslo priority</w:t>
            </w:r>
          </w:p>
        </w:tc>
        <w:tc>
          <w:tcPr>
            <w:tcW w:w="104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FE6A4E" w:rsidRPr="00EC6162" w:rsidRDefault="00FE6A4E" w:rsidP="00073C2E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Fond</w:t>
            </w:r>
          </w:p>
        </w:tc>
        <w:tc>
          <w:tcPr>
            <w:tcW w:w="212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FE6A4E" w:rsidRPr="00EC6162" w:rsidRDefault="00FE6A4E" w:rsidP="00073C2E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Kategorie regionu</w:t>
            </w:r>
          </w:p>
        </w:tc>
        <w:tc>
          <w:tcPr>
            <w:tcW w:w="19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</w:tcPr>
          <w:p w:rsidR="00FE6A4E" w:rsidRPr="00EC6162" w:rsidRDefault="00FE6A4E" w:rsidP="00073C2E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Specifický cíl</w:t>
            </w:r>
          </w:p>
        </w:tc>
        <w:tc>
          <w:tcPr>
            <w:tcW w:w="14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FE6A4E" w:rsidRPr="00EC6162" w:rsidRDefault="00FE6A4E" w:rsidP="00073C2E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Kód</w:t>
            </w:r>
          </w:p>
        </w:tc>
        <w:tc>
          <w:tcPr>
            <w:tcW w:w="19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FE6A4E" w:rsidRPr="00EC6162" w:rsidRDefault="00FE6A4E" w:rsidP="00073C2E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Částka (v EUR)</w:t>
            </w:r>
          </w:p>
        </w:tc>
      </w:tr>
      <w:tr w:rsidR="00FE6A4E" w:rsidRPr="00F61950" w:rsidTr="00073C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 w:val="restart"/>
            <w:shd w:val="clear" w:color="auto" w:fill="DEEAF6" w:themeFill="accent5" w:themeFillTint="33"/>
          </w:tcPr>
          <w:p w:rsidR="00FE6A4E" w:rsidRPr="0013141D" w:rsidRDefault="00FE6A4E" w:rsidP="00073C2E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b w:val="0"/>
                <w:iCs/>
                <w:noProof/>
                <w:sz w:val="18"/>
                <w:szCs w:val="18"/>
              </w:rPr>
              <w:t>P</w:t>
            </w:r>
            <w:r w:rsidR="00073C2E">
              <w:rPr>
                <w:rFonts w:eastAsia="Times New Roman"/>
                <w:b w:val="0"/>
                <w:iCs/>
                <w:noProof/>
                <w:sz w:val="18"/>
                <w:szCs w:val="18"/>
              </w:rPr>
              <w:t>4</w:t>
            </w:r>
          </w:p>
        </w:tc>
        <w:tc>
          <w:tcPr>
            <w:tcW w:w="1047" w:type="dxa"/>
            <w:vMerge w:val="restart"/>
            <w:shd w:val="clear" w:color="auto" w:fill="DEEAF6" w:themeFill="accent5" w:themeFillTint="33"/>
          </w:tcPr>
          <w:p w:rsidR="00FE6A4E" w:rsidRPr="0013141D" w:rsidRDefault="00FE6A4E" w:rsidP="00073C2E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noProof/>
                <w:sz w:val="18"/>
                <w:szCs w:val="18"/>
              </w:rPr>
              <w:t>ESF</w:t>
            </w:r>
            <w:r w:rsidRPr="00376202">
              <w:rPr>
                <w:rFonts w:eastAsia="Times New Roman"/>
                <w:noProof/>
                <w:sz w:val="18"/>
                <w:szCs w:val="18"/>
              </w:rPr>
              <w:t>+</w:t>
            </w:r>
          </w:p>
        </w:tc>
        <w:tc>
          <w:tcPr>
            <w:tcW w:w="2125" w:type="dxa"/>
            <w:shd w:val="clear" w:color="auto" w:fill="DEEAF6" w:themeFill="accent5" w:themeFillTint="33"/>
          </w:tcPr>
          <w:p w:rsidR="00FE6A4E" w:rsidRPr="0013141D" w:rsidRDefault="00FE6A4E" w:rsidP="00073C2E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Více rozvinuté</w:t>
            </w:r>
          </w:p>
        </w:tc>
        <w:tc>
          <w:tcPr>
            <w:tcW w:w="1961" w:type="dxa"/>
            <w:vMerge w:val="restart"/>
            <w:shd w:val="clear" w:color="auto" w:fill="DEEAF6" w:themeFill="accent5" w:themeFillTint="33"/>
            <w:vAlign w:val="center"/>
          </w:tcPr>
          <w:p w:rsidR="00FE6A4E" w:rsidRPr="0013141D" w:rsidRDefault="00F44784" w:rsidP="00073C2E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iCs/>
                <w:noProof/>
                <w:sz w:val="18"/>
                <w:szCs w:val="18"/>
              </w:rPr>
              <w:t>4.1</w:t>
            </w:r>
          </w:p>
        </w:tc>
        <w:tc>
          <w:tcPr>
            <w:tcW w:w="1462" w:type="dxa"/>
            <w:vMerge w:val="restart"/>
            <w:shd w:val="clear" w:color="auto" w:fill="DEEAF6" w:themeFill="accent5" w:themeFillTint="33"/>
            <w:vAlign w:val="center"/>
          </w:tcPr>
          <w:p w:rsidR="00FE6A4E" w:rsidRPr="0013141D" w:rsidRDefault="002174CF" w:rsidP="00073C2E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iCs/>
                <w:noProof/>
                <w:sz w:val="18"/>
                <w:szCs w:val="18"/>
              </w:rPr>
              <w:t>140</w:t>
            </w: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FE6A4E" w:rsidRPr="00F61950" w:rsidRDefault="006315FD" w:rsidP="00073C2E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bCs/>
                <w:iCs/>
                <w:noProof/>
                <w:sz w:val="18"/>
                <w:szCs w:val="18"/>
              </w:rPr>
              <w:t>-</w:t>
            </w:r>
          </w:p>
        </w:tc>
      </w:tr>
      <w:tr w:rsidR="00FE6A4E" w:rsidRPr="00F61950" w:rsidTr="00073C2E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FE6A4E" w:rsidRPr="0013141D" w:rsidRDefault="00FE6A4E" w:rsidP="00073C2E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FE6A4E" w:rsidRPr="0013141D" w:rsidRDefault="00FE6A4E" w:rsidP="00073C2E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FE6A4E" w:rsidRPr="0013141D" w:rsidRDefault="00FE6A4E" w:rsidP="00073C2E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Přechodové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FE6A4E" w:rsidRPr="0013141D" w:rsidRDefault="00FE6A4E" w:rsidP="00073C2E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FE6A4E" w:rsidRPr="0013141D" w:rsidRDefault="00FE6A4E" w:rsidP="00073C2E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FE6A4E" w:rsidRPr="00F61950" w:rsidRDefault="006315FD" w:rsidP="00073C2E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bCs/>
                <w:iCs/>
                <w:noProof/>
                <w:sz w:val="18"/>
                <w:szCs w:val="18"/>
              </w:rPr>
              <w:t>-</w:t>
            </w:r>
          </w:p>
        </w:tc>
      </w:tr>
      <w:tr w:rsidR="00FE6A4E" w:rsidRPr="00F61950" w:rsidTr="00073C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FE6A4E" w:rsidRPr="0013141D" w:rsidRDefault="00FE6A4E" w:rsidP="00073C2E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FE6A4E" w:rsidRPr="0013141D" w:rsidRDefault="00FE6A4E" w:rsidP="00073C2E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FE6A4E" w:rsidRPr="0013141D" w:rsidRDefault="00FE6A4E" w:rsidP="00073C2E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Méně rozvinuté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FE6A4E" w:rsidRPr="0013141D" w:rsidRDefault="00FE6A4E" w:rsidP="00073C2E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FE6A4E" w:rsidRPr="0013141D" w:rsidRDefault="00FE6A4E" w:rsidP="00073C2E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FE6A4E" w:rsidRPr="00F61950" w:rsidRDefault="006315FD" w:rsidP="00073C2E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bCs/>
                <w:iCs/>
                <w:noProof/>
                <w:sz w:val="18"/>
                <w:szCs w:val="18"/>
              </w:rPr>
              <w:t>-</w:t>
            </w:r>
          </w:p>
        </w:tc>
      </w:tr>
      <w:tr w:rsidR="00FE6A4E" w:rsidRPr="00F61950" w:rsidTr="00073C2E">
        <w:trPr>
          <w:trHeight w:val="1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FE6A4E" w:rsidRPr="0013141D" w:rsidRDefault="00FE6A4E" w:rsidP="00073C2E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FE6A4E" w:rsidRPr="0013141D" w:rsidRDefault="00FE6A4E" w:rsidP="00073C2E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FE6A4E" w:rsidRPr="0013141D" w:rsidRDefault="00FE6A4E" w:rsidP="00073C2E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Více rozvinuté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FE6A4E" w:rsidRPr="0013141D" w:rsidRDefault="00FE6A4E" w:rsidP="00073C2E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 w:val="restart"/>
            <w:shd w:val="clear" w:color="auto" w:fill="DEEAF6" w:themeFill="accent5" w:themeFillTint="33"/>
            <w:vAlign w:val="center"/>
          </w:tcPr>
          <w:p w:rsidR="00FE6A4E" w:rsidRPr="0013141D" w:rsidRDefault="002174CF" w:rsidP="00073C2E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iCs/>
                <w:noProof/>
                <w:sz w:val="18"/>
                <w:szCs w:val="18"/>
              </w:rPr>
              <w:t>141</w:t>
            </w: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FE6A4E" w:rsidRPr="00F61950" w:rsidRDefault="006315FD" w:rsidP="00073C2E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bCs/>
                <w:iCs/>
                <w:noProof/>
                <w:sz w:val="18"/>
                <w:szCs w:val="18"/>
              </w:rPr>
              <w:t>-</w:t>
            </w:r>
          </w:p>
        </w:tc>
      </w:tr>
      <w:tr w:rsidR="00FE6A4E" w:rsidRPr="00F61950" w:rsidTr="00073C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FE6A4E" w:rsidRPr="0013141D" w:rsidRDefault="00FE6A4E" w:rsidP="00073C2E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FE6A4E" w:rsidRPr="0013141D" w:rsidRDefault="00FE6A4E" w:rsidP="00073C2E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FE6A4E" w:rsidRPr="0013141D" w:rsidRDefault="00FE6A4E" w:rsidP="00073C2E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Přechodové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FE6A4E" w:rsidRPr="0013141D" w:rsidRDefault="00FE6A4E" w:rsidP="00073C2E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FE6A4E" w:rsidRPr="0013141D" w:rsidRDefault="00FE6A4E" w:rsidP="00073C2E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FE6A4E" w:rsidRPr="00F61950" w:rsidRDefault="006315FD" w:rsidP="00073C2E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bCs/>
                <w:iCs/>
                <w:noProof/>
                <w:sz w:val="18"/>
                <w:szCs w:val="18"/>
              </w:rPr>
              <w:t>-</w:t>
            </w:r>
          </w:p>
        </w:tc>
      </w:tr>
      <w:tr w:rsidR="00FE6A4E" w:rsidRPr="00F61950" w:rsidTr="00073C2E">
        <w:trPr>
          <w:trHeight w:val="1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FE6A4E" w:rsidRPr="0013141D" w:rsidRDefault="00FE6A4E" w:rsidP="00073C2E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FE6A4E" w:rsidRPr="0013141D" w:rsidRDefault="00FE6A4E" w:rsidP="00073C2E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FE6A4E" w:rsidRPr="0013141D" w:rsidRDefault="00FE6A4E" w:rsidP="00073C2E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Méně rozvinuté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FE6A4E" w:rsidRPr="0013141D" w:rsidRDefault="00FE6A4E" w:rsidP="00073C2E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FE6A4E" w:rsidRPr="0013141D" w:rsidRDefault="00FE6A4E" w:rsidP="00073C2E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FE6A4E" w:rsidRPr="00F61950" w:rsidRDefault="006315FD" w:rsidP="00073C2E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bCs/>
                <w:iCs/>
                <w:noProof/>
                <w:sz w:val="18"/>
                <w:szCs w:val="18"/>
              </w:rPr>
              <w:t>-</w:t>
            </w:r>
          </w:p>
        </w:tc>
      </w:tr>
      <w:tr w:rsidR="002174CF" w:rsidRPr="00F61950" w:rsidTr="00073C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2174CF" w:rsidRPr="0013141D" w:rsidRDefault="002174CF" w:rsidP="002174CF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2174CF" w:rsidRPr="0013141D" w:rsidRDefault="002174CF" w:rsidP="002174CF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2174CF" w:rsidRPr="0013141D" w:rsidRDefault="002174CF" w:rsidP="002174CF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Více rozvinuté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2174CF" w:rsidRPr="0013141D" w:rsidRDefault="002174CF" w:rsidP="002174CF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 w:val="restart"/>
            <w:shd w:val="clear" w:color="auto" w:fill="DEEAF6" w:themeFill="accent5" w:themeFillTint="33"/>
            <w:vAlign w:val="center"/>
          </w:tcPr>
          <w:p w:rsidR="002174CF" w:rsidRPr="0013141D" w:rsidRDefault="002174CF" w:rsidP="002174CF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iCs/>
                <w:noProof/>
                <w:sz w:val="18"/>
                <w:szCs w:val="18"/>
              </w:rPr>
              <w:t>142</w:t>
            </w: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2174CF" w:rsidRPr="00F61950" w:rsidRDefault="006315FD" w:rsidP="002174CF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bCs/>
                <w:iCs/>
                <w:noProof/>
                <w:sz w:val="18"/>
                <w:szCs w:val="18"/>
              </w:rPr>
              <w:t>-</w:t>
            </w:r>
          </w:p>
        </w:tc>
      </w:tr>
      <w:tr w:rsidR="002174CF" w:rsidRPr="00F61950" w:rsidTr="00073C2E">
        <w:trPr>
          <w:trHeight w:val="1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2174CF" w:rsidRPr="0013141D" w:rsidRDefault="002174CF" w:rsidP="002174CF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2174CF" w:rsidRPr="0013141D" w:rsidRDefault="002174CF" w:rsidP="002174CF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2174CF" w:rsidRPr="0013141D" w:rsidRDefault="002174CF" w:rsidP="002174CF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Přechodové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2174CF" w:rsidRPr="0013141D" w:rsidRDefault="002174CF" w:rsidP="002174CF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2174CF" w:rsidRPr="0013141D" w:rsidRDefault="002174CF" w:rsidP="002174CF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2174CF" w:rsidRPr="00F61950" w:rsidRDefault="006315FD" w:rsidP="002174CF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bCs/>
                <w:iCs/>
                <w:noProof/>
                <w:sz w:val="18"/>
                <w:szCs w:val="18"/>
              </w:rPr>
              <w:t>-</w:t>
            </w:r>
          </w:p>
        </w:tc>
      </w:tr>
      <w:tr w:rsidR="002174CF" w:rsidRPr="00F61950" w:rsidTr="00073C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2174CF" w:rsidRPr="0013141D" w:rsidRDefault="002174CF" w:rsidP="002174CF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2174CF" w:rsidRPr="0013141D" w:rsidRDefault="002174CF" w:rsidP="002174CF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2174CF" w:rsidRPr="0013141D" w:rsidRDefault="002174CF" w:rsidP="002174CF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Méně rozvinuté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2174CF" w:rsidRPr="0013141D" w:rsidRDefault="002174CF" w:rsidP="002174CF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2174CF" w:rsidRPr="0013141D" w:rsidRDefault="002174CF" w:rsidP="002174CF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2174CF" w:rsidRPr="00F61950" w:rsidRDefault="006315FD" w:rsidP="002174CF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bCs/>
                <w:iCs/>
                <w:noProof/>
                <w:sz w:val="18"/>
                <w:szCs w:val="18"/>
              </w:rPr>
              <w:t>-</w:t>
            </w:r>
          </w:p>
        </w:tc>
      </w:tr>
    </w:tbl>
    <w:p w:rsidR="00FE6A4E" w:rsidRPr="008A1F8A" w:rsidRDefault="00FE6A4E" w:rsidP="00FE6A4E">
      <w:pPr>
        <w:pStyle w:val="Titulek"/>
        <w:rPr>
          <w:rFonts w:ascii="Times New Roman" w:hAnsi="Times New Roman" w:cs="Times New Roman"/>
          <w:szCs w:val="22"/>
        </w:rPr>
      </w:pPr>
      <w:r w:rsidRPr="008A1F8A">
        <w:rPr>
          <w:rFonts w:ascii="Times New Roman" w:hAnsi="Times New Roman" w:cs="Times New Roman"/>
        </w:rPr>
        <w:t xml:space="preserve">Tabulka </w:t>
      </w:r>
      <w:r w:rsidRPr="008A1F8A">
        <w:rPr>
          <w:rFonts w:ascii="Times New Roman" w:hAnsi="Times New Roman" w:cs="Times New Roman"/>
        </w:rPr>
        <w:fldChar w:fldCharType="begin"/>
      </w:r>
      <w:r w:rsidRPr="00EE3F7F">
        <w:rPr>
          <w:rFonts w:ascii="Times New Roman" w:hAnsi="Times New Roman" w:cs="Times New Roman"/>
        </w:rPr>
        <w:instrText xml:space="preserve"> SEQ Tabulka \* ARABIC </w:instrText>
      </w:r>
      <w:r w:rsidRPr="008A1F8A">
        <w:rPr>
          <w:rFonts w:ascii="Times New Roman" w:hAnsi="Times New Roman" w:cs="Times New Roman"/>
        </w:rPr>
        <w:fldChar w:fldCharType="separate"/>
      </w:r>
      <w:r w:rsidR="00E97B30" w:rsidRPr="00EE3F7F">
        <w:rPr>
          <w:rFonts w:ascii="Times New Roman" w:hAnsi="Times New Roman" w:cs="Times New Roman"/>
        </w:rPr>
        <w:t>47</w:t>
      </w:r>
      <w:r w:rsidRPr="008A1F8A">
        <w:rPr>
          <w:rFonts w:ascii="Times New Roman" w:hAnsi="Times New Roman" w:cs="Times New Roman"/>
        </w:rPr>
        <w:fldChar w:fldCharType="end"/>
      </w:r>
      <w:r w:rsidRPr="008A1F8A">
        <w:rPr>
          <w:rFonts w:ascii="Times New Roman" w:hAnsi="Times New Roman" w:cs="Times New Roman"/>
        </w:rPr>
        <w:t>:</w:t>
      </w:r>
      <w:r w:rsidRPr="008A1F8A">
        <w:rPr>
          <w:rFonts w:ascii="Times New Roman" w:hAnsi="Times New Roman" w:cs="Times New Roman"/>
          <w:szCs w:val="22"/>
        </w:rPr>
        <w:t xml:space="preserve"> SC </w:t>
      </w:r>
      <w:r w:rsidR="00073C2E">
        <w:rPr>
          <w:rFonts w:ascii="Times New Roman" w:hAnsi="Times New Roman" w:cs="Times New Roman"/>
          <w:szCs w:val="22"/>
        </w:rPr>
        <w:t>4</w:t>
      </w:r>
      <w:r w:rsidRPr="008A1F8A">
        <w:rPr>
          <w:rFonts w:ascii="Times New Roman" w:hAnsi="Times New Roman" w:cs="Times New Roman"/>
          <w:szCs w:val="22"/>
        </w:rPr>
        <w:t>.</w:t>
      </w:r>
      <w:r w:rsidR="00073C2E">
        <w:rPr>
          <w:rFonts w:ascii="Times New Roman" w:hAnsi="Times New Roman" w:cs="Times New Roman"/>
          <w:szCs w:val="22"/>
        </w:rPr>
        <w:t>1</w:t>
      </w:r>
      <w:r w:rsidRPr="008A1F8A">
        <w:rPr>
          <w:rFonts w:ascii="Times New Roman" w:hAnsi="Times New Roman" w:cs="Times New Roman"/>
          <w:szCs w:val="22"/>
        </w:rPr>
        <w:t>: Dimenze 6 – sekundární témata ESF</w:t>
      </w:r>
      <w:r w:rsidRPr="008A1F8A">
        <w:rPr>
          <w:rFonts w:ascii="Times New Roman" w:hAnsi="Times New Roman" w:cs="Times New Roman"/>
          <w:b w:val="0"/>
          <w:szCs w:val="22"/>
        </w:rPr>
        <w:t>+</w:t>
      </w:r>
    </w:p>
    <w:tbl>
      <w:tblPr>
        <w:tblStyle w:val="Tabulkasmkou4zvraznn1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6"/>
        <w:gridCol w:w="1047"/>
        <w:gridCol w:w="2125"/>
        <w:gridCol w:w="1961"/>
        <w:gridCol w:w="1462"/>
        <w:gridCol w:w="1958"/>
      </w:tblGrid>
      <w:tr w:rsidR="00FE6A4E" w:rsidRPr="00EC6162" w:rsidTr="00E97B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FE6A4E" w:rsidRPr="002174CF" w:rsidRDefault="00FE6A4E" w:rsidP="00073C2E">
            <w:pPr>
              <w:spacing w:before="0" w:after="0" w:line="276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2174CF">
              <w:rPr>
                <w:rFonts w:eastAsia="Times New Roman"/>
                <w:sz w:val="18"/>
                <w:szCs w:val="18"/>
              </w:rPr>
              <w:t>Číslo priority</w:t>
            </w:r>
          </w:p>
        </w:tc>
        <w:tc>
          <w:tcPr>
            <w:tcW w:w="104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FE6A4E" w:rsidRPr="002174CF" w:rsidRDefault="00FE6A4E" w:rsidP="00073C2E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2174CF">
              <w:rPr>
                <w:rFonts w:eastAsia="Times New Roman"/>
                <w:sz w:val="18"/>
                <w:szCs w:val="18"/>
              </w:rPr>
              <w:t>Fond</w:t>
            </w:r>
          </w:p>
        </w:tc>
        <w:tc>
          <w:tcPr>
            <w:tcW w:w="212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FE6A4E" w:rsidRPr="002174CF" w:rsidRDefault="00FE6A4E" w:rsidP="00073C2E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2174CF">
              <w:rPr>
                <w:rFonts w:eastAsia="Times New Roman"/>
                <w:sz w:val="18"/>
                <w:szCs w:val="18"/>
              </w:rPr>
              <w:t>Kategorie regionu</w:t>
            </w:r>
          </w:p>
        </w:tc>
        <w:tc>
          <w:tcPr>
            <w:tcW w:w="19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</w:tcPr>
          <w:p w:rsidR="00FE6A4E" w:rsidRPr="002174CF" w:rsidRDefault="00FE6A4E" w:rsidP="00073C2E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2174CF">
              <w:rPr>
                <w:rFonts w:eastAsia="Times New Roman"/>
                <w:sz w:val="18"/>
                <w:szCs w:val="18"/>
              </w:rPr>
              <w:t>Specifický cíl</w:t>
            </w:r>
          </w:p>
        </w:tc>
        <w:tc>
          <w:tcPr>
            <w:tcW w:w="14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FE6A4E" w:rsidRPr="002174CF" w:rsidRDefault="00FE6A4E" w:rsidP="00073C2E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2174CF">
              <w:rPr>
                <w:rFonts w:eastAsia="Times New Roman"/>
                <w:sz w:val="18"/>
                <w:szCs w:val="18"/>
              </w:rPr>
              <w:t>Kód</w:t>
            </w:r>
          </w:p>
        </w:tc>
        <w:tc>
          <w:tcPr>
            <w:tcW w:w="19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FE6A4E" w:rsidRPr="002174CF" w:rsidRDefault="00FE6A4E" w:rsidP="00073C2E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2174CF">
              <w:rPr>
                <w:rFonts w:eastAsia="Times New Roman"/>
                <w:sz w:val="18"/>
                <w:szCs w:val="18"/>
              </w:rPr>
              <w:t>Částka (v EUR)</w:t>
            </w:r>
          </w:p>
        </w:tc>
      </w:tr>
      <w:tr w:rsidR="00FE6A4E" w:rsidRPr="00F61950" w:rsidTr="00073C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 w:val="restart"/>
            <w:shd w:val="clear" w:color="auto" w:fill="DEEAF6" w:themeFill="accent5" w:themeFillTint="33"/>
          </w:tcPr>
          <w:p w:rsidR="00FE6A4E" w:rsidRPr="002174CF" w:rsidRDefault="00FE6A4E" w:rsidP="00073C2E">
            <w:pPr>
              <w:spacing w:before="0" w:after="0" w:line="276" w:lineRule="auto"/>
              <w:rPr>
                <w:rFonts w:eastAsia="Times New Roman"/>
                <w:b w:val="0"/>
                <w:sz w:val="18"/>
                <w:szCs w:val="18"/>
              </w:rPr>
            </w:pPr>
            <w:r w:rsidRPr="002174CF">
              <w:rPr>
                <w:rFonts w:eastAsia="Times New Roman"/>
                <w:b w:val="0"/>
                <w:sz w:val="18"/>
                <w:szCs w:val="18"/>
              </w:rPr>
              <w:t>P</w:t>
            </w:r>
            <w:r w:rsidR="00073C2E" w:rsidRPr="002174CF">
              <w:rPr>
                <w:rFonts w:eastAsia="Times New Roman"/>
                <w:b w:val="0"/>
                <w:sz w:val="18"/>
                <w:szCs w:val="18"/>
              </w:rPr>
              <w:t>4</w:t>
            </w:r>
          </w:p>
        </w:tc>
        <w:tc>
          <w:tcPr>
            <w:tcW w:w="1047" w:type="dxa"/>
            <w:vMerge w:val="restart"/>
            <w:shd w:val="clear" w:color="auto" w:fill="DEEAF6" w:themeFill="accent5" w:themeFillTint="33"/>
          </w:tcPr>
          <w:p w:rsidR="00FE6A4E" w:rsidRPr="002174CF" w:rsidRDefault="00FE6A4E" w:rsidP="00073C2E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2174CF">
              <w:rPr>
                <w:rFonts w:eastAsia="Times New Roman"/>
                <w:sz w:val="18"/>
                <w:szCs w:val="18"/>
              </w:rPr>
              <w:t>ESF+</w:t>
            </w:r>
          </w:p>
        </w:tc>
        <w:tc>
          <w:tcPr>
            <w:tcW w:w="2125" w:type="dxa"/>
            <w:shd w:val="clear" w:color="auto" w:fill="DEEAF6" w:themeFill="accent5" w:themeFillTint="33"/>
          </w:tcPr>
          <w:p w:rsidR="00FE6A4E" w:rsidRPr="002174CF" w:rsidRDefault="00FE6A4E" w:rsidP="00073C2E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2174CF">
              <w:rPr>
                <w:rFonts w:eastAsia="Times New Roman"/>
                <w:sz w:val="18"/>
                <w:szCs w:val="18"/>
              </w:rPr>
              <w:t>Více rozvinuté</w:t>
            </w:r>
          </w:p>
        </w:tc>
        <w:tc>
          <w:tcPr>
            <w:tcW w:w="1961" w:type="dxa"/>
            <w:vMerge w:val="restart"/>
            <w:shd w:val="clear" w:color="auto" w:fill="DEEAF6" w:themeFill="accent5" w:themeFillTint="33"/>
            <w:vAlign w:val="center"/>
          </w:tcPr>
          <w:p w:rsidR="00FE6A4E" w:rsidRPr="002174CF" w:rsidRDefault="00F44784" w:rsidP="00073C2E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4.1</w:t>
            </w:r>
          </w:p>
        </w:tc>
        <w:tc>
          <w:tcPr>
            <w:tcW w:w="1462" w:type="dxa"/>
            <w:vMerge w:val="restart"/>
            <w:shd w:val="clear" w:color="auto" w:fill="DEEAF6" w:themeFill="accent5" w:themeFillTint="33"/>
            <w:vAlign w:val="center"/>
          </w:tcPr>
          <w:p w:rsidR="00FE6A4E" w:rsidRPr="002174CF" w:rsidRDefault="002174CF" w:rsidP="00073C2E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iCs/>
                <w:noProof/>
                <w:sz w:val="18"/>
                <w:szCs w:val="18"/>
              </w:rPr>
              <w:t>09</w:t>
            </w: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FE6A4E" w:rsidRPr="002174CF" w:rsidRDefault="003C039F" w:rsidP="00920735">
            <w:pPr>
              <w:spacing w:before="0" w:after="0"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Cs/>
                <w:iCs/>
                <w:noProof/>
                <w:sz w:val="18"/>
                <w:szCs w:val="18"/>
              </w:rPr>
              <w:t>241 694</w:t>
            </w:r>
          </w:p>
        </w:tc>
      </w:tr>
      <w:tr w:rsidR="00FE6A4E" w:rsidRPr="00F61950" w:rsidTr="00073C2E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FE6A4E" w:rsidRPr="002174CF" w:rsidRDefault="00FE6A4E" w:rsidP="00073C2E">
            <w:pPr>
              <w:spacing w:before="0" w:after="0" w:line="276" w:lineRule="auto"/>
              <w:rPr>
                <w:rFonts w:eastAsia="Times New Roman"/>
                <w:b w:val="0"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FE6A4E" w:rsidRPr="002174CF" w:rsidRDefault="00FE6A4E" w:rsidP="00073C2E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FE6A4E" w:rsidRPr="002174CF" w:rsidRDefault="00FE6A4E" w:rsidP="00073C2E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2174CF">
              <w:rPr>
                <w:rFonts w:eastAsia="Times New Roman"/>
                <w:sz w:val="18"/>
                <w:szCs w:val="18"/>
              </w:rPr>
              <w:t>Přechodové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FE6A4E" w:rsidRPr="002174CF" w:rsidRDefault="00FE6A4E" w:rsidP="00073C2E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FE6A4E" w:rsidRPr="002174CF" w:rsidRDefault="00FE6A4E" w:rsidP="00073C2E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FE6A4E" w:rsidRPr="002174CF" w:rsidRDefault="003C039F" w:rsidP="00920735">
            <w:pPr>
              <w:spacing w:before="0" w:after="0"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Cs/>
                <w:iCs/>
                <w:noProof/>
                <w:sz w:val="18"/>
                <w:szCs w:val="18"/>
              </w:rPr>
              <w:t>18 277 801</w:t>
            </w:r>
          </w:p>
        </w:tc>
      </w:tr>
      <w:tr w:rsidR="00FE6A4E" w:rsidRPr="00F61950" w:rsidTr="00073C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FE6A4E" w:rsidRPr="002174CF" w:rsidRDefault="00FE6A4E" w:rsidP="00073C2E">
            <w:pPr>
              <w:spacing w:before="0" w:after="0" w:line="276" w:lineRule="auto"/>
              <w:rPr>
                <w:rFonts w:eastAsia="Times New Roman"/>
                <w:b w:val="0"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FE6A4E" w:rsidRPr="002174CF" w:rsidRDefault="00FE6A4E" w:rsidP="00073C2E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FE6A4E" w:rsidRPr="002174CF" w:rsidRDefault="00FE6A4E" w:rsidP="00073C2E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2174CF">
              <w:rPr>
                <w:rFonts w:eastAsia="Times New Roman"/>
                <w:sz w:val="18"/>
                <w:szCs w:val="18"/>
              </w:rPr>
              <w:t>Méně rozvinuté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FE6A4E" w:rsidRPr="002174CF" w:rsidRDefault="00FE6A4E" w:rsidP="00073C2E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FE6A4E" w:rsidRPr="002174CF" w:rsidRDefault="00FE6A4E" w:rsidP="00073C2E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FE6A4E" w:rsidRPr="002174CF" w:rsidRDefault="003C039F" w:rsidP="00920735">
            <w:pPr>
              <w:spacing w:before="0" w:after="0"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r w:rsidRPr="003C039F">
              <w:rPr>
                <w:rFonts w:eastAsia="Times New Roman"/>
                <w:color w:val="000000"/>
                <w:sz w:val="16"/>
                <w:szCs w:val="16"/>
                <w:lang w:eastAsia="cs-CZ"/>
              </w:rPr>
              <w:t>20 374</w:t>
            </w:r>
            <w:r>
              <w:rPr>
                <w:rFonts w:eastAsia="Times New Roman"/>
                <w:color w:val="000000"/>
                <w:sz w:val="16"/>
                <w:szCs w:val="16"/>
                <w:lang w:eastAsia="cs-CZ"/>
              </w:rPr>
              <w:t> </w:t>
            </w:r>
            <w:r w:rsidRPr="003C039F">
              <w:rPr>
                <w:rFonts w:eastAsia="Times New Roman"/>
                <w:color w:val="000000"/>
                <w:sz w:val="16"/>
                <w:szCs w:val="16"/>
                <w:lang w:eastAsia="cs-CZ"/>
              </w:rPr>
              <w:t>943</w:t>
            </w:r>
          </w:p>
        </w:tc>
      </w:tr>
    </w:tbl>
    <w:p w:rsidR="00FE6A4E" w:rsidRPr="00B4546B" w:rsidRDefault="00FE6A4E" w:rsidP="00FE6A4E">
      <w:pPr>
        <w:pStyle w:val="Titulek"/>
        <w:rPr>
          <w:rFonts w:ascii="Times New Roman" w:hAnsi="Times New Roman" w:cs="Times New Roman"/>
          <w:szCs w:val="22"/>
        </w:rPr>
      </w:pPr>
      <w:r w:rsidRPr="00B4546B">
        <w:rPr>
          <w:rFonts w:ascii="Times New Roman" w:hAnsi="Times New Roman" w:cs="Times New Roman"/>
        </w:rPr>
        <w:t xml:space="preserve">Tabulka </w:t>
      </w:r>
      <w:r w:rsidRPr="00B4546B">
        <w:rPr>
          <w:rFonts w:ascii="Times New Roman" w:hAnsi="Times New Roman" w:cs="Times New Roman"/>
        </w:rPr>
        <w:fldChar w:fldCharType="begin"/>
      </w:r>
      <w:r w:rsidRPr="00B4546B">
        <w:rPr>
          <w:rFonts w:ascii="Times New Roman" w:hAnsi="Times New Roman" w:cs="Times New Roman"/>
        </w:rPr>
        <w:instrText xml:space="preserve"> SEQ Tabulka \* ARABIC </w:instrText>
      </w:r>
      <w:r w:rsidRPr="00B4546B">
        <w:rPr>
          <w:rFonts w:ascii="Times New Roman" w:hAnsi="Times New Roman" w:cs="Times New Roman"/>
        </w:rPr>
        <w:fldChar w:fldCharType="separate"/>
      </w:r>
      <w:r w:rsidR="00D32A6B">
        <w:rPr>
          <w:rFonts w:ascii="Times New Roman" w:hAnsi="Times New Roman" w:cs="Times New Roman"/>
          <w:noProof/>
        </w:rPr>
        <w:t>48</w:t>
      </w:r>
      <w:r w:rsidRPr="00B4546B">
        <w:rPr>
          <w:rFonts w:ascii="Times New Roman" w:hAnsi="Times New Roman" w:cs="Times New Roman"/>
        </w:rPr>
        <w:fldChar w:fldCharType="end"/>
      </w:r>
      <w:r w:rsidRPr="00B4546B">
        <w:rPr>
          <w:rFonts w:ascii="Times New Roman" w:hAnsi="Times New Roman" w:cs="Times New Roman"/>
        </w:rPr>
        <w:t>:</w:t>
      </w:r>
      <w:r w:rsidRPr="00B4546B">
        <w:rPr>
          <w:rFonts w:ascii="Times New Roman" w:hAnsi="Times New Roman" w:cs="Times New Roman"/>
          <w:szCs w:val="22"/>
        </w:rPr>
        <w:t xml:space="preserve"> SC </w:t>
      </w:r>
      <w:r w:rsidR="00073C2E">
        <w:rPr>
          <w:rFonts w:ascii="Times New Roman" w:hAnsi="Times New Roman" w:cs="Times New Roman"/>
          <w:szCs w:val="22"/>
        </w:rPr>
        <w:t>4</w:t>
      </w:r>
      <w:r w:rsidRPr="00B4546B">
        <w:rPr>
          <w:rFonts w:ascii="Times New Roman" w:hAnsi="Times New Roman" w:cs="Times New Roman"/>
          <w:szCs w:val="22"/>
        </w:rPr>
        <w:t>.</w:t>
      </w:r>
      <w:r w:rsidR="00073C2E">
        <w:rPr>
          <w:rFonts w:ascii="Times New Roman" w:hAnsi="Times New Roman" w:cs="Times New Roman"/>
          <w:szCs w:val="22"/>
        </w:rPr>
        <w:t>1</w:t>
      </w:r>
      <w:r w:rsidRPr="00B4546B">
        <w:rPr>
          <w:rFonts w:ascii="Times New Roman" w:hAnsi="Times New Roman" w:cs="Times New Roman"/>
          <w:szCs w:val="22"/>
        </w:rPr>
        <w:t>: Dimenze 7 – ESF+, ERDF, CF a JTF a dimenze rovnosti žen a mužů</w:t>
      </w:r>
    </w:p>
    <w:tbl>
      <w:tblPr>
        <w:tblStyle w:val="Tabulkasmkou4zvraznn1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6"/>
        <w:gridCol w:w="1047"/>
        <w:gridCol w:w="2125"/>
        <w:gridCol w:w="1961"/>
        <w:gridCol w:w="1462"/>
        <w:gridCol w:w="1958"/>
      </w:tblGrid>
      <w:tr w:rsidR="00FE6A4E" w:rsidRPr="00EC6162" w:rsidTr="00E97B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FE6A4E" w:rsidRPr="00EC6162" w:rsidRDefault="00FE6A4E" w:rsidP="00073C2E">
            <w:pPr>
              <w:spacing w:before="0" w:after="0" w:line="276" w:lineRule="auto"/>
              <w:jc w:val="center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Číslo priority</w:t>
            </w:r>
          </w:p>
        </w:tc>
        <w:tc>
          <w:tcPr>
            <w:tcW w:w="104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FE6A4E" w:rsidRPr="00EC6162" w:rsidRDefault="00FE6A4E" w:rsidP="00073C2E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Fond</w:t>
            </w:r>
          </w:p>
        </w:tc>
        <w:tc>
          <w:tcPr>
            <w:tcW w:w="212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FE6A4E" w:rsidRPr="00EC6162" w:rsidRDefault="00FE6A4E" w:rsidP="00073C2E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Kategorie regionu</w:t>
            </w:r>
          </w:p>
        </w:tc>
        <w:tc>
          <w:tcPr>
            <w:tcW w:w="19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</w:tcPr>
          <w:p w:rsidR="00FE6A4E" w:rsidRPr="00EC6162" w:rsidRDefault="00FE6A4E" w:rsidP="00073C2E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Specifický cíl</w:t>
            </w:r>
          </w:p>
        </w:tc>
        <w:tc>
          <w:tcPr>
            <w:tcW w:w="14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FE6A4E" w:rsidRPr="00EC6162" w:rsidRDefault="00FE6A4E" w:rsidP="00073C2E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Kód</w:t>
            </w:r>
          </w:p>
        </w:tc>
        <w:tc>
          <w:tcPr>
            <w:tcW w:w="19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FE6A4E" w:rsidRPr="00EC6162" w:rsidRDefault="00FE6A4E" w:rsidP="00073C2E">
            <w:pPr>
              <w:spacing w:before="0"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EC6162">
              <w:rPr>
                <w:rFonts w:eastAsia="Times New Roman"/>
                <w:iCs/>
                <w:noProof/>
                <w:sz w:val="18"/>
                <w:szCs w:val="18"/>
              </w:rPr>
              <w:t>Částka (v EUR)</w:t>
            </w:r>
          </w:p>
        </w:tc>
      </w:tr>
      <w:tr w:rsidR="00FE6A4E" w:rsidRPr="00F61950" w:rsidTr="00073C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 w:val="restart"/>
            <w:shd w:val="clear" w:color="auto" w:fill="DEEAF6" w:themeFill="accent5" w:themeFillTint="33"/>
          </w:tcPr>
          <w:p w:rsidR="00FE6A4E" w:rsidRPr="0013141D" w:rsidRDefault="00FE6A4E" w:rsidP="00073C2E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b w:val="0"/>
                <w:iCs/>
                <w:noProof/>
                <w:sz w:val="18"/>
                <w:szCs w:val="18"/>
              </w:rPr>
              <w:t>P</w:t>
            </w:r>
            <w:r w:rsidR="00073C2E">
              <w:rPr>
                <w:rFonts w:eastAsia="Times New Roman"/>
                <w:b w:val="0"/>
                <w:iCs/>
                <w:noProof/>
                <w:sz w:val="18"/>
                <w:szCs w:val="18"/>
              </w:rPr>
              <w:t>4</w:t>
            </w:r>
          </w:p>
        </w:tc>
        <w:tc>
          <w:tcPr>
            <w:tcW w:w="1047" w:type="dxa"/>
            <w:vMerge w:val="restart"/>
            <w:shd w:val="clear" w:color="auto" w:fill="DEEAF6" w:themeFill="accent5" w:themeFillTint="33"/>
          </w:tcPr>
          <w:p w:rsidR="00FE6A4E" w:rsidRPr="0013141D" w:rsidRDefault="00FE6A4E" w:rsidP="00073C2E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noProof/>
                <w:sz w:val="18"/>
                <w:szCs w:val="18"/>
              </w:rPr>
              <w:t>ESF</w:t>
            </w:r>
            <w:r w:rsidRPr="00376202">
              <w:rPr>
                <w:rFonts w:eastAsia="Times New Roman"/>
                <w:noProof/>
                <w:sz w:val="18"/>
                <w:szCs w:val="18"/>
              </w:rPr>
              <w:t>+</w:t>
            </w:r>
          </w:p>
        </w:tc>
        <w:tc>
          <w:tcPr>
            <w:tcW w:w="2125" w:type="dxa"/>
            <w:shd w:val="clear" w:color="auto" w:fill="DEEAF6" w:themeFill="accent5" w:themeFillTint="33"/>
          </w:tcPr>
          <w:p w:rsidR="00FE6A4E" w:rsidRPr="0013141D" w:rsidRDefault="00FE6A4E" w:rsidP="00073C2E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Více rozvinuté</w:t>
            </w:r>
          </w:p>
        </w:tc>
        <w:tc>
          <w:tcPr>
            <w:tcW w:w="1961" w:type="dxa"/>
            <w:vMerge w:val="restart"/>
            <w:shd w:val="clear" w:color="auto" w:fill="DEEAF6" w:themeFill="accent5" w:themeFillTint="33"/>
            <w:vAlign w:val="center"/>
          </w:tcPr>
          <w:p w:rsidR="00FE6A4E" w:rsidRPr="0013141D" w:rsidRDefault="00F44784" w:rsidP="00073C2E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iCs/>
                <w:noProof/>
                <w:sz w:val="18"/>
                <w:szCs w:val="18"/>
              </w:rPr>
              <w:t>4.1</w:t>
            </w:r>
          </w:p>
        </w:tc>
        <w:tc>
          <w:tcPr>
            <w:tcW w:w="1462" w:type="dxa"/>
            <w:vMerge w:val="restart"/>
            <w:shd w:val="clear" w:color="auto" w:fill="DEEAF6" w:themeFill="accent5" w:themeFillTint="33"/>
            <w:vAlign w:val="center"/>
          </w:tcPr>
          <w:p w:rsidR="00FE6A4E" w:rsidRPr="0013141D" w:rsidRDefault="003C039F" w:rsidP="00073C2E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iCs/>
                <w:noProof/>
                <w:sz w:val="18"/>
                <w:szCs w:val="18"/>
              </w:rPr>
              <w:t>3</w:t>
            </w: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FE6A4E" w:rsidRPr="00F61950" w:rsidRDefault="003C039F" w:rsidP="00920735">
            <w:pPr>
              <w:spacing w:before="0" w:after="0"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bCs/>
                <w:iCs/>
                <w:noProof/>
                <w:sz w:val="18"/>
                <w:szCs w:val="18"/>
              </w:rPr>
              <w:t>241 694</w:t>
            </w:r>
          </w:p>
        </w:tc>
      </w:tr>
      <w:tr w:rsidR="00FE6A4E" w:rsidRPr="00F61950" w:rsidTr="00073C2E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FE6A4E" w:rsidRPr="0013141D" w:rsidRDefault="00FE6A4E" w:rsidP="00073C2E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FE6A4E" w:rsidRPr="0013141D" w:rsidRDefault="00FE6A4E" w:rsidP="00073C2E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FE6A4E" w:rsidRPr="0013141D" w:rsidRDefault="00FE6A4E" w:rsidP="00073C2E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Přechodové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FE6A4E" w:rsidRPr="0013141D" w:rsidRDefault="00FE6A4E" w:rsidP="00073C2E">
            <w:pPr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FE6A4E" w:rsidRPr="0013141D" w:rsidRDefault="00FE6A4E" w:rsidP="00073C2E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FE6A4E" w:rsidRPr="00F61950" w:rsidRDefault="003C039F" w:rsidP="00920735">
            <w:pPr>
              <w:spacing w:before="0" w:after="0"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>
              <w:rPr>
                <w:rFonts w:eastAsia="Times New Roman"/>
                <w:bCs/>
                <w:iCs/>
                <w:noProof/>
                <w:sz w:val="18"/>
                <w:szCs w:val="18"/>
              </w:rPr>
              <w:t>18 277 801</w:t>
            </w:r>
          </w:p>
        </w:tc>
      </w:tr>
      <w:tr w:rsidR="00FE6A4E" w:rsidRPr="00F61950" w:rsidTr="00073C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  <w:shd w:val="clear" w:color="auto" w:fill="DEEAF6" w:themeFill="accent5" w:themeFillTint="33"/>
          </w:tcPr>
          <w:p w:rsidR="00FE6A4E" w:rsidRPr="0013141D" w:rsidRDefault="00FE6A4E" w:rsidP="00073C2E">
            <w:pPr>
              <w:spacing w:before="0" w:after="0" w:line="276" w:lineRule="auto"/>
              <w:rPr>
                <w:rFonts w:eastAsia="Times New Roman"/>
                <w:b w:val="0"/>
                <w:iCs/>
                <w:noProof/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DEEAF6" w:themeFill="accent5" w:themeFillTint="33"/>
          </w:tcPr>
          <w:p w:rsidR="00FE6A4E" w:rsidRPr="0013141D" w:rsidRDefault="00FE6A4E" w:rsidP="00073C2E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DEEAF6" w:themeFill="accent5" w:themeFillTint="33"/>
          </w:tcPr>
          <w:p w:rsidR="00FE6A4E" w:rsidRPr="0013141D" w:rsidRDefault="00FE6A4E" w:rsidP="00073C2E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  <w:r w:rsidRPr="0013141D">
              <w:rPr>
                <w:rFonts w:eastAsia="Times New Roman"/>
                <w:noProof/>
                <w:sz w:val="18"/>
                <w:szCs w:val="18"/>
              </w:rPr>
              <w:t>Méně rozvinuté</w:t>
            </w:r>
          </w:p>
        </w:tc>
        <w:tc>
          <w:tcPr>
            <w:tcW w:w="1961" w:type="dxa"/>
            <w:vMerge/>
            <w:shd w:val="clear" w:color="auto" w:fill="DEEAF6" w:themeFill="accent5" w:themeFillTint="33"/>
            <w:vAlign w:val="center"/>
          </w:tcPr>
          <w:p w:rsidR="00FE6A4E" w:rsidRPr="0013141D" w:rsidRDefault="00FE6A4E" w:rsidP="00073C2E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EEAF6" w:themeFill="accent5" w:themeFillTint="33"/>
            <w:vAlign w:val="center"/>
          </w:tcPr>
          <w:p w:rsidR="00FE6A4E" w:rsidRPr="0013141D" w:rsidRDefault="00FE6A4E" w:rsidP="00073C2E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1958" w:type="dxa"/>
            <w:shd w:val="clear" w:color="auto" w:fill="DEEAF6" w:themeFill="accent5" w:themeFillTint="33"/>
            <w:vAlign w:val="center"/>
          </w:tcPr>
          <w:p w:rsidR="00FE6A4E" w:rsidRPr="00F61950" w:rsidRDefault="003C039F" w:rsidP="00920735">
            <w:pPr>
              <w:spacing w:before="0" w:after="0"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iCs/>
                <w:noProof/>
                <w:sz w:val="18"/>
                <w:szCs w:val="18"/>
              </w:rPr>
            </w:pPr>
            <w:r w:rsidRPr="003C039F">
              <w:rPr>
                <w:rFonts w:eastAsia="Times New Roman"/>
                <w:color w:val="000000"/>
                <w:sz w:val="16"/>
                <w:szCs w:val="16"/>
                <w:lang w:eastAsia="cs-CZ"/>
              </w:rPr>
              <w:t>20 374</w:t>
            </w:r>
            <w:r>
              <w:rPr>
                <w:rFonts w:eastAsia="Times New Roman"/>
                <w:color w:val="000000"/>
                <w:sz w:val="16"/>
                <w:szCs w:val="16"/>
                <w:lang w:eastAsia="cs-CZ"/>
              </w:rPr>
              <w:t> </w:t>
            </w:r>
            <w:r w:rsidRPr="003C039F">
              <w:rPr>
                <w:rFonts w:eastAsia="Times New Roman"/>
                <w:color w:val="000000"/>
                <w:sz w:val="16"/>
                <w:szCs w:val="16"/>
                <w:lang w:eastAsia="cs-CZ"/>
              </w:rPr>
              <w:t>943</w:t>
            </w:r>
          </w:p>
        </w:tc>
      </w:tr>
      <w:bookmarkEnd w:id="234"/>
    </w:tbl>
    <w:p w:rsidR="00DA17B4" w:rsidRPr="00073C2E" w:rsidRDefault="00DA17B4" w:rsidP="00073C2E">
      <w:pPr>
        <w:spacing w:before="240" w:after="240"/>
        <w:rPr>
          <w:rStyle w:val="Nadpis1Char"/>
          <w:rFonts w:eastAsia="Times New Roman" w:cs="Times New Roman"/>
          <w:smallCaps w:val="0"/>
          <w:szCs w:val="24"/>
          <w:lang w:val="cs-CZ"/>
        </w:rPr>
      </w:pPr>
    </w:p>
    <w:bookmarkEnd w:id="232"/>
    <w:p w:rsidR="000D6000" w:rsidRDefault="000D6000">
      <w:pPr>
        <w:spacing w:before="0" w:after="160" w:line="259" w:lineRule="auto"/>
        <w:rPr>
          <w:rStyle w:val="Nadpis1Char"/>
          <w:color w:val="1F4E79" w:themeColor="accent5" w:themeShade="80"/>
          <w:lang w:val="cs-CZ"/>
        </w:rPr>
      </w:pPr>
      <w:r>
        <w:rPr>
          <w:rStyle w:val="Nadpis1Char"/>
          <w:color w:val="1F4E79" w:themeColor="accent5" w:themeShade="80"/>
          <w:lang w:val="cs-CZ"/>
        </w:rPr>
        <w:br w:type="page"/>
      </w:r>
    </w:p>
    <w:bookmarkEnd w:id="220"/>
    <w:bookmarkEnd w:id="221"/>
    <w:bookmarkEnd w:id="222"/>
    <w:bookmarkEnd w:id="223"/>
    <w:p w:rsidR="00602D39" w:rsidRPr="00B175FB" w:rsidRDefault="00602D39" w:rsidP="00840744">
      <w:pPr>
        <w:rPr>
          <w:rFonts w:eastAsia="Times New Roman"/>
          <w:b/>
          <w:iCs/>
          <w:noProof/>
          <w:szCs w:val="24"/>
        </w:rPr>
        <w:sectPr w:rsidR="00602D39" w:rsidRPr="00B175FB" w:rsidSect="00114426">
          <w:pgSz w:w="11907" w:h="16839"/>
          <w:pgMar w:top="624" w:right="1134" w:bottom="1134" w:left="1134" w:header="567" w:footer="567" w:gutter="0"/>
          <w:cols w:space="708"/>
        </w:sectPr>
      </w:pPr>
    </w:p>
    <w:p w:rsidR="00AE6176" w:rsidRPr="00DA17B4" w:rsidRDefault="00AE6176" w:rsidP="00AE6176">
      <w:pPr>
        <w:pStyle w:val="Odstavecseseznamem"/>
        <w:numPr>
          <w:ilvl w:val="0"/>
          <w:numId w:val="78"/>
        </w:numPr>
        <w:rPr>
          <w:rStyle w:val="Nadpis1Char"/>
          <w:color w:val="1F4E79" w:themeColor="accent5" w:themeShade="80"/>
          <w:lang w:val="cs-CZ"/>
        </w:rPr>
      </w:pPr>
      <w:bookmarkStart w:id="237" w:name="_Toc66476075"/>
      <w:bookmarkStart w:id="238" w:name="_Toc68611033"/>
      <w:r w:rsidRPr="00DA17B4">
        <w:rPr>
          <w:rStyle w:val="Nadpis1Char"/>
          <w:color w:val="1F4E79" w:themeColor="accent5" w:themeShade="80"/>
          <w:lang w:val="cs-CZ"/>
        </w:rPr>
        <w:t>Finanční plán</w:t>
      </w:r>
      <w:bookmarkEnd w:id="237"/>
      <w:bookmarkEnd w:id="238"/>
    </w:p>
    <w:p w:rsidR="00AE6176" w:rsidRPr="00B175FB" w:rsidRDefault="00AE6176" w:rsidP="00AE6176">
      <w:pPr>
        <w:pStyle w:val="Odstavecseseznamem"/>
        <w:keepNext/>
        <w:numPr>
          <w:ilvl w:val="0"/>
          <w:numId w:val="1"/>
        </w:numPr>
        <w:spacing w:before="360" w:after="120" w:line="240" w:lineRule="auto"/>
        <w:contextualSpacing w:val="0"/>
        <w:jc w:val="both"/>
        <w:outlineLvl w:val="0"/>
        <w:rPr>
          <w:b/>
          <w:smallCaps/>
          <w:vanish/>
        </w:rPr>
      </w:pPr>
      <w:bookmarkStart w:id="239" w:name="_Toc33003141"/>
      <w:bookmarkStart w:id="240" w:name="_Toc33003205"/>
      <w:bookmarkStart w:id="241" w:name="_Toc33003237"/>
      <w:bookmarkStart w:id="242" w:name="_Toc33003566"/>
      <w:bookmarkStart w:id="243" w:name="_Toc33165186"/>
      <w:bookmarkStart w:id="244" w:name="_Toc33165218"/>
      <w:bookmarkStart w:id="245" w:name="_Toc33165249"/>
      <w:bookmarkStart w:id="246" w:name="_Toc33165515"/>
      <w:bookmarkStart w:id="247" w:name="_Toc33532443"/>
      <w:bookmarkStart w:id="248" w:name="_Toc33596810"/>
      <w:bookmarkStart w:id="249" w:name="_Toc33599093"/>
      <w:bookmarkStart w:id="250" w:name="_Toc66190784"/>
      <w:bookmarkStart w:id="251" w:name="_Toc66271506"/>
      <w:bookmarkStart w:id="252" w:name="_Toc66274271"/>
      <w:bookmarkStart w:id="253" w:name="_Toc66274370"/>
      <w:bookmarkStart w:id="254" w:name="_Toc66274576"/>
      <w:bookmarkStart w:id="255" w:name="_Toc66274853"/>
      <w:bookmarkStart w:id="256" w:name="_Toc66274893"/>
      <w:bookmarkStart w:id="257" w:name="_Toc66274939"/>
      <w:bookmarkStart w:id="258" w:name="_Toc66275000"/>
      <w:bookmarkStart w:id="259" w:name="_Toc66275057"/>
      <w:bookmarkStart w:id="260" w:name="_Toc66275394"/>
      <w:bookmarkStart w:id="261" w:name="_Toc66275453"/>
      <w:bookmarkStart w:id="262" w:name="_Toc66275729"/>
      <w:bookmarkStart w:id="263" w:name="_Toc66398513"/>
      <w:bookmarkStart w:id="264" w:name="_Toc66398621"/>
      <w:bookmarkStart w:id="265" w:name="_Toc66429274"/>
      <w:bookmarkStart w:id="266" w:name="_Toc66429391"/>
      <w:bookmarkStart w:id="267" w:name="_Toc66429488"/>
      <w:bookmarkStart w:id="268" w:name="_Toc66476076"/>
      <w:bookmarkStart w:id="269" w:name="_Toc68611034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</w:p>
    <w:p w:rsidR="00AE6176" w:rsidRPr="00B175FB" w:rsidRDefault="00AE6176" w:rsidP="00AE6176">
      <w:pPr>
        <w:pStyle w:val="Nadpis2"/>
        <w:rPr>
          <w:color w:val="1F4E79" w:themeColor="accent5" w:themeShade="80"/>
          <w:lang w:val="cs-CZ"/>
        </w:rPr>
      </w:pPr>
      <w:bookmarkStart w:id="270" w:name="_Toc66476077"/>
      <w:bookmarkStart w:id="271" w:name="_Toc68611035"/>
      <w:r w:rsidRPr="00B175FB">
        <w:rPr>
          <w:color w:val="1F4E79" w:themeColor="accent5" w:themeShade="80"/>
          <w:lang w:val="cs-CZ"/>
        </w:rPr>
        <w:t>Převody a příspěvky</w:t>
      </w:r>
      <w:r w:rsidRPr="00B175FB">
        <w:rPr>
          <w:color w:val="1F4E79" w:themeColor="accent5" w:themeShade="80"/>
          <w:vertAlign w:val="superscript"/>
          <w:lang w:val="cs-CZ"/>
        </w:rPr>
        <w:footnoteReference w:id="86"/>
      </w:r>
      <w:bookmarkEnd w:id="270"/>
      <w:bookmarkEnd w:id="271"/>
    </w:p>
    <w:p w:rsidR="00114426" w:rsidRPr="00B175FB" w:rsidRDefault="007A262F" w:rsidP="00636242">
      <w:pPr>
        <w:pStyle w:val="Nadpis2"/>
        <w:rPr>
          <w:color w:val="1F4E79" w:themeColor="accent5" w:themeShade="80"/>
          <w:lang w:val="cs-CZ"/>
        </w:rPr>
      </w:pPr>
      <w:bookmarkStart w:id="272" w:name="_Toc66476078"/>
      <w:bookmarkStart w:id="273" w:name="_Toc68611036"/>
      <w:r w:rsidRPr="00B175FB">
        <w:rPr>
          <w:color w:val="1F4E79" w:themeColor="accent5" w:themeShade="80"/>
          <w:lang w:val="cs-CZ"/>
        </w:rPr>
        <w:t xml:space="preserve">Finanční prostředky podle </w:t>
      </w:r>
      <w:r w:rsidR="00642BB5" w:rsidRPr="00B175FB">
        <w:rPr>
          <w:color w:val="1F4E79" w:themeColor="accent5" w:themeShade="80"/>
          <w:lang w:val="cs-CZ"/>
        </w:rPr>
        <w:t>let</w:t>
      </w:r>
      <w:bookmarkEnd w:id="272"/>
      <w:bookmarkEnd w:id="273"/>
    </w:p>
    <w:p w:rsidR="00E37F11" w:rsidRPr="00F6239D" w:rsidRDefault="00E37F11" w:rsidP="00114426">
      <w:pPr>
        <w:spacing w:before="240" w:after="240" w:line="240" w:lineRule="auto"/>
        <w:rPr>
          <w:rFonts w:eastAsia="Times New Roman"/>
          <w:b/>
          <w:sz w:val="22"/>
        </w:rPr>
      </w:pPr>
      <w:bookmarkStart w:id="274" w:name="_Hlk66696221"/>
      <w:r w:rsidRPr="00E37F11">
        <w:rPr>
          <w:rFonts w:eastAsia="Times New Roman"/>
          <w:b/>
          <w:iCs/>
          <w:noProof/>
          <w:sz w:val="22"/>
        </w:rPr>
        <w:t xml:space="preserve">Tabulka </w:t>
      </w:r>
      <w:r w:rsidR="001C1C68" w:rsidRPr="001C1C68">
        <w:rPr>
          <w:rFonts w:eastAsia="Times New Roman"/>
          <w:b/>
          <w:iCs/>
          <w:noProof/>
          <w:sz w:val="22"/>
        </w:rPr>
        <w:fldChar w:fldCharType="begin"/>
      </w:r>
      <w:r w:rsidR="001C1C68" w:rsidRPr="001C1C68">
        <w:rPr>
          <w:rFonts w:eastAsia="Times New Roman"/>
          <w:b/>
          <w:iCs/>
          <w:noProof/>
          <w:sz w:val="22"/>
        </w:rPr>
        <w:instrText xml:space="preserve"> SEQ Tabulka \* ARABIC </w:instrText>
      </w:r>
      <w:r w:rsidR="001C1C68" w:rsidRPr="001C1C68">
        <w:rPr>
          <w:rFonts w:eastAsia="Times New Roman"/>
          <w:b/>
          <w:iCs/>
          <w:noProof/>
          <w:sz w:val="22"/>
        </w:rPr>
        <w:fldChar w:fldCharType="separate"/>
      </w:r>
      <w:r w:rsidR="00262D11">
        <w:rPr>
          <w:rFonts w:eastAsia="Times New Roman"/>
          <w:b/>
          <w:iCs/>
          <w:noProof/>
          <w:sz w:val="22"/>
        </w:rPr>
        <w:t>49</w:t>
      </w:r>
      <w:r w:rsidR="001C1C68" w:rsidRPr="001C1C68">
        <w:rPr>
          <w:rFonts w:eastAsia="Times New Roman"/>
          <w:b/>
          <w:iCs/>
          <w:noProof/>
          <w:sz w:val="22"/>
        </w:rPr>
        <w:fldChar w:fldCharType="end"/>
      </w:r>
      <w:r w:rsidR="001C1C68" w:rsidRPr="001C1C68">
        <w:rPr>
          <w:rFonts w:eastAsia="Times New Roman"/>
          <w:b/>
          <w:iCs/>
          <w:noProof/>
          <w:sz w:val="22"/>
        </w:rPr>
        <w:t>:</w:t>
      </w:r>
      <w:r w:rsidRPr="00E37F11">
        <w:rPr>
          <w:rFonts w:eastAsia="Times New Roman"/>
          <w:b/>
          <w:iCs/>
          <w:noProof/>
          <w:sz w:val="22"/>
        </w:rPr>
        <w:t xml:space="preserve"> Finanční prostředky podle </w:t>
      </w:r>
      <w:r w:rsidR="005F6BF5">
        <w:rPr>
          <w:rFonts w:eastAsia="Times New Roman"/>
          <w:b/>
          <w:iCs/>
          <w:noProof/>
          <w:sz w:val="22"/>
        </w:rPr>
        <w:t>let</w:t>
      </w:r>
      <w:r w:rsidRPr="00E37F11">
        <w:rPr>
          <w:rFonts w:eastAsia="Times New Roman"/>
          <w:b/>
          <w:iCs/>
          <w:noProof/>
          <w:sz w:val="22"/>
        </w:rPr>
        <w:t xml:space="preserve"> (v EUR)</w:t>
      </w:r>
    </w:p>
    <w:tbl>
      <w:tblPr>
        <w:tblStyle w:val="Tabulkasmkou4zvraznn1"/>
        <w:tblW w:w="15347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134"/>
        <w:gridCol w:w="1134"/>
        <w:gridCol w:w="1134"/>
        <w:gridCol w:w="1276"/>
        <w:gridCol w:w="1134"/>
        <w:gridCol w:w="1275"/>
        <w:gridCol w:w="1418"/>
        <w:gridCol w:w="1276"/>
        <w:gridCol w:w="1417"/>
        <w:gridCol w:w="1276"/>
        <w:gridCol w:w="2020"/>
        <w:gridCol w:w="7"/>
      </w:tblGrid>
      <w:tr w:rsidR="00690030" w:rsidRPr="00B175FB" w:rsidTr="000E3E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102BDC" w:rsidRPr="00B175FB" w:rsidRDefault="00102BDC" w:rsidP="00BF33E3">
            <w:pPr>
              <w:spacing w:after="0" w:line="240" w:lineRule="auto"/>
              <w:jc w:val="center"/>
              <w:rPr>
                <w:b w:val="0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Fond</w:t>
            </w:r>
          </w:p>
        </w:tc>
        <w:tc>
          <w:tcPr>
            <w:tcW w:w="1134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102BDC" w:rsidRPr="00B175FB" w:rsidRDefault="00102BDC" w:rsidP="00BF33E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Kategorie </w:t>
            </w:r>
            <w:r w:rsidR="00690030">
              <w:rPr>
                <w:noProof/>
                <w:sz w:val="18"/>
                <w:szCs w:val="18"/>
              </w:rPr>
              <w:br/>
            </w:r>
            <w:r>
              <w:rPr>
                <w:noProof/>
                <w:sz w:val="18"/>
                <w:szCs w:val="18"/>
              </w:rPr>
              <w:t>regionů</w:t>
            </w:r>
          </w:p>
        </w:tc>
        <w:tc>
          <w:tcPr>
            <w:tcW w:w="1134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102BDC" w:rsidRPr="00B175FB" w:rsidRDefault="00102BDC" w:rsidP="00BF33E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noProof/>
                <w:sz w:val="18"/>
                <w:szCs w:val="18"/>
              </w:rPr>
            </w:pPr>
            <w:r w:rsidRPr="00B175FB">
              <w:rPr>
                <w:noProof/>
                <w:sz w:val="18"/>
                <w:szCs w:val="18"/>
              </w:rPr>
              <w:t>2021</w:t>
            </w:r>
          </w:p>
        </w:tc>
        <w:tc>
          <w:tcPr>
            <w:tcW w:w="1134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102BDC" w:rsidRPr="00B175FB" w:rsidRDefault="00102BDC" w:rsidP="00BF33E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noProof/>
                <w:sz w:val="18"/>
                <w:szCs w:val="18"/>
              </w:rPr>
            </w:pPr>
            <w:r w:rsidRPr="00B175FB">
              <w:rPr>
                <w:noProof/>
                <w:sz w:val="18"/>
                <w:szCs w:val="18"/>
              </w:rPr>
              <w:t>2022</w:t>
            </w:r>
          </w:p>
        </w:tc>
        <w:tc>
          <w:tcPr>
            <w:tcW w:w="1276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102BDC" w:rsidRPr="00B175FB" w:rsidRDefault="00102BDC" w:rsidP="00BF33E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noProof/>
                <w:sz w:val="18"/>
                <w:szCs w:val="18"/>
              </w:rPr>
            </w:pPr>
            <w:r w:rsidRPr="00B175FB">
              <w:rPr>
                <w:noProof/>
                <w:sz w:val="18"/>
                <w:szCs w:val="18"/>
              </w:rPr>
              <w:t>2023</w:t>
            </w:r>
          </w:p>
        </w:tc>
        <w:tc>
          <w:tcPr>
            <w:tcW w:w="1134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102BDC" w:rsidRPr="00B175FB" w:rsidRDefault="00102BDC" w:rsidP="00BF33E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noProof/>
                <w:sz w:val="18"/>
                <w:szCs w:val="18"/>
              </w:rPr>
            </w:pPr>
            <w:r w:rsidRPr="00B175FB">
              <w:rPr>
                <w:noProof/>
                <w:sz w:val="18"/>
                <w:szCs w:val="18"/>
              </w:rPr>
              <w:t>2024</w:t>
            </w:r>
          </w:p>
        </w:tc>
        <w:tc>
          <w:tcPr>
            <w:tcW w:w="1275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102BDC" w:rsidRPr="00B175FB" w:rsidRDefault="00102BDC" w:rsidP="00BF33E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noProof/>
                <w:sz w:val="18"/>
                <w:szCs w:val="18"/>
              </w:rPr>
            </w:pPr>
            <w:r w:rsidRPr="00B175FB">
              <w:rPr>
                <w:noProof/>
                <w:sz w:val="18"/>
                <w:szCs w:val="18"/>
              </w:rPr>
              <w:t>2025</w:t>
            </w:r>
          </w:p>
        </w:tc>
        <w:tc>
          <w:tcPr>
            <w:tcW w:w="2694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102BDC" w:rsidRPr="00B175FB" w:rsidRDefault="00102BDC" w:rsidP="00BF33E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noProof/>
                <w:sz w:val="18"/>
                <w:szCs w:val="18"/>
              </w:rPr>
            </w:pPr>
            <w:r w:rsidRPr="00B175FB">
              <w:rPr>
                <w:noProof/>
                <w:sz w:val="18"/>
                <w:szCs w:val="18"/>
              </w:rPr>
              <w:t>2026</w:t>
            </w:r>
          </w:p>
        </w:tc>
        <w:tc>
          <w:tcPr>
            <w:tcW w:w="2693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</w:tcPr>
          <w:p w:rsidR="00102BDC" w:rsidRPr="00B175FB" w:rsidRDefault="00102BDC" w:rsidP="00BF33E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noProof/>
                <w:sz w:val="18"/>
                <w:szCs w:val="18"/>
              </w:rPr>
            </w:pPr>
            <w:r w:rsidRPr="00B175FB">
              <w:rPr>
                <w:noProof/>
                <w:sz w:val="18"/>
                <w:szCs w:val="18"/>
              </w:rPr>
              <w:t>2027</w:t>
            </w:r>
          </w:p>
        </w:tc>
        <w:tc>
          <w:tcPr>
            <w:tcW w:w="2027" w:type="dxa"/>
            <w:gridSpan w:val="2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102BDC" w:rsidRPr="00B175FB" w:rsidRDefault="00C96711" w:rsidP="00BF33E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Celkem</w:t>
            </w:r>
          </w:p>
        </w:tc>
      </w:tr>
      <w:tr w:rsidR="0071632F" w:rsidRPr="00B175FB" w:rsidTr="000E3E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</w:tcPr>
          <w:p w:rsidR="00A005CA" w:rsidRPr="00B175FB" w:rsidDel="00E37F11" w:rsidRDefault="00A005CA" w:rsidP="00A005CA">
            <w:pPr>
              <w:spacing w:after="0" w:line="240" w:lineRule="auto"/>
              <w:rPr>
                <w:b w:val="0"/>
                <w:noProof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A005CA" w:rsidRDefault="00A005CA" w:rsidP="00A005C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A005CA" w:rsidRPr="00B175FB" w:rsidRDefault="00A005CA" w:rsidP="00A005C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A005CA" w:rsidRPr="00B175FB" w:rsidRDefault="00A005CA" w:rsidP="00A005C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A005CA" w:rsidRPr="00B175FB" w:rsidRDefault="00A005CA" w:rsidP="00A005C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A005CA" w:rsidRPr="00B175FB" w:rsidRDefault="00A005CA" w:rsidP="00A005C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A005CA" w:rsidRPr="00B175FB" w:rsidRDefault="00A005CA" w:rsidP="00A005C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002060"/>
          </w:tcPr>
          <w:p w:rsidR="00A005CA" w:rsidRPr="00A005CA" w:rsidRDefault="00A005CA" w:rsidP="00A005C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  <w:r w:rsidRPr="00F6239D">
              <w:rPr>
                <w:sz w:val="18"/>
                <w:szCs w:val="18"/>
              </w:rPr>
              <w:t>Finanční alokace bez částky flexibility</w:t>
            </w:r>
          </w:p>
        </w:tc>
        <w:tc>
          <w:tcPr>
            <w:tcW w:w="1276" w:type="dxa"/>
            <w:shd w:val="clear" w:color="auto" w:fill="002060"/>
          </w:tcPr>
          <w:p w:rsidR="00A005CA" w:rsidRPr="00A005CA" w:rsidRDefault="00A005CA" w:rsidP="00A005C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  <w:r w:rsidRPr="00F6239D">
              <w:rPr>
                <w:sz w:val="18"/>
                <w:szCs w:val="18"/>
              </w:rPr>
              <w:t>Částka flexibility</w:t>
            </w:r>
          </w:p>
        </w:tc>
        <w:tc>
          <w:tcPr>
            <w:tcW w:w="1417" w:type="dxa"/>
            <w:shd w:val="clear" w:color="auto" w:fill="002060"/>
          </w:tcPr>
          <w:p w:rsidR="00A005CA" w:rsidRPr="00A005CA" w:rsidRDefault="00A005CA" w:rsidP="00A005C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  <w:r w:rsidRPr="00F6239D">
              <w:rPr>
                <w:sz w:val="18"/>
                <w:szCs w:val="18"/>
              </w:rPr>
              <w:t>Finanční alokace bez částky flexibility</w:t>
            </w:r>
          </w:p>
        </w:tc>
        <w:tc>
          <w:tcPr>
            <w:tcW w:w="1276" w:type="dxa"/>
            <w:shd w:val="clear" w:color="auto" w:fill="002060"/>
          </w:tcPr>
          <w:p w:rsidR="00A005CA" w:rsidRPr="00A005CA" w:rsidRDefault="00A005CA" w:rsidP="00A005C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  <w:r w:rsidRPr="00F6239D">
              <w:rPr>
                <w:sz w:val="18"/>
                <w:szCs w:val="18"/>
              </w:rPr>
              <w:t>Částka flexibility</w:t>
            </w:r>
          </w:p>
        </w:tc>
        <w:tc>
          <w:tcPr>
            <w:tcW w:w="2027" w:type="dxa"/>
            <w:gridSpan w:val="2"/>
            <w:vMerge/>
          </w:tcPr>
          <w:p w:rsidR="00A005CA" w:rsidRPr="00B175FB" w:rsidRDefault="00A005CA" w:rsidP="00A005C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</w:p>
        </w:tc>
      </w:tr>
      <w:tr w:rsidR="0071632F" w:rsidRPr="00875B3C" w:rsidTr="000E3E65">
        <w:trPr>
          <w:gridAfter w:val="1"/>
          <w:wAfter w:w="7" w:type="dxa"/>
          <w:trHeight w:val="3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 w:val="restart"/>
            <w:shd w:val="clear" w:color="auto" w:fill="DEEAF6" w:themeFill="accent5" w:themeFillTint="33"/>
            <w:hideMark/>
          </w:tcPr>
          <w:p w:rsidR="00744265" w:rsidRPr="00B175FB" w:rsidRDefault="00744265" w:rsidP="00744265">
            <w:pPr>
              <w:spacing w:line="276" w:lineRule="auto"/>
              <w:rPr>
                <w:noProof/>
                <w:sz w:val="18"/>
                <w:szCs w:val="18"/>
              </w:rPr>
            </w:pPr>
            <w:r w:rsidRPr="00B175FB">
              <w:rPr>
                <w:noProof/>
                <w:sz w:val="18"/>
                <w:szCs w:val="18"/>
              </w:rPr>
              <w:t>ERDF</w:t>
            </w:r>
          </w:p>
        </w:tc>
        <w:tc>
          <w:tcPr>
            <w:tcW w:w="1134" w:type="dxa"/>
            <w:shd w:val="clear" w:color="auto" w:fill="DEEAF6" w:themeFill="accent5" w:themeFillTint="33"/>
            <w:vAlign w:val="center"/>
            <w:hideMark/>
          </w:tcPr>
          <w:p w:rsidR="00744265" w:rsidRPr="00B63146" w:rsidRDefault="00744265" w:rsidP="004E348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F6239D">
              <w:rPr>
                <w:sz w:val="18"/>
                <w:szCs w:val="18"/>
              </w:rPr>
              <w:t xml:space="preserve">Více </w:t>
            </w:r>
            <w:r w:rsidR="00690030" w:rsidRPr="00B63146">
              <w:rPr>
                <w:sz w:val="18"/>
                <w:szCs w:val="18"/>
              </w:rPr>
              <w:br/>
            </w:r>
            <w:r w:rsidRPr="00F6239D">
              <w:rPr>
                <w:sz w:val="18"/>
                <w:szCs w:val="18"/>
              </w:rPr>
              <w:t>rozvinuté</w:t>
            </w:r>
          </w:p>
        </w:tc>
        <w:tc>
          <w:tcPr>
            <w:tcW w:w="1134" w:type="dxa"/>
            <w:shd w:val="clear" w:color="auto" w:fill="DEEAF6" w:themeFill="accent5" w:themeFillTint="33"/>
            <w:vAlign w:val="center"/>
          </w:tcPr>
          <w:p w:rsidR="00744265" w:rsidRPr="00B63146" w:rsidRDefault="00894F46" w:rsidP="00B63146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894F46">
              <w:rPr>
                <w:color w:val="000000"/>
                <w:sz w:val="18"/>
                <w:szCs w:val="18"/>
              </w:rPr>
              <w:t>26 088 825</w:t>
            </w:r>
          </w:p>
        </w:tc>
        <w:tc>
          <w:tcPr>
            <w:tcW w:w="1134" w:type="dxa"/>
            <w:shd w:val="clear" w:color="auto" w:fill="DEEAF6" w:themeFill="accent5" w:themeFillTint="33"/>
            <w:vAlign w:val="center"/>
          </w:tcPr>
          <w:p w:rsidR="00744265" w:rsidRPr="00B63146" w:rsidRDefault="00894F46" w:rsidP="00B63146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894F46">
              <w:rPr>
                <w:color w:val="000000"/>
                <w:sz w:val="18"/>
                <w:szCs w:val="18"/>
              </w:rPr>
              <w:t>26 611 394</w:t>
            </w:r>
          </w:p>
        </w:tc>
        <w:tc>
          <w:tcPr>
            <w:tcW w:w="1276" w:type="dxa"/>
            <w:shd w:val="clear" w:color="auto" w:fill="DEEAF6" w:themeFill="accent5" w:themeFillTint="33"/>
            <w:vAlign w:val="center"/>
          </w:tcPr>
          <w:p w:rsidR="00744265" w:rsidRPr="00B63146" w:rsidRDefault="00894F46" w:rsidP="00B63146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894F46">
              <w:rPr>
                <w:color w:val="000000"/>
                <w:sz w:val="18"/>
                <w:szCs w:val="18"/>
              </w:rPr>
              <w:t>27 144 369</w:t>
            </w:r>
          </w:p>
        </w:tc>
        <w:tc>
          <w:tcPr>
            <w:tcW w:w="1134" w:type="dxa"/>
            <w:shd w:val="clear" w:color="auto" w:fill="DEEAF6" w:themeFill="accent5" w:themeFillTint="33"/>
            <w:vAlign w:val="center"/>
          </w:tcPr>
          <w:p w:rsidR="00744265" w:rsidRPr="00B63146" w:rsidRDefault="00894F46" w:rsidP="00B63146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894F46">
              <w:rPr>
                <w:color w:val="000000"/>
                <w:sz w:val="18"/>
                <w:szCs w:val="18"/>
              </w:rPr>
              <w:t>27 688 493</w:t>
            </w:r>
          </w:p>
        </w:tc>
        <w:tc>
          <w:tcPr>
            <w:tcW w:w="1275" w:type="dxa"/>
            <w:shd w:val="clear" w:color="auto" w:fill="DEEAF6" w:themeFill="accent5" w:themeFillTint="33"/>
            <w:vAlign w:val="center"/>
          </w:tcPr>
          <w:p w:rsidR="00744265" w:rsidRPr="00B63146" w:rsidRDefault="00894F46" w:rsidP="00B63146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894F46">
              <w:rPr>
                <w:color w:val="000000"/>
                <w:sz w:val="18"/>
                <w:szCs w:val="18"/>
              </w:rPr>
              <w:t>28 242 876</w:t>
            </w:r>
          </w:p>
        </w:tc>
        <w:tc>
          <w:tcPr>
            <w:tcW w:w="1418" w:type="dxa"/>
            <w:shd w:val="clear" w:color="auto" w:fill="DEEAF6" w:themeFill="accent5" w:themeFillTint="33"/>
            <w:vAlign w:val="center"/>
          </w:tcPr>
          <w:p w:rsidR="00744265" w:rsidRPr="00B63146" w:rsidRDefault="00894F46" w:rsidP="00B63146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  <w:highlight w:val="red"/>
              </w:rPr>
            </w:pPr>
            <w:r w:rsidRPr="00894F46">
              <w:rPr>
                <w:color w:val="000000"/>
                <w:sz w:val="18"/>
                <w:szCs w:val="18"/>
              </w:rPr>
              <w:t>14 404 062</w:t>
            </w:r>
          </w:p>
        </w:tc>
        <w:tc>
          <w:tcPr>
            <w:tcW w:w="1276" w:type="dxa"/>
            <w:shd w:val="clear" w:color="auto" w:fill="DEEAF6" w:themeFill="accent5" w:themeFillTint="33"/>
            <w:vAlign w:val="center"/>
          </w:tcPr>
          <w:p w:rsidR="00744265" w:rsidRPr="00B63146" w:rsidRDefault="00703880" w:rsidP="00B63146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  <w:highlight w:val="red"/>
              </w:rPr>
            </w:pPr>
            <w:r w:rsidRPr="00703880">
              <w:rPr>
                <w:color w:val="000000"/>
                <w:sz w:val="18"/>
                <w:szCs w:val="18"/>
              </w:rPr>
              <w:t>14 404 062</w:t>
            </w:r>
          </w:p>
        </w:tc>
        <w:tc>
          <w:tcPr>
            <w:tcW w:w="1417" w:type="dxa"/>
            <w:shd w:val="clear" w:color="auto" w:fill="DEEAF6" w:themeFill="accent5" w:themeFillTint="33"/>
            <w:vAlign w:val="center"/>
          </w:tcPr>
          <w:p w:rsidR="00744265" w:rsidRPr="00B63146" w:rsidRDefault="00703880" w:rsidP="00B63146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  <w:highlight w:val="red"/>
              </w:rPr>
            </w:pPr>
            <w:r w:rsidRPr="00703880">
              <w:rPr>
                <w:color w:val="000000"/>
                <w:sz w:val="18"/>
                <w:szCs w:val="18"/>
              </w:rPr>
              <w:t>14 691 821</w:t>
            </w:r>
          </w:p>
        </w:tc>
        <w:tc>
          <w:tcPr>
            <w:tcW w:w="1276" w:type="dxa"/>
            <w:shd w:val="clear" w:color="auto" w:fill="DEEAF6" w:themeFill="accent5" w:themeFillTint="33"/>
            <w:vAlign w:val="center"/>
          </w:tcPr>
          <w:p w:rsidR="00744265" w:rsidRPr="00B63146" w:rsidRDefault="00703880" w:rsidP="00B63146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  <w:highlight w:val="red"/>
              </w:rPr>
            </w:pPr>
            <w:r w:rsidRPr="00703880">
              <w:rPr>
                <w:color w:val="000000"/>
                <w:sz w:val="18"/>
                <w:szCs w:val="18"/>
              </w:rPr>
              <w:t>14 691 821</w:t>
            </w:r>
          </w:p>
        </w:tc>
        <w:tc>
          <w:tcPr>
            <w:tcW w:w="2020" w:type="dxa"/>
            <w:shd w:val="clear" w:color="auto" w:fill="DEEAF6" w:themeFill="accent5" w:themeFillTint="33"/>
            <w:vAlign w:val="center"/>
          </w:tcPr>
          <w:p w:rsidR="00744265" w:rsidRPr="00875B3C" w:rsidRDefault="00703880" w:rsidP="00B63146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color w:val="FF0000"/>
                <w:sz w:val="18"/>
                <w:szCs w:val="18"/>
              </w:rPr>
            </w:pPr>
            <w:r w:rsidRPr="00703880">
              <w:rPr>
                <w:bCs/>
                <w:sz w:val="18"/>
                <w:szCs w:val="18"/>
              </w:rPr>
              <w:t>193 967 723</w:t>
            </w:r>
          </w:p>
        </w:tc>
      </w:tr>
      <w:tr w:rsidR="0071632F" w:rsidRPr="00B63146" w:rsidTr="000E3E65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" w:type="dxa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  <w:shd w:val="clear" w:color="auto" w:fill="DEEAF6" w:themeFill="accent5" w:themeFillTint="33"/>
            <w:hideMark/>
          </w:tcPr>
          <w:p w:rsidR="00744265" w:rsidRPr="00B175FB" w:rsidRDefault="00744265" w:rsidP="00744265">
            <w:pPr>
              <w:spacing w:before="0" w:after="0" w:line="276" w:lineRule="auto"/>
              <w:rPr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EEAF6" w:themeFill="accent5" w:themeFillTint="33"/>
            <w:vAlign w:val="center"/>
            <w:hideMark/>
          </w:tcPr>
          <w:p w:rsidR="00744265" w:rsidRPr="00B63146" w:rsidRDefault="00744265" w:rsidP="004E348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noProof/>
                <w:sz w:val="18"/>
                <w:szCs w:val="18"/>
              </w:rPr>
            </w:pPr>
            <w:r w:rsidRPr="00F6239D">
              <w:rPr>
                <w:sz w:val="18"/>
                <w:szCs w:val="18"/>
              </w:rPr>
              <w:t>Přechodové</w:t>
            </w:r>
          </w:p>
        </w:tc>
        <w:tc>
          <w:tcPr>
            <w:tcW w:w="1134" w:type="dxa"/>
            <w:shd w:val="clear" w:color="auto" w:fill="DEEAF6" w:themeFill="accent5" w:themeFillTint="33"/>
            <w:vAlign w:val="center"/>
          </w:tcPr>
          <w:p w:rsidR="00744265" w:rsidRPr="00B63146" w:rsidRDefault="00037A5D" w:rsidP="00B63146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037A5D">
              <w:rPr>
                <w:color w:val="000000"/>
                <w:sz w:val="18"/>
                <w:szCs w:val="18"/>
              </w:rPr>
              <w:t>111 937 271</w:t>
            </w:r>
          </w:p>
        </w:tc>
        <w:tc>
          <w:tcPr>
            <w:tcW w:w="1134" w:type="dxa"/>
            <w:shd w:val="clear" w:color="auto" w:fill="DEEAF6" w:themeFill="accent5" w:themeFillTint="33"/>
            <w:vAlign w:val="center"/>
          </w:tcPr>
          <w:p w:rsidR="00744265" w:rsidRPr="00B63146" w:rsidRDefault="00037A5D" w:rsidP="00B63146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037A5D">
              <w:rPr>
                <w:color w:val="000000"/>
                <w:sz w:val="18"/>
                <w:szCs w:val="18"/>
              </w:rPr>
              <w:t>65 340 549</w:t>
            </w:r>
          </w:p>
        </w:tc>
        <w:tc>
          <w:tcPr>
            <w:tcW w:w="1276" w:type="dxa"/>
            <w:shd w:val="clear" w:color="auto" w:fill="DEEAF6" w:themeFill="accent5" w:themeFillTint="33"/>
            <w:vAlign w:val="center"/>
          </w:tcPr>
          <w:p w:rsidR="00744265" w:rsidRPr="00B63146" w:rsidRDefault="00037A5D" w:rsidP="00B63146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037A5D">
              <w:rPr>
                <w:color w:val="000000"/>
                <w:sz w:val="18"/>
                <w:szCs w:val="18"/>
              </w:rPr>
              <w:t>62 350 122</w:t>
            </w:r>
          </w:p>
        </w:tc>
        <w:tc>
          <w:tcPr>
            <w:tcW w:w="1134" w:type="dxa"/>
            <w:shd w:val="clear" w:color="auto" w:fill="DEEAF6" w:themeFill="accent5" w:themeFillTint="33"/>
            <w:vAlign w:val="center"/>
          </w:tcPr>
          <w:p w:rsidR="00744265" w:rsidRPr="00B63146" w:rsidRDefault="00037A5D" w:rsidP="00B63146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037A5D">
              <w:rPr>
                <w:color w:val="000000"/>
                <w:sz w:val="18"/>
                <w:szCs w:val="18"/>
              </w:rPr>
              <w:t>119 305 227</w:t>
            </w:r>
          </w:p>
        </w:tc>
        <w:tc>
          <w:tcPr>
            <w:tcW w:w="1275" w:type="dxa"/>
            <w:shd w:val="clear" w:color="auto" w:fill="DEEAF6" w:themeFill="accent5" w:themeFillTint="33"/>
            <w:vAlign w:val="center"/>
          </w:tcPr>
          <w:p w:rsidR="00744265" w:rsidRPr="00B63146" w:rsidRDefault="00037A5D" w:rsidP="00B63146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037A5D">
              <w:rPr>
                <w:color w:val="000000"/>
                <w:sz w:val="18"/>
                <w:szCs w:val="18"/>
              </w:rPr>
              <w:t>121 694 751</w:t>
            </w:r>
          </w:p>
        </w:tc>
        <w:tc>
          <w:tcPr>
            <w:tcW w:w="1418" w:type="dxa"/>
            <w:shd w:val="clear" w:color="auto" w:fill="DEEAF6" w:themeFill="accent5" w:themeFillTint="33"/>
            <w:vAlign w:val="center"/>
          </w:tcPr>
          <w:p w:rsidR="00744265" w:rsidRPr="00B63146" w:rsidRDefault="00037A5D" w:rsidP="00B63146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037A5D">
              <w:rPr>
                <w:color w:val="000000"/>
                <w:sz w:val="18"/>
                <w:szCs w:val="18"/>
              </w:rPr>
              <w:t>62 065 918</w:t>
            </w:r>
          </w:p>
        </w:tc>
        <w:tc>
          <w:tcPr>
            <w:tcW w:w="1276" w:type="dxa"/>
            <w:shd w:val="clear" w:color="auto" w:fill="DEEAF6" w:themeFill="accent5" w:themeFillTint="33"/>
            <w:vAlign w:val="center"/>
          </w:tcPr>
          <w:p w:rsidR="00744265" w:rsidRPr="00B63146" w:rsidRDefault="00037A5D" w:rsidP="00B63146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037A5D">
              <w:rPr>
                <w:color w:val="000000"/>
                <w:sz w:val="18"/>
                <w:szCs w:val="18"/>
              </w:rPr>
              <w:t>62 065 918</w:t>
            </w:r>
          </w:p>
        </w:tc>
        <w:tc>
          <w:tcPr>
            <w:tcW w:w="1417" w:type="dxa"/>
            <w:shd w:val="clear" w:color="auto" w:fill="DEEAF6" w:themeFill="accent5" w:themeFillTint="33"/>
            <w:vAlign w:val="center"/>
          </w:tcPr>
          <w:p w:rsidR="00744265" w:rsidRPr="00B63146" w:rsidRDefault="00037A5D" w:rsidP="00B63146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037A5D">
              <w:rPr>
                <w:color w:val="000000"/>
                <w:sz w:val="18"/>
                <w:szCs w:val="18"/>
              </w:rPr>
              <w:t>63 308 310</w:t>
            </w:r>
          </w:p>
        </w:tc>
        <w:tc>
          <w:tcPr>
            <w:tcW w:w="1276" w:type="dxa"/>
            <w:shd w:val="clear" w:color="auto" w:fill="DEEAF6" w:themeFill="accent5" w:themeFillTint="33"/>
            <w:vAlign w:val="center"/>
          </w:tcPr>
          <w:p w:rsidR="00744265" w:rsidRPr="00B63146" w:rsidRDefault="00037A5D" w:rsidP="00B63146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037A5D">
              <w:rPr>
                <w:color w:val="000000"/>
                <w:sz w:val="18"/>
                <w:szCs w:val="18"/>
              </w:rPr>
              <w:t>63 308 310</w:t>
            </w:r>
          </w:p>
        </w:tc>
        <w:tc>
          <w:tcPr>
            <w:tcW w:w="2020" w:type="dxa"/>
            <w:shd w:val="clear" w:color="auto" w:fill="DEEAF6" w:themeFill="accent5" w:themeFillTint="33"/>
            <w:vAlign w:val="center"/>
          </w:tcPr>
          <w:p w:rsidR="00744265" w:rsidRPr="00AE3243" w:rsidRDefault="00037A5D" w:rsidP="00B63146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037A5D">
              <w:rPr>
                <w:noProof/>
                <w:sz w:val="18"/>
                <w:szCs w:val="18"/>
              </w:rPr>
              <w:t>731 376 376</w:t>
            </w:r>
          </w:p>
        </w:tc>
      </w:tr>
      <w:tr w:rsidR="0071632F" w:rsidRPr="00B63146" w:rsidTr="000E3E65">
        <w:trPr>
          <w:gridAfter w:val="1"/>
          <w:wAfter w:w="7" w:type="dxa"/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  <w:shd w:val="clear" w:color="auto" w:fill="DEEAF6" w:themeFill="accent5" w:themeFillTint="33"/>
            <w:hideMark/>
          </w:tcPr>
          <w:p w:rsidR="00744265" w:rsidRPr="00B175FB" w:rsidRDefault="00744265" w:rsidP="00744265">
            <w:pPr>
              <w:spacing w:before="0" w:after="0" w:line="276" w:lineRule="auto"/>
              <w:rPr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EEAF6" w:themeFill="accent5" w:themeFillTint="33"/>
            <w:vAlign w:val="center"/>
            <w:hideMark/>
          </w:tcPr>
          <w:p w:rsidR="00744265" w:rsidRPr="00B63146" w:rsidRDefault="00744265" w:rsidP="004E348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noProof/>
                <w:sz w:val="18"/>
                <w:szCs w:val="18"/>
              </w:rPr>
            </w:pPr>
            <w:r w:rsidRPr="00F6239D">
              <w:rPr>
                <w:sz w:val="18"/>
                <w:szCs w:val="18"/>
              </w:rPr>
              <w:t xml:space="preserve">Méně </w:t>
            </w:r>
            <w:r w:rsidR="00690030" w:rsidRPr="00B63146">
              <w:rPr>
                <w:sz w:val="18"/>
                <w:szCs w:val="18"/>
              </w:rPr>
              <w:br/>
            </w:r>
            <w:r w:rsidRPr="00F6239D">
              <w:rPr>
                <w:sz w:val="18"/>
                <w:szCs w:val="18"/>
              </w:rPr>
              <w:t>rozvinuté</w:t>
            </w:r>
          </w:p>
        </w:tc>
        <w:tc>
          <w:tcPr>
            <w:tcW w:w="1134" w:type="dxa"/>
            <w:shd w:val="clear" w:color="auto" w:fill="DEEAF6" w:themeFill="accent5" w:themeFillTint="33"/>
            <w:vAlign w:val="center"/>
          </w:tcPr>
          <w:p w:rsidR="00744265" w:rsidRPr="00B63146" w:rsidRDefault="000E60D6" w:rsidP="00B63146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0E60D6">
              <w:rPr>
                <w:color w:val="000000"/>
                <w:sz w:val="18"/>
                <w:szCs w:val="18"/>
              </w:rPr>
              <w:t>110 092 689</w:t>
            </w:r>
          </w:p>
        </w:tc>
        <w:tc>
          <w:tcPr>
            <w:tcW w:w="1134" w:type="dxa"/>
            <w:shd w:val="clear" w:color="auto" w:fill="DEEAF6" w:themeFill="accent5" w:themeFillTint="33"/>
            <w:vAlign w:val="center"/>
          </w:tcPr>
          <w:p w:rsidR="00744265" w:rsidRPr="00B63146" w:rsidRDefault="000E60D6" w:rsidP="00B63146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0E60D6">
              <w:rPr>
                <w:color w:val="000000"/>
                <w:sz w:val="18"/>
                <w:szCs w:val="18"/>
              </w:rPr>
              <w:t>24 573 508</w:t>
            </w:r>
          </w:p>
        </w:tc>
        <w:tc>
          <w:tcPr>
            <w:tcW w:w="1276" w:type="dxa"/>
            <w:shd w:val="clear" w:color="auto" w:fill="DEEAF6" w:themeFill="accent5" w:themeFillTint="33"/>
            <w:vAlign w:val="center"/>
          </w:tcPr>
          <w:p w:rsidR="00744265" w:rsidRPr="00B63146" w:rsidRDefault="000E60D6" w:rsidP="00B63146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0E60D6">
              <w:rPr>
                <w:color w:val="000000"/>
                <w:sz w:val="18"/>
                <w:szCs w:val="18"/>
              </w:rPr>
              <w:t>31 367 554</w:t>
            </w:r>
          </w:p>
        </w:tc>
        <w:tc>
          <w:tcPr>
            <w:tcW w:w="1134" w:type="dxa"/>
            <w:shd w:val="clear" w:color="auto" w:fill="DEEAF6" w:themeFill="accent5" w:themeFillTint="33"/>
            <w:vAlign w:val="center"/>
          </w:tcPr>
          <w:p w:rsidR="00744265" w:rsidRPr="00B63146" w:rsidRDefault="000E60D6" w:rsidP="00B63146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0E60D6">
              <w:rPr>
                <w:color w:val="000000"/>
                <w:sz w:val="18"/>
                <w:szCs w:val="18"/>
              </w:rPr>
              <w:t>118 123 300</w:t>
            </w:r>
          </w:p>
        </w:tc>
        <w:tc>
          <w:tcPr>
            <w:tcW w:w="1275" w:type="dxa"/>
            <w:shd w:val="clear" w:color="auto" w:fill="DEEAF6" w:themeFill="accent5" w:themeFillTint="33"/>
            <w:vAlign w:val="center"/>
          </w:tcPr>
          <w:p w:rsidR="00744265" w:rsidRPr="00B63146" w:rsidRDefault="000E60D6" w:rsidP="00B63146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0E60D6">
              <w:rPr>
                <w:color w:val="000000"/>
                <w:sz w:val="18"/>
                <w:szCs w:val="18"/>
              </w:rPr>
              <w:t>120 487 388</w:t>
            </w:r>
          </w:p>
        </w:tc>
        <w:tc>
          <w:tcPr>
            <w:tcW w:w="1418" w:type="dxa"/>
            <w:shd w:val="clear" w:color="auto" w:fill="DEEAF6" w:themeFill="accent5" w:themeFillTint="33"/>
            <w:vAlign w:val="center"/>
          </w:tcPr>
          <w:p w:rsidR="00744265" w:rsidRPr="00B63146" w:rsidRDefault="000E60D6" w:rsidP="00B63146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0E60D6">
              <w:rPr>
                <w:color w:val="000000"/>
                <w:sz w:val="18"/>
                <w:szCs w:val="18"/>
              </w:rPr>
              <w:t>61 448 436</w:t>
            </w:r>
          </w:p>
        </w:tc>
        <w:tc>
          <w:tcPr>
            <w:tcW w:w="1276" w:type="dxa"/>
            <w:shd w:val="clear" w:color="auto" w:fill="DEEAF6" w:themeFill="accent5" w:themeFillTint="33"/>
            <w:vAlign w:val="center"/>
          </w:tcPr>
          <w:p w:rsidR="00744265" w:rsidRPr="00B63146" w:rsidRDefault="000E60D6" w:rsidP="00B63146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0E60D6">
              <w:rPr>
                <w:color w:val="000000"/>
                <w:sz w:val="18"/>
                <w:szCs w:val="18"/>
              </w:rPr>
              <w:t>61 448 436</w:t>
            </w:r>
          </w:p>
        </w:tc>
        <w:tc>
          <w:tcPr>
            <w:tcW w:w="1417" w:type="dxa"/>
            <w:shd w:val="clear" w:color="auto" w:fill="DEEAF6" w:themeFill="accent5" w:themeFillTint="33"/>
            <w:vAlign w:val="center"/>
          </w:tcPr>
          <w:p w:rsidR="00744265" w:rsidRPr="00B63146" w:rsidRDefault="000E60D6" w:rsidP="00B63146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0E60D6">
              <w:rPr>
                <w:color w:val="000000"/>
                <w:sz w:val="18"/>
                <w:szCs w:val="18"/>
              </w:rPr>
              <w:t>62 672 886</w:t>
            </w:r>
          </w:p>
        </w:tc>
        <w:tc>
          <w:tcPr>
            <w:tcW w:w="1276" w:type="dxa"/>
            <w:shd w:val="clear" w:color="auto" w:fill="DEEAF6" w:themeFill="accent5" w:themeFillTint="33"/>
            <w:vAlign w:val="center"/>
          </w:tcPr>
          <w:p w:rsidR="00744265" w:rsidRPr="00B63146" w:rsidRDefault="000E60D6" w:rsidP="00B63146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0E60D6">
              <w:rPr>
                <w:color w:val="000000"/>
                <w:sz w:val="18"/>
                <w:szCs w:val="18"/>
              </w:rPr>
              <w:t>62 672 887</w:t>
            </w:r>
          </w:p>
        </w:tc>
        <w:tc>
          <w:tcPr>
            <w:tcW w:w="2020" w:type="dxa"/>
            <w:shd w:val="clear" w:color="auto" w:fill="DEEAF6" w:themeFill="accent5" w:themeFillTint="33"/>
            <w:vAlign w:val="center"/>
          </w:tcPr>
          <w:p w:rsidR="00744265" w:rsidRPr="00AE3243" w:rsidRDefault="000E60D6" w:rsidP="00B63146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0E60D6">
              <w:rPr>
                <w:noProof/>
                <w:sz w:val="18"/>
                <w:szCs w:val="18"/>
              </w:rPr>
              <w:t>652 887 084</w:t>
            </w:r>
          </w:p>
        </w:tc>
      </w:tr>
      <w:tr w:rsidR="0071632F" w:rsidRPr="00B63146" w:rsidTr="00054DF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" w:type="dxa"/>
          <w:trHeight w:val="3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shd w:val="clear" w:color="auto" w:fill="DEEAF6" w:themeFill="accent5" w:themeFillTint="33"/>
            <w:hideMark/>
          </w:tcPr>
          <w:p w:rsidR="00744265" w:rsidRPr="00B63146" w:rsidRDefault="003075C7" w:rsidP="004E3489">
            <w:pPr>
              <w:spacing w:line="276" w:lineRule="auto"/>
              <w:rPr>
                <w:b w:val="0"/>
                <w:sz w:val="18"/>
                <w:szCs w:val="18"/>
              </w:rPr>
            </w:pPr>
            <w:r w:rsidRPr="009656EA">
              <w:rPr>
                <w:noProof/>
                <w:sz w:val="18"/>
                <w:szCs w:val="18"/>
              </w:rPr>
              <w:t>Celkem</w:t>
            </w:r>
          </w:p>
        </w:tc>
        <w:tc>
          <w:tcPr>
            <w:tcW w:w="1134" w:type="dxa"/>
            <w:shd w:val="clear" w:color="auto" w:fill="DEEAF6" w:themeFill="accent5" w:themeFillTint="33"/>
            <w:vAlign w:val="center"/>
          </w:tcPr>
          <w:p w:rsidR="00744265" w:rsidRPr="00B63146" w:rsidRDefault="000C0F34" w:rsidP="00B63146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  <w:r w:rsidRPr="000C0F34">
              <w:rPr>
                <w:b/>
                <w:bCs/>
                <w:color w:val="000000"/>
                <w:sz w:val="18"/>
                <w:szCs w:val="18"/>
              </w:rPr>
              <w:t>248 118 785</w:t>
            </w:r>
          </w:p>
        </w:tc>
        <w:tc>
          <w:tcPr>
            <w:tcW w:w="1134" w:type="dxa"/>
            <w:shd w:val="clear" w:color="auto" w:fill="DEEAF6" w:themeFill="accent5" w:themeFillTint="33"/>
            <w:vAlign w:val="center"/>
          </w:tcPr>
          <w:p w:rsidR="00744265" w:rsidRPr="00B63146" w:rsidRDefault="000C0F34" w:rsidP="00B63146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  <w:r w:rsidRPr="000C0F34">
              <w:rPr>
                <w:b/>
                <w:bCs/>
                <w:color w:val="000000"/>
                <w:sz w:val="18"/>
                <w:szCs w:val="18"/>
              </w:rPr>
              <w:t>116 525 451</w:t>
            </w:r>
          </w:p>
        </w:tc>
        <w:tc>
          <w:tcPr>
            <w:tcW w:w="1276" w:type="dxa"/>
            <w:shd w:val="clear" w:color="auto" w:fill="DEEAF6" w:themeFill="accent5" w:themeFillTint="33"/>
            <w:vAlign w:val="center"/>
          </w:tcPr>
          <w:p w:rsidR="00744265" w:rsidRPr="00B63146" w:rsidRDefault="000C0F34" w:rsidP="00B63146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  <w:r w:rsidRPr="000C0F34">
              <w:rPr>
                <w:b/>
                <w:bCs/>
                <w:color w:val="000000"/>
                <w:sz w:val="18"/>
                <w:szCs w:val="18"/>
              </w:rPr>
              <w:t>120 862 045</w:t>
            </w:r>
          </w:p>
        </w:tc>
        <w:tc>
          <w:tcPr>
            <w:tcW w:w="1134" w:type="dxa"/>
            <w:shd w:val="clear" w:color="auto" w:fill="DEEAF6" w:themeFill="accent5" w:themeFillTint="33"/>
            <w:vAlign w:val="center"/>
          </w:tcPr>
          <w:p w:rsidR="00744265" w:rsidRPr="00B63146" w:rsidRDefault="000C0F34" w:rsidP="00B63146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  <w:r w:rsidRPr="000C0F34">
              <w:rPr>
                <w:b/>
                <w:bCs/>
                <w:color w:val="000000"/>
                <w:sz w:val="18"/>
                <w:szCs w:val="18"/>
              </w:rPr>
              <w:t>265 117 020</w:t>
            </w:r>
          </w:p>
        </w:tc>
        <w:tc>
          <w:tcPr>
            <w:tcW w:w="1275" w:type="dxa"/>
            <w:shd w:val="clear" w:color="auto" w:fill="DEEAF6" w:themeFill="accent5" w:themeFillTint="33"/>
            <w:vAlign w:val="center"/>
          </w:tcPr>
          <w:p w:rsidR="00744265" w:rsidRPr="00B63146" w:rsidRDefault="000C0F34" w:rsidP="00B63146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  <w:r w:rsidRPr="000C0F34">
              <w:rPr>
                <w:b/>
                <w:bCs/>
                <w:color w:val="000000"/>
                <w:sz w:val="18"/>
                <w:szCs w:val="18"/>
              </w:rPr>
              <w:t>270 425 015</w:t>
            </w:r>
          </w:p>
        </w:tc>
        <w:tc>
          <w:tcPr>
            <w:tcW w:w="1418" w:type="dxa"/>
            <w:shd w:val="clear" w:color="auto" w:fill="DEEAF6" w:themeFill="accent5" w:themeFillTint="33"/>
            <w:vAlign w:val="center"/>
          </w:tcPr>
          <w:p w:rsidR="00744265" w:rsidRPr="00B63146" w:rsidRDefault="00474002" w:rsidP="00B63146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137 918 416</w:t>
            </w:r>
          </w:p>
        </w:tc>
        <w:tc>
          <w:tcPr>
            <w:tcW w:w="1276" w:type="dxa"/>
            <w:shd w:val="clear" w:color="auto" w:fill="DEEAF6" w:themeFill="accent5" w:themeFillTint="33"/>
            <w:vAlign w:val="center"/>
          </w:tcPr>
          <w:p w:rsidR="00744265" w:rsidRPr="00B63146" w:rsidRDefault="005B569A" w:rsidP="00B63146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137 918 416</w:t>
            </w:r>
          </w:p>
        </w:tc>
        <w:tc>
          <w:tcPr>
            <w:tcW w:w="1417" w:type="dxa"/>
            <w:shd w:val="clear" w:color="auto" w:fill="DEEAF6" w:themeFill="accent5" w:themeFillTint="33"/>
            <w:vAlign w:val="center"/>
          </w:tcPr>
          <w:p w:rsidR="00744265" w:rsidRPr="00B63146" w:rsidRDefault="000C0F34" w:rsidP="00B63146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  <w:r w:rsidRPr="000C0F34">
              <w:rPr>
                <w:b/>
                <w:color w:val="000000"/>
                <w:sz w:val="18"/>
                <w:szCs w:val="18"/>
              </w:rPr>
              <w:t>140 673 017</w:t>
            </w:r>
          </w:p>
        </w:tc>
        <w:tc>
          <w:tcPr>
            <w:tcW w:w="1276" w:type="dxa"/>
            <w:shd w:val="clear" w:color="auto" w:fill="DEEAF6" w:themeFill="accent5" w:themeFillTint="33"/>
            <w:vAlign w:val="center"/>
          </w:tcPr>
          <w:p w:rsidR="00744265" w:rsidRPr="00B63146" w:rsidRDefault="000C0F34" w:rsidP="00B63146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  <w:r w:rsidRPr="000C0F34">
              <w:rPr>
                <w:b/>
                <w:color w:val="000000"/>
                <w:sz w:val="18"/>
                <w:szCs w:val="18"/>
              </w:rPr>
              <w:t>140 673 01</w:t>
            </w:r>
            <w:r w:rsidR="00474002">
              <w:rPr>
                <w:b/>
                <w:color w:val="000000"/>
                <w:sz w:val="18"/>
                <w:szCs w:val="18"/>
              </w:rPr>
              <w:t>8</w:t>
            </w:r>
          </w:p>
        </w:tc>
        <w:tc>
          <w:tcPr>
            <w:tcW w:w="2020" w:type="dxa"/>
            <w:shd w:val="clear" w:color="auto" w:fill="DEEAF6" w:themeFill="accent5" w:themeFillTint="33"/>
            <w:vAlign w:val="center"/>
          </w:tcPr>
          <w:p w:rsidR="00744265" w:rsidRPr="00AE3243" w:rsidRDefault="000C0F34" w:rsidP="00B63146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color w:val="FF0000"/>
                <w:sz w:val="18"/>
                <w:szCs w:val="18"/>
              </w:rPr>
            </w:pPr>
            <w:r w:rsidRPr="000C0F34">
              <w:rPr>
                <w:b/>
                <w:noProof/>
                <w:sz w:val="18"/>
                <w:szCs w:val="18"/>
              </w:rPr>
              <w:t>1 578 231 183</w:t>
            </w:r>
          </w:p>
        </w:tc>
      </w:tr>
      <w:tr w:rsidR="00690030" w:rsidRPr="00B63146" w:rsidTr="000E3E65">
        <w:trPr>
          <w:gridAfter w:val="1"/>
          <w:wAfter w:w="7" w:type="dxa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 w:val="restart"/>
            <w:shd w:val="clear" w:color="auto" w:fill="auto"/>
            <w:hideMark/>
          </w:tcPr>
          <w:p w:rsidR="00744265" w:rsidRPr="00B175FB" w:rsidRDefault="00744265" w:rsidP="00744265">
            <w:pPr>
              <w:spacing w:line="276" w:lineRule="auto"/>
              <w:rPr>
                <w:noProof/>
                <w:sz w:val="18"/>
                <w:szCs w:val="18"/>
              </w:rPr>
            </w:pPr>
            <w:r w:rsidRPr="00B175FB">
              <w:rPr>
                <w:noProof/>
                <w:sz w:val="18"/>
                <w:szCs w:val="18"/>
              </w:rPr>
              <w:t>ESF+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4265" w:rsidRPr="00B63146" w:rsidRDefault="00744265" w:rsidP="004E348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B63146">
              <w:rPr>
                <w:sz w:val="18"/>
                <w:szCs w:val="18"/>
              </w:rPr>
              <w:t xml:space="preserve">Více </w:t>
            </w:r>
            <w:r w:rsidR="00690030" w:rsidRPr="00B63146">
              <w:rPr>
                <w:sz w:val="18"/>
                <w:szCs w:val="18"/>
              </w:rPr>
              <w:br/>
            </w:r>
            <w:r w:rsidRPr="00B63146">
              <w:rPr>
                <w:sz w:val="18"/>
                <w:szCs w:val="18"/>
              </w:rPr>
              <w:t>rozvinuté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44265" w:rsidRPr="00B63146" w:rsidRDefault="00AF500E" w:rsidP="00B63146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AF500E">
              <w:rPr>
                <w:color w:val="000000"/>
                <w:sz w:val="18"/>
                <w:szCs w:val="18"/>
              </w:rPr>
              <w:t>812 668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44265" w:rsidRPr="00B63146" w:rsidRDefault="00AF500E" w:rsidP="00B63146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AF500E">
              <w:rPr>
                <w:color w:val="000000"/>
                <w:sz w:val="18"/>
                <w:szCs w:val="18"/>
              </w:rPr>
              <w:t>828 951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44265" w:rsidRPr="00B63146" w:rsidRDefault="00744265" w:rsidP="00B63146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B63146">
              <w:rPr>
                <w:color w:val="000000"/>
                <w:sz w:val="18"/>
                <w:szCs w:val="18"/>
              </w:rPr>
              <w:t>845 560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44265" w:rsidRPr="00B63146" w:rsidRDefault="00744265" w:rsidP="00B63146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B63146">
              <w:rPr>
                <w:color w:val="000000"/>
                <w:sz w:val="18"/>
                <w:szCs w:val="18"/>
              </w:rPr>
              <w:t>862 496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44265" w:rsidRPr="00B63146" w:rsidRDefault="00744265" w:rsidP="00B63146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B63146">
              <w:rPr>
                <w:color w:val="000000"/>
                <w:sz w:val="18"/>
                <w:szCs w:val="18"/>
              </w:rPr>
              <w:t>879 790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4265" w:rsidRPr="00B63146" w:rsidRDefault="00744265" w:rsidP="00B63146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B63146">
              <w:rPr>
                <w:color w:val="000000"/>
                <w:sz w:val="18"/>
                <w:szCs w:val="18"/>
              </w:rPr>
              <w:t>448 717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44265" w:rsidRPr="00B63146" w:rsidRDefault="00744265" w:rsidP="00B63146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B63146">
              <w:rPr>
                <w:color w:val="000000"/>
                <w:sz w:val="18"/>
                <w:szCs w:val="18"/>
              </w:rPr>
              <w:t>448 717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4265" w:rsidRPr="00B63146" w:rsidRDefault="00744265" w:rsidP="00B63146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B63146">
              <w:rPr>
                <w:color w:val="000000"/>
                <w:sz w:val="18"/>
                <w:szCs w:val="18"/>
              </w:rPr>
              <w:t>457 731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44265" w:rsidRPr="00B63146" w:rsidRDefault="00744265" w:rsidP="00B63146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B63146">
              <w:rPr>
                <w:color w:val="000000"/>
                <w:sz w:val="18"/>
                <w:szCs w:val="18"/>
              </w:rPr>
              <w:t>457 731</w:t>
            </w:r>
          </w:p>
        </w:tc>
        <w:tc>
          <w:tcPr>
            <w:tcW w:w="2020" w:type="dxa"/>
            <w:shd w:val="clear" w:color="auto" w:fill="auto"/>
            <w:vAlign w:val="center"/>
          </w:tcPr>
          <w:p w:rsidR="00744265" w:rsidRPr="004C5E20" w:rsidRDefault="004C5E20" w:rsidP="00B63146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color w:val="FF0000"/>
                <w:sz w:val="18"/>
                <w:szCs w:val="18"/>
              </w:rPr>
            </w:pPr>
            <w:r w:rsidRPr="004C5E20">
              <w:rPr>
                <w:bCs/>
                <w:sz w:val="18"/>
                <w:szCs w:val="18"/>
              </w:rPr>
              <w:t>6 042 361</w:t>
            </w:r>
          </w:p>
        </w:tc>
      </w:tr>
      <w:tr w:rsidR="00690030" w:rsidRPr="00B63146" w:rsidTr="000E3E65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" w:type="dxa"/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  <w:shd w:val="clear" w:color="auto" w:fill="auto"/>
            <w:hideMark/>
          </w:tcPr>
          <w:p w:rsidR="00744265" w:rsidRPr="00B175FB" w:rsidRDefault="00744265" w:rsidP="00744265">
            <w:pPr>
              <w:spacing w:before="0" w:after="0" w:line="276" w:lineRule="auto"/>
              <w:rPr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4265" w:rsidRPr="00B63146" w:rsidRDefault="00744265" w:rsidP="004E348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noProof/>
                <w:sz w:val="18"/>
                <w:szCs w:val="18"/>
              </w:rPr>
            </w:pPr>
            <w:r w:rsidRPr="00B63146">
              <w:rPr>
                <w:sz w:val="18"/>
                <w:szCs w:val="18"/>
              </w:rPr>
              <w:t>Přechodové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44265" w:rsidRPr="00B63146" w:rsidRDefault="00744265" w:rsidP="00B63146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B63146">
              <w:rPr>
                <w:color w:val="000000"/>
                <w:sz w:val="18"/>
                <w:szCs w:val="18"/>
              </w:rPr>
              <w:t>61 456 884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44265" w:rsidRPr="00B63146" w:rsidRDefault="00744265" w:rsidP="00B63146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B63146">
              <w:rPr>
                <w:color w:val="000000"/>
                <w:sz w:val="18"/>
                <w:szCs w:val="18"/>
              </w:rPr>
              <w:t>62 688 225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44265" w:rsidRPr="00B63146" w:rsidRDefault="00744265" w:rsidP="00B63146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B63146">
              <w:rPr>
                <w:color w:val="000000"/>
                <w:sz w:val="18"/>
                <w:szCs w:val="18"/>
              </w:rPr>
              <w:t>63 944 290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44265" w:rsidRPr="00B63146" w:rsidRDefault="00744265" w:rsidP="00B63146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B63146">
              <w:rPr>
                <w:color w:val="000000"/>
                <w:sz w:val="18"/>
                <w:szCs w:val="18"/>
              </w:rPr>
              <w:t>65 225 078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44265" w:rsidRPr="00B63146" w:rsidRDefault="00744265" w:rsidP="00B63146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B63146">
              <w:rPr>
                <w:color w:val="000000"/>
                <w:sz w:val="18"/>
                <w:szCs w:val="18"/>
              </w:rPr>
              <w:t>66 532 823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4265" w:rsidRPr="00B63146" w:rsidRDefault="00744265" w:rsidP="00B63146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B63146">
              <w:rPr>
                <w:color w:val="000000"/>
                <w:sz w:val="18"/>
                <w:szCs w:val="18"/>
              </w:rPr>
              <w:t>33 933 60</w:t>
            </w:r>
            <w:r w:rsidR="0047400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44265" w:rsidRPr="00B63146" w:rsidRDefault="00744265" w:rsidP="00B63146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B63146">
              <w:rPr>
                <w:color w:val="000000"/>
                <w:sz w:val="18"/>
                <w:szCs w:val="18"/>
              </w:rPr>
              <w:t>33 933 602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4265" w:rsidRPr="00B63146" w:rsidRDefault="00744265" w:rsidP="00B63146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B63146">
              <w:rPr>
                <w:color w:val="000000"/>
                <w:sz w:val="18"/>
                <w:szCs w:val="18"/>
              </w:rPr>
              <w:t>34 615 265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44265" w:rsidRPr="00B63146" w:rsidRDefault="00744265" w:rsidP="00B63146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B63146">
              <w:rPr>
                <w:color w:val="000000"/>
                <w:sz w:val="18"/>
                <w:szCs w:val="18"/>
              </w:rPr>
              <w:t>34 615 265</w:t>
            </w:r>
          </w:p>
        </w:tc>
        <w:tc>
          <w:tcPr>
            <w:tcW w:w="2020" w:type="dxa"/>
            <w:shd w:val="clear" w:color="auto" w:fill="auto"/>
            <w:vAlign w:val="center"/>
          </w:tcPr>
          <w:p w:rsidR="00744265" w:rsidRPr="00AE3243" w:rsidRDefault="00472183" w:rsidP="00B63146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color w:val="FF0000"/>
                <w:sz w:val="18"/>
                <w:szCs w:val="18"/>
              </w:rPr>
            </w:pPr>
            <w:r w:rsidRPr="00472183">
              <w:rPr>
                <w:noProof/>
                <w:sz w:val="18"/>
                <w:szCs w:val="18"/>
              </w:rPr>
              <w:t>456 945 033</w:t>
            </w:r>
          </w:p>
        </w:tc>
      </w:tr>
      <w:tr w:rsidR="00690030" w:rsidRPr="00B63146" w:rsidTr="000E3E65">
        <w:trPr>
          <w:gridAfter w:val="1"/>
          <w:wAfter w:w="7" w:type="dxa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  <w:shd w:val="clear" w:color="auto" w:fill="auto"/>
            <w:hideMark/>
          </w:tcPr>
          <w:p w:rsidR="00744265" w:rsidRPr="00B175FB" w:rsidRDefault="00744265" w:rsidP="00744265">
            <w:pPr>
              <w:spacing w:before="0" w:after="0" w:line="276" w:lineRule="auto"/>
              <w:rPr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4265" w:rsidRPr="00B63146" w:rsidRDefault="00744265" w:rsidP="004E348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B63146">
              <w:rPr>
                <w:sz w:val="18"/>
                <w:szCs w:val="18"/>
              </w:rPr>
              <w:t xml:space="preserve">Méně </w:t>
            </w:r>
            <w:r w:rsidR="00690030" w:rsidRPr="00B63146">
              <w:rPr>
                <w:sz w:val="18"/>
                <w:szCs w:val="18"/>
              </w:rPr>
              <w:br/>
            </w:r>
            <w:r w:rsidRPr="00B63146">
              <w:rPr>
                <w:sz w:val="18"/>
                <w:szCs w:val="18"/>
              </w:rPr>
              <w:t>rozvinuté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44265" w:rsidRPr="00B63146" w:rsidRDefault="00744265" w:rsidP="00B63146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B63146">
              <w:rPr>
                <w:color w:val="000000"/>
                <w:sz w:val="18"/>
                <w:szCs w:val="18"/>
              </w:rPr>
              <w:t>68 508 922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44265" w:rsidRPr="00B63146" w:rsidRDefault="00744265" w:rsidP="00B63146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B63146">
              <w:rPr>
                <w:color w:val="000000"/>
                <w:sz w:val="18"/>
                <w:szCs w:val="18"/>
              </w:rPr>
              <w:t>69 881 846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44265" w:rsidRPr="00B63146" w:rsidRDefault="00744265" w:rsidP="00B63146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B63146">
              <w:rPr>
                <w:color w:val="000000"/>
                <w:sz w:val="18"/>
                <w:szCs w:val="18"/>
              </w:rPr>
              <w:t>71 282 133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44265" w:rsidRPr="00B63146" w:rsidRDefault="00744265" w:rsidP="00B63146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B63146">
              <w:rPr>
                <w:color w:val="000000"/>
                <w:sz w:val="18"/>
                <w:szCs w:val="18"/>
              </w:rPr>
              <w:t>72 711 667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44265" w:rsidRPr="00B63146" w:rsidRDefault="00744265" w:rsidP="00B63146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B63146">
              <w:rPr>
                <w:color w:val="000000"/>
                <w:sz w:val="18"/>
                <w:szCs w:val="18"/>
              </w:rPr>
              <w:t>74 168 429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4265" w:rsidRPr="00B63146" w:rsidRDefault="00744265" w:rsidP="00B63146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B63146">
              <w:rPr>
                <w:color w:val="000000"/>
                <w:sz w:val="18"/>
                <w:szCs w:val="18"/>
              </w:rPr>
              <w:t>37 826 92</w:t>
            </w:r>
            <w:r w:rsidR="0047400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44265" w:rsidRPr="00B63146" w:rsidRDefault="00744265" w:rsidP="00B63146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B63146">
              <w:rPr>
                <w:color w:val="000000"/>
                <w:sz w:val="18"/>
                <w:szCs w:val="18"/>
              </w:rPr>
              <w:t>37 826 921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4265" w:rsidRPr="00B63146" w:rsidRDefault="00744265" w:rsidP="00B63146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B63146">
              <w:rPr>
                <w:color w:val="000000"/>
                <w:sz w:val="18"/>
                <w:szCs w:val="18"/>
              </w:rPr>
              <w:t>38 583 358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44265" w:rsidRPr="00B63146" w:rsidRDefault="00744265" w:rsidP="00B63146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  <w:szCs w:val="18"/>
              </w:rPr>
            </w:pPr>
            <w:r w:rsidRPr="00B63146">
              <w:rPr>
                <w:color w:val="000000"/>
                <w:sz w:val="18"/>
                <w:szCs w:val="18"/>
              </w:rPr>
              <w:t>38 583 358</w:t>
            </w:r>
          </w:p>
        </w:tc>
        <w:tc>
          <w:tcPr>
            <w:tcW w:w="2020" w:type="dxa"/>
            <w:shd w:val="clear" w:color="auto" w:fill="auto"/>
            <w:vAlign w:val="center"/>
          </w:tcPr>
          <w:p w:rsidR="00744265" w:rsidRPr="00875B3C" w:rsidRDefault="00875B3C" w:rsidP="00B63146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color w:val="FF0000"/>
                <w:sz w:val="18"/>
                <w:szCs w:val="18"/>
              </w:rPr>
            </w:pPr>
            <w:r w:rsidRPr="00875B3C">
              <w:rPr>
                <w:bCs/>
                <w:sz w:val="18"/>
                <w:szCs w:val="18"/>
              </w:rPr>
              <w:t>509 373 554</w:t>
            </w:r>
          </w:p>
        </w:tc>
      </w:tr>
      <w:tr w:rsidR="00690030" w:rsidRPr="00B63146" w:rsidTr="00054DF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" w:type="dxa"/>
          <w:trHeight w:val="3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shd w:val="clear" w:color="auto" w:fill="auto"/>
            <w:hideMark/>
          </w:tcPr>
          <w:p w:rsidR="00F05B9C" w:rsidRPr="00B63146" w:rsidRDefault="003075C7" w:rsidP="00692BC8">
            <w:pPr>
              <w:spacing w:line="276" w:lineRule="auto"/>
              <w:rPr>
                <w:b w:val="0"/>
                <w:sz w:val="18"/>
                <w:szCs w:val="18"/>
              </w:rPr>
            </w:pPr>
            <w:r w:rsidRPr="00897056">
              <w:rPr>
                <w:noProof/>
                <w:sz w:val="18"/>
                <w:szCs w:val="18"/>
              </w:rPr>
              <w:t>Celkem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5B9C" w:rsidRPr="00B63146" w:rsidRDefault="00F05B9C" w:rsidP="00B63146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  <w:r w:rsidRPr="00B63146">
              <w:rPr>
                <w:b/>
                <w:bCs/>
                <w:color w:val="000000"/>
                <w:sz w:val="18"/>
                <w:szCs w:val="18"/>
              </w:rPr>
              <w:t>130 778 474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5B9C" w:rsidRPr="00B63146" w:rsidRDefault="00F05B9C" w:rsidP="00B63146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  <w:r w:rsidRPr="00B63146">
              <w:rPr>
                <w:b/>
                <w:bCs/>
                <w:color w:val="000000"/>
                <w:sz w:val="18"/>
                <w:szCs w:val="18"/>
              </w:rPr>
              <w:t>133 399 022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5B9C" w:rsidRPr="00B63146" w:rsidRDefault="00F05B9C" w:rsidP="00B63146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  <w:r w:rsidRPr="00B63146">
              <w:rPr>
                <w:b/>
                <w:bCs/>
                <w:color w:val="000000"/>
                <w:sz w:val="18"/>
                <w:szCs w:val="18"/>
              </w:rPr>
              <w:t>136 071 983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5B9C" w:rsidRPr="00B63146" w:rsidRDefault="00F05B9C" w:rsidP="00B63146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  <w:r w:rsidRPr="00B63146">
              <w:rPr>
                <w:b/>
                <w:bCs/>
                <w:color w:val="000000"/>
                <w:sz w:val="18"/>
                <w:szCs w:val="18"/>
              </w:rPr>
              <w:t>138 799 241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05B9C" w:rsidRPr="00B63146" w:rsidRDefault="00F05B9C" w:rsidP="00B63146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  <w:r w:rsidRPr="00B63146">
              <w:rPr>
                <w:b/>
                <w:bCs/>
                <w:color w:val="000000"/>
                <w:sz w:val="18"/>
                <w:szCs w:val="18"/>
              </w:rPr>
              <w:t>141 581 042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05B9C" w:rsidRPr="00B63146" w:rsidRDefault="00F05B9C" w:rsidP="00B63146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  <w:r w:rsidRPr="00B63146">
              <w:rPr>
                <w:b/>
                <w:color w:val="000000"/>
                <w:sz w:val="18"/>
                <w:szCs w:val="18"/>
              </w:rPr>
              <w:t>72 209 23</w:t>
            </w:r>
            <w:r w:rsidR="003A0F14">
              <w:rPr>
                <w:b/>
                <w:color w:val="000000"/>
                <w:sz w:val="18"/>
                <w:szCs w:val="18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5B9C" w:rsidRPr="00B63146" w:rsidRDefault="00F05B9C" w:rsidP="00B63146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  <w:r w:rsidRPr="00B63146">
              <w:rPr>
                <w:b/>
                <w:color w:val="000000"/>
                <w:sz w:val="18"/>
                <w:szCs w:val="18"/>
              </w:rPr>
              <w:t>72 209 2</w:t>
            </w:r>
            <w:r w:rsidR="00F91EC2">
              <w:rPr>
                <w:b/>
                <w:color w:val="000000"/>
                <w:sz w:val="18"/>
                <w:szCs w:val="18"/>
              </w:rPr>
              <w:t>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5B9C" w:rsidRPr="002C6C21" w:rsidRDefault="00CE1BAB" w:rsidP="00B63146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  <w:r w:rsidRPr="002C6C21">
              <w:rPr>
                <w:b/>
                <w:color w:val="000000"/>
                <w:sz w:val="18"/>
                <w:szCs w:val="18"/>
                <w:lang w:eastAsia="cs-CZ"/>
              </w:rPr>
              <w:t>7</w:t>
            </w:r>
            <w:r w:rsidR="003F0C97" w:rsidRPr="002C6C21">
              <w:rPr>
                <w:b/>
                <w:color w:val="000000"/>
                <w:sz w:val="18"/>
                <w:szCs w:val="18"/>
                <w:lang w:eastAsia="cs-CZ"/>
              </w:rPr>
              <w:t>3</w:t>
            </w:r>
            <w:r w:rsidRPr="002C6C21">
              <w:rPr>
                <w:b/>
                <w:color w:val="000000"/>
                <w:sz w:val="18"/>
                <w:szCs w:val="18"/>
                <w:lang w:eastAsia="cs-CZ"/>
              </w:rPr>
              <w:t xml:space="preserve"> 656 354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5B9C" w:rsidRPr="00B63146" w:rsidRDefault="00F05B9C" w:rsidP="00B63146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sz w:val="18"/>
                <w:szCs w:val="18"/>
              </w:rPr>
            </w:pPr>
            <w:r w:rsidRPr="00B63146">
              <w:rPr>
                <w:b/>
                <w:color w:val="000000"/>
                <w:sz w:val="18"/>
                <w:szCs w:val="18"/>
              </w:rPr>
              <w:t>73 656 354</w:t>
            </w:r>
          </w:p>
        </w:tc>
        <w:tc>
          <w:tcPr>
            <w:tcW w:w="2020" w:type="dxa"/>
            <w:shd w:val="clear" w:color="auto" w:fill="auto"/>
            <w:vAlign w:val="center"/>
          </w:tcPr>
          <w:p w:rsidR="00F05B9C" w:rsidRPr="00AE3243" w:rsidRDefault="004C5E20" w:rsidP="00B63146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color w:val="FF0000"/>
                <w:sz w:val="18"/>
                <w:szCs w:val="18"/>
              </w:rPr>
            </w:pPr>
            <w:r w:rsidRPr="004C5E20">
              <w:rPr>
                <w:b/>
                <w:noProof/>
                <w:sz w:val="18"/>
                <w:szCs w:val="18"/>
              </w:rPr>
              <w:t>972 360 948</w:t>
            </w:r>
          </w:p>
        </w:tc>
      </w:tr>
      <w:tr w:rsidR="0071632F" w:rsidRPr="00B175FB" w:rsidTr="00054DFD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shd w:val="clear" w:color="auto" w:fill="002060"/>
            <w:hideMark/>
          </w:tcPr>
          <w:p w:rsidR="00F05B9C" w:rsidRPr="006315FD" w:rsidRDefault="003075C7" w:rsidP="00692BC8">
            <w:pPr>
              <w:rPr>
                <w:b w:val="0"/>
                <w:color w:val="FFFFFF" w:themeColor="background1"/>
                <w:sz w:val="18"/>
                <w:szCs w:val="18"/>
              </w:rPr>
            </w:pPr>
            <w:r w:rsidRPr="006315FD">
              <w:rPr>
                <w:noProof/>
                <w:color w:val="FFFFFF" w:themeColor="background1"/>
                <w:sz w:val="18"/>
                <w:szCs w:val="18"/>
              </w:rPr>
              <w:t>Celkem</w:t>
            </w:r>
          </w:p>
        </w:tc>
        <w:tc>
          <w:tcPr>
            <w:tcW w:w="1134" w:type="dxa"/>
            <w:shd w:val="clear" w:color="auto" w:fill="002060"/>
            <w:vAlign w:val="center"/>
          </w:tcPr>
          <w:p w:rsidR="00F05B9C" w:rsidRPr="006315FD" w:rsidRDefault="00F86961" w:rsidP="00B6314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  <w:sz w:val="18"/>
                <w:szCs w:val="18"/>
              </w:rPr>
            </w:pPr>
            <w:r w:rsidRPr="00F86961">
              <w:rPr>
                <w:b/>
                <w:color w:val="FFFFFF" w:themeColor="background1"/>
                <w:sz w:val="18"/>
                <w:szCs w:val="18"/>
              </w:rPr>
              <w:t>378 897 259</w:t>
            </w:r>
          </w:p>
        </w:tc>
        <w:tc>
          <w:tcPr>
            <w:tcW w:w="1134" w:type="dxa"/>
            <w:shd w:val="clear" w:color="auto" w:fill="002060"/>
            <w:vAlign w:val="center"/>
          </w:tcPr>
          <w:p w:rsidR="00F05B9C" w:rsidRPr="006315FD" w:rsidRDefault="007B1734" w:rsidP="00B6314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  <w:sz w:val="18"/>
                <w:szCs w:val="18"/>
              </w:rPr>
            </w:pPr>
            <w:r w:rsidRPr="007B1734">
              <w:rPr>
                <w:b/>
                <w:color w:val="FFFFFF" w:themeColor="background1"/>
                <w:sz w:val="18"/>
                <w:szCs w:val="18"/>
              </w:rPr>
              <w:t>249 924 473</w:t>
            </w:r>
          </w:p>
        </w:tc>
        <w:tc>
          <w:tcPr>
            <w:tcW w:w="1276" w:type="dxa"/>
            <w:shd w:val="clear" w:color="auto" w:fill="002060"/>
            <w:vAlign w:val="center"/>
          </w:tcPr>
          <w:p w:rsidR="00F05B9C" w:rsidRPr="006315FD" w:rsidRDefault="007B1734" w:rsidP="00B6314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  <w:sz w:val="18"/>
                <w:szCs w:val="18"/>
              </w:rPr>
            </w:pPr>
            <w:r w:rsidRPr="007B1734">
              <w:rPr>
                <w:b/>
                <w:color w:val="FFFFFF" w:themeColor="background1"/>
                <w:sz w:val="18"/>
                <w:szCs w:val="18"/>
              </w:rPr>
              <w:t>256 934 028</w:t>
            </w:r>
          </w:p>
        </w:tc>
        <w:tc>
          <w:tcPr>
            <w:tcW w:w="1134" w:type="dxa"/>
            <w:shd w:val="clear" w:color="auto" w:fill="002060"/>
            <w:vAlign w:val="center"/>
          </w:tcPr>
          <w:p w:rsidR="00F05B9C" w:rsidRPr="006315FD" w:rsidRDefault="007B1734" w:rsidP="00B6314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  <w:sz w:val="18"/>
                <w:szCs w:val="18"/>
              </w:rPr>
            </w:pPr>
            <w:r w:rsidRPr="007B1734">
              <w:rPr>
                <w:b/>
                <w:color w:val="FFFFFF" w:themeColor="background1"/>
                <w:sz w:val="18"/>
                <w:szCs w:val="18"/>
              </w:rPr>
              <w:t>403 916 261</w:t>
            </w:r>
          </w:p>
        </w:tc>
        <w:tc>
          <w:tcPr>
            <w:tcW w:w="1275" w:type="dxa"/>
            <w:shd w:val="clear" w:color="auto" w:fill="002060"/>
            <w:vAlign w:val="center"/>
          </w:tcPr>
          <w:p w:rsidR="00F05B9C" w:rsidRPr="006315FD" w:rsidRDefault="007B1734" w:rsidP="00B6314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  <w:sz w:val="18"/>
                <w:szCs w:val="18"/>
              </w:rPr>
            </w:pPr>
            <w:r w:rsidRPr="007B1734">
              <w:rPr>
                <w:b/>
                <w:color w:val="FFFFFF" w:themeColor="background1"/>
                <w:sz w:val="18"/>
                <w:szCs w:val="18"/>
              </w:rPr>
              <w:t>412 006 057</w:t>
            </w:r>
          </w:p>
        </w:tc>
        <w:tc>
          <w:tcPr>
            <w:tcW w:w="1418" w:type="dxa"/>
            <w:shd w:val="clear" w:color="auto" w:fill="002060"/>
            <w:vAlign w:val="center"/>
          </w:tcPr>
          <w:p w:rsidR="00F05B9C" w:rsidRPr="006315FD" w:rsidRDefault="007B1734" w:rsidP="00B6314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  <w:sz w:val="18"/>
                <w:szCs w:val="18"/>
              </w:rPr>
            </w:pPr>
            <w:r w:rsidRPr="007B1734">
              <w:rPr>
                <w:b/>
                <w:color w:val="FFFFFF" w:themeColor="background1"/>
                <w:sz w:val="18"/>
                <w:szCs w:val="18"/>
              </w:rPr>
              <w:t>210 127 65</w:t>
            </w:r>
            <w:r w:rsidR="00E505FC">
              <w:rPr>
                <w:b/>
                <w:color w:val="FFFFFF" w:themeColor="background1"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002060"/>
            <w:vAlign w:val="center"/>
          </w:tcPr>
          <w:p w:rsidR="00F05B9C" w:rsidRPr="006315FD" w:rsidRDefault="007B1734" w:rsidP="00B6314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  <w:sz w:val="18"/>
                <w:szCs w:val="18"/>
              </w:rPr>
            </w:pPr>
            <w:r w:rsidRPr="007B1734">
              <w:rPr>
                <w:b/>
                <w:color w:val="FFFFFF" w:themeColor="background1"/>
                <w:sz w:val="18"/>
                <w:szCs w:val="18"/>
              </w:rPr>
              <w:t>210 127 65</w:t>
            </w:r>
            <w:r w:rsidR="006262A2">
              <w:rPr>
                <w:b/>
                <w:color w:val="FFFFFF" w:themeColor="background1"/>
                <w:sz w:val="18"/>
                <w:szCs w:val="18"/>
              </w:rPr>
              <w:t>6</w:t>
            </w:r>
          </w:p>
        </w:tc>
        <w:tc>
          <w:tcPr>
            <w:tcW w:w="1417" w:type="dxa"/>
            <w:shd w:val="clear" w:color="auto" w:fill="002060"/>
            <w:vAlign w:val="center"/>
          </w:tcPr>
          <w:p w:rsidR="00F05B9C" w:rsidRPr="006315FD" w:rsidRDefault="007B1734" w:rsidP="00B6314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  <w:sz w:val="18"/>
                <w:szCs w:val="18"/>
              </w:rPr>
            </w:pPr>
            <w:r w:rsidRPr="007B1734">
              <w:rPr>
                <w:b/>
                <w:color w:val="FFFFFF" w:themeColor="background1"/>
                <w:sz w:val="18"/>
                <w:szCs w:val="18"/>
              </w:rPr>
              <w:t>214 329 371</w:t>
            </w:r>
          </w:p>
        </w:tc>
        <w:tc>
          <w:tcPr>
            <w:tcW w:w="1276" w:type="dxa"/>
            <w:shd w:val="clear" w:color="auto" w:fill="002060"/>
            <w:vAlign w:val="center"/>
          </w:tcPr>
          <w:p w:rsidR="00F05B9C" w:rsidRPr="006315FD" w:rsidRDefault="007B1734" w:rsidP="00B6314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  <w:sz w:val="18"/>
                <w:szCs w:val="18"/>
              </w:rPr>
            </w:pPr>
            <w:r w:rsidRPr="007B1734">
              <w:rPr>
                <w:b/>
                <w:color w:val="FFFFFF" w:themeColor="background1"/>
                <w:sz w:val="18"/>
                <w:szCs w:val="18"/>
              </w:rPr>
              <w:t>214 329 372</w:t>
            </w:r>
          </w:p>
        </w:tc>
        <w:tc>
          <w:tcPr>
            <w:tcW w:w="2027" w:type="dxa"/>
            <w:gridSpan w:val="2"/>
            <w:shd w:val="clear" w:color="auto" w:fill="002060"/>
            <w:vAlign w:val="center"/>
          </w:tcPr>
          <w:p w:rsidR="00F05B9C" w:rsidRPr="006315FD" w:rsidRDefault="004C5E20" w:rsidP="00B6314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  <w:sz w:val="18"/>
                <w:szCs w:val="18"/>
              </w:rPr>
            </w:pPr>
            <w:r w:rsidRPr="006315FD">
              <w:rPr>
                <w:b/>
                <w:color w:val="FFFFFF" w:themeColor="background1"/>
                <w:sz w:val="18"/>
                <w:szCs w:val="18"/>
              </w:rPr>
              <w:t>2 5</w:t>
            </w:r>
            <w:r w:rsidR="00E16488">
              <w:rPr>
                <w:b/>
                <w:color w:val="FFFFFF" w:themeColor="background1"/>
                <w:sz w:val="18"/>
                <w:szCs w:val="18"/>
              </w:rPr>
              <w:t>50</w:t>
            </w:r>
            <w:r w:rsidRPr="006315FD">
              <w:rPr>
                <w:b/>
                <w:color w:val="FFFFFF" w:themeColor="background1"/>
                <w:sz w:val="18"/>
                <w:szCs w:val="18"/>
              </w:rPr>
              <w:t xml:space="preserve"> 59</w:t>
            </w:r>
            <w:r w:rsidR="00E16488">
              <w:rPr>
                <w:b/>
                <w:color w:val="FFFFFF" w:themeColor="background1"/>
                <w:sz w:val="18"/>
                <w:szCs w:val="18"/>
              </w:rPr>
              <w:t>2</w:t>
            </w:r>
            <w:r w:rsidRPr="006315FD">
              <w:rPr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="00E16488">
              <w:rPr>
                <w:b/>
                <w:color w:val="FFFFFF" w:themeColor="background1"/>
                <w:sz w:val="18"/>
                <w:szCs w:val="18"/>
              </w:rPr>
              <w:t>131</w:t>
            </w:r>
          </w:p>
        </w:tc>
      </w:tr>
    </w:tbl>
    <w:p w:rsidR="00114426" w:rsidRPr="00B175FB" w:rsidRDefault="007A262F" w:rsidP="00636242">
      <w:pPr>
        <w:pStyle w:val="Nadpis2"/>
        <w:rPr>
          <w:color w:val="1F4E79" w:themeColor="accent5" w:themeShade="80"/>
          <w:lang w:val="cs-CZ"/>
        </w:rPr>
      </w:pPr>
      <w:bookmarkStart w:id="275" w:name="_Toc66476079"/>
      <w:bookmarkStart w:id="276" w:name="_Toc68611037"/>
      <w:bookmarkEnd w:id="274"/>
      <w:r w:rsidRPr="00B175FB">
        <w:rPr>
          <w:color w:val="1F4E79" w:themeColor="accent5" w:themeShade="80"/>
          <w:lang w:val="cs-CZ"/>
        </w:rPr>
        <w:t xml:space="preserve">Celková výše finančních prostředků podle fondu a </w:t>
      </w:r>
      <w:r w:rsidR="001947FD">
        <w:rPr>
          <w:color w:val="1F4E79" w:themeColor="accent5" w:themeShade="80"/>
          <w:lang w:val="cs-CZ"/>
        </w:rPr>
        <w:t>národního</w:t>
      </w:r>
      <w:r w:rsidR="001947FD" w:rsidRPr="00B175FB">
        <w:rPr>
          <w:color w:val="1F4E79" w:themeColor="accent5" w:themeShade="80"/>
          <w:lang w:val="cs-CZ"/>
        </w:rPr>
        <w:t xml:space="preserve"> </w:t>
      </w:r>
      <w:r w:rsidRPr="00B175FB">
        <w:rPr>
          <w:color w:val="1F4E79" w:themeColor="accent5" w:themeShade="80"/>
          <w:lang w:val="cs-CZ"/>
        </w:rPr>
        <w:t>spolufinancování</w:t>
      </w:r>
      <w:bookmarkEnd w:id="275"/>
      <w:bookmarkEnd w:id="276"/>
    </w:p>
    <w:p w:rsidR="00CD4520" w:rsidRPr="00FF2B38" w:rsidRDefault="00CD4520" w:rsidP="00114426">
      <w:pPr>
        <w:spacing w:before="240" w:after="240" w:line="240" w:lineRule="auto"/>
        <w:rPr>
          <w:rFonts w:eastAsia="Times New Roman"/>
          <w:b/>
          <w:sz w:val="22"/>
        </w:rPr>
      </w:pPr>
      <w:bookmarkStart w:id="277" w:name="_Hlk66693496"/>
      <w:r w:rsidRPr="001C1C68">
        <w:rPr>
          <w:rFonts w:eastAsia="Times New Roman"/>
          <w:b/>
          <w:sz w:val="22"/>
        </w:rPr>
        <w:t xml:space="preserve">Tabulka </w:t>
      </w:r>
      <w:r w:rsidR="00FF2B38" w:rsidRPr="001C1C68">
        <w:rPr>
          <w:rFonts w:eastAsia="Times New Roman"/>
          <w:b/>
          <w:iCs/>
          <w:noProof/>
          <w:sz w:val="22"/>
        </w:rPr>
        <w:fldChar w:fldCharType="begin"/>
      </w:r>
      <w:r w:rsidR="00FF2B38" w:rsidRPr="001C1C68">
        <w:rPr>
          <w:rFonts w:eastAsia="Times New Roman"/>
          <w:b/>
          <w:iCs/>
          <w:noProof/>
          <w:sz w:val="22"/>
        </w:rPr>
        <w:instrText xml:space="preserve"> SEQ Tabulka \* ARABIC </w:instrText>
      </w:r>
      <w:r w:rsidR="00FF2B38" w:rsidRPr="001C1C68">
        <w:rPr>
          <w:rFonts w:eastAsia="Times New Roman"/>
          <w:b/>
          <w:iCs/>
          <w:noProof/>
          <w:sz w:val="22"/>
        </w:rPr>
        <w:fldChar w:fldCharType="separate"/>
      </w:r>
      <w:r w:rsidR="00262D11">
        <w:rPr>
          <w:rFonts w:eastAsia="Times New Roman"/>
          <w:b/>
          <w:iCs/>
          <w:noProof/>
          <w:sz w:val="22"/>
        </w:rPr>
        <w:t>50</w:t>
      </w:r>
      <w:r w:rsidR="00FF2B38" w:rsidRPr="001C1C68">
        <w:rPr>
          <w:rFonts w:eastAsia="Times New Roman"/>
          <w:b/>
          <w:iCs/>
          <w:noProof/>
          <w:sz w:val="22"/>
        </w:rPr>
        <w:fldChar w:fldCharType="end"/>
      </w:r>
      <w:r w:rsidRPr="004E3489">
        <w:rPr>
          <w:b/>
          <w:sz w:val="20"/>
          <w:szCs w:val="20"/>
        </w:rPr>
        <w:t>:</w:t>
      </w:r>
      <w:r w:rsidRPr="004E3489">
        <w:rPr>
          <w:b/>
          <w:noProof/>
          <w:sz w:val="20"/>
          <w:szCs w:val="20"/>
        </w:rPr>
        <w:t xml:space="preserve"> </w:t>
      </w:r>
      <w:r w:rsidR="001947FD" w:rsidRPr="004E3489">
        <w:rPr>
          <w:b/>
          <w:noProof/>
          <w:sz w:val="20"/>
          <w:szCs w:val="20"/>
        </w:rPr>
        <w:t xml:space="preserve">Celková výše finanční podpory a národní </w:t>
      </w:r>
      <w:r w:rsidR="00A873BC" w:rsidRPr="004E3489">
        <w:rPr>
          <w:b/>
          <w:noProof/>
          <w:sz w:val="20"/>
          <w:szCs w:val="20"/>
        </w:rPr>
        <w:t>spolufinancování</w:t>
      </w:r>
      <w:r w:rsidR="001947FD" w:rsidRPr="004E3489">
        <w:rPr>
          <w:b/>
          <w:noProof/>
          <w:sz w:val="20"/>
          <w:szCs w:val="20"/>
        </w:rPr>
        <w:t xml:space="preserve"> (v EUR)</w:t>
      </w:r>
    </w:p>
    <w:tbl>
      <w:tblPr>
        <w:tblStyle w:val="Mkatabulky"/>
        <w:tblW w:w="1531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022"/>
        <w:gridCol w:w="992"/>
        <w:gridCol w:w="1134"/>
        <w:gridCol w:w="822"/>
        <w:gridCol w:w="1382"/>
        <w:gridCol w:w="1276"/>
        <w:gridCol w:w="1276"/>
        <w:gridCol w:w="1276"/>
        <w:gridCol w:w="1276"/>
        <w:gridCol w:w="1480"/>
        <w:gridCol w:w="1134"/>
        <w:gridCol w:w="1213"/>
        <w:gridCol w:w="1027"/>
      </w:tblGrid>
      <w:tr w:rsidR="005173A3" w:rsidRPr="003F6475" w:rsidTr="00F6239D">
        <w:trPr>
          <w:cantSplit/>
          <w:tblHeader/>
        </w:trPr>
        <w:tc>
          <w:tcPr>
            <w:tcW w:w="1022" w:type="dxa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vAlign w:val="center"/>
          </w:tcPr>
          <w:p w:rsidR="00317F8A" w:rsidRPr="00F6239D" w:rsidRDefault="00317F8A" w:rsidP="00F17450">
            <w:pPr>
              <w:pStyle w:val="Bezmezer"/>
              <w:keepNext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239D">
              <w:rPr>
                <w:rFonts w:ascii="Times New Roman" w:hAnsi="Times New Roman" w:cs="Times New Roman"/>
                <w:b/>
                <w:sz w:val="18"/>
                <w:szCs w:val="18"/>
              </w:rPr>
              <w:t>Číslo cíle politiky nebo technická pomoc</w:t>
            </w:r>
          </w:p>
        </w:tc>
        <w:tc>
          <w:tcPr>
            <w:tcW w:w="992" w:type="dxa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vAlign w:val="center"/>
          </w:tcPr>
          <w:p w:rsidR="00317F8A" w:rsidRPr="00F6239D" w:rsidRDefault="00317F8A" w:rsidP="00F17450">
            <w:pPr>
              <w:pStyle w:val="Bezmezer"/>
              <w:keepNext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239D">
              <w:rPr>
                <w:rFonts w:ascii="Times New Roman" w:hAnsi="Times New Roman" w:cs="Times New Roman"/>
                <w:b/>
                <w:sz w:val="18"/>
                <w:szCs w:val="18"/>
              </w:rPr>
              <w:t>Priorita</w:t>
            </w:r>
          </w:p>
        </w:tc>
        <w:tc>
          <w:tcPr>
            <w:tcW w:w="1134" w:type="dxa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vAlign w:val="center"/>
          </w:tcPr>
          <w:p w:rsidR="00317F8A" w:rsidRPr="00F6239D" w:rsidRDefault="00317F8A" w:rsidP="00F17450">
            <w:pPr>
              <w:pStyle w:val="Bezmezer"/>
              <w:keepNext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239D">
              <w:rPr>
                <w:rFonts w:ascii="Times New Roman" w:hAnsi="Times New Roman" w:cs="Times New Roman"/>
                <w:b/>
                <w:sz w:val="18"/>
                <w:szCs w:val="18"/>
              </w:rPr>
              <w:t>Základ pro výpočet podpory EU</w:t>
            </w:r>
          </w:p>
        </w:tc>
        <w:tc>
          <w:tcPr>
            <w:tcW w:w="822" w:type="dxa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vAlign w:val="center"/>
          </w:tcPr>
          <w:p w:rsidR="00317F8A" w:rsidRPr="00F6239D" w:rsidRDefault="00317F8A" w:rsidP="00F17450">
            <w:pPr>
              <w:pStyle w:val="Bezmezer"/>
              <w:keepNext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239D">
              <w:rPr>
                <w:rFonts w:ascii="Times New Roman" w:hAnsi="Times New Roman" w:cs="Times New Roman"/>
                <w:b/>
                <w:sz w:val="18"/>
                <w:szCs w:val="18"/>
              </w:rPr>
              <w:t>Fond</w:t>
            </w:r>
          </w:p>
        </w:tc>
        <w:tc>
          <w:tcPr>
            <w:tcW w:w="1382" w:type="dxa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vAlign w:val="center"/>
          </w:tcPr>
          <w:p w:rsidR="00317F8A" w:rsidRPr="00F6239D" w:rsidRDefault="00317F8A" w:rsidP="00F17450">
            <w:pPr>
              <w:pStyle w:val="Bezmezer"/>
              <w:keepNext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239D">
              <w:rPr>
                <w:rFonts w:ascii="Times New Roman" w:hAnsi="Times New Roman" w:cs="Times New Roman"/>
                <w:b/>
                <w:sz w:val="18"/>
                <w:szCs w:val="18"/>
              </w:rPr>
              <w:t>Kategorie regionů</w:t>
            </w:r>
          </w:p>
        </w:tc>
        <w:tc>
          <w:tcPr>
            <w:tcW w:w="1276" w:type="dxa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vAlign w:val="center"/>
          </w:tcPr>
          <w:p w:rsidR="00317F8A" w:rsidRPr="00F6239D" w:rsidRDefault="00317F8A" w:rsidP="00F17450">
            <w:pPr>
              <w:pStyle w:val="Bezmezer"/>
              <w:keepNext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239D">
              <w:rPr>
                <w:rFonts w:ascii="Times New Roman" w:hAnsi="Times New Roman" w:cs="Times New Roman"/>
                <w:b/>
                <w:sz w:val="18"/>
                <w:szCs w:val="18"/>
              </w:rPr>
              <w:t>Příspěvek Unie</w:t>
            </w:r>
          </w:p>
          <w:p w:rsidR="00317F8A" w:rsidRPr="00F6239D" w:rsidRDefault="00317F8A" w:rsidP="00F17450">
            <w:pPr>
              <w:pStyle w:val="Bezmezer"/>
              <w:keepNext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39D">
              <w:rPr>
                <w:rFonts w:ascii="Times New Roman" w:hAnsi="Times New Roman" w:cs="Times New Roman"/>
                <w:sz w:val="18"/>
                <w:szCs w:val="18"/>
              </w:rPr>
              <w:t>a)=g)+h)</w:t>
            </w:r>
          </w:p>
        </w:tc>
        <w:tc>
          <w:tcPr>
            <w:tcW w:w="2552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</w:tcPr>
          <w:p w:rsidR="00317F8A" w:rsidRPr="00F6239D" w:rsidRDefault="00317F8A" w:rsidP="00F17450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F6239D">
              <w:rPr>
                <w:b/>
                <w:sz w:val="18"/>
                <w:szCs w:val="18"/>
              </w:rPr>
              <w:t>Rozdělení příspěvku Unie</w:t>
            </w:r>
          </w:p>
        </w:tc>
        <w:tc>
          <w:tcPr>
            <w:tcW w:w="1276" w:type="dxa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vAlign w:val="center"/>
          </w:tcPr>
          <w:p w:rsidR="00317F8A" w:rsidRPr="00F6239D" w:rsidRDefault="00317F8A" w:rsidP="00F17450">
            <w:pPr>
              <w:pStyle w:val="Bezmezer"/>
              <w:keepNext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239D">
              <w:rPr>
                <w:rFonts w:ascii="Times New Roman" w:hAnsi="Times New Roman" w:cs="Times New Roman"/>
                <w:b/>
                <w:sz w:val="18"/>
                <w:szCs w:val="18"/>
              </w:rPr>
              <w:t>Příspěvek členského státu</w:t>
            </w:r>
          </w:p>
          <w:p w:rsidR="00317F8A" w:rsidRPr="00F6239D" w:rsidRDefault="00317F8A" w:rsidP="00F17450">
            <w:pPr>
              <w:pStyle w:val="Bezmezer"/>
              <w:keepNext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39D">
              <w:rPr>
                <w:rFonts w:ascii="Times New Roman" w:hAnsi="Times New Roman" w:cs="Times New Roman"/>
                <w:sz w:val="18"/>
                <w:szCs w:val="18"/>
              </w:rPr>
              <w:t>b)=c)+d)</w:t>
            </w:r>
          </w:p>
        </w:tc>
        <w:tc>
          <w:tcPr>
            <w:tcW w:w="2614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vAlign w:val="center"/>
          </w:tcPr>
          <w:p w:rsidR="00317F8A" w:rsidRPr="00F6239D" w:rsidRDefault="00317F8A" w:rsidP="00F17450">
            <w:pPr>
              <w:pStyle w:val="Bezmezer"/>
              <w:keepNext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239D">
              <w:rPr>
                <w:rFonts w:ascii="Times New Roman" w:hAnsi="Times New Roman" w:cs="Times New Roman"/>
                <w:b/>
                <w:sz w:val="18"/>
                <w:szCs w:val="18"/>
              </w:rPr>
              <w:t>Orientační rozdělení příspěvku členského státu</w:t>
            </w:r>
          </w:p>
        </w:tc>
        <w:tc>
          <w:tcPr>
            <w:tcW w:w="1213" w:type="dxa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vAlign w:val="center"/>
          </w:tcPr>
          <w:p w:rsidR="00317F8A" w:rsidRPr="00F6239D" w:rsidRDefault="00317F8A" w:rsidP="00F17450">
            <w:pPr>
              <w:pStyle w:val="Bezmezer"/>
              <w:keepNext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239D">
              <w:rPr>
                <w:rFonts w:ascii="Times New Roman" w:hAnsi="Times New Roman" w:cs="Times New Roman"/>
                <w:b/>
                <w:sz w:val="18"/>
                <w:szCs w:val="18"/>
              </w:rPr>
              <w:t>Celkem</w:t>
            </w:r>
          </w:p>
          <w:p w:rsidR="00317F8A" w:rsidRPr="00F6239D" w:rsidRDefault="00317F8A" w:rsidP="00F17450">
            <w:pPr>
              <w:pStyle w:val="Bezmezer"/>
              <w:keepNext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39D">
              <w:rPr>
                <w:rFonts w:ascii="Times New Roman" w:hAnsi="Times New Roman" w:cs="Times New Roman"/>
                <w:sz w:val="18"/>
                <w:szCs w:val="18"/>
              </w:rPr>
              <w:t>e)=a)+b)</w:t>
            </w:r>
          </w:p>
        </w:tc>
        <w:tc>
          <w:tcPr>
            <w:tcW w:w="1027" w:type="dxa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vAlign w:val="center"/>
          </w:tcPr>
          <w:p w:rsidR="00317F8A" w:rsidRPr="00F6239D" w:rsidRDefault="00317F8A" w:rsidP="00F17450">
            <w:pPr>
              <w:pStyle w:val="Bezmezer"/>
              <w:keepNext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239D">
              <w:rPr>
                <w:rFonts w:ascii="Times New Roman" w:hAnsi="Times New Roman" w:cs="Times New Roman"/>
                <w:b/>
                <w:sz w:val="18"/>
                <w:szCs w:val="18"/>
              </w:rPr>
              <w:t>Míra spolufi-nanco-vání</w:t>
            </w:r>
          </w:p>
          <w:p w:rsidR="00317F8A" w:rsidRPr="00F6239D" w:rsidRDefault="00317F8A" w:rsidP="00F17450">
            <w:pPr>
              <w:pStyle w:val="Bezmezer"/>
              <w:keepNext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39D">
              <w:rPr>
                <w:rFonts w:ascii="Times New Roman" w:hAnsi="Times New Roman" w:cs="Times New Roman"/>
                <w:sz w:val="18"/>
                <w:szCs w:val="18"/>
              </w:rPr>
              <w:t>f)=a)/e)</w:t>
            </w:r>
          </w:p>
        </w:tc>
      </w:tr>
      <w:tr w:rsidR="005173A3" w:rsidRPr="003F6475" w:rsidTr="003E2374">
        <w:trPr>
          <w:cantSplit/>
          <w:trHeight w:val="1441"/>
          <w:tblHeader/>
        </w:trPr>
        <w:tc>
          <w:tcPr>
            <w:tcW w:w="1022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317F8A" w:rsidRPr="00F6239D" w:rsidRDefault="00317F8A" w:rsidP="00F17450">
            <w:pPr>
              <w:pStyle w:val="Bezmez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317F8A" w:rsidRPr="00F6239D" w:rsidRDefault="00317F8A" w:rsidP="00F17450">
            <w:pPr>
              <w:pStyle w:val="Bezmez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317F8A" w:rsidRPr="00F6239D" w:rsidRDefault="00317F8A" w:rsidP="00F17450">
            <w:pPr>
              <w:pStyle w:val="Bezmez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317F8A" w:rsidRPr="00F6239D" w:rsidRDefault="00317F8A" w:rsidP="00F17450">
            <w:pPr>
              <w:pStyle w:val="Bezmez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317F8A" w:rsidRPr="00F6239D" w:rsidRDefault="00317F8A" w:rsidP="00F17450">
            <w:pPr>
              <w:pStyle w:val="Bezmez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317F8A" w:rsidRPr="00F6239D" w:rsidRDefault="00317F8A" w:rsidP="00F17450">
            <w:pPr>
              <w:pStyle w:val="Bezmez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vAlign w:val="center"/>
          </w:tcPr>
          <w:p w:rsidR="00317F8A" w:rsidRPr="00F6239D" w:rsidRDefault="00317F8A" w:rsidP="00BC3392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F6239D">
              <w:rPr>
                <w:b/>
                <w:sz w:val="18"/>
                <w:szCs w:val="18"/>
              </w:rPr>
              <w:t>EU příspěvek bez částky flexibility</w:t>
            </w:r>
          </w:p>
          <w:p w:rsidR="00317F8A" w:rsidRPr="00F6239D" w:rsidRDefault="00317F8A" w:rsidP="00F17450">
            <w:pPr>
              <w:pStyle w:val="Bezmezer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39D">
              <w:rPr>
                <w:rFonts w:ascii="Times New Roman" w:hAnsi="Times New Roman" w:cs="Times New Roman"/>
                <w:sz w:val="18"/>
                <w:szCs w:val="18"/>
              </w:rPr>
              <w:t>g)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vAlign w:val="center"/>
          </w:tcPr>
          <w:p w:rsidR="00317F8A" w:rsidRPr="00F6239D" w:rsidRDefault="00317F8A" w:rsidP="00F17450">
            <w:pPr>
              <w:jc w:val="center"/>
              <w:rPr>
                <w:b/>
                <w:sz w:val="18"/>
                <w:szCs w:val="18"/>
              </w:rPr>
            </w:pPr>
            <w:r w:rsidRPr="00F6239D">
              <w:rPr>
                <w:b/>
                <w:sz w:val="18"/>
                <w:szCs w:val="18"/>
              </w:rPr>
              <w:t>Částka flexibility</w:t>
            </w:r>
          </w:p>
          <w:p w:rsidR="00317F8A" w:rsidRPr="00F6239D" w:rsidRDefault="00317F8A" w:rsidP="00F17450">
            <w:pPr>
              <w:pStyle w:val="Bezmezer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39D">
              <w:rPr>
                <w:rFonts w:ascii="Times New Roman" w:hAnsi="Times New Roman" w:cs="Times New Roman"/>
                <w:sz w:val="18"/>
                <w:szCs w:val="18"/>
              </w:rPr>
              <w:t>h)</w:t>
            </w:r>
          </w:p>
        </w:tc>
        <w:tc>
          <w:tcPr>
            <w:tcW w:w="1276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</w:tcPr>
          <w:p w:rsidR="00317F8A" w:rsidRPr="00F6239D" w:rsidRDefault="00317F8A" w:rsidP="00F17450">
            <w:pPr>
              <w:pStyle w:val="Bezmez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vAlign w:val="center"/>
          </w:tcPr>
          <w:p w:rsidR="00317F8A" w:rsidRPr="00F6239D" w:rsidRDefault="00317F8A" w:rsidP="00F17450">
            <w:pPr>
              <w:pStyle w:val="Bezmezer"/>
              <w:keepNext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239D">
              <w:rPr>
                <w:rFonts w:ascii="Times New Roman" w:hAnsi="Times New Roman" w:cs="Times New Roman"/>
                <w:b/>
                <w:sz w:val="18"/>
                <w:szCs w:val="18"/>
              </w:rPr>
              <w:t>Veřejná</w:t>
            </w:r>
          </w:p>
          <w:p w:rsidR="00317F8A" w:rsidRPr="00F6239D" w:rsidRDefault="00317F8A" w:rsidP="00F17450">
            <w:pPr>
              <w:pStyle w:val="Bezmezer"/>
              <w:keepNext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39D">
              <w:rPr>
                <w:rFonts w:ascii="Times New Roman" w:hAnsi="Times New Roman" w:cs="Times New Roman"/>
                <w:sz w:val="18"/>
                <w:szCs w:val="18"/>
              </w:rPr>
              <w:t>c)</w:t>
            </w:r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vAlign w:val="center"/>
          </w:tcPr>
          <w:p w:rsidR="00317F8A" w:rsidRPr="00F6239D" w:rsidRDefault="00317F8A" w:rsidP="00F17450">
            <w:pPr>
              <w:pStyle w:val="Bezmezer"/>
              <w:keepNext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239D">
              <w:rPr>
                <w:rFonts w:ascii="Times New Roman" w:hAnsi="Times New Roman" w:cs="Times New Roman"/>
                <w:b/>
                <w:sz w:val="18"/>
                <w:szCs w:val="18"/>
              </w:rPr>
              <w:t>Soukromá</w:t>
            </w:r>
          </w:p>
          <w:p w:rsidR="00317F8A" w:rsidRPr="00F6239D" w:rsidRDefault="00317F8A" w:rsidP="00F17450">
            <w:pPr>
              <w:pStyle w:val="Bezmezer"/>
              <w:keepNext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39D">
              <w:rPr>
                <w:rFonts w:ascii="Times New Roman" w:hAnsi="Times New Roman" w:cs="Times New Roman"/>
                <w:sz w:val="18"/>
                <w:szCs w:val="18"/>
              </w:rPr>
              <w:t>d)</w:t>
            </w:r>
          </w:p>
        </w:tc>
        <w:tc>
          <w:tcPr>
            <w:tcW w:w="1213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317F8A" w:rsidRPr="00F6239D" w:rsidRDefault="00317F8A" w:rsidP="00F17450">
            <w:pPr>
              <w:pStyle w:val="Bezmez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317F8A" w:rsidRPr="00F6239D" w:rsidRDefault="00317F8A" w:rsidP="00F17450">
            <w:pPr>
              <w:pStyle w:val="Bezmez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2AE7" w:rsidRPr="003F6475" w:rsidTr="00F6239D">
        <w:trPr>
          <w:cantSplit/>
        </w:trPr>
        <w:tc>
          <w:tcPr>
            <w:tcW w:w="1022" w:type="dxa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232AE7" w:rsidRPr="00F6239D" w:rsidRDefault="00232AE7" w:rsidP="00232AE7">
            <w:pPr>
              <w:pStyle w:val="Bezmezer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39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232AE7" w:rsidRPr="00F6239D" w:rsidRDefault="00232AE7" w:rsidP="00232AE7">
            <w:pPr>
              <w:pStyle w:val="Bezmezer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39D">
              <w:rPr>
                <w:rFonts w:ascii="Times New Roman" w:hAnsi="Times New Roman" w:cs="Times New Roman"/>
                <w:sz w:val="18"/>
                <w:szCs w:val="18"/>
              </w:rPr>
              <w:t>Priorita 1</w:t>
            </w:r>
          </w:p>
        </w:tc>
        <w:tc>
          <w:tcPr>
            <w:tcW w:w="1134" w:type="dxa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232AE7" w:rsidRPr="00F6239D" w:rsidRDefault="00232AE7" w:rsidP="00232AE7">
            <w:pPr>
              <w:pStyle w:val="Bezmezer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39D">
              <w:rPr>
                <w:rFonts w:ascii="Times New Roman" w:hAnsi="Times New Roman" w:cs="Times New Roman"/>
                <w:sz w:val="18"/>
                <w:szCs w:val="18"/>
              </w:rPr>
              <w:t>Celkem</w:t>
            </w:r>
          </w:p>
        </w:tc>
        <w:tc>
          <w:tcPr>
            <w:tcW w:w="822" w:type="dxa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232AE7" w:rsidRPr="00F6239D" w:rsidRDefault="00232AE7" w:rsidP="00232AE7">
            <w:pPr>
              <w:pStyle w:val="Bezmez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ERDF</w:t>
            </w:r>
          </w:p>
        </w:tc>
        <w:tc>
          <w:tcPr>
            <w:tcW w:w="138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232AE7" w:rsidRPr="00F6239D" w:rsidRDefault="00232AE7" w:rsidP="00232AE7">
            <w:pPr>
              <w:pStyle w:val="Bezmez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39D">
              <w:rPr>
                <w:rFonts w:ascii="Times New Roman" w:hAnsi="Times New Roman" w:cs="Times New Roman"/>
                <w:sz w:val="18"/>
                <w:szCs w:val="18"/>
              </w:rPr>
              <w:t>Více rozvinuté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F6239D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153 750 835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F6239D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125 922 607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F6239D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27 828 228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F6239D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230 626 253</w:t>
            </w:r>
          </w:p>
        </w:tc>
        <w:tc>
          <w:tcPr>
            <w:tcW w:w="148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F6239D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230 626 253</w:t>
            </w:r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F6239D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1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F6239D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384 377 088</w:t>
            </w:r>
          </w:p>
        </w:tc>
        <w:tc>
          <w:tcPr>
            <w:tcW w:w="102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F6239D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40</w:t>
            </w:r>
            <w:r w:rsidR="00752312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%</w:t>
            </w:r>
          </w:p>
        </w:tc>
      </w:tr>
      <w:tr w:rsidR="00232AE7" w:rsidRPr="003F6475" w:rsidTr="00F6239D">
        <w:trPr>
          <w:cantSplit/>
        </w:trPr>
        <w:tc>
          <w:tcPr>
            <w:tcW w:w="1022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232AE7" w:rsidRPr="00F6239D" w:rsidRDefault="00232AE7" w:rsidP="00232AE7">
            <w:pPr>
              <w:pStyle w:val="Bezmezer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232AE7" w:rsidRPr="00F6239D" w:rsidRDefault="00232AE7" w:rsidP="00232AE7">
            <w:pPr>
              <w:pStyle w:val="Bezmezer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232AE7" w:rsidRPr="00F6239D" w:rsidRDefault="00232AE7" w:rsidP="00232AE7">
            <w:pPr>
              <w:pStyle w:val="Bezmezer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232AE7" w:rsidRPr="00F6239D" w:rsidRDefault="00232AE7" w:rsidP="00232AE7">
            <w:pPr>
              <w:pStyle w:val="Bezmez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232AE7" w:rsidRPr="00F6239D" w:rsidRDefault="00232AE7" w:rsidP="00232AE7">
            <w:pPr>
              <w:pStyle w:val="Bezmez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39D">
              <w:rPr>
                <w:rFonts w:ascii="Times New Roman" w:hAnsi="Times New Roman" w:cs="Times New Roman"/>
                <w:sz w:val="18"/>
                <w:szCs w:val="18"/>
              </w:rPr>
              <w:t>Přechodové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F6239D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566 607 922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F6239D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464 054 367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F6239D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102 553 555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F6239D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242 831 967</w:t>
            </w:r>
          </w:p>
        </w:tc>
        <w:tc>
          <w:tcPr>
            <w:tcW w:w="148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F6239D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242 831 967</w:t>
            </w:r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F6239D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1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F6239D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809 439 889</w:t>
            </w:r>
          </w:p>
        </w:tc>
        <w:tc>
          <w:tcPr>
            <w:tcW w:w="102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F6239D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70</w:t>
            </w:r>
            <w:r w:rsidR="00752312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%</w:t>
            </w:r>
          </w:p>
        </w:tc>
      </w:tr>
      <w:tr w:rsidR="00232AE7" w:rsidRPr="003F6475" w:rsidTr="00F6239D">
        <w:trPr>
          <w:cantSplit/>
        </w:trPr>
        <w:tc>
          <w:tcPr>
            <w:tcW w:w="1022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232AE7" w:rsidRPr="00F6239D" w:rsidRDefault="00232AE7" w:rsidP="00232AE7">
            <w:pPr>
              <w:pStyle w:val="Bezmezer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232AE7" w:rsidRPr="00F6239D" w:rsidRDefault="00232AE7" w:rsidP="00232AE7">
            <w:pPr>
              <w:pStyle w:val="Bezmezer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232AE7" w:rsidRPr="00F6239D" w:rsidRDefault="00232AE7" w:rsidP="00232AE7">
            <w:pPr>
              <w:pStyle w:val="Bezmezer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232AE7" w:rsidRPr="00F6239D" w:rsidRDefault="00232AE7" w:rsidP="00232AE7">
            <w:pPr>
              <w:pStyle w:val="Bezmez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232AE7" w:rsidRPr="00F6239D" w:rsidRDefault="00232AE7" w:rsidP="00232AE7">
            <w:pPr>
              <w:pStyle w:val="Bezmez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39D">
              <w:rPr>
                <w:rFonts w:ascii="Times New Roman" w:hAnsi="Times New Roman" w:cs="Times New Roman"/>
                <w:sz w:val="18"/>
                <w:szCs w:val="18"/>
              </w:rPr>
              <w:t>Méně rozvinuté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F6239D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394 761 772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F6239D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323 311 619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F6239D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71 450 153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F6239D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69 663 842</w:t>
            </w:r>
          </w:p>
        </w:tc>
        <w:tc>
          <w:tcPr>
            <w:tcW w:w="148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F6239D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69 663 842</w:t>
            </w:r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F6239D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1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F6239D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464 425 614</w:t>
            </w:r>
          </w:p>
        </w:tc>
        <w:tc>
          <w:tcPr>
            <w:tcW w:w="102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F6239D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85</w:t>
            </w:r>
            <w:r w:rsidR="00752312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%</w:t>
            </w:r>
          </w:p>
        </w:tc>
      </w:tr>
      <w:tr w:rsidR="00232AE7" w:rsidRPr="003F6475" w:rsidTr="00F6239D">
        <w:trPr>
          <w:cantSplit/>
        </w:trPr>
        <w:tc>
          <w:tcPr>
            <w:tcW w:w="1022" w:type="dxa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F6239D" w:rsidRDefault="00232AE7" w:rsidP="00232AE7">
            <w:pPr>
              <w:pStyle w:val="Bezmezer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39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F6239D" w:rsidRDefault="00232AE7" w:rsidP="00232AE7">
            <w:pPr>
              <w:pStyle w:val="Bezmezer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39D">
              <w:rPr>
                <w:rFonts w:ascii="Times New Roman" w:hAnsi="Times New Roman" w:cs="Times New Roman"/>
                <w:sz w:val="18"/>
                <w:szCs w:val="18"/>
              </w:rPr>
              <w:t xml:space="preserve">Priorita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F6239D" w:rsidRDefault="00232AE7" w:rsidP="00232AE7">
            <w:pPr>
              <w:pStyle w:val="Bezmezer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39D">
              <w:rPr>
                <w:rFonts w:ascii="Times New Roman" w:hAnsi="Times New Roman" w:cs="Times New Roman"/>
                <w:sz w:val="18"/>
                <w:szCs w:val="18"/>
              </w:rPr>
              <w:t>Celkem</w:t>
            </w:r>
          </w:p>
        </w:tc>
        <w:tc>
          <w:tcPr>
            <w:tcW w:w="822" w:type="dxa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F6239D" w:rsidRDefault="00232AE7" w:rsidP="00232AE7">
            <w:pPr>
              <w:pStyle w:val="Bezmez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ERDF</w:t>
            </w:r>
          </w:p>
        </w:tc>
        <w:tc>
          <w:tcPr>
            <w:tcW w:w="138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F6239D" w:rsidRDefault="00232AE7" w:rsidP="00232AE7">
            <w:pPr>
              <w:pStyle w:val="Bezmez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39D">
              <w:rPr>
                <w:rFonts w:ascii="Times New Roman" w:hAnsi="Times New Roman" w:cs="Times New Roman"/>
                <w:sz w:val="18"/>
                <w:szCs w:val="18"/>
              </w:rPr>
              <w:t>Více rozvinuté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34 301 428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34 174 773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126 655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51 452 142</w:t>
            </w:r>
          </w:p>
        </w:tc>
        <w:tc>
          <w:tcPr>
            <w:tcW w:w="148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51 452 142</w:t>
            </w:r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0</w:t>
            </w:r>
          </w:p>
        </w:tc>
        <w:tc>
          <w:tcPr>
            <w:tcW w:w="121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F6239D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85 753 570</w:t>
            </w:r>
          </w:p>
        </w:tc>
        <w:tc>
          <w:tcPr>
            <w:tcW w:w="102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F6239D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40</w:t>
            </w:r>
            <w:r w:rsidR="00752312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%</w:t>
            </w:r>
          </w:p>
        </w:tc>
      </w:tr>
      <w:tr w:rsidR="00232AE7" w:rsidRPr="003F6475" w:rsidTr="00F6239D">
        <w:trPr>
          <w:cantSplit/>
        </w:trPr>
        <w:tc>
          <w:tcPr>
            <w:tcW w:w="1022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F6239D" w:rsidRDefault="00232AE7" w:rsidP="00232AE7">
            <w:pPr>
              <w:pStyle w:val="Bezmezer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F6239D" w:rsidRDefault="00232AE7" w:rsidP="00232AE7">
            <w:pPr>
              <w:pStyle w:val="Bezmezer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F6239D" w:rsidRDefault="00232AE7" w:rsidP="00232AE7">
            <w:pPr>
              <w:pStyle w:val="Bezmezer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F6239D" w:rsidRDefault="00232AE7" w:rsidP="00232AE7">
            <w:pPr>
              <w:pStyle w:val="Bezmez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F6239D" w:rsidRDefault="00232AE7" w:rsidP="00232AE7">
            <w:pPr>
              <w:pStyle w:val="Bezmez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39D">
              <w:rPr>
                <w:rFonts w:ascii="Times New Roman" w:hAnsi="Times New Roman" w:cs="Times New Roman"/>
                <w:sz w:val="18"/>
                <w:szCs w:val="18"/>
              </w:rPr>
              <w:t>Přechodové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142 463 571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119 642 898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22 820 673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61 055 816</w:t>
            </w:r>
          </w:p>
        </w:tc>
        <w:tc>
          <w:tcPr>
            <w:tcW w:w="148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61 055 816</w:t>
            </w:r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0</w:t>
            </w:r>
          </w:p>
        </w:tc>
        <w:tc>
          <w:tcPr>
            <w:tcW w:w="121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F6239D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203 519 387</w:t>
            </w:r>
          </w:p>
        </w:tc>
        <w:tc>
          <w:tcPr>
            <w:tcW w:w="102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F6239D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70</w:t>
            </w:r>
            <w:r w:rsidR="00752312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%</w:t>
            </w:r>
          </w:p>
        </w:tc>
      </w:tr>
      <w:tr w:rsidR="00232AE7" w:rsidRPr="003F6475" w:rsidTr="00F6239D">
        <w:trPr>
          <w:cantSplit/>
        </w:trPr>
        <w:tc>
          <w:tcPr>
            <w:tcW w:w="1022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F6239D" w:rsidRDefault="00232AE7" w:rsidP="00232AE7">
            <w:pPr>
              <w:pStyle w:val="Bezmezer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F6239D" w:rsidRDefault="00232AE7" w:rsidP="00232AE7">
            <w:pPr>
              <w:pStyle w:val="Bezmezer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F6239D" w:rsidRDefault="00232AE7" w:rsidP="00232AE7">
            <w:pPr>
              <w:pStyle w:val="Bezmezer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F6239D" w:rsidRDefault="00232AE7" w:rsidP="00232AE7">
            <w:pPr>
              <w:pStyle w:val="Bezmez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F6239D" w:rsidRDefault="00232AE7" w:rsidP="00232AE7">
            <w:pPr>
              <w:pStyle w:val="Bezmez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39D">
              <w:rPr>
                <w:rFonts w:ascii="Times New Roman" w:hAnsi="Times New Roman" w:cs="Times New Roman"/>
                <w:sz w:val="18"/>
                <w:szCs w:val="18"/>
              </w:rPr>
              <w:t>Méně rozvinuté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238 214 128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185 542 958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52 671 170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42 037 787</w:t>
            </w:r>
          </w:p>
        </w:tc>
        <w:tc>
          <w:tcPr>
            <w:tcW w:w="148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42 037 787</w:t>
            </w:r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0</w:t>
            </w:r>
          </w:p>
        </w:tc>
        <w:tc>
          <w:tcPr>
            <w:tcW w:w="121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F6239D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280 251 915</w:t>
            </w:r>
          </w:p>
        </w:tc>
        <w:tc>
          <w:tcPr>
            <w:tcW w:w="102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F6239D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85</w:t>
            </w:r>
            <w:r w:rsidR="00752312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%</w:t>
            </w:r>
          </w:p>
        </w:tc>
      </w:tr>
      <w:tr w:rsidR="00232AE7" w:rsidRPr="003F6475" w:rsidTr="00F6239D">
        <w:trPr>
          <w:cantSplit/>
          <w:trHeight w:val="78"/>
        </w:trPr>
        <w:tc>
          <w:tcPr>
            <w:tcW w:w="1022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F6239D" w:rsidRDefault="00232AE7" w:rsidP="00232AE7">
            <w:pPr>
              <w:pStyle w:val="Bezmezer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F6239D" w:rsidRDefault="00232AE7" w:rsidP="00232AE7">
            <w:pPr>
              <w:pStyle w:val="Bezmezer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F6239D" w:rsidRDefault="00232AE7" w:rsidP="00232AE7">
            <w:pPr>
              <w:pStyle w:val="Bezmezer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" w:type="dxa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F6239D" w:rsidRDefault="00232AE7" w:rsidP="00232AE7">
            <w:pPr>
              <w:pStyle w:val="Bezmez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ESF</w:t>
            </w:r>
            <w:r w:rsidRPr="00C56D31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38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F6239D" w:rsidRDefault="00232AE7" w:rsidP="00232AE7">
            <w:pPr>
              <w:pStyle w:val="Bezmez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653">
              <w:rPr>
                <w:rFonts w:ascii="Times New Roman" w:hAnsi="Times New Roman" w:cs="Times New Roman"/>
                <w:sz w:val="18"/>
                <w:szCs w:val="18"/>
              </w:rPr>
              <w:t>Více rozvinuté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5 800 667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4 894 242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906 448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8 701 001</w:t>
            </w:r>
          </w:p>
        </w:tc>
        <w:tc>
          <w:tcPr>
            <w:tcW w:w="148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8 701 001</w:t>
            </w:r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0</w:t>
            </w:r>
          </w:p>
        </w:tc>
        <w:tc>
          <w:tcPr>
            <w:tcW w:w="121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F6239D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14 501 668</w:t>
            </w:r>
          </w:p>
        </w:tc>
        <w:tc>
          <w:tcPr>
            <w:tcW w:w="102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F6239D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40</w:t>
            </w:r>
            <w:r w:rsidR="00752312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%</w:t>
            </w:r>
          </w:p>
        </w:tc>
      </w:tr>
      <w:tr w:rsidR="00232AE7" w:rsidRPr="003F6475" w:rsidTr="00F6239D">
        <w:trPr>
          <w:cantSplit/>
          <w:trHeight w:val="279"/>
        </w:trPr>
        <w:tc>
          <w:tcPr>
            <w:tcW w:w="1022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C56D31" w:rsidRDefault="00232AE7" w:rsidP="00232AE7">
            <w:pPr>
              <w:pStyle w:val="Bezmezer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4A3ED2" w:rsidRDefault="00232AE7" w:rsidP="00232AE7">
            <w:pPr>
              <w:pStyle w:val="Bezmezer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4A3ED2" w:rsidRDefault="00232AE7" w:rsidP="00232AE7">
            <w:pPr>
              <w:pStyle w:val="Bezmezer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Default="00232AE7" w:rsidP="00232AE7">
            <w:pPr>
              <w:pStyle w:val="Bezmez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5173A3" w:rsidRDefault="00232AE7" w:rsidP="00232AE7">
            <w:pPr>
              <w:pStyle w:val="Bezmez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653">
              <w:rPr>
                <w:rFonts w:ascii="Times New Roman" w:hAnsi="Times New Roman" w:cs="Times New Roman"/>
                <w:sz w:val="18"/>
                <w:szCs w:val="18"/>
              </w:rPr>
              <w:t>Přechodové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438 667 232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370 120 096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68 548 867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188 000 242</w:t>
            </w:r>
          </w:p>
        </w:tc>
        <w:tc>
          <w:tcPr>
            <w:tcW w:w="148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188 000 242</w:t>
            </w:r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0</w:t>
            </w:r>
          </w:p>
        </w:tc>
        <w:tc>
          <w:tcPr>
            <w:tcW w:w="121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2E7626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E7626">
              <w:rPr>
                <w:sz w:val="16"/>
                <w:szCs w:val="16"/>
              </w:rPr>
              <w:t>626 667 474</w:t>
            </w:r>
          </w:p>
        </w:tc>
        <w:tc>
          <w:tcPr>
            <w:tcW w:w="102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5173A3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70</w:t>
            </w:r>
            <w:r w:rsidR="00752312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%</w:t>
            </w:r>
          </w:p>
        </w:tc>
      </w:tr>
      <w:tr w:rsidR="00232AE7" w:rsidRPr="003F6475" w:rsidTr="00F6239D">
        <w:trPr>
          <w:cantSplit/>
          <w:trHeight w:val="142"/>
        </w:trPr>
        <w:tc>
          <w:tcPr>
            <w:tcW w:w="1022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F6239D" w:rsidRDefault="00232AE7" w:rsidP="00232AE7">
            <w:pPr>
              <w:pStyle w:val="Bezmezer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F6239D" w:rsidRDefault="00232AE7" w:rsidP="00232AE7">
            <w:pPr>
              <w:pStyle w:val="Bezmezer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F6239D" w:rsidRDefault="00232AE7" w:rsidP="00232AE7">
            <w:pPr>
              <w:pStyle w:val="Bezmezer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F6239D" w:rsidRDefault="00232AE7" w:rsidP="00232AE7">
            <w:pPr>
              <w:pStyle w:val="Bezmez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F6239D" w:rsidRDefault="00232AE7" w:rsidP="00232AE7">
            <w:pPr>
              <w:pStyle w:val="Bezmez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653">
              <w:rPr>
                <w:rFonts w:ascii="Times New Roman" w:hAnsi="Times New Roman" w:cs="Times New Roman"/>
                <w:sz w:val="18"/>
                <w:szCs w:val="18"/>
              </w:rPr>
              <w:t>Méně rozvinuté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488 998 611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412 586 580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76 410 279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86 293 873</w:t>
            </w:r>
          </w:p>
        </w:tc>
        <w:tc>
          <w:tcPr>
            <w:tcW w:w="148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86 293 873</w:t>
            </w:r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0</w:t>
            </w:r>
          </w:p>
        </w:tc>
        <w:tc>
          <w:tcPr>
            <w:tcW w:w="121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2E7626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E7626">
              <w:rPr>
                <w:sz w:val="16"/>
                <w:szCs w:val="16"/>
              </w:rPr>
              <w:t>575 292 484</w:t>
            </w:r>
          </w:p>
        </w:tc>
        <w:tc>
          <w:tcPr>
            <w:tcW w:w="102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F6239D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85</w:t>
            </w:r>
            <w:r w:rsidR="00752312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%</w:t>
            </w:r>
          </w:p>
        </w:tc>
      </w:tr>
      <w:tr w:rsidR="00232AE7" w:rsidRPr="003F6475" w:rsidTr="00F6239D">
        <w:trPr>
          <w:cantSplit/>
          <w:trHeight w:val="215"/>
        </w:trPr>
        <w:tc>
          <w:tcPr>
            <w:tcW w:w="1022" w:type="dxa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  <w:vAlign w:val="center"/>
          </w:tcPr>
          <w:p w:rsidR="00232AE7" w:rsidRPr="00F6239D" w:rsidRDefault="00232AE7" w:rsidP="00232AE7">
            <w:pPr>
              <w:pStyle w:val="Bezmezer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653">
              <w:rPr>
                <w:rFonts w:ascii="Times New Roman" w:hAnsi="Times New Roman" w:cs="Times New Roman"/>
                <w:sz w:val="18"/>
                <w:szCs w:val="18"/>
              </w:rPr>
              <w:t>TP</w:t>
            </w:r>
          </w:p>
        </w:tc>
        <w:tc>
          <w:tcPr>
            <w:tcW w:w="992" w:type="dxa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  <w:vAlign w:val="center"/>
          </w:tcPr>
          <w:p w:rsidR="00232AE7" w:rsidRPr="00F6239D" w:rsidRDefault="00232AE7" w:rsidP="00232AE7">
            <w:pPr>
              <w:pStyle w:val="Bezmezer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653">
              <w:rPr>
                <w:rFonts w:ascii="Times New Roman" w:hAnsi="Times New Roman" w:cs="Times New Roman"/>
                <w:sz w:val="18"/>
                <w:szCs w:val="18"/>
              </w:rPr>
              <w:t xml:space="preserve">Priorita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  <w:vAlign w:val="center"/>
          </w:tcPr>
          <w:p w:rsidR="00232AE7" w:rsidRPr="00F6239D" w:rsidRDefault="00232AE7" w:rsidP="00232AE7">
            <w:pPr>
              <w:pStyle w:val="Bezmezer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39D">
              <w:rPr>
                <w:rFonts w:ascii="Times New Roman" w:hAnsi="Times New Roman" w:cs="Times New Roman"/>
                <w:sz w:val="18"/>
                <w:szCs w:val="18"/>
              </w:rPr>
              <w:t>Celkem</w:t>
            </w:r>
          </w:p>
        </w:tc>
        <w:tc>
          <w:tcPr>
            <w:tcW w:w="822" w:type="dxa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  <w:vAlign w:val="center"/>
          </w:tcPr>
          <w:p w:rsidR="00232AE7" w:rsidRPr="00F6239D" w:rsidRDefault="00232AE7" w:rsidP="00232AE7">
            <w:pPr>
              <w:pStyle w:val="Bezmez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39D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RDF</w:t>
            </w:r>
          </w:p>
        </w:tc>
        <w:tc>
          <w:tcPr>
            <w:tcW w:w="138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  <w:vAlign w:val="center"/>
          </w:tcPr>
          <w:p w:rsidR="00232AE7" w:rsidRPr="00F6239D" w:rsidRDefault="00232AE7" w:rsidP="00232AE7">
            <w:pPr>
              <w:pStyle w:val="Bezmez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653">
              <w:rPr>
                <w:rFonts w:ascii="Times New Roman" w:hAnsi="Times New Roman" w:cs="Times New Roman"/>
                <w:sz w:val="18"/>
                <w:szCs w:val="18"/>
              </w:rPr>
              <w:t>Více rozvinuté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5 915 460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5 915 460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8 873 190</w:t>
            </w:r>
          </w:p>
        </w:tc>
        <w:tc>
          <w:tcPr>
            <w:tcW w:w="148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8 873 190</w:t>
            </w:r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0</w:t>
            </w:r>
          </w:p>
        </w:tc>
        <w:tc>
          <w:tcPr>
            <w:tcW w:w="121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2E7626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E7626">
              <w:rPr>
                <w:sz w:val="16"/>
                <w:szCs w:val="16"/>
              </w:rPr>
              <w:t>14 788 650</w:t>
            </w:r>
          </w:p>
        </w:tc>
        <w:tc>
          <w:tcPr>
            <w:tcW w:w="102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F6239D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40</w:t>
            </w:r>
            <w:r w:rsidR="00752312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%</w:t>
            </w:r>
          </w:p>
        </w:tc>
      </w:tr>
      <w:tr w:rsidR="00232AE7" w:rsidRPr="003F6475" w:rsidTr="00F6239D">
        <w:trPr>
          <w:cantSplit/>
          <w:trHeight w:val="262"/>
        </w:trPr>
        <w:tc>
          <w:tcPr>
            <w:tcW w:w="1022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  <w:vAlign w:val="center"/>
          </w:tcPr>
          <w:p w:rsidR="00232AE7" w:rsidRPr="00441653" w:rsidRDefault="00232AE7" w:rsidP="00232AE7">
            <w:pPr>
              <w:pStyle w:val="Bezmezer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  <w:vAlign w:val="center"/>
          </w:tcPr>
          <w:p w:rsidR="00232AE7" w:rsidRPr="00441653" w:rsidRDefault="00232AE7" w:rsidP="00232AE7">
            <w:pPr>
              <w:pStyle w:val="Bezmezer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  <w:vAlign w:val="center"/>
          </w:tcPr>
          <w:p w:rsidR="00232AE7" w:rsidRPr="004A3ED2" w:rsidRDefault="00232AE7" w:rsidP="00232AE7">
            <w:pPr>
              <w:pStyle w:val="Bezmezer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  <w:vAlign w:val="center"/>
          </w:tcPr>
          <w:p w:rsidR="00232AE7" w:rsidRPr="004A3ED2" w:rsidRDefault="00232AE7" w:rsidP="00232AE7">
            <w:pPr>
              <w:pStyle w:val="Bezmez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  <w:vAlign w:val="center"/>
          </w:tcPr>
          <w:p w:rsidR="00232AE7" w:rsidRPr="005173A3" w:rsidRDefault="00232AE7" w:rsidP="00232AE7">
            <w:pPr>
              <w:pStyle w:val="Bezmez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653">
              <w:rPr>
                <w:rFonts w:ascii="Times New Roman" w:hAnsi="Times New Roman" w:cs="Times New Roman"/>
                <w:sz w:val="18"/>
                <w:szCs w:val="18"/>
              </w:rPr>
              <w:t>Přechodové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22 304 883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22 304 883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9 559 236</w:t>
            </w:r>
          </w:p>
        </w:tc>
        <w:tc>
          <w:tcPr>
            <w:tcW w:w="148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9 559 236</w:t>
            </w:r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0</w:t>
            </w:r>
          </w:p>
        </w:tc>
        <w:tc>
          <w:tcPr>
            <w:tcW w:w="121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2E7626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E7626">
              <w:rPr>
                <w:sz w:val="16"/>
                <w:szCs w:val="16"/>
              </w:rPr>
              <w:t>31 864 119</w:t>
            </w:r>
          </w:p>
        </w:tc>
        <w:tc>
          <w:tcPr>
            <w:tcW w:w="102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5173A3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70</w:t>
            </w:r>
            <w:r w:rsidR="00752312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%</w:t>
            </w:r>
          </w:p>
        </w:tc>
      </w:tr>
      <w:tr w:rsidR="00232AE7" w:rsidRPr="003F6475" w:rsidTr="00F6239D">
        <w:trPr>
          <w:cantSplit/>
          <w:trHeight w:val="50"/>
        </w:trPr>
        <w:tc>
          <w:tcPr>
            <w:tcW w:w="1022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  <w:vAlign w:val="center"/>
          </w:tcPr>
          <w:p w:rsidR="00232AE7" w:rsidRPr="00F6239D" w:rsidRDefault="00232AE7" w:rsidP="00232AE7">
            <w:pPr>
              <w:pStyle w:val="Bezmezer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  <w:vAlign w:val="center"/>
          </w:tcPr>
          <w:p w:rsidR="00232AE7" w:rsidRPr="00F6239D" w:rsidRDefault="00232AE7" w:rsidP="00232AE7">
            <w:pPr>
              <w:pStyle w:val="Bezmezer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  <w:vAlign w:val="center"/>
          </w:tcPr>
          <w:p w:rsidR="00232AE7" w:rsidRPr="00F6239D" w:rsidRDefault="00232AE7" w:rsidP="00232AE7">
            <w:pPr>
              <w:pStyle w:val="Bezmezer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  <w:vAlign w:val="center"/>
          </w:tcPr>
          <w:p w:rsidR="00232AE7" w:rsidRPr="00F6239D" w:rsidRDefault="00232AE7" w:rsidP="00232AE7">
            <w:pPr>
              <w:pStyle w:val="Bezmez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  <w:vAlign w:val="center"/>
          </w:tcPr>
          <w:p w:rsidR="00232AE7" w:rsidRPr="00F6239D" w:rsidRDefault="00232AE7" w:rsidP="00232AE7">
            <w:pPr>
              <w:pStyle w:val="Bezmez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653">
              <w:rPr>
                <w:rFonts w:ascii="Times New Roman" w:hAnsi="Times New Roman" w:cs="Times New Roman"/>
                <w:sz w:val="18"/>
                <w:szCs w:val="18"/>
              </w:rPr>
              <w:t>Méně rozvinuté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19 911 184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19 911 184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3 513 738</w:t>
            </w:r>
          </w:p>
        </w:tc>
        <w:tc>
          <w:tcPr>
            <w:tcW w:w="148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3 513 738</w:t>
            </w:r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0</w:t>
            </w:r>
          </w:p>
        </w:tc>
        <w:tc>
          <w:tcPr>
            <w:tcW w:w="121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2E7626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E7626">
              <w:rPr>
                <w:sz w:val="16"/>
                <w:szCs w:val="16"/>
              </w:rPr>
              <w:t>23 424 922</w:t>
            </w:r>
          </w:p>
        </w:tc>
        <w:tc>
          <w:tcPr>
            <w:tcW w:w="102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F6239D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85</w:t>
            </w:r>
            <w:r w:rsidR="00752312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%</w:t>
            </w:r>
          </w:p>
        </w:tc>
      </w:tr>
      <w:tr w:rsidR="00232AE7" w:rsidRPr="003F6475" w:rsidTr="00F6239D">
        <w:trPr>
          <w:cantSplit/>
          <w:trHeight w:val="197"/>
        </w:trPr>
        <w:tc>
          <w:tcPr>
            <w:tcW w:w="1022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  <w:vAlign w:val="center"/>
          </w:tcPr>
          <w:p w:rsidR="00232AE7" w:rsidRPr="00F6239D" w:rsidRDefault="00232AE7" w:rsidP="00232AE7">
            <w:pPr>
              <w:pStyle w:val="Bezmezer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  <w:vAlign w:val="center"/>
          </w:tcPr>
          <w:p w:rsidR="00232AE7" w:rsidRPr="005173A3" w:rsidRDefault="00232AE7" w:rsidP="00232AE7">
            <w:pPr>
              <w:pStyle w:val="Bezmezer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653">
              <w:rPr>
                <w:rFonts w:ascii="Times New Roman" w:hAnsi="Times New Roman" w:cs="Times New Roman"/>
                <w:sz w:val="18"/>
                <w:szCs w:val="18"/>
              </w:rPr>
              <w:t>Priorita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4</w:t>
            </w:r>
          </w:p>
          <w:p w:rsidR="00232AE7" w:rsidRPr="00F6239D" w:rsidRDefault="00232AE7" w:rsidP="00232AE7">
            <w:pPr>
              <w:pStyle w:val="Bezmezer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  <w:vAlign w:val="center"/>
          </w:tcPr>
          <w:p w:rsidR="00232AE7" w:rsidRPr="00F6239D" w:rsidRDefault="00232AE7" w:rsidP="00232AE7">
            <w:pPr>
              <w:pStyle w:val="Bezmezer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27D">
              <w:rPr>
                <w:rFonts w:ascii="Times New Roman" w:hAnsi="Times New Roman" w:cs="Times New Roman"/>
                <w:sz w:val="18"/>
                <w:szCs w:val="18"/>
              </w:rPr>
              <w:t>Celkem</w:t>
            </w:r>
          </w:p>
        </w:tc>
        <w:tc>
          <w:tcPr>
            <w:tcW w:w="822" w:type="dxa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  <w:vAlign w:val="center"/>
          </w:tcPr>
          <w:p w:rsidR="00232AE7" w:rsidRPr="00F6239D" w:rsidRDefault="00232AE7" w:rsidP="00232AE7">
            <w:pPr>
              <w:pStyle w:val="Bezmez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ESF</w:t>
            </w:r>
            <w:r w:rsidRPr="00C56D31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38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  <w:vAlign w:val="center"/>
          </w:tcPr>
          <w:p w:rsidR="00232AE7" w:rsidRPr="00F6239D" w:rsidRDefault="00232AE7" w:rsidP="00232AE7">
            <w:pPr>
              <w:pStyle w:val="Bezmez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39D">
              <w:rPr>
                <w:rFonts w:ascii="Times New Roman" w:hAnsi="Times New Roman" w:cs="Times New Roman"/>
                <w:sz w:val="18"/>
                <w:szCs w:val="18"/>
              </w:rPr>
              <w:t>Více rozvinuté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241 694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241 694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362 541</w:t>
            </w:r>
          </w:p>
        </w:tc>
        <w:tc>
          <w:tcPr>
            <w:tcW w:w="148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362 541</w:t>
            </w:r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0</w:t>
            </w:r>
          </w:p>
        </w:tc>
        <w:tc>
          <w:tcPr>
            <w:tcW w:w="121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2E7626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E7626">
              <w:rPr>
                <w:sz w:val="16"/>
                <w:szCs w:val="16"/>
              </w:rPr>
              <w:t>604 235</w:t>
            </w:r>
          </w:p>
        </w:tc>
        <w:tc>
          <w:tcPr>
            <w:tcW w:w="102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F6239D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40</w:t>
            </w:r>
            <w:r w:rsidR="00752312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%</w:t>
            </w:r>
          </w:p>
        </w:tc>
      </w:tr>
      <w:tr w:rsidR="00232AE7" w:rsidRPr="003F6475" w:rsidTr="00F6239D">
        <w:trPr>
          <w:cantSplit/>
          <w:trHeight w:val="50"/>
        </w:trPr>
        <w:tc>
          <w:tcPr>
            <w:tcW w:w="1022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  <w:vAlign w:val="center"/>
          </w:tcPr>
          <w:p w:rsidR="00232AE7" w:rsidRPr="00F6239D" w:rsidRDefault="00232AE7" w:rsidP="00232AE7">
            <w:pPr>
              <w:pStyle w:val="Bezmezer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  <w:vAlign w:val="center"/>
          </w:tcPr>
          <w:p w:rsidR="00232AE7" w:rsidRPr="00F6239D" w:rsidRDefault="00232AE7" w:rsidP="00232AE7">
            <w:pPr>
              <w:pStyle w:val="Bezmezer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  <w:vAlign w:val="center"/>
          </w:tcPr>
          <w:p w:rsidR="00232AE7" w:rsidRPr="00F6239D" w:rsidRDefault="00232AE7" w:rsidP="00232AE7">
            <w:pPr>
              <w:pStyle w:val="Bezmezer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  <w:vAlign w:val="center"/>
          </w:tcPr>
          <w:p w:rsidR="00232AE7" w:rsidRPr="00F6239D" w:rsidRDefault="00232AE7" w:rsidP="00232AE7">
            <w:pPr>
              <w:pStyle w:val="Bezmez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  <w:vAlign w:val="center"/>
          </w:tcPr>
          <w:p w:rsidR="00232AE7" w:rsidRPr="00F6239D" w:rsidRDefault="00232AE7" w:rsidP="00232AE7">
            <w:pPr>
              <w:pStyle w:val="Bezmez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39D">
              <w:rPr>
                <w:rFonts w:ascii="Times New Roman" w:hAnsi="Times New Roman" w:cs="Times New Roman"/>
                <w:sz w:val="18"/>
                <w:szCs w:val="18"/>
              </w:rPr>
              <w:t>Přechodové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18 277 801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18 277 801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7 833 343</w:t>
            </w:r>
          </w:p>
        </w:tc>
        <w:tc>
          <w:tcPr>
            <w:tcW w:w="148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7 833 343</w:t>
            </w:r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0</w:t>
            </w:r>
          </w:p>
        </w:tc>
        <w:tc>
          <w:tcPr>
            <w:tcW w:w="121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2E7626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E7626">
              <w:rPr>
                <w:sz w:val="16"/>
                <w:szCs w:val="16"/>
              </w:rPr>
              <w:t>26 111 144</w:t>
            </w:r>
          </w:p>
        </w:tc>
        <w:tc>
          <w:tcPr>
            <w:tcW w:w="102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F6239D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70</w:t>
            </w:r>
            <w:r w:rsidR="00752312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%</w:t>
            </w:r>
          </w:p>
        </w:tc>
      </w:tr>
      <w:tr w:rsidR="00232AE7" w:rsidRPr="003F6475" w:rsidTr="00F6239D">
        <w:trPr>
          <w:cantSplit/>
          <w:trHeight w:val="50"/>
        </w:trPr>
        <w:tc>
          <w:tcPr>
            <w:tcW w:w="1022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  <w:vAlign w:val="center"/>
          </w:tcPr>
          <w:p w:rsidR="00232AE7" w:rsidRPr="00F6239D" w:rsidRDefault="00232AE7" w:rsidP="00232AE7">
            <w:pPr>
              <w:pStyle w:val="Bezmezer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  <w:vAlign w:val="center"/>
          </w:tcPr>
          <w:p w:rsidR="00232AE7" w:rsidRPr="00F6239D" w:rsidRDefault="00232AE7" w:rsidP="00232AE7">
            <w:pPr>
              <w:pStyle w:val="Bezmezer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  <w:vAlign w:val="center"/>
          </w:tcPr>
          <w:p w:rsidR="00232AE7" w:rsidRPr="00F6239D" w:rsidRDefault="00232AE7" w:rsidP="00232AE7">
            <w:pPr>
              <w:pStyle w:val="Bezmezer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  <w:vAlign w:val="center"/>
          </w:tcPr>
          <w:p w:rsidR="00232AE7" w:rsidRPr="00F6239D" w:rsidRDefault="00232AE7" w:rsidP="00232AE7">
            <w:pPr>
              <w:pStyle w:val="Bezmez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  <w:vAlign w:val="center"/>
          </w:tcPr>
          <w:p w:rsidR="00232AE7" w:rsidRPr="00F6239D" w:rsidRDefault="00232AE7" w:rsidP="00232AE7">
            <w:pPr>
              <w:pStyle w:val="Bezmez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39D">
              <w:rPr>
                <w:rFonts w:ascii="Times New Roman" w:hAnsi="Times New Roman" w:cs="Times New Roman"/>
                <w:sz w:val="18"/>
                <w:szCs w:val="18"/>
              </w:rPr>
              <w:t>Méně rozvinuté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20 374 943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20 374 943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3 595 578</w:t>
            </w:r>
          </w:p>
        </w:tc>
        <w:tc>
          <w:tcPr>
            <w:tcW w:w="148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3 595 578</w:t>
            </w:r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0</w:t>
            </w:r>
          </w:p>
        </w:tc>
        <w:tc>
          <w:tcPr>
            <w:tcW w:w="121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2E7626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E7626">
              <w:rPr>
                <w:sz w:val="16"/>
                <w:szCs w:val="16"/>
              </w:rPr>
              <w:t>23 970 521</w:t>
            </w:r>
          </w:p>
        </w:tc>
        <w:tc>
          <w:tcPr>
            <w:tcW w:w="102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</w:tcPr>
          <w:p w:rsidR="00232AE7" w:rsidRPr="00F6239D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85</w:t>
            </w:r>
            <w:r w:rsidR="00752312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%</w:t>
            </w:r>
          </w:p>
        </w:tc>
      </w:tr>
      <w:tr w:rsidR="00232AE7" w:rsidRPr="003F6475" w:rsidTr="000E3E65">
        <w:trPr>
          <w:cantSplit/>
        </w:trPr>
        <w:tc>
          <w:tcPr>
            <w:tcW w:w="3148" w:type="dxa"/>
            <w:gridSpan w:val="3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F6239D" w:rsidRDefault="00232AE7" w:rsidP="00232AE7">
            <w:pPr>
              <w:pStyle w:val="Bezmez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39D">
              <w:rPr>
                <w:rFonts w:ascii="Times New Roman" w:hAnsi="Times New Roman" w:cs="Times New Roman"/>
                <w:sz w:val="18"/>
                <w:szCs w:val="18"/>
              </w:rPr>
              <w:t>Celkem</w:t>
            </w:r>
          </w:p>
        </w:tc>
        <w:tc>
          <w:tcPr>
            <w:tcW w:w="822" w:type="dxa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F6239D" w:rsidRDefault="00232AE7" w:rsidP="00232AE7">
            <w:pPr>
              <w:pStyle w:val="Bezmez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39D">
              <w:rPr>
                <w:rFonts w:ascii="Times New Roman" w:hAnsi="Times New Roman" w:cs="Times New Roman"/>
                <w:sz w:val="18"/>
                <w:szCs w:val="18"/>
              </w:rPr>
              <w:t>ERDF</w:t>
            </w:r>
          </w:p>
        </w:tc>
        <w:tc>
          <w:tcPr>
            <w:tcW w:w="138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F6239D" w:rsidRDefault="00232AE7" w:rsidP="00232AE7">
            <w:pPr>
              <w:pStyle w:val="Bezmez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39D">
              <w:rPr>
                <w:rFonts w:ascii="Times New Roman" w:hAnsi="Times New Roman" w:cs="Times New Roman"/>
                <w:sz w:val="18"/>
                <w:szCs w:val="18"/>
              </w:rPr>
              <w:t>Více rozvinuté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193 967 723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166 012 840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sz w:val="16"/>
                <w:szCs w:val="16"/>
              </w:rPr>
            </w:pPr>
            <w:r w:rsidRPr="00110651">
              <w:rPr>
                <w:sz w:val="16"/>
                <w:szCs w:val="16"/>
              </w:rPr>
              <w:t>27 954 883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sz w:val="16"/>
                <w:szCs w:val="16"/>
              </w:rPr>
            </w:pPr>
            <w:r w:rsidRPr="00110651">
              <w:rPr>
                <w:sz w:val="16"/>
                <w:szCs w:val="16"/>
              </w:rPr>
              <w:t>290 951 585</w:t>
            </w:r>
          </w:p>
        </w:tc>
        <w:tc>
          <w:tcPr>
            <w:tcW w:w="148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sz w:val="16"/>
                <w:szCs w:val="16"/>
              </w:rPr>
            </w:pPr>
            <w:r w:rsidRPr="00110651">
              <w:rPr>
                <w:sz w:val="16"/>
                <w:szCs w:val="16"/>
              </w:rPr>
              <w:t>290 951 585</w:t>
            </w:r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sz w:val="16"/>
                <w:szCs w:val="16"/>
              </w:rPr>
            </w:pPr>
            <w:r w:rsidRPr="00110651">
              <w:rPr>
                <w:sz w:val="16"/>
                <w:szCs w:val="16"/>
              </w:rPr>
              <w:t>0</w:t>
            </w:r>
          </w:p>
        </w:tc>
        <w:tc>
          <w:tcPr>
            <w:tcW w:w="121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2E7626" w:rsidRDefault="00232AE7" w:rsidP="00232AE7">
            <w:pPr>
              <w:pStyle w:val="Bezmezer"/>
              <w:jc w:val="right"/>
              <w:rPr>
                <w:sz w:val="16"/>
                <w:szCs w:val="16"/>
              </w:rPr>
            </w:pPr>
            <w:r w:rsidRPr="002E7626">
              <w:rPr>
                <w:sz w:val="16"/>
                <w:szCs w:val="16"/>
              </w:rPr>
              <w:t>484 919 308</w:t>
            </w:r>
          </w:p>
        </w:tc>
        <w:tc>
          <w:tcPr>
            <w:tcW w:w="102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225AA" w:rsidRDefault="00232AE7" w:rsidP="00232AE7">
            <w:pPr>
              <w:pStyle w:val="Bezmezer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</w:t>
            </w:r>
            <w:r w:rsidR="00752312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%</w:t>
            </w:r>
          </w:p>
        </w:tc>
      </w:tr>
      <w:tr w:rsidR="00232AE7" w:rsidRPr="003F6475" w:rsidTr="000E3E65">
        <w:trPr>
          <w:cantSplit/>
        </w:trPr>
        <w:tc>
          <w:tcPr>
            <w:tcW w:w="3148" w:type="dxa"/>
            <w:gridSpan w:val="3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4A3ED2" w:rsidRDefault="00232AE7" w:rsidP="00232AE7">
            <w:pPr>
              <w:pStyle w:val="Bezmez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22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F6239D" w:rsidRDefault="00232AE7" w:rsidP="00232AE7">
            <w:pPr>
              <w:pStyle w:val="Bezmez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F6239D" w:rsidRDefault="00232AE7" w:rsidP="00232AE7">
            <w:pPr>
              <w:pStyle w:val="Bezmez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39D">
              <w:rPr>
                <w:rFonts w:ascii="Times New Roman" w:hAnsi="Times New Roman" w:cs="Times New Roman"/>
                <w:sz w:val="18"/>
                <w:szCs w:val="18"/>
              </w:rPr>
              <w:t>Přechodové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731 376 376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606 002 148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sz w:val="16"/>
                <w:szCs w:val="16"/>
              </w:rPr>
            </w:pPr>
            <w:r w:rsidRPr="00110651">
              <w:rPr>
                <w:sz w:val="16"/>
                <w:szCs w:val="16"/>
              </w:rPr>
              <w:t>125 374 228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sz w:val="16"/>
                <w:szCs w:val="16"/>
              </w:rPr>
            </w:pPr>
            <w:r w:rsidRPr="00110651">
              <w:rPr>
                <w:sz w:val="16"/>
                <w:szCs w:val="16"/>
              </w:rPr>
              <w:t>313 447 019</w:t>
            </w:r>
          </w:p>
        </w:tc>
        <w:tc>
          <w:tcPr>
            <w:tcW w:w="148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sz w:val="16"/>
                <w:szCs w:val="16"/>
              </w:rPr>
            </w:pPr>
            <w:r w:rsidRPr="00110651">
              <w:rPr>
                <w:sz w:val="16"/>
                <w:szCs w:val="16"/>
              </w:rPr>
              <w:t>313 447</w:t>
            </w:r>
            <w:r w:rsidR="002E7626">
              <w:rPr>
                <w:sz w:val="16"/>
                <w:szCs w:val="16"/>
              </w:rPr>
              <w:t> </w:t>
            </w:r>
            <w:r w:rsidRPr="00110651">
              <w:rPr>
                <w:sz w:val="16"/>
                <w:szCs w:val="16"/>
              </w:rPr>
              <w:t>019</w:t>
            </w:r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sz w:val="16"/>
                <w:szCs w:val="16"/>
              </w:rPr>
            </w:pPr>
            <w:r w:rsidRPr="00110651">
              <w:rPr>
                <w:sz w:val="16"/>
                <w:szCs w:val="16"/>
              </w:rPr>
              <w:t>0</w:t>
            </w:r>
          </w:p>
        </w:tc>
        <w:tc>
          <w:tcPr>
            <w:tcW w:w="121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2E7626" w:rsidRDefault="00232AE7" w:rsidP="00232AE7">
            <w:pPr>
              <w:pStyle w:val="Bezmezer"/>
              <w:jc w:val="right"/>
              <w:rPr>
                <w:sz w:val="16"/>
                <w:szCs w:val="16"/>
              </w:rPr>
            </w:pPr>
            <w:r w:rsidRPr="002E7626">
              <w:rPr>
                <w:sz w:val="16"/>
                <w:szCs w:val="16"/>
              </w:rPr>
              <w:t>1 044 823 395</w:t>
            </w:r>
          </w:p>
        </w:tc>
        <w:tc>
          <w:tcPr>
            <w:tcW w:w="102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225AA" w:rsidRDefault="00232AE7" w:rsidP="00232AE7">
            <w:pPr>
              <w:pStyle w:val="Bezmezer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</w:t>
            </w:r>
            <w:r w:rsidR="00752312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%</w:t>
            </w:r>
          </w:p>
        </w:tc>
      </w:tr>
      <w:tr w:rsidR="00232AE7" w:rsidRPr="003F6475" w:rsidTr="000E3E65">
        <w:trPr>
          <w:cantSplit/>
        </w:trPr>
        <w:tc>
          <w:tcPr>
            <w:tcW w:w="3148" w:type="dxa"/>
            <w:gridSpan w:val="3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4A3ED2" w:rsidRDefault="00232AE7" w:rsidP="00232AE7">
            <w:pPr>
              <w:pStyle w:val="Bezmez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22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F6239D" w:rsidRDefault="00232AE7" w:rsidP="00232AE7">
            <w:pPr>
              <w:pStyle w:val="Bezmez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F6239D" w:rsidRDefault="00232AE7" w:rsidP="00232AE7">
            <w:pPr>
              <w:pStyle w:val="Bezmez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39D">
              <w:rPr>
                <w:rFonts w:ascii="Times New Roman" w:hAnsi="Times New Roman" w:cs="Times New Roman"/>
                <w:sz w:val="18"/>
                <w:szCs w:val="18"/>
              </w:rPr>
              <w:t>Méně rozvinuté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652 887 084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528 765 761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sz w:val="16"/>
                <w:szCs w:val="16"/>
              </w:rPr>
            </w:pPr>
            <w:r w:rsidRPr="00110651">
              <w:rPr>
                <w:sz w:val="16"/>
                <w:szCs w:val="16"/>
              </w:rPr>
              <w:t>124 121 323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sz w:val="16"/>
                <w:szCs w:val="16"/>
              </w:rPr>
            </w:pPr>
            <w:r w:rsidRPr="00110651">
              <w:rPr>
                <w:sz w:val="16"/>
                <w:szCs w:val="16"/>
              </w:rPr>
              <w:t>115 215 367</w:t>
            </w:r>
          </w:p>
        </w:tc>
        <w:tc>
          <w:tcPr>
            <w:tcW w:w="148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sz w:val="16"/>
                <w:szCs w:val="16"/>
              </w:rPr>
            </w:pPr>
            <w:r w:rsidRPr="00110651">
              <w:rPr>
                <w:sz w:val="16"/>
                <w:szCs w:val="16"/>
              </w:rPr>
              <w:t>115 215 367</w:t>
            </w:r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sz w:val="16"/>
                <w:szCs w:val="16"/>
              </w:rPr>
            </w:pPr>
            <w:r w:rsidRPr="00110651">
              <w:rPr>
                <w:sz w:val="16"/>
                <w:szCs w:val="16"/>
              </w:rPr>
              <w:t>0</w:t>
            </w:r>
          </w:p>
        </w:tc>
        <w:tc>
          <w:tcPr>
            <w:tcW w:w="121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2E7626" w:rsidRDefault="00232AE7" w:rsidP="00232AE7">
            <w:pPr>
              <w:pStyle w:val="Bezmezer"/>
              <w:jc w:val="right"/>
              <w:rPr>
                <w:sz w:val="16"/>
                <w:szCs w:val="16"/>
              </w:rPr>
            </w:pPr>
            <w:r w:rsidRPr="002E7626">
              <w:rPr>
                <w:sz w:val="16"/>
                <w:szCs w:val="16"/>
              </w:rPr>
              <w:t>768 102 451</w:t>
            </w:r>
          </w:p>
        </w:tc>
        <w:tc>
          <w:tcPr>
            <w:tcW w:w="102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225AA" w:rsidRDefault="00232AE7" w:rsidP="00232AE7">
            <w:pPr>
              <w:pStyle w:val="Bezmezer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</w:t>
            </w:r>
            <w:r w:rsidR="00752312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%</w:t>
            </w:r>
          </w:p>
        </w:tc>
      </w:tr>
      <w:tr w:rsidR="00232AE7" w:rsidRPr="003F6475" w:rsidTr="000E3E65">
        <w:trPr>
          <w:cantSplit/>
        </w:trPr>
        <w:tc>
          <w:tcPr>
            <w:tcW w:w="3148" w:type="dxa"/>
            <w:gridSpan w:val="3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4A3ED2" w:rsidRDefault="00232AE7" w:rsidP="00232AE7">
            <w:pPr>
              <w:pStyle w:val="Bezmez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22" w:type="dxa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F6239D" w:rsidRDefault="00232AE7" w:rsidP="00232AE7">
            <w:pPr>
              <w:pStyle w:val="Bezmezer"/>
              <w:rPr>
                <w:rFonts w:ascii="Times New Roman" w:hAnsi="Times New Roman" w:cs="Times New Roman"/>
                <w:sz w:val="18"/>
                <w:szCs w:val="18"/>
              </w:rPr>
            </w:pPr>
            <w:r w:rsidRPr="00C06C12">
              <w:rPr>
                <w:rFonts w:ascii="Times New Roman" w:hAnsi="Times New Roman" w:cs="Times New Roman"/>
                <w:sz w:val="18"/>
                <w:szCs w:val="18"/>
              </w:rPr>
              <w:t>ESF+</w:t>
            </w:r>
          </w:p>
        </w:tc>
        <w:tc>
          <w:tcPr>
            <w:tcW w:w="138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5173A3" w:rsidRDefault="00232AE7" w:rsidP="00232AE7">
            <w:pPr>
              <w:pStyle w:val="Bezmez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653">
              <w:rPr>
                <w:rFonts w:ascii="Times New Roman" w:hAnsi="Times New Roman" w:cs="Times New Roman"/>
                <w:sz w:val="18"/>
                <w:szCs w:val="18"/>
              </w:rPr>
              <w:t>Více rozvinuté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6 042 361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5 135 936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sz w:val="16"/>
                <w:szCs w:val="16"/>
              </w:rPr>
            </w:pPr>
            <w:r w:rsidRPr="00110651">
              <w:rPr>
                <w:sz w:val="16"/>
                <w:szCs w:val="16"/>
              </w:rPr>
              <w:t>906 448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sz w:val="16"/>
                <w:szCs w:val="16"/>
              </w:rPr>
            </w:pPr>
            <w:r w:rsidRPr="00110651">
              <w:rPr>
                <w:sz w:val="16"/>
                <w:szCs w:val="16"/>
              </w:rPr>
              <w:t>9 063 542</w:t>
            </w:r>
          </w:p>
        </w:tc>
        <w:tc>
          <w:tcPr>
            <w:tcW w:w="148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sz w:val="16"/>
                <w:szCs w:val="16"/>
              </w:rPr>
            </w:pPr>
            <w:r w:rsidRPr="00110651">
              <w:rPr>
                <w:sz w:val="16"/>
                <w:szCs w:val="16"/>
              </w:rPr>
              <w:t>9 063 542</w:t>
            </w:r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sz w:val="16"/>
                <w:szCs w:val="16"/>
              </w:rPr>
            </w:pPr>
            <w:r w:rsidRPr="00110651">
              <w:rPr>
                <w:sz w:val="16"/>
                <w:szCs w:val="16"/>
              </w:rPr>
              <w:t>0</w:t>
            </w:r>
          </w:p>
        </w:tc>
        <w:tc>
          <w:tcPr>
            <w:tcW w:w="121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2E7626" w:rsidRDefault="00232AE7" w:rsidP="00232AE7">
            <w:pPr>
              <w:pStyle w:val="Bezmezer"/>
              <w:jc w:val="right"/>
              <w:rPr>
                <w:sz w:val="16"/>
                <w:szCs w:val="16"/>
              </w:rPr>
            </w:pPr>
            <w:r w:rsidRPr="002E7626">
              <w:rPr>
                <w:sz w:val="16"/>
                <w:szCs w:val="16"/>
              </w:rPr>
              <w:t>15 105 903</w:t>
            </w:r>
          </w:p>
        </w:tc>
        <w:tc>
          <w:tcPr>
            <w:tcW w:w="102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225AA" w:rsidRDefault="00232AE7" w:rsidP="00232AE7">
            <w:pPr>
              <w:pStyle w:val="Bezmezer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</w:t>
            </w:r>
            <w:r w:rsidR="00752312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%</w:t>
            </w:r>
          </w:p>
        </w:tc>
      </w:tr>
      <w:tr w:rsidR="00232AE7" w:rsidRPr="003F6475" w:rsidTr="000E3E65">
        <w:trPr>
          <w:cantSplit/>
        </w:trPr>
        <w:tc>
          <w:tcPr>
            <w:tcW w:w="3148" w:type="dxa"/>
            <w:gridSpan w:val="3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4A3ED2" w:rsidRDefault="00232AE7" w:rsidP="00232AE7">
            <w:pPr>
              <w:pStyle w:val="Bezmez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22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4A3ED2" w:rsidRDefault="00232AE7" w:rsidP="00232AE7">
            <w:pPr>
              <w:pStyle w:val="Bezmez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5173A3" w:rsidRDefault="00232AE7" w:rsidP="00232AE7">
            <w:pPr>
              <w:pStyle w:val="Bezmez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653">
              <w:rPr>
                <w:rFonts w:ascii="Times New Roman" w:hAnsi="Times New Roman" w:cs="Times New Roman"/>
                <w:sz w:val="18"/>
                <w:szCs w:val="18"/>
              </w:rPr>
              <w:t>Přechodové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456 945 033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10651">
              <w:rPr>
                <w:sz w:val="16"/>
                <w:szCs w:val="16"/>
              </w:rPr>
              <w:t>388 397 897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sz w:val="16"/>
                <w:szCs w:val="16"/>
              </w:rPr>
            </w:pPr>
            <w:r w:rsidRPr="00110651">
              <w:rPr>
                <w:sz w:val="16"/>
                <w:szCs w:val="16"/>
              </w:rPr>
              <w:t>68 548 867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sz w:val="16"/>
                <w:szCs w:val="16"/>
              </w:rPr>
            </w:pPr>
            <w:r w:rsidRPr="00110651">
              <w:rPr>
                <w:sz w:val="16"/>
                <w:szCs w:val="16"/>
              </w:rPr>
              <w:t>195 833 585</w:t>
            </w:r>
          </w:p>
        </w:tc>
        <w:tc>
          <w:tcPr>
            <w:tcW w:w="148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sz w:val="16"/>
                <w:szCs w:val="16"/>
              </w:rPr>
            </w:pPr>
            <w:r w:rsidRPr="00110651">
              <w:rPr>
                <w:sz w:val="16"/>
                <w:szCs w:val="16"/>
              </w:rPr>
              <w:t>195 833 585</w:t>
            </w:r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10651" w:rsidRDefault="00232AE7" w:rsidP="00232AE7">
            <w:pPr>
              <w:pStyle w:val="Bezmezer"/>
              <w:jc w:val="right"/>
              <w:rPr>
                <w:sz w:val="16"/>
                <w:szCs w:val="16"/>
              </w:rPr>
            </w:pPr>
            <w:r w:rsidRPr="00110651">
              <w:rPr>
                <w:sz w:val="16"/>
                <w:szCs w:val="16"/>
              </w:rPr>
              <w:t>0</w:t>
            </w:r>
          </w:p>
        </w:tc>
        <w:tc>
          <w:tcPr>
            <w:tcW w:w="121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225AA" w:rsidRDefault="00232AE7" w:rsidP="00232AE7">
            <w:pPr>
              <w:pStyle w:val="Bezmezer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652 778 618</w:t>
            </w:r>
          </w:p>
        </w:tc>
        <w:tc>
          <w:tcPr>
            <w:tcW w:w="102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225AA" w:rsidRDefault="00232AE7" w:rsidP="00232AE7">
            <w:pPr>
              <w:pStyle w:val="Bezmezer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</w:t>
            </w:r>
            <w:r w:rsidR="00752312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%</w:t>
            </w:r>
          </w:p>
        </w:tc>
      </w:tr>
      <w:tr w:rsidR="00232AE7" w:rsidRPr="003F6475" w:rsidTr="000E3E65">
        <w:trPr>
          <w:cantSplit/>
        </w:trPr>
        <w:tc>
          <w:tcPr>
            <w:tcW w:w="3148" w:type="dxa"/>
            <w:gridSpan w:val="3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4A3ED2" w:rsidRDefault="00232AE7" w:rsidP="00232AE7">
            <w:pPr>
              <w:pStyle w:val="Bezmez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22" w:type="dxa"/>
            <w:vMerge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4A3ED2" w:rsidRDefault="00232AE7" w:rsidP="00232AE7">
            <w:pPr>
              <w:pStyle w:val="Bezmez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5173A3" w:rsidRDefault="00232AE7" w:rsidP="00232AE7">
            <w:pPr>
              <w:pStyle w:val="Bezmez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653">
              <w:rPr>
                <w:rFonts w:ascii="Times New Roman" w:hAnsi="Times New Roman" w:cs="Times New Roman"/>
                <w:sz w:val="18"/>
                <w:szCs w:val="18"/>
              </w:rPr>
              <w:t>Méně rozvinuté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A47D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509 373 554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A47D51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432 961 523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225AA" w:rsidRDefault="00232AE7" w:rsidP="00232AE7">
            <w:pPr>
              <w:pStyle w:val="Bezmezer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76 410 279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225AA" w:rsidRDefault="00232AE7" w:rsidP="00232AE7">
            <w:pPr>
              <w:pStyle w:val="Bezmezer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89 889 451</w:t>
            </w:r>
          </w:p>
        </w:tc>
        <w:tc>
          <w:tcPr>
            <w:tcW w:w="148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225AA" w:rsidRDefault="00232AE7" w:rsidP="00232AE7">
            <w:pPr>
              <w:pStyle w:val="Bezmezer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89 889 451</w:t>
            </w:r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225AA" w:rsidRDefault="00232AE7" w:rsidP="00232AE7">
            <w:pPr>
              <w:pStyle w:val="Bezmezer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1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225AA" w:rsidRDefault="00232AE7" w:rsidP="00232AE7">
            <w:pPr>
              <w:pStyle w:val="Bezmezer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599 263 005</w:t>
            </w:r>
          </w:p>
        </w:tc>
        <w:tc>
          <w:tcPr>
            <w:tcW w:w="102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EEAF6" w:themeFill="accent5" w:themeFillTint="33"/>
            <w:vAlign w:val="center"/>
          </w:tcPr>
          <w:p w:rsidR="00232AE7" w:rsidRPr="001225AA" w:rsidRDefault="00232AE7" w:rsidP="00232AE7">
            <w:pPr>
              <w:pStyle w:val="Bezmezer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</w:t>
            </w:r>
            <w:r w:rsidR="00752312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%</w:t>
            </w:r>
          </w:p>
        </w:tc>
      </w:tr>
      <w:tr w:rsidR="00232AE7" w:rsidRPr="003F6475" w:rsidTr="00D522D2">
        <w:trPr>
          <w:cantSplit/>
          <w:trHeight w:val="352"/>
        </w:trPr>
        <w:tc>
          <w:tcPr>
            <w:tcW w:w="5352" w:type="dxa"/>
            <w:gridSpan w:val="5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vAlign w:val="center"/>
          </w:tcPr>
          <w:p w:rsidR="00232AE7" w:rsidRPr="00F6239D" w:rsidRDefault="00232AE7" w:rsidP="00232AE7">
            <w:pPr>
              <w:pStyle w:val="Bezmezer"/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</w:rPr>
            </w:pPr>
            <w:r w:rsidRPr="00F6239D"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</w:rPr>
              <w:t>Celk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</w:rPr>
              <w:t>em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vAlign w:val="center"/>
          </w:tcPr>
          <w:p w:rsidR="00232AE7" w:rsidRPr="00F6239D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</w:rPr>
            </w:pPr>
            <w:r>
              <w:rPr>
                <w:b/>
                <w:bCs/>
                <w:color w:val="FFFFFF"/>
                <w:sz w:val="16"/>
                <w:szCs w:val="16"/>
              </w:rPr>
              <w:t>2 550 592 131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vAlign w:val="center"/>
          </w:tcPr>
          <w:p w:rsidR="00232AE7" w:rsidRPr="00F6239D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</w:rPr>
            </w:pPr>
            <w:r>
              <w:rPr>
                <w:b/>
                <w:bCs/>
                <w:color w:val="FFFFFF"/>
                <w:sz w:val="16"/>
                <w:szCs w:val="16"/>
              </w:rPr>
              <w:t>2 127 276 105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vAlign w:val="center"/>
          </w:tcPr>
          <w:p w:rsidR="00232AE7" w:rsidRPr="00F6239D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</w:rPr>
            </w:pPr>
            <w:r>
              <w:rPr>
                <w:b/>
                <w:bCs/>
                <w:color w:val="FFFFFF"/>
                <w:sz w:val="16"/>
                <w:szCs w:val="16"/>
              </w:rPr>
              <w:t>423 316 028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vAlign w:val="center"/>
          </w:tcPr>
          <w:p w:rsidR="00232AE7" w:rsidRPr="00F6239D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</w:rPr>
            </w:pPr>
            <w:r>
              <w:rPr>
                <w:b/>
                <w:bCs/>
                <w:color w:val="FFFFFF"/>
                <w:sz w:val="16"/>
                <w:szCs w:val="16"/>
              </w:rPr>
              <w:t>1 014 400 549</w:t>
            </w:r>
          </w:p>
        </w:tc>
        <w:tc>
          <w:tcPr>
            <w:tcW w:w="148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vAlign w:val="center"/>
          </w:tcPr>
          <w:p w:rsidR="00232AE7" w:rsidRPr="00F6239D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</w:rPr>
            </w:pPr>
            <w:r>
              <w:rPr>
                <w:b/>
                <w:bCs/>
                <w:color w:val="FFFFFF"/>
                <w:sz w:val="16"/>
                <w:szCs w:val="16"/>
              </w:rPr>
              <w:t>1 014 400 549</w:t>
            </w:r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vAlign w:val="center"/>
          </w:tcPr>
          <w:p w:rsidR="00232AE7" w:rsidRPr="00F6239D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</w:rPr>
            </w:pPr>
            <w:r>
              <w:rPr>
                <w:b/>
                <w:bCs/>
                <w:color w:val="FFFFFF"/>
                <w:sz w:val="16"/>
                <w:szCs w:val="16"/>
              </w:rPr>
              <w:t>0</w:t>
            </w:r>
          </w:p>
        </w:tc>
        <w:tc>
          <w:tcPr>
            <w:tcW w:w="121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vAlign w:val="center"/>
          </w:tcPr>
          <w:p w:rsidR="00232AE7" w:rsidRPr="00F6239D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</w:rPr>
            </w:pPr>
            <w:r>
              <w:rPr>
                <w:b/>
                <w:bCs/>
                <w:color w:val="FFFFFF"/>
                <w:sz w:val="16"/>
                <w:szCs w:val="16"/>
              </w:rPr>
              <w:t>3 564 992 680</w:t>
            </w:r>
          </w:p>
        </w:tc>
        <w:tc>
          <w:tcPr>
            <w:tcW w:w="102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002060"/>
            <w:vAlign w:val="center"/>
          </w:tcPr>
          <w:p w:rsidR="00232AE7" w:rsidRPr="00F6239D" w:rsidRDefault="00232AE7" w:rsidP="00232AE7">
            <w:pPr>
              <w:pStyle w:val="Bezmezer"/>
              <w:jc w:val="right"/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</w:rPr>
            </w:pPr>
            <w:r>
              <w:rPr>
                <w:b/>
                <w:bCs/>
                <w:color w:val="FFFFFF"/>
                <w:sz w:val="16"/>
                <w:szCs w:val="16"/>
              </w:rPr>
              <w:t>65</w:t>
            </w:r>
            <w:r w:rsidR="00752312">
              <w:rPr>
                <w:b/>
                <w:bCs/>
                <w:color w:val="FFFFFF"/>
                <w:sz w:val="16"/>
                <w:szCs w:val="16"/>
              </w:rPr>
              <w:t xml:space="preserve"> </w:t>
            </w:r>
            <w:r>
              <w:rPr>
                <w:b/>
                <w:bCs/>
                <w:color w:val="FFFFFF"/>
                <w:sz w:val="16"/>
                <w:szCs w:val="16"/>
              </w:rPr>
              <w:t>%</w:t>
            </w:r>
          </w:p>
        </w:tc>
      </w:tr>
      <w:bookmarkEnd w:id="277"/>
    </w:tbl>
    <w:p w:rsidR="00317F8A" w:rsidRPr="00B175FB" w:rsidRDefault="00317F8A" w:rsidP="00114426">
      <w:pPr>
        <w:spacing w:before="240" w:after="240" w:line="240" w:lineRule="auto"/>
        <w:rPr>
          <w:rFonts w:eastAsia="Times New Roman"/>
          <w:bCs/>
          <w:i/>
          <w:noProof/>
          <w:szCs w:val="24"/>
        </w:rPr>
      </w:pPr>
    </w:p>
    <w:p w:rsidR="00114426" w:rsidRPr="00B175FB" w:rsidRDefault="00114426" w:rsidP="00114426">
      <w:pPr>
        <w:spacing w:before="240" w:after="240" w:line="240" w:lineRule="auto"/>
        <w:rPr>
          <w:rFonts w:eastAsia="Times New Roman"/>
          <w:b/>
          <w:i/>
          <w:noProof/>
          <w:szCs w:val="24"/>
        </w:rPr>
      </w:pPr>
    </w:p>
    <w:p w:rsidR="00114426" w:rsidRPr="00B175FB" w:rsidRDefault="00114426" w:rsidP="00F03967">
      <w:pPr>
        <w:pStyle w:val="Odstavecseseznamem"/>
        <w:numPr>
          <w:ilvl w:val="0"/>
          <w:numId w:val="78"/>
        </w:numPr>
        <w:rPr>
          <w:rStyle w:val="Nadpis1Char"/>
          <w:color w:val="1F4E79" w:themeColor="accent5" w:themeShade="80"/>
          <w:lang w:val="cs-CZ"/>
        </w:rPr>
      </w:pPr>
      <w:r w:rsidRPr="00B175FB">
        <w:rPr>
          <w:rFonts w:eastAsia="Times New Roman"/>
          <w:bCs/>
          <w:i/>
          <w:noProof/>
          <w:szCs w:val="24"/>
        </w:rPr>
        <w:br w:type="page"/>
      </w:r>
      <w:bookmarkStart w:id="278" w:name="_Toc32998644"/>
      <w:bookmarkStart w:id="279" w:name="_Toc32998691"/>
      <w:bookmarkStart w:id="280" w:name="_Toc33000823"/>
      <w:bookmarkStart w:id="281" w:name="_Toc33000257"/>
      <w:bookmarkStart w:id="282" w:name="_Toc66476080"/>
      <w:bookmarkStart w:id="283" w:name="_Toc68611038"/>
      <w:r w:rsidR="001C1222" w:rsidRPr="00B175FB">
        <w:rPr>
          <w:rStyle w:val="Nadpis1Char"/>
          <w:color w:val="1F4E79" w:themeColor="accent5" w:themeShade="80"/>
          <w:lang w:val="cs-CZ"/>
        </w:rPr>
        <w:t>Základní podmínky</w:t>
      </w:r>
      <w:bookmarkEnd w:id="278"/>
      <w:bookmarkEnd w:id="279"/>
      <w:bookmarkEnd w:id="280"/>
      <w:bookmarkEnd w:id="281"/>
      <w:bookmarkEnd w:id="282"/>
      <w:bookmarkEnd w:id="283"/>
    </w:p>
    <w:p w:rsidR="00114426" w:rsidRPr="00FF2B38" w:rsidRDefault="00FF2B38" w:rsidP="00FF2B38">
      <w:pPr>
        <w:spacing w:before="240" w:after="240" w:line="240" w:lineRule="auto"/>
        <w:rPr>
          <w:rFonts w:eastAsia="Times New Roman"/>
          <w:b/>
          <w:sz w:val="22"/>
        </w:rPr>
      </w:pPr>
      <w:r w:rsidRPr="001C1C68">
        <w:rPr>
          <w:rFonts w:eastAsia="Times New Roman"/>
          <w:b/>
          <w:iCs/>
          <w:noProof/>
          <w:sz w:val="22"/>
        </w:rPr>
        <w:t xml:space="preserve">Tabulka </w:t>
      </w:r>
      <w:r w:rsidRPr="001C1C68">
        <w:rPr>
          <w:rFonts w:eastAsia="Times New Roman"/>
          <w:b/>
          <w:iCs/>
          <w:noProof/>
          <w:sz w:val="22"/>
        </w:rPr>
        <w:fldChar w:fldCharType="begin"/>
      </w:r>
      <w:r w:rsidRPr="001C1C68">
        <w:rPr>
          <w:rFonts w:eastAsia="Times New Roman"/>
          <w:b/>
          <w:iCs/>
          <w:noProof/>
          <w:sz w:val="22"/>
        </w:rPr>
        <w:instrText xml:space="preserve"> SEQ Tabulka \* ARABIC </w:instrText>
      </w:r>
      <w:r w:rsidRPr="001C1C68">
        <w:rPr>
          <w:rFonts w:eastAsia="Times New Roman"/>
          <w:b/>
          <w:iCs/>
          <w:noProof/>
          <w:sz w:val="22"/>
        </w:rPr>
        <w:fldChar w:fldCharType="separate"/>
      </w:r>
      <w:r w:rsidR="00262D11">
        <w:rPr>
          <w:rFonts w:eastAsia="Times New Roman"/>
          <w:b/>
          <w:iCs/>
          <w:noProof/>
          <w:sz w:val="22"/>
        </w:rPr>
        <w:t>51</w:t>
      </w:r>
      <w:r w:rsidRPr="001C1C68">
        <w:rPr>
          <w:rFonts w:eastAsia="Times New Roman"/>
          <w:b/>
          <w:iCs/>
          <w:noProof/>
          <w:sz w:val="22"/>
        </w:rPr>
        <w:fldChar w:fldCharType="end"/>
      </w:r>
      <w:r w:rsidRPr="001C1C68">
        <w:rPr>
          <w:rFonts w:eastAsia="Times New Roman"/>
          <w:b/>
          <w:iCs/>
          <w:noProof/>
          <w:sz w:val="22"/>
        </w:rPr>
        <w:t>:</w:t>
      </w:r>
      <w:r>
        <w:rPr>
          <w:rFonts w:eastAsia="Times New Roman"/>
          <w:b/>
          <w:iCs/>
          <w:noProof/>
          <w:sz w:val="22"/>
        </w:rPr>
        <w:t xml:space="preserve"> Základní podmínky</w:t>
      </w:r>
      <w:r w:rsidRPr="00E37F11">
        <w:rPr>
          <w:rFonts w:eastAsia="Times New Roman"/>
          <w:b/>
          <w:iCs/>
          <w:noProof/>
          <w:sz w:val="22"/>
        </w:rPr>
        <w:t xml:space="preserve"> </w:t>
      </w:r>
    </w:p>
    <w:tbl>
      <w:tblPr>
        <w:tblW w:w="16160" w:type="dxa"/>
        <w:tblInd w:w="-856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850"/>
        <w:gridCol w:w="1985"/>
        <w:gridCol w:w="1134"/>
        <w:gridCol w:w="2268"/>
        <w:gridCol w:w="992"/>
        <w:gridCol w:w="2693"/>
        <w:gridCol w:w="4961"/>
      </w:tblGrid>
      <w:tr w:rsidR="006E481B" w:rsidRPr="00B175FB" w:rsidTr="00F6239D">
        <w:trPr>
          <w:trHeight w:val="911"/>
          <w:tblHeader/>
        </w:trPr>
        <w:tc>
          <w:tcPr>
            <w:tcW w:w="1277" w:type="dxa"/>
            <w:shd w:val="clear" w:color="auto" w:fill="002060"/>
          </w:tcPr>
          <w:p w:rsidR="00FA04D0" w:rsidRPr="00B175FB" w:rsidRDefault="00FA04D0" w:rsidP="00666790">
            <w:pPr>
              <w:pStyle w:val="DAVA"/>
              <w:spacing w:after="120"/>
              <w:rPr>
                <w:rFonts w:ascii="Times New Roman" w:hAnsi="Times New Roman"/>
                <w:b/>
                <w:sz w:val="20"/>
                <w:lang w:val="cs-CZ"/>
              </w:rPr>
            </w:pPr>
            <w:r w:rsidRPr="00B175FB">
              <w:rPr>
                <w:rFonts w:ascii="Times New Roman" w:hAnsi="Times New Roman"/>
                <w:b/>
                <w:sz w:val="20"/>
                <w:lang w:val="cs-CZ"/>
              </w:rPr>
              <w:t>Základní podmínky</w:t>
            </w:r>
          </w:p>
        </w:tc>
        <w:tc>
          <w:tcPr>
            <w:tcW w:w="850" w:type="dxa"/>
            <w:shd w:val="clear" w:color="auto" w:fill="002060"/>
          </w:tcPr>
          <w:p w:rsidR="00FA04D0" w:rsidRPr="00B175FB" w:rsidRDefault="00FA04D0" w:rsidP="00666790">
            <w:pPr>
              <w:pStyle w:val="DAVA"/>
              <w:spacing w:after="120"/>
              <w:rPr>
                <w:rFonts w:ascii="Times New Roman" w:hAnsi="Times New Roman"/>
                <w:b/>
                <w:sz w:val="20"/>
                <w:lang w:val="cs-CZ"/>
              </w:rPr>
            </w:pPr>
            <w:r w:rsidRPr="00B175FB">
              <w:rPr>
                <w:rFonts w:ascii="Times New Roman" w:hAnsi="Times New Roman"/>
                <w:b/>
                <w:sz w:val="20"/>
                <w:lang w:val="cs-CZ"/>
              </w:rPr>
              <w:t>Fond</w:t>
            </w:r>
          </w:p>
        </w:tc>
        <w:tc>
          <w:tcPr>
            <w:tcW w:w="1985" w:type="dxa"/>
            <w:shd w:val="clear" w:color="auto" w:fill="002060"/>
          </w:tcPr>
          <w:p w:rsidR="00FA04D0" w:rsidRPr="00B175FB" w:rsidRDefault="00FA04D0" w:rsidP="00666790">
            <w:pPr>
              <w:pStyle w:val="DAVA"/>
              <w:spacing w:after="120"/>
              <w:rPr>
                <w:rFonts w:ascii="Times New Roman" w:hAnsi="Times New Roman"/>
                <w:b/>
                <w:sz w:val="20"/>
                <w:lang w:val="cs-CZ"/>
              </w:rPr>
            </w:pPr>
            <w:r w:rsidRPr="00B175FB">
              <w:rPr>
                <w:rFonts w:ascii="Times New Roman" w:hAnsi="Times New Roman"/>
                <w:b/>
                <w:sz w:val="20"/>
                <w:lang w:val="cs-CZ"/>
              </w:rPr>
              <w:t>Specifický cíl</w:t>
            </w:r>
          </w:p>
        </w:tc>
        <w:tc>
          <w:tcPr>
            <w:tcW w:w="1134" w:type="dxa"/>
            <w:shd w:val="clear" w:color="auto" w:fill="002060"/>
          </w:tcPr>
          <w:p w:rsidR="00FA04D0" w:rsidRPr="00B175FB" w:rsidRDefault="00FA04D0" w:rsidP="00D4607D">
            <w:pPr>
              <w:pStyle w:val="DAVA"/>
              <w:rPr>
                <w:rFonts w:ascii="Times New Roman" w:hAnsi="Times New Roman"/>
                <w:b/>
                <w:sz w:val="20"/>
                <w:lang w:val="cs-CZ"/>
              </w:rPr>
            </w:pPr>
            <w:r w:rsidRPr="00B175FB">
              <w:rPr>
                <w:rFonts w:ascii="Times New Roman" w:hAnsi="Times New Roman"/>
                <w:b/>
                <w:sz w:val="20"/>
                <w:lang w:val="cs-CZ"/>
              </w:rPr>
              <w:t>Splnění základní podmínky</w:t>
            </w:r>
          </w:p>
        </w:tc>
        <w:tc>
          <w:tcPr>
            <w:tcW w:w="2268" w:type="dxa"/>
            <w:shd w:val="clear" w:color="auto" w:fill="002060"/>
          </w:tcPr>
          <w:p w:rsidR="00FA04D0" w:rsidRPr="00B175FB" w:rsidRDefault="00FA04D0" w:rsidP="00666790">
            <w:pPr>
              <w:pStyle w:val="DAVA"/>
              <w:spacing w:after="120"/>
              <w:rPr>
                <w:rFonts w:ascii="Times New Roman" w:hAnsi="Times New Roman"/>
                <w:b/>
                <w:sz w:val="20"/>
                <w:lang w:val="cs-CZ"/>
              </w:rPr>
            </w:pPr>
            <w:r w:rsidRPr="00B175FB">
              <w:rPr>
                <w:rFonts w:ascii="Times New Roman" w:hAnsi="Times New Roman"/>
                <w:b/>
                <w:sz w:val="20"/>
                <w:lang w:val="cs-CZ"/>
              </w:rPr>
              <w:t>Kritéria</w:t>
            </w:r>
          </w:p>
        </w:tc>
        <w:tc>
          <w:tcPr>
            <w:tcW w:w="992" w:type="dxa"/>
            <w:shd w:val="clear" w:color="auto" w:fill="002060"/>
          </w:tcPr>
          <w:p w:rsidR="00FA04D0" w:rsidRPr="00B175FB" w:rsidRDefault="00FA04D0" w:rsidP="00666790">
            <w:pPr>
              <w:pStyle w:val="DAVA"/>
              <w:spacing w:after="120"/>
              <w:ind w:left="7" w:right="34"/>
              <w:rPr>
                <w:rFonts w:ascii="Times New Roman" w:hAnsi="Times New Roman"/>
                <w:b/>
                <w:sz w:val="20"/>
                <w:lang w:val="cs-CZ"/>
              </w:rPr>
            </w:pPr>
            <w:r w:rsidRPr="00B175FB">
              <w:rPr>
                <w:rFonts w:ascii="Times New Roman" w:hAnsi="Times New Roman"/>
                <w:b/>
                <w:sz w:val="20"/>
                <w:lang w:val="cs-CZ"/>
              </w:rPr>
              <w:t>Plnění kritérií</w:t>
            </w:r>
          </w:p>
        </w:tc>
        <w:tc>
          <w:tcPr>
            <w:tcW w:w="2693" w:type="dxa"/>
            <w:shd w:val="clear" w:color="auto" w:fill="002060"/>
          </w:tcPr>
          <w:p w:rsidR="00FA04D0" w:rsidRPr="00B175FB" w:rsidRDefault="00FA04D0" w:rsidP="00666790">
            <w:pPr>
              <w:pStyle w:val="DAVA"/>
              <w:spacing w:after="120"/>
              <w:rPr>
                <w:rFonts w:ascii="Times New Roman" w:hAnsi="Times New Roman"/>
                <w:b/>
                <w:sz w:val="20"/>
                <w:lang w:val="cs-CZ"/>
              </w:rPr>
            </w:pPr>
            <w:r w:rsidRPr="00B175FB">
              <w:rPr>
                <w:rFonts w:ascii="Times New Roman" w:hAnsi="Times New Roman"/>
                <w:b/>
                <w:sz w:val="20"/>
                <w:lang w:val="cs-CZ"/>
              </w:rPr>
              <w:t>Odkaz na příslušné dokumenty</w:t>
            </w:r>
          </w:p>
        </w:tc>
        <w:tc>
          <w:tcPr>
            <w:tcW w:w="4961" w:type="dxa"/>
            <w:shd w:val="clear" w:color="auto" w:fill="002060"/>
          </w:tcPr>
          <w:p w:rsidR="00FA04D0" w:rsidRPr="00B175FB" w:rsidRDefault="00FA04D0" w:rsidP="00666790">
            <w:pPr>
              <w:pStyle w:val="DAVA"/>
              <w:spacing w:after="120"/>
              <w:rPr>
                <w:rFonts w:ascii="Times New Roman" w:hAnsi="Times New Roman"/>
                <w:b/>
                <w:sz w:val="20"/>
                <w:lang w:val="cs-CZ"/>
              </w:rPr>
            </w:pPr>
            <w:r w:rsidRPr="00B175FB">
              <w:rPr>
                <w:rFonts w:ascii="Times New Roman" w:hAnsi="Times New Roman"/>
                <w:b/>
                <w:sz w:val="20"/>
                <w:lang w:val="cs-CZ"/>
              </w:rPr>
              <w:t>Odůvodnění</w:t>
            </w:r>
          </w:p>
        </w:tc>
      </w:tr>
      <w:tr w:rsidR="00A51D23" w:rsidRPr="00B175FB" w:rsidTr="00F6239D">
        <w:tc>
          <w:tcPr>
            <w:tcW w:w="1277" w:type="dxa"/>
            <w:vMerge w:val="restart"/>
            <w:shd w:val="clear" w:color="auto" w:fill="auto"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  <w:r w:rsidRPr="00B175FB">
              <w:rPr>
                <w:rFonts w:ascii="Times New Roman" w:hAnsi="Times New Roman"/>
                <w:b/>
                <w:sz w:val="18"/>
                <w:szCs w:val="18"/>
                <w:lang w:val="cs-CZ"/>
              </w:rPr>
              <w:t>(1) Účinné mechanismy monitorování trhu s</w:t>
            </w:r>
            <w:r w:rsidR="00FE6F9D">
              <w:rPr>
                <w:rFonts w:ascii="Times New Roman" w:hAnsi="Times New Roman"/>
                <w:b/>
                <w:sz w:val="18"/>
                <w:szCs w:val="18"/>
                <w:lang w:val="cs-CZ"/>
              </w:rPr>
              <w:t> </w:t>
            </w:r>
            <w:r w:rsidRPr="00B175FB">
              <w:rPr>
                <w:rFonts w:ascii="Times New Roman" w:hAnsi="Times New Roman"/>
                <w:b/>
                <w:sz w:val="18"/>
                <w:szCs w:val="18"/>
                <w:lang w:val="cs-CZ"/>
              </w:rPr>
              <w:t>veřejnými zakázkami</w:t>
            </w:r>
          </w:p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</w:p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</w:p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</w:p>
        </w:tc>
        <w:tc>
          <w:tcPr>
            <w:tcW w:w="850" w:type="dxa"/>
            <w:vMerge w:val="restart"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Všechny fondy</w:t>
            </w:r>
          </w:p>
        </w:tc>
        <w:tc>
          <w:tcPr>
            <w:tcW w:w="1985" w:type="dxa"/>
            <w:vMerge w:val="restart"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Všechny specifické cíle</w:t>
            </w:r>
          </w:p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ANO</w:t>
            </w:r>
          </w:p>
        </w:tc>
        <w:tc>
          <w:tcPr>
            <w:tcW w:w="2268" w:type="dxa"/>
            <w:shd w:val="clear" w:color="auto" w:fill="auto"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Jsou zavedeny mechanismy monitorování, které se vztahují na zadávání všech veřejných zakázek v rámci fondů v souladu s právními předpisy EU v oblasti zadávání zakázek. Tento požadavek zahrnuje:</w:t>
            </w:r>
          </w:p>
        </w:tc>
        <w:tc>
          <w:tcPr>
            <w:tcW w:w="992" w:type="dxa"/>
            <w:shd w:val="clear" w:color="auto" w:fill="auto"/>
          </w:tcPr>
          <w:p w:rsidR="00A51D23" w:rsidRPr="00A51D23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>ANO</w:t>
            </w:r>
          </w:p>
        </w:tc>
        <w:tc>
          <w:tcPr>
            <w:tcW w:w="2693" w:type="dxa"/>
            <w:shd w:val="clear" w:color="auto" w:fill="auto"/>
          </w:tcPr>
          <w:p w:rsidR="00A51D23" w:rsidRPr="00A51D23" w:rsidRDefault="00A51D23" w:rsidP="00A51D23">
            <w:pPr>
              <w:pStyle w:val="DAVA"/>
              <w:spacing w:after="120"/>
              <w:rPr>
                <w:rFonts w:ascii="Times New Roman" w:hAnsi="Times New Roman"/>
                <w:i/>
                <w:sz w:val="18"/>
                <w:szCs w:val="18"/>
                <w:lang w:val="cs-CZ"/>
              </w:rPr>
            </w:pPr>
          </w:p>
        </w:tc>
        <w:tc>
          <w:tcPr>
            <w:tcW w:w="4961" w:type="dxa"/>
            <w:shd w:val="clear" w:color="auto" w:fill="auto"/>
          </w:tcPr>
          <w:p w:rsidR="00A51D23" w:rsidRPr="00A51D23" w:rsidRDefault="00A51D23" w:rsidP="00A51D23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</w:tr>
      <w:tr w:rsidR="00A51D23" w:rsidRPr="00B175FB" w:rsidTr="00F6239D">
        <w:tc>
          <w:tcPr>
            <w:tcW w:w="1277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</w:p>
        </w:tc>
        <w:tc>
          <w:tcPr>
            <w:tcW w:w="850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</w:p>
        </w:tc>
        <w:tc>
          <w:tcPr>
            <w:tcW w:w="1985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</w:p>
        </w:tc>
        <w:tc>
          <w:tcPr>
            <w:tcW w:w="1134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</w:p>
        </w:tc>
        <w:tc>
          <w:tcPr>
            <w:tcW w:w="2268" w:type="dxa"/>
            <w:shd w:val="clear" w:color="auto" w:fill="auto"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1. Opatření k z</w:t>
            </w:r>
            <w:r>
              <w:rPr>
                <w:rFonts w:ascii="Times New Roman" w:hAnsi="Times New Roman"/>
                <w:sz w:val="18"/>
                <w:szCs w:val="18"/>
                <w:lang w:val="cs-CZ"/>
              </w:rPr>
              <w:t>ajištění sestavování účinných a spolehlivých údajů o </w:t>
            </w: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postupech zadávání veřejných zakázek nad prahovými hodnotami EU v souladu s oznamovací povinností podle čl. 83 a 84 směrnice 2014/24/EU a čl. 99 a 100 směrnice 2014/25/EU.</w:t>
            </w:r>
          </w:p>
        </w:tc>
        <w:tc>
          <w:tcPr>
            <w:tcW w:w="992" w:type="dxa"/>
            <w:shd w:val="clear" w:color="auto" w:fill="auto"/>
          </w:tcPr>
          <w:p w:rsidR="00A51D23" w:rsidRPr="00A51D23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>ANO</w:t>
            </w:r>
          </w:p>
        </w:tc>
        <w:tc>
          <w:tcPr>
            <w:tcW w:w="2693" w:type="dxa"/>
            <w:shd w:val="clear" w:color="auto" w:fill="auto"/>
          </w:tcPr>
          <w:p w:rsidR="00A51D23" w:rsidRPr="00A51D23" w:rsidRDefault="00D05954" w:rsidP="00A51D23">
            <w:pPr>
              <w:pStyle w:val="DAVA"/>
              <w:spacing w:after="120"/>
              <w:rPr>
                <w:rStyle w:val="Hypertextovodkaz"/>
                <w:rFonts w:ascii="Times New Roman" w:hAnsi="Times New Roman"/>
                <w:sz w:val="18"/>
                <w:szCs w:val="18"/>
                <w:lang w:val="cs-CZ"/>
              </w:rPr>
            </w:pPr>
            <w:hyperlink r:id="rId15" w:history="1">
              <w:r w:rsidR="00A51D23" w:rsidRPr="00A51D23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https://www.vestnikverejnychzakazek.cz/</w:t>
              </w:r>
            </w:hyperlink>
          </w:p>
          <w:p w:rsidR="00A51D23" w:rsidRPr="00A51D23" w:rsidRDefault="00D05954" w:rsidP="00A51D23">
            <w:pPr>
              <w:pStyle w:val="DAVA"/>
              <w:spacing w:after="120"/>
              <w:rPr>
                <w:rStyle w:val="Hypertextovodkaz"/>
                <w:rFonts w:ascii="Times New Roman" w:hAnsi="Times New Roman"/>
                <w:sz w:val="18"/>
                <w:szCs w:val="18"/>
                <w:lang w:val="cs-CZ"/>
              </w:rPr>
            </w:pPr>
            <w:hyperlink r:id="rId16" w:history="1">
              <w:r w:rsidR="00A51D23" w:rsidRPr="00A51D23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www.isvz.cz</w:t>
              </w:r>
            </w:hyperlink>
          </w:p>
          <w:p w:rsidR="00A51D23" w:rsidRPr="00A51D23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A51D23">
              <w:rPr>
                <w:rStyle w:val="Hypertextovodkaz"/>
                <w:rFonts w:ascii="Times New Roman" w:hAnsi="Times New Roman"/>
                <w:sz w:val="18"/>
                <w:szCs w:val="18"/>
                <w:lang w:val="cs-CZ"/>
              </w:rPr>
              <w:t>www.portal-vz.cz</w:t>
            </w:r>
          </w:p>
        </w:tc>
        <w:tc>
          <w:tcPr>
            <w:tcW w:w="4961" w:type="dxa"/>
            <w:shd w:val="clear" w:color="auto" w:fill="auto"/>
          </w:tcPr>
          <w:p w:rsidR="00A51D23" w:rsidRPr="00A51D23" w:rsidRDefault="00A51D23" w:rsidP="00A51D23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>Splněno, veškeré informace o zakázkách zadávaných v režimu ZZVZ jsou uvedeny v Informačním systému o veřejných zakázkách (ISVZ).</w:t>
            </w:r>
          </w:p>
          <w:p w:rsidR="00A51D23" w:rsidRPr="00A51D23" w:rsidRDefault="00A51D23" w:rsidP="00A51D23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>Zavést zásadu „pouze jednou“ – IS NIPEZ jsou napojeny na základní registry MVČR. Vedle toho existuje propojení NEN a</w:t>
            </w:r>
            <w:r>
              <w:rPr>
                <w:rFonts w:ascii="Times New Roman" w:hAnsi="Times New Roman"/>
                <w:sz w:val="18"/>
                <w:szCs w:val="18"/>
                <w:lang w:val="cs-CZ"/>
              </w:rPr>
              <w:t> </w:t>
            </w: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>ostatních IEN na Věstník veřejných zakázek. Na úrovni MMR je tak zajištěna maximální možná práce s principem „pouze jednou“.</w:t>
            </w:r>
          </w:p>
          <w:p w:rsidR="00A51D23" w:rsidRPr="00A51D23" w:rsidRDefault="00A51D23" w:rsidP="00A51D23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>Článek 84 - tyto údaje jsou uvedeny v písemné zprávě zadavatele, kterou zadavatel povinně uveřejní do 30 dní od ukončení zadávacího řízení podle § 217 zákona č. 134/2016 Sb., o zadávání veřejných zakázek, na profilu zadavatele. Profil zadavatele každého zadavatele je uveden ve věstníku veřejných zakázek.</w:t>
            </w:r>
          </w:p>
          <w:p w:rsidR="00A51D23" w:rsidRPr="00A51D23" w:rsidRDefault="00A51D23" w:rsidP="00A51D23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 xml:space="preserve">Článek 83, odst. 3 – splněno existencí a správou webové stránky </w:t>
            </w:r>
            <w:hyperlink r:id="rId17" w:history="1">
              <w:r w:rsidRPr="00A51D23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www.portal-vz.cz</w:t>
              </w:r>
            </w:hyperlink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>. Zde je uveřejněna veškerá legislativa, metodiky, výkladová stanoviska.</w:t>
            </w:r>
          </w:p>
        </w:tc>
      </w:tr>
      <w:tr w:rsidR="00A51D23" w:rsidRPr="00B175FB" w:rsidTr="00F6239D">
        <w:trPr>
          <w:trHeight w:val="1264"/>
        </w:trPr>
        <w:tc>
          <w:tcPr>
            <w:tcW w:w="1277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</w:p>
        </w:tc>
        <w:tc>
          <w:tcPr>
            <w:tcW w:w="850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</w:p>
        </w:tc>
        <w:tc>
          <w:tcPr>
            <w:tcW w:w="1985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</w:p>
        </w:tc>
        <w:tc>
          <w:tcPr>
            <w:tcW w:w="1134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</w:p>
        </w:tc>
        <w:tc>
          <w:tcPr>
            <w:tcW w:w="2268" w:type="dxa"/>
            <w:shd w:val="clear" w:color="auto" w:fill="auto"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2. Opatření k zajištění dat zahrnujících alespoň následující prvky:</w:t>
            </w:r>
          </w:p>
        </w:tc>
        <w:tc>
          <w:tcPr>
            <w:tcW w:w="992" w:type="dxa"/>
            <w:shd w:val="clear" w:color="auto" w:fill="auto"/>
          </w:tcPr>
          <w:p w:rsidR="00A51D23" w:rsidRPr="00A51D23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>ANO</w:t>
            </w:r>
          </w:p>
        </w:tc>
        <w:tc>
          <w:tcPr>
            <w:tcW w:w="2693" w:type="dxa"/>
            <w:shd w:val="clear" w:color="auto" w:fill="auto"/>
          </w:tcPr>
          <w:p w:rsidR="00A51D23" w:rsidRPr="00A51D23" w:rsidRDefault="00D05954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18" w:history="1">
              <w:r w:rsidR="00A51D23" w:rsidRPr="00A51D23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https://www.vestnikverejnychzakazek.cz/</w:t>
              </w:r>
            </w:hyperlink>
          </w:p>
          <w:p w:rsidR="00A51D23" w:rsidRPr="00A51D23" w:rsidRDefault="00D05954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19" w:history="1">
              <w:r w:rsidR="00A51D23" w:rsidRPr="00A51D23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https://smlouvy.gov.cz/</w:t>
              </w:r>
            </w:hyperlink>
          </w:p>
          <w:p w:rsidR="00A51D23" w:rsidRPr="00A51D23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A51D23">
              <w:rPr>
                <w:rStyle w:val="Hypertextovodkaz"/>
                <w:rFonts w:ascii="Times New Roman" w:hAnsi="Times New Roman"/>
                <w:sz w:val="18"/>
                <w:szCs w:val="18"/>
                <w:lang w:val="cs-CZ"/>
              </w:rPr>
              <w:t>www.isvz.cz</w:t>
            </w:r>
          </w:p>
        </w:tc>
        <w:tc>
          <w:tcPr>
            <w:tcW w:w="4961" w:type="dxa"/>
            <w:shd w:val="clear" w:color="auto" w:fill="auto"/>
          </w:tcPr>
          <w:p w:rsidR="00A51D23" w:rsidRPr="00A51D23" w:rsidRDefault="00A51D23" w:rsidP="00A51D23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</w:tr>
      <w:tr w:rsidR="00A51D23" w:rsidRPr="00B175FB" w:rsidTr="00F6239D">
        <w:tc>
          <w:tcPr>
            <w:tcW w:w="1277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</w:p>
        </w:tc>
        <w:tc>
          <w:tcPr>
            <w:tcW w:w="850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</w:p>
        </w:tc>
        <w:tc>
          <w:tcPr>
            <w:tcW w:w="1985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</w:p>
        </w:tc>
        <w:tc>
          <w:tcPr>
            <w:tcW w:w="1134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</w:p>
        </w:tc>
        <w:tc>
          <w:tcPr>
            <w:tcW w:w="2268" w:type="dxa"/>
            <w:shd w:val="clear" w:color="auto" w:fill="auto"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a. Kvalita a intenzita hospodářské soutěže: názvy vítězných uchaz</w:t>
            </w:r>
            <w:r>
              <w:rPr>
                <w:rFonts w:ascii="Times New Roman" w:hAnsi="Times New Roman"/>
                <w:sz w:val="18"/>
                <w:szCs w:val="18"/>
                <w:lang w:val="cs-CZ"/>
              </w:rPr>
              <w:t>ečů, počet původních uchazečů a </w:t>
            </w: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smluvní hodnota</w:t>
            </w:r>
          </w:p>
        </w:tc>
        <w:tc>
          <w:tcPr>
            <w:tcW w:w="992" w:type="dxa"/>
            <w:shd w:val="clear" w:color="auto" w:fill="auto"/>
          </w:tcPr>
          <w:p w:rsidR="00A51D23" w:rsidRPr="00A51D23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>ANO</w:t>
            </w:r>
          </w:p>
        </w:tc>
        <w:tc>
          <w:tcPr>
            <w:tcW w:w="2693" w:type="dxa"/>
            <w:shd w:val="clear" w:color="auto" w:fill="auto"/>
          </w:tcPr>
          <w:p w:rsidR="00A51D23" w:rsidRPr="00A51D23" w:rsidRDefault="00D05954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20" w:history="1">
              <w:r w:rsidR="00A51D23" w:rsidRPr="00A51D23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https://www.vestnikverejnychzakazek.cz/</w:t>
              </w:r>
            </w:hyperlink>
          </w:p>
          <w:p w:rsidR="00A51D23" w:rsidRPr="00A51D23" w:rsidRDefault="00D05954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21" w:history="1">
              <w:r w:rsidR="00A51D23" w:rsidRPr="00A51D23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https://smlouvy.gov.cz/</w:t>
              </w:r>
            </w:hyperlink>
          </w:p>
          <w:p w:rsidR="00A51D23" w:rsidRPr="00A51D23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A51D23">
              <w:rPr>
                <w:rStyle w:val="Hypertextovodkaz"/>
                <w:rFonts w:ascii="Times New Roman" w:hAnsi="Times New Roman"/>
                <w:sz w:val="18"/>
                <w:szCs w:val="18"/>
                <w:lang w:val="cs-CZ"/>
              </w:rPr>
              <w:t>www.isvz.cz</w:t>
            </w:r>
          </w:p>
        </w:tc>
        <w:tc>
          <w:tcPr>
            <w:tcW w:w="4961" w:type="dxa"/>
            <w:shd w:val="clear" w:color="auto" w:fill="auto"/>
          </w:tcPr>
          <w:p w:rsidR="00A51D23" w:rsidRPr="00A51D23" w:rsidRDefault="00A51D23" w:rsidP="00A51D23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 xml:space="preserve">Splněno: </w:t>
            </w:r>
          </w:p>
          <w:p w:rsidR="00A51D23" w:rsidRPr="00A51D23" w:rsidRDefault="00A51D23" w:rsidP="00A51D23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A51D23">
              <w:rPr>
                <w:rFonts w:ascii="Times New Roman" w:hAnsi="Times New Roman"/>
                <w:b/>
                <w:sz w:val="18"/>
                <w:szCs w:val="18"/>
                <w:lang w:val="cs-CZ"/>
              </w:rPr>
              <w:t xml:space="preserve">Věstník veřejných zakázek- </w:t>
            </w:r>
          </w:p>
          <w:p w:rsidR="00A51D23" w:rsidRPr="00A51D23" w:rsidRDefault="00A51D23" w:rsidP="00A51D23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 xml:space="preserve">Informace o vítězném dodavateli/uchazeči včetně vysoutěžené ceny jsou přímo dohledatelné na jednom místě – ve Věstníku veřejných zakázek a Informačním systému o veřejných zakázkách. </w:t>
            </w:r>
          </w:p>
          <w:p w:rsidR="00A51D23" w:rsidRPr="00A51D23" w:rsidRDefault="00A51D23" w:rsidP="00A51D23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 xml:space="preserve">Informace o všech podaných nabídkách, včetně jména ekonomického subjektu a nabídkové ceny jsou uvedeny na profilech konkrétních zadavatelů, jejichž seznam je dohledatelný na jednom místě, a to opět ve Věstníku veřejných zakázek. </w:t>
            </w:r>
          </w:p>
          <w:p w:rsidR="00A51D23" w:rsidRPr="00A51D23" w:rsidRDefault="00A51D23" w:rsidP="00A51D23">
            <w:pPr>
              <w:pStyle w:val="DAVA"/>
              <w:spacing w:after="120"/>
              <w:jc w:val="both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  <w:r w:rsidRPr="00A51D23">
              <w:rPr>
                <w:rFonts w:ascii="Times New Roman" w:hAnsi="Times New Roman"/>
                <w:b/>
                <w:sz w:val="18"/>
                <w:szCs w:val="18"/>
                <w:lang w:val="cs-CZ"/>
              </w:rPr>
              <w:t>Registr smluv</w:t>
            </w:r>
          </w:p>
          <w:p w:rsidR="00A51D23" w:rsidRPr="00A51D23" w:rsidRDefault="00A51D23" w:rsidP="00A51D23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>Seznam všech smluv uzavřených mimo ZZVZ (výjimky) s</w:t>
            </w:r>
            <w:r>
              <w:rPr>
                <w:rFonts w:ascii="Times New Roman" w:hAnsi="Times New Roman"/>
                <w:sz w:val="18"/>
                <w:szCs w:val="18"/>
                <w:lang w:val="cs-CZ"/>
              </w:rPr>
              <w:t> </w:t>
            </w: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>uvedením konkrétního použitého ustanovení ZZVZ = smlouvy nad 50 000 Kč se musí uveřejňovat v registru smluv, tzn. i ty smlouvy, co jsou zadané na některou z výjimek ZZVZ, což jsou veškeré smlouvy nad prahovými hodnotami směrnic. Nalezneme zde např. tyto informace:</w:t>
            </w:r>
          </w:p>
          <w:p w:rsidR="00A51D23" w:rsidRPr="00A51D23" w:rsidRDefault="00A51D23" w:rsidP="00A51D23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>-identifikace vítězného dodavatele</w:t>
            </w:r>
          </w:p>
          <w:p w:rsidR="00A51D23" w:rsidRPr="00A51D23" w:rsidRDefault="00A51D23" w:rsidP="00A51D23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>-cena s DPH, cena bez DPH</w:t>
            </w:r>
          </w:p>
          <w:p w:rsidR="00A51D23" w:rsidRPr="00A51D23" w:rsidRDefault="00A51D23" w:rsidP="00A51D23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>-datum uzavření smlouvy</w:t>
            </w:r>
          </w:p>
        </w:tc>
      </w:tr>
      <w:tr w:rsidR="00A51D23" w:rsidRPr="00B175FB" w:rsidTr="00F6239D">
        <w:tc>
          <w:tcPr>
            <w:tcW w:w="1277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</w:p>
        </w:tc>
        <w:tc>
          <w:tcPr>
            <w:tcW w:w="850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</w:p>
        </w:tc>
        <w:tc>
          <w:tcPr>
            <w:tcW w:w="1985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</w:p>
        </w:tc>
        <w:tc>
          <w:tcPr>
            <w:tcW w:w="1134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</w:p>
        </w:tc>
        <w:tc>
          <w:tcPr>
            <w:tcW w:w="2268" w:type="dxa"/>
            <w:shd w:val="clear" w:color="auto" w:fill="auto"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b. Informace o konečné ceně po dokončení a účasti malých a středních podniků jako přímých uchazečů, poskytují-li vnitrostátní systémy takové informace.</w:t>
            </w:r>
          </w:p>
        </w:tc>
        <w:tc>
          <w:tcPr>
            <w:tcW w:w="992" w:type="dxa"/>
            <w:shd w:val="clear" w:color="auto" w:fill="auto"/>
          </w:tcPr>
          <w:p w:rsidR="00A51D23" w:rsidRPr="00A51D23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>ANO</w:t>
            </w:r>
          </w:p>
        </w:tc>
        <w:tc>
          <w:tcPr>
            <w:tcW w:w="2693" w:type="dxa"/>
            <w:shd w:val="clear" w:color="auto" w:fill="auto"/>
          </w:tcPr>
          <w:p w:rsidR="00A51D23" w:rsidRPr="00A51D23" w:rsidRDefault="00D05954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22" w:history="1">
              <w:r w:rsidR="00A51D23" w:rsidRPr="00A51D23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https://www.vestnikverejnychzakazek.cz/</w:t>
              </w:r>
            </w:hyperlink>
          </w:p>
        </w:tc>
        <w:tc>
          <w:tcPr>
            <w:tcW w:w="4961" w:type="dxa"/>
            <w:shd w:val="clear" w:color="auto" w:fill="auto"/>
          </w:tcPr>
          <w:p w:rsidR="00A51D23" w:rsidRPr="00A51D23" w:rsidRDefault="00A51D23" w:rsidP="00A51D23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>Tyto informace jsou součástí Oznámení o výsledku zadávacího řízení v části V.2.2 a V.2.3 ve Věstníku veřejných zakázek.</w:t>
            </w:r>
          </w:p>
        </w:tc>
      </w:tr>
      <w:tr w:rsidR="00A51D23" w:rsidRPr="00B175FB" w:rsidTr="00F6239D">
        <w:tc>
          <w:tcPr>
            <w:tcW w:w="1277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</w:p>
        </w:tc>
        <w:tc>
          <w:tcPr>
            <w:tcW w:w="850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</w:p>
        </w:tc>
        <w:tc>
          <w:tcPr>
            <w:tcW w:w="1985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</w:p>
        </w:tc>
        <w:tc>
          <w:tcPr>
            <w:tcW w:w="1134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</w:p>
        </w:tc>
        <w:tc>
          <w:tcPr>
            <w:tcW w:w="2268" w:type="dxa"/>
            <w:shd w:val="clear" w:color="auto" w:fill="auto"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3. Opatření k zajištění monitorování a analýzy údajů příslušnými vnitrostátními orgány v souladu s článke</w:t>
            </w:r>
            <w:r>
              <w:rPr>
                <w:rFonts w:ascii="Times New Roman" w:hAnsi="Times New Roman"/>
                <w:sz w:val="18"/>
                <w:szCs w:val="18"/>
                <w:lang w:val="cs-CZ"/>
              </w:rPr>
              <w:t>m 83(2) směrnice 2014/24/EU a s </w:t>
            </w: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článkem 99(2) směrnice 2014/25/EU.</w:t>
            </w:r>
          </w:p>
        </w:tc>
        <w:tc>
          <w:tcPr>
            <w:tcW w:w="992" w:type="dxa"/>
            <w:shd w:val="clear" w:color="auto" w:fill="auto"/>
          </w:tcPr>
          <w:p w:rsidR="00A51D23" w:rsidRPr="00A51D23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>ANO</w:t>
            </w:r>
          </w:p>
        </w:tc>
        <w:tc>
          <w:tcPr>
            <w:tcW w:w="2693" w:type="dxa"/>
            <w:shd w:val="clear" w:color="auto" w:fill="auto"/>
          </w:tcPr>
          <w:p w:rsidR="00A51D23" w:rsidRPr="00A51D23" w:rsidRDefault="00D05954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23" w:history="1">
              <w:r w:rsidR="00A51D23" w:rsidRPr="00A51D23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http://www.portal-vz.cz/cs/Spoluprace-a-vymena-informaci/Vyrocni-zpravy-a-souhrnne-udaje-o-verejnych-zakazk/Vyrocni-zpravy-o-stavu-verejnych-zakazek</w:t>
              </w:r>
            </w:hyperlink>
          </w:p>
        </w:tc>
        <w:tc>
          <w:tcPr>
            <w:tcW w:w="4961" w:type="dxa"/>
            <w:shd w:val="clear" w:color="auto" w:fill="auto"/>
          </w:tcPr>
          <w:p w:rsidR="00A51D23" w:rsidRPr="00A51D23" w:rsidRDefault="00A51D23" w:rsidP="00A51D23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>Monitorování a analýza údajů o VZ je prováděna ONEUIS a</w:t>
            </w:r>
            <w:r>
              <w:rPr>
                <w:rFonts w:ascii="Times New Roman" w:hAnsi="Times New Roman"/>
                <w:sz w:val="18"/>
                <w:szCs w:val="18"/>
                <w:lang w:val="cs-CZ"/>
              </w:rPr>
              <w:t> </w:t>
            </w: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>každoročně uveřejňována v rámci Výroční zprávy o VZ.</w:t>
            </w:r>
          </w:p>
        </w:tc>
      </w:tr>
      <w:tr w:rsidR="00A51D23" w:rsidRPr="00B175FB" w:rsidTr="00F6239D">
        <w:tc>
          <w:tcPr>
            <w:tcW w:w="1277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</w:p>
        </w:tc>
        <w:tc>
          <w:tcPr>
            <w:tcW w:w="850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</w:p>
        </w:tc>
        <w:tc>
          <w:tcPr>
            <w:tcW w:w="1985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</w:p>
        </w:tc>
        <w:tc>
          <w:tcPr>
            <w:tcW w:w="1134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</w:p>
        </w:tc>
        <w:tc>
          <w:tcPr>
            <w:tcW w:w="2268" w:type="dxa"/>
            <w:shd w:val="clear" w:color="auto" w:fill="auto"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4. Opatření zajišťující dostupnost výsledků analýzy pro veřejnost v souladu s článke</w:t>
            </w:r>
            <w:r>
              <w:rPr>
                <w:rFonts w:ascii="Times New Roman" w:hAnsi="Times New Roman"/>
                <w:sz w:val="18"/>
                <w:szCs w:val="18"/>
                <w:lang w:val="cs-CZ"/>
              </w:rPr>
              <w:t>m 83(3) směrnice 2014/24/EU a s </w:t>
            </w: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článkem 99(3) směrnice 2014/25/EU.</w:t>
            </w:r>
          </w:p>
        </w:tc>
        <w:tc>
          <w:tcPr>
            <w:tcW w:w="992" w:type="dxa"/>
            <w:shd w:val="clear" w:color="auto" w:fill="auto"/>
          </w:tcPr>
          <w:p w:rsidR="00A51D23" w:rsidRPr="00A51D23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>ANO</w:t>
            </w:r>
          </w:p>
        </w:tc>
        <w:tc>
          <w:tcPr>
            <w:tcW w:w="2693" w:type="dxa"/>
            <w:shd w:val="clear" w:color="auto" w:fill="auto"/>
          </w:tcPr>
          <w:p w:rsidR="00A51D23" w:rsidRPr="00A51D23" w:rsidRDefault="00D05954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24" w:history="1">
              <w:r w:rsidR="00A51D23" w:rsidRPr="00A51D23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www.isvz.cz</w:t>
              </w:r>
            </w:hyperlink>
            <w:r w:rsidR="00A51D23" w:rsidRPr="00A51D23">
              <w:rPr>
                <w:rFonts w:ascii="Times New Roman" w:hAnsi="Times New Roman"/>
                <w:sz w:val="18"/>
                <w:szCs w:val="18"/>
                <w:lang w:val="cs-CZ"/>
              </w:rPr>
              <w:t xml:space="preserve"> </w:t>
            </w:r>
          </w:p>
          <w:p w:rsidR="00A51D23" w:rsidRPr="00A51D23" w:rsidRDefault="00D05954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25" w:history="1">
              <w:r w:rsidR="00A51D23" w:rsidRPr="00A51D23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https://www.isvz.cz/ISVZ/Podpora/ISVZ_open_data_vz.aspx</w:t>
              </w:r>
            </w:hyperlink>
          </w:p>
        </w:tc>
        <w:tc>
          <w:tcPr>
            <w:tcW w:w="4961" w:type="dxa"/>
            <w:shd w:val="clear" w:color="auto" w:fill="auto"/>
          </w:tcPr>
          <w:p w:rsidR="00A51D23" w:rsidRPr="00A51D23" w:rsidRDefault="00A51D23" w:rsidP="00A51D23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 xml:space="preserve">ONEUIS/MMR poskytuje ze zákona OpenData na veřejné zakázky. Tato jsou poskytována prostřednictvím Informačního systému o veřejných zakázkách, tak Národního katalogu otevřených dat (NKOD). </w:t>
            </w:r>
          </w:p>
          <w:p w:rsidR="00A51D23" w:rsidRPr="00A51D23" w:rsidRDefault="00A51D23" w:rsidP="00A51D23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>Data jsou poskytována v několika formátech, aby byla zajištěna vyšší uživatelská přívětivost (xlsx, XML, csv).</w:t>
            </w:r>
          </w:p>
        </w:tc>
      </w:tr>
      <w:tr w:rsidR="00A51D23" w:rsidRPr="00B175FB" w:rsidTr="00F6239D">
        <w:tc>
          <w:tcPr>
            <w:tcW w:w="1277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</w:p>
        </w:tc>
        <w:tc>
          <w:tcPr>
            <w:tcW w:w="850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</w:p>
        </w:tc>
        <w:tc>
          <w:tcPr>
            <w:tcW w:w="1985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</w:p>
        </w:tc>
        <w:tc>
          <w:tcPr>
            <w:tcW w:w="1134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</w:p>
        </w:tc>
        <w:tc>
          <w:tcPr>
            <w:tcW w:w="2268" w:type="dxa"/>
            <w:shd w:val="clear" w:color="auto" w:fill="auto"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5. Opatření zajišťující, aby veškeré informace poukazující na podezření z kartelové dohody mezi uchazeči o veřejnou zakázku byly sdělovány příslušným vnitrostátním orgánům v souladu s článkem 83(2) směrnice 2014/24/EU a s článkem 99(2) směrnice 2014/25/EU.</w:t>
            </w:r>
          </w:p>
        </w:tc>
        <w:tc>
          <w:tcPr>
            <w:tcW w:w="992" w:type="dxa"/>
            <w:shd w:val="clear" w:color="auto" w:fill="auto"/>
          </w:tcPr>
          <w:p w:rsidR="00A51D23" w:rsidRPr="00A51D23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>ANO</w:t>
            </w:r>
          </w:p>
        </w:tc>
        <w:tc>
          <w:tcPr>
            <w:tcW w:w="2693" w:type="dxa"/>
            <w:shd w:val="clear" w:color="auto" w:fill="auto"/>
          </w:tcPr>
          <w:p w:rsidR="00A51D23" w:rsidRPr="00A51D23" w:rsidRDefault="00D05954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26" w:history="1">
              <w:r w:rsidR="00A51D23" w:rsidRPr="00A51D23">
                <w:rPr>
                  <w:rFonts w:ascii="Times New Roman" w:eastAsiaTheme="minorHAnsi" w:hAnsi="Times New Roman"/>
                  <w:color w:val="0000FF"/>
                  <w:sz w:val="18"/>
                  <w:szCs w:val="18"/>
                  <w:u w:val="single"/>
                  <w:lang w:val="cs-CZ" w:eastAsia="en-US"/>
                </w:rPr>
                <w:t>https://portal-vz.cz/wp-content/uploads/2019/12/%C3%9Apln%C3%A9-zn%C4%9Bn%C3%AD-z%C3%A1kona-%C4%8D.-134_2016-Sb.-o-zad%C3%A1v%C3%A1n%C3%AD-ve%C5%99ejn%C3%BDch-zak%C3%A1zek-%C3%BA%C4%8Dinn%C3%A9-od-26.-listopadu-2019.pdf</w:t>
              </w:r>
            </w:hyperlink>
          </w:p>
        </w:tc>
        <w:tc>
          <w:tcPr>
            <w:tcW w:w="4961" w:type="dxa"/>
            <w:shd w:val="clear" w:color="auto" w:fill="auto"/>
          </w:tcPr>
          <w:p w:rsidR="00A51D23" w:rsidRPr="00A51D23" w:rsidRDefault="00A51D23" w:rsidP="00A51D23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>Veškerá podezření jsou sdělována UOHS, případně orgánům činným v trestním řízení dle trestního řádu podle § 8 odst. 1 věta druhá zákona č. 141/1961 Sb., o trestním řízení soudním.</w:t>
            </w:r>
          </w:p>
        </w:tc>
      </w:tr>
      <w:tr w:rsidR="00A51D23" w:rsidRPr="00B175FB" w:rsidTr="00F6239D">
        <w:tc>
          <w:tcPr>
            <w:tcW w:w="1277" w:type="dxa"/>
            <w:vMerge w:val="restart"/>
            <w:shd w:val="clear" w:color="auto" w:fill="auto"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  <w:r w:rsidRPr="00B175FB">
              <w:rPr>
                <w:rFonts w:ascii="Times New Roman" w:hAnsi="Times New Roman"/>
                <w:b/>
                <w:sz w:val="18"/>
                <w:szCs w:val="18"/>
                <w:lang w:val="cs-CZ"/>
              </w:rPr>
              <w:t>(2) Nástroje a</w:t>
            </w:r>
            <w:r w:rsidR="00FE6F9D">
              <w:rPr>
                <w:rFonts w:ascii="Times New Roman" w:hAnsi="Times New Roman"/>
                <w:b/>
                <w:sz w:val="18"/>
                <w:szCs w:val="18"/>
                <w:lang w:val="cs-CZ"/>
              </w:rPr>
              <w:t> </w:t>
            </w:r>
            <w:r w:rsidRPr="00B175FB">
              <w:rPr>
                <w:rFonts w:ascii="Times New Roman" w:hAnsi="Times New Roman"/>
                <w:b/>
                <w:sz w:val="18"/>
                <w:szCs w:val="18"/>
                <w:lang w:val="cs-CZ"/>
              </w:rPr>
              <w:t>kapacita pro účinné uplatňování pravidel státní podpory</w:t>
            </w:r>
          </w:p>
        </w:tc>
        <w:tc>
          <w:tcPr>
            <w:tcW w:w="850" w:type="dxa"/>
            <w:vMerge w:val="restart"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Všechny fondy</w:t>
            </w:r>
          </w:p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1985" w:type="dxa"/>
            <w:vMerge w:val="restart"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Všechny specifické cíle</w:t>
            </w:r>
          </w:p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NE</w:t>
            </w:r>
          </w:p>
        </w:tc>
        <w:tc>
          <w:tcPr>
            <w:tcW w:w="2268" w:type="dxa"/>
            <w:shd w:val="clear" w:color="auto" w:fill="auto"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Řídicí orgány mají nástro</w:t>
            </w:r>
            <w:r>
              <w:rPr>
                <w:rFonts w:ascii="Times New Roman" w:hAnsi="Times New Roman"/>
                <w:sz w:val="18"/>
                <w:szCs w:val="18"/>
                <w:lang w:val="cs-CZ"/>
              </w:rPr>
              <w:t>je a kapacitu ověřovat soulad s </w:t>
            </w: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pravidly státní podpory:</w:t>
            </w:r>
          </w:p>
        </w:tc>
        <w:tc>
          <w:tcPr>
            <w:tcW w:w="992" w:type="dxa"/>
            <w:shd w:val="clear" w:color="auto" w:fill="auto"/>
          </w:tcPr>
          <w:p w:rsidR="00A51D23" w:rsidRPr="00A51D23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>NE</w:t>
            </w:r>
          </w:p>
        </w:tc>
        <w:tc>
          <w:tcPr>
            <w:tcW w:w="2693" w:type="dxa"/>
            <w:shd w:val="clear" w:color="auto" w:fill="auto"/>
          </w:tcPr>
          <w:p w:rsidR="00A51D23" w:rsidRPr="00A51D23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4961" w:type="dxa"/>
            <w:shd w:val="clear" w:color="auto" w:fill="auto"/>
          </w:tcPr>
          <w:p w:rsidR="00A51D23" w:rsidRPr="00A51D23" w:rsidRDefault="00A51D23" w:rsidP="00A51D23">
            <w:pPr>
              <w:pStyle w:val="DAVA"/>
              <w:spacing w:after="120"/>
              <w:ind w:left="6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</w:tr>
      <w:tr w:rsidR="00A51D23" w:rsidRPr="00B175FB" w:rsidTr="00F6239D">
        <w:tc>
          <w:tcPr>
            <w:tcW w:w="1277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</w:p>
        </w:tc>
        <w:tc>
          <w:tcPr>
            <w:tcW w:w="850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1985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1134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2268" w:type="dxa"/>
            <w:shd w:val="clear" w:color="auto" w:fill="auto"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1. V případě podniků v obtížích a podniků, na něž se vztahuje požadavek navrácení podpory.</w:t>
            </w:r>
          </w:p>
        </w:tc>
        <w:tc>
          <w:tcPr>
            <w:tcW w:w="992" w:type="dxa"/>
            <w:shd w:val="clear" w:color="auto" w:fill="auto"/>
          </w:tcPr>
          <w:p w:rsidR="00A51D23" w:rsidRPr="00A51D23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>NE</w:t>
            </w:r>
          </w:p>
        </w:tc>
        <w:tc>
          <w:tcPr>
            <w:tcW w:w="2693" w:type="dxa"/>
            <w:shd w:val="clear" w:color="auto" w:fill="auto"/>
          </w:tcPr>
          <w:p w:rsidR="00A51D23" w:rsidRPr="00A51D23" w:rsidRDefault="00D05954" w:rsidP="00A51D23">
            <w:pPr>
              <w:pStyle w:val="DAVA"/>
              <w:rPr>
                <w:rFonts w:ascii="Times New Roman" w:hAnsi="Times New Roman"/>
                <w:sz w:val="18"/>
                <w:szCs w:val="18"/>
              </w:rPr>
            </w:pPr>
            <w:hyperlink r:id="rId27" w:history="1">
              <w:r w:rsidR="00A51D23" w:rsidRPr="00A51D23">
                <w:rPr>
                  <w:rStyle w:val="Hypertextovodkaz"/>
                  <w:rFonts w:ascii="Times New Roman" w:hAnsi="Times New Roman"/>
                  <w:sz w:val="18"/>
                  <w:szCs w:val="18"/>
                </w:rPr>
                <w:t>https://aplikace.mvcr.cz/sbirka-zakonu/SearchResult.aspx?q=304/2013&amp;typeLaw=zakon&amp;what=Cislo_zakona_smlouvy</w:t>
              </w:r>
            </w:hyperlink>
          </w:p>
          <w:p w:rsidR="00A51D23" w:rsidRPr="00A51D23" w:rsidRDefault="00D05954" w:rsidP="00A51D23">
            <w:pPr>
              <w:pStyle w:val="DAVA"/>
              <w:rPr>
                <w:rFonts w:ascii="Times New Roman" w:hAnsi="Times New Roman"/>
                <w:sz w:val="18"/>
                <w:szCs w:val="18"/>
              </w:rPr>
            </w:pPr>
            <w:hyperlink r:id="rId28" w:history="1">
              <w:r w:rsidR="00A51D23" w:rsidRPr="00A51D23">
                <w:rPr>
                  <w:rStyle w:val="Hypertextovodkaz"/>
                  <w:rFonts w:ascii="Times New Roman" w:hAnsi="Times New Roman"/>
                  <w:sz w:val="18"/>
                  <w:szCs w:val="18"/>
                </w:rPr>
                <w:t>https://or.justice.cz/ias/ui/rejstrik</w:t>
              </w:r>
            </w:hyperlink>
          </w:p>
          <w:p w:rsidR="00A51D23" w:rsidRPr="00A51D23" w:rsidRDefault="00D05954" w:rsidP="00A51D23">
            <w:pPr>
              <w:pStyle w:val="DAVA"/>
              <w:rPr>
                <w:rFonts w:ascii="Times New Roman" w:hAnsi="Times New Roman"/>
                <w:sz w:val="18"/>
                <w:szCs w:val="18"/>
              </w:rPr>
            </w:pPr>
            <w:hyperlink r:id="rId29" w:history="1">
              <w:r w:rsidR="00A51D23" w:rsidRPr="00A51D23">
                <w:rPr>
                  <w:rStyle w:val="Hypertextovodkaz"/>
                  <w:rFonts w:ascii="Times New Roman" w:hAnsi="Times New Roman"/>
                  <w:sz w:val="18"/>
                  <w:szCs w:val="18"/>
                </w:rPr>
                <w:t>http://www.uohs.cz/cs/verejna-podpora/podniky-v-obtizich.html</w:t>
              </w:r>
            </w:hyperlink>
          </w:p>
          <w:p w:rsidR="00A51D23" w:rsidRPr="00A51D23" w:rsidRDefault="00D05954" w:rsidP="00A51D23">
            <w:pPr>
              <w:pStyle w:val="DAVA"/>
              <w:rPr>
                <w:rFonts w:ascii="Times New Roman" w:hAnsi="Times New Roman"/>
                <w:sz w:val="18"/>
                <w:szCs w:val="18"/>
              </w:rPr>
            </w:pPr>
            <w:hyperlink r:id="rId30" w:history="1">
              <w:r w:rsidR="00A51D23" w:rsidRPr="00A51D23">
                <w:rPr>
                  <w:rStyle w:val="Hypertextovodkaz"/>
                  <w:rFonts w:ascii="Times New Roman" w:hAnsi="Times New Roman"/>
                  <w:sz w:val="18"/>
                  <w:szCs w:val="18"/>
                </w:rPr>
                <w:t>http://www.uohs.cz/cs/verejna-podpora/nesplacene-inkasni-prikazy.html</w:t>
              </w:r>
            </w:hyperlink>
          </w:p>
          <w:p w:rsidR="00A51D23" w:rsidRPr="00A51D23" w:rsidRDefault="00D05954" w:rsidP="00A51D23">
            <w:pPr>
              <w:pStyle w:val="DAVA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31" w:history="1">
              <w:r w:rsidR="00A51D23" w:rsidRPr="00A51D23">
                <w:rPr>
                  <w:rStyle w:val="Hypertextovodkaz"/>
                  <w:rFonts w:ascii="Times New Roman" w:hAnsi="Times New Roman"/>
                  <w:sz w:val="18"/>
                  <w:szCs w:val="18"/>
                </w:rPr>
                <w:t>https://www.dotaceeu.cz/cs/Evropske-fondy-v-CR/2014-2020/Dokumenty/Metodicke-dokumenty/Metodicke-doporuceni-pro-oblast-verejne-podpory</w:t>
              </w:r>
            </w:hyperlink>
          </w:p>
        </w:tc>
        <w:tc>
          <w:tcPr>
            <w:tcW w:w="4961" w:type="dxa"/>
            <w:shd w:val="clear" w:color="auto" w:fill="auto"/>
          </w:tcPr>
          <w:p w:rsidR="00A51D23" w:rsidRPr="00A51D23" w:rsidRDefault="00A51D23" w:rsidP="00A51D23">
            <w:pPr>
              <w:pStyle w:val="DAVA"/>
              <w:numPr>
                <w:ilvl w:val="0"/>
                <w:numId w:val="119"/>
              </w:numPr>
              <w:spacing w:before="0" w:after="120"/>
              <w:jc w:val="both"/>
              <w:rPr>
                <w:rFonts w:ascii="Times New Roman" w:hAnsi="Times New Roman"/>
                <w:color w:val="000000"/>
                <w:sz w:val="20"/>
                <w:lang w:val="cs-CZ"/>
              </w:rPr>
            </w:pP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>Nástroje</w:t>
            </w:r>
          </w:p>
          <w:p w:rsidR="00A51D23" w:rsidRPr="00A51D23" w:rsidRDefault="00A51D23" w:rsidP="00A51D23">
            <w:pPr>
              <w:pStyle w:val="DAVA"/>
              <w:spacing w:before="0" w:after="120"/>
              <w:ind w:left="37"/>
              <w:jc w:val="both"/>
              <w:rPr>
                <w:rFonts w:ascii="Times New Roman" w:hAnsi="Times New Roman"/>
                <w:color w:val="000000"/>
                <w:sz w:val="20"/>
                <w:lang w:val="cs-CZ"/>
              </w:rPr>
            </w:pP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 xml:space="preserve">Poskytovatelé mají k dispozici základní, průběžně aktualizovanou a doplňovanou bázi metodických materiálů pro posuzování problematiky podniku v obtížích prostřednictvím informací uvedených zejména na stránce ÚOHS. </w:t>
            </w:r>
          </w:p>
          <w:p w:rsidR="00A51D23" w:rsidRPr="00A51D23" w:rsidRDefault="00A51D23" w:rsidP="00A51D23">
            <w:pPr>
              <w:pStyle w:val="DAVA"/>
              <w:spacing w:before="0"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>Gestor se spolugestory připravili návrh metodického pokynu k ověřování podniku v obtížích včetně výpočtových tabulek.</w:t>
            </w:r>
          </w:p>
          <w:p w:rsidR="00A51D23" w:rsidRPr="00A51D23" w:rsidRDefault="00A51D23" w:rsidP="00A51D23">
            <w:pPr>
              <w:pStyle w:val="DAVA"/>
              <w:spacing w:before="0" w:after="120"/>
              <w:jc w:val="both"/>
              <w:rPr>
                <w:rFonts w:ascii="Times New Roman" w:hAnsi="Times New Roman"/>
                <w:color w:val="00B050"/>
                <w:sz w:val="18"/>
                <w:szCs w:val="18"/>
                <w:lang w:val="cs-CZ"/>
              </w:rPr>
            </w:pP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 xml:space="preserve">Cílový stav pro ŘO/poskytovatele: Poskytnutí metodických vodítek umožňujících v podmínkách každého programu vyhodnocení podniku v obtížích. </w:t>
            </w:r>
          </w:p>
          <w:p w:rsidR="00A51D23" w:rsidRPr="00A51D23" w:rsidRDefault="00A51D23" w:rsidP="00A51D23">
            <w:pPr>
              <w:pStyle w:val="DAVA"/>
              <w:numPr>
                <w:ilvl w:val="0"/>
                <w:numId w:val="118"/>
              </w:numPr>
              <w:spacing w:before="0" w:after="120"/>
              <w:ind w:left="3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 xml:space="preserve">2. Kapacity: </w:t>
            </w:r>
          </w:p>
          <w:p w:rsidR="00A51D23" w:rsidRPr="00A51D23" w:rsidRDefault="00A51D23" w:rsidP="00A51D23">
            <w:pPr>
              <w:pStyle w:val="DAVA"/>
              <w:spacing w:before="0"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>Cílový stav: Zajištění dostatečných kapacit jak u ŘO, gestora a</w:t>
            </w:r>
            <w:r>
              <w:rPr>
                <w:rFonts w:ascii="Times New Roman" w:hAnsi="Times New Roman"/>
                <w:sz w:val="18"/>
                <w:szCs w:val="18"/>
                <w:lang w:val="cs-CZ"/>
              </w:rPr>
              <w:t> </w:t>
            </w: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>spolugestorů tak u AO, aby byla naplněna ZP.</w:t>
            </w:r>
          </w:p>
          <w:p w:rsidR="00A51D23" w:rsidRPr="00A51D23" w:rsidRDefault="00A51D23" w:rsidP="00A51D23">
            <w:pPr>
              <w:pStyle w:val="DAVA"/>
              <w:spacing w:before="0" w:after="12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51D23">
              <w:rPr>
                <w:rFonts w:ascii="Times New Roman" w:hAnsi="Times New Roman"/>
                <w:sz w:val="18"/>
                <w:szCs w:val="18"/>
              </w:rPr>
              <w:t>Průběžné vzdělávání a podpora vyčleněných kapacit na ŘO.</w:t>
            </w:r>
          </w:p>
          <w:p w:rsidR="00A51D23" w:rsidRPr="00A51D23" w:rsidRDefault="00A51D23" w:rsidP="00A51D23">
            <w:pPr>
              <w:pStyle w:val="DAVA"/>
              <w:spacing w:before="0"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>V období říjen</w:t>
            </w:r>
            <w:r w:rsidR="001D19E0">
              <w:rPr>
                <w:rFonts w:ascii="Times New Roman" w:hAnsi="Times New Roman"/>
                <w:sz w:val="18"/>
                <w:szCs w:val="18"/>
                <w:lang w:val="cs-CZ"/>
              </w:rPr>
              <w:t>-</w:t>
            </w:r>
            <w:r>
              <w:rPr>
                <w:rFonts w:ascii="Times New Roman" w:hAnsi="Times New Roman"/>
                <w:sz w:val="18"/>
                <w:szCs w:val="18"/>
                <w:lang w:val="cs-CZ"/>
              </w:rPr>
              <w:t>prosinec</w:t>
            </w: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 xml:space="preserve"> 2020 proběhla první konzultace o</w:t>
            </w:r>
            <w:r>
              <w:rPr>
                <w:rFonts w:ascii="Times New Roman" w:hAnsi="Times New Roman"/>
                <w:sz w:val="18"/>
                <w:szCs w:val="18"/>
                <w:lang w:val="cs-CZ"/>
              </w:rPr>
              <w:t> </w:t>
            </w: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>formátu a obsahu plnění HZP s EK na základě zaslání podkladových materiálů.</w:t>
            </w:r>
          </w:p>
          <w:p w:rsidR="00A51D23" w:rsidRPr="00A51D23" w:rsidRDefault="00A51D23" w:rsidP="00A51D23">
            <w:pPr>
              <w:pStyle w:val="DAVA"/>
              <w:spacing w:before="0"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>V průběhu ledna 2021 budou obdržené připomínky zapracovány do materiálů.</w:t>
            </w:r>
          </w:p>
        </w:tc>
      </w:tr>
      <w:tr w:rsidR="00A51D23" w:rsidRPr="00B175FB" w:rsidTr="00F6239D">
        <w:tc>
          <w:tcPr>
            <w:tcW w:w="1277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</w:p>
        </w:tc>
        <w:tc>
          <w:tcPr>
            <w:tcW w:w="850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1985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1134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2268" w:type="dxa"/>
            <w:shd w:val="clear" w:color="auto" w:fill="auto"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2. Prostřednictvím pří</w:t>
            </w:r>
            <w:r>
              <w:rPr>
                <w:rFonts w:ascii="Times New Roman" w:hAnsi="Times New Roman"/>
                <w:sz w:val="18"/>
                <w:szCs w:val="18"/>
                <w:lang w:val="cs-CZ"/>
              </w:rPr>
              <w:t>stupu k odbornému poradenství a </w:t>
            </w: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pokynům ohledně záležitostí státní podpory poskytnutým odborníky na státní podporu místních nebo národních orgánů.</w:t>
            </w:r>
          </w:p>
        </w:tc>
        <w:tc>
          <w:tcPr>
            <w:tcW w:w="992" w:type="dxa"/>
            <w:shd w:val="clear" w:color="auto" w:fill="auto"/>
          </w:tcPr>
          <w:p w:rsidR="00A51D23" w:rsidRPr="00A51D23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>ANO</w:t>
            </w:r>
          </w:p>
        </w:tc>
        <w:tc>
          <w:tcPr>
            <w:tcW w:w="2693" w:type="dxa"/>
            <w:shd w:val="clear" w:color="auto" w:fill="auto"/>
          </w:tcPr>
          <w:p w:rsidR="00A51D23" w:rsidRPr="00A51D23" w:rsidRDefault="00D05954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32" w:history="1">
              <w:r w:rsidR="00A51D23" w:rsidRPr="00A51D23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https://www.uohs.cz/cs/verejna-podpora.html</w:t>
              </w:r>
            </w:hyperlink>
          </w:p>
          <w:p w:rsidR="00A51D23" w:rsidRPr="00A51D23" w:rsidRDefault="00D05954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33" w:history="1">
              <w:r w:rsidR="00A51D23" w:rsidRPr="00A51D23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https://aplikace.mvcr.cz/sbirka-zakonu/SearchResult.aspx?q=215/2004&amp;typeLaw=zakon&amp;what=Cislo_zakona_smlouvy</w:t>
              </w:r>
            </w:hyperlink>
          </w:p>
          <w:p w:rsidR="00A51D23" w:rsidRPr="00A51D23" w:rsidRDefault="00D05954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34" w:history="1">
              <w:r w:rsidR="00A51D23" w:rsidRPr="00A51D23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https://www.dotaceeu.cz/cs/Evropske-fondy-v-CR/2014-2020/Dokumenty/Metodicke-dokumenty/Metodicke-doporuceni-pro-oblast-verejne-podpory</w:t>
              </w:r>
            </w:hyperlink>
          </w:p>
          <w:p w:rsidR="00A51D23" w:rsidRPr="00A51D23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4961" w:type="dxa"/>
            <w:shd w:val="clear" w:color="auto" w:fill="auto"/>
          </w:tcPr>
          <w:p w:rsidR="00A51D23" w:rsidRPr="00A51D23" w:rsidRDefault="00A51D23" w:rsidP="00A51D23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 xml:space="preserve">1. Nástroje: </w:t>
            </w:r>
          </w:p>
          <w:p w:rsidR="00A51D23" w:rsidRPr="00A51D23" w:rsidRDefault="00A51D23" w:rsidP="00A51D23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 xml:space="preserve"> 1a) ŘO se mohou kdykoli obrátit na národní koordinátory VPo dle kompetencí stanovených jim v zák. č. 215/2004, Sb. Problematika je řešena v metodikách na stránkách MMR a ÚOHS/MZe.</w:t>
            </w:r>
          </w:p>
          <w:p w:rsidR="00A51D23" w:rsidRPr="00A51D23" w:rsidRDefault="00A51D23" w:rsidP="00A51D23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>1b) Jsou pořádány konference a tematicky zaměřené semináře. Dočasně přerušeno z důvodu pandemie COVID-19.</w:t>
            </w:r>
          </w:p>
          <w:p w:rsidR="00A51D23" w:rsidRPr="00A51D23" w:rsidRDefault="00A51D23" w:rsidP="00A51D23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>1c) ŘO mají technickou asistenci pro účast na zahraničních specializovaných akcích.</w:t>
            </w:r>
          </w:p>
          <w:p w:rsidR="00A51D23" w:rsidRPr="00A51D23" w:rsidRDefault="00A51D23" w:rsidP="00A51D23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>1d) MMR a ÚOHS/MZe se dohodly na koncepci vzájemné</w:t>
            </w:r>
            <w:r>
              <w:rPr>
                <w:rFonts w:ascii="Times New Roman" w:hAnsi="Times New Roman"/>
                <w:sz w:val="18"/>
                <w:szCs w:val="18"/>
                <w:lang w:val="cs-CZ"/>
              </w:rPr>
              <w:t> </w:t>
            </w: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>spolupráce a dne 12. 6. 2020 podepsaly memorandum o</w:t>
            </w:r>
            <w:r>
              <w:rPr>
                <w:rFonts w:ascii="Times New Roman" w:hAnsi="Times New Roman"/>
                <w:sz w:val="18"/>
                <w:szCs w:val="18"/>
                <w:lang w:val="cs-CZ"/>
              </w:rPr>
              <w:t> </w:t>
            </w: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 xml:space="preserve">spolupráci. </w:t>
            </w:r>
          </w:p>
          <w:p w:rsidR="00A51D23" w:rsidRPr="00A51D23" w:rsidRDefault="00A51D23" w:rsidP="00A51D23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 xml:space="preserve">1e) Platformou pro předávání informací a vzájemné konzultace mezi gestory a ŘO je: PS pro veřejnou podporu. </w:t>
            </w:r>
          </w:p>
          <w:p w:rsidR="00A51D23" w:rsidRPr="00A51D23" w:rsidRDefault="00A51D23" w:rsidP="00A51D23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 xml:space="preserve">2. Kapacity: </w:t>
            </w:r>
          </w:p>
          <w:p w:rsidR="00A51D23" w:rsidRPr="00A51D23" w:rsidRDefault="00A51D23" w:rsidP="00A51D23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>Aktuální stav: Kapacita zainteresovaných útvarů, tj. MMR, ÚOHS, MZe, ŘO je nastavena pro aktuální PO a v současnosti je rovněž využívána pro přípravu budoucího PO.</w:t>
            </w:r>
          </w:p>
          <w:p w:rsidR="00A51D23" w:rsidRPr="00A51D23" w:rsidRDefault="00A51D23" w:rsidP="00A51D23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>V období říjen</w:t>
            </w:r>
            <w:r>
              <w:rPr>
                <w:rFonts w:ascii="Times New Roman" w:hAnsi="Times New Roman"/>
                <w:sz w:val="18"/>
                <w:szCs w:val="18"/>
                <w:lang w:val="cs-CZ"/>
              </w:rPr>
              <w:t>–prosinec</w:t>
            </w: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 xml:space="preserve"> 2020 proběhla první konzultace o formátu a obsahu plnění HZP s EK na základě zaslání podkladových materiálů.</w:t>
            </w:r>
          </w:p>
          <w:p w:rsidR="00A51D23" w:rsidRDefault="00A51D23" w:rsidP="00A51D23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51D23">
              <w:rPr>
                <w:rFonts w:ascii="Times New Roman" w:hAnsi="Times New Roman"/>
                <w:sz w:val="18"/>
                <w:szCs w:val="18"/>
              </w:rPr>
              <w:t>V průběhu ledna 2021 budou obdržené připomínky zapracovány do materiálů.</w:t>
            </w:r>
          </w:p>
          <w:p w:rsidR="00FE6F9D" w:rsidRPr="00A51D23" w:rsidRDefault="00FE6F9D" w:rsidP="00A51D23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</w:tr>
      <w:tr w:rsidR="006E481B" w:rsidRPr="00B175FB" w:rsidTr="00F6239D">
        <w:tc>
          <w:tcPr>
            <w:tcW w:w="1277" w:type="dxa"/>
            <w:vMerge w:val="restart"/>
            <w:shd w:val="clear" w:color="auto" w:fill="auto"/>
          </w:tcPr>
          <w:p w:rsidR="00FA04D0" w:rsidRPr="00B175FB" w:rsidRDefault="00FA04D0" w:rsidP="00666790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  <w:r w:rsidRPr="00B175FB">
              <w:rPr>
                <w:rFonts w:ascii="Times New Roman" w:hAnsi="Times New Roman"/>
                <w:b/>
                <w:sz w:val="18"/>
                <w:szCs w:val="18"/>
                <w:lang w:val="cs-CZ"/>
              </w:rPr>
              <w:t>(3) Účinné provádění a</w:t>
            </w:r>
            <w:r w:rsidR="00FE6F9D">
              <w:rPr>
                <w:rFonts w:ascii="Times New Roman" w:hAnsi="Times New Roman"/>
                <w:b/>
                <w:sz w:val="18"/>
                <w:szCs w:val="18"/>
                <w:lang w:val="cs-CZ"/>
              </w:rPr>
              <w:t> </w:t>
            </w:r>
            <w:r w:rsidRPr="00B175FB">
              <w:rPr>
                <w:rFonts w:ascii="Times New Roman" w:hAnsi="Times New Roman"/>
                <w:b/>
                <w:sz w:val="18"/>
                <w:szCs w:val="18"/>
                <w:lang w:val="cs-CZ"/>
              </w:rPr>
              <w:t>uplatňování Listiny základních práv EU</w:t>
            </w:r>
          </w:p>
        </w:tc>
        <w:tc>
          <w:tcPr>
            <w:tcW w:w="850" w:type="dxa"/>
            <w:vMerge w:val="restart"/>
          </w:tcPr>
          <w:p w:rsidR="00FA04D0" w:rsidRPr="00B175FB" w:rsidRDefault="00FA04D0" w:rsidP="00666790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Všechny fondy</w:t>
            </w:r>
          </w:p>
          <w:p w:rsidR="00FA04D0" w:rsidRPr="00B175FB" w:rsidRDefault="00FA04D0" w:rsidP="00666790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1985" w:type="dxa"/>
            <w:vMerge w:val="restart"/>
          </w:tcPr>
          <w:p w:rsidR="00FA04D0" w:rsidRPr="00B175FB" w:rsidRDefault="00FA04D0" w:rsidP="00666790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8D7190">
              <w:rPr>
                <w:rFonts w:ascii="Times New Roman" w:hAnsi="Times New Roman"/>
                <w:sz w:val="18"/>
                <w:szCs w:val="18"/>
              </w:rPr>
              <w:t>Všechny specifické cíle</w:t>
            </w:r>
          </w:p>
          <w:p w:rsidR="00FA04D0" w:rsidRPr="00B175FB" w:rsidRDefault="00FA04D0" w:rsidP="00666790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FA04D0" w:rsidRPr="00B175FB" w:rsidRDefault="00FA04D0" w:rsidP="00666790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ANO</w:t>
            </w:r>
          </w:p>
        </w:tc>
        <w:tc>
          <w:tcPr>
            <w:tcW w:w="2268" w:type="dxa"/>
            <w:shd w:val="clear" w:color="auto" w:fill="auto"/>
          </w:tcPr>
          <w:p w:rsidR="00FA04D0" w:rsidRPr="00B175FB" w:rsidRDefault="00FA04D0" w:rsidP="00666790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Jsou zavedeny účinné mechanismy k zajištění souladu s Listinou základních práv EU, které zahrnují:</w:t>
            </w:r>
          </w:p>
        </w:tc>
        <w:tc>
          <w:tcPr>
            <w:tcW w:w="992" w:type="dxa"/>
            <w:shd w:val="clear" w:color="auto" w:fill="auto"/>
          </w:tcPr>
          <w:p w:rsidR="00FA04D0" w:rsidRPr="00B175FB" w:rsidRDefault="00FA04D0" w:rsidP="00666790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ANO</w:t>
            </w:r>
          </w:p>
        </w:tc>
        <w:tc>
          <w:tcPr>
            <w:tcW w:w="2693" w:type="dxa"/>
            <w:shd w:val="clear" w:color="auto" w:fill="auto"/>
          </w:tcPr>
          <w:p w:rsidR="00FA04D0" w:rsidRPr="00B175FB" w:rsidRDefault="00FA04D0" w:rsidP="00666790">
            <w:pPr>
              <w:pStyle w:val="DAVA"/>
              <w:spacing w:after="120"/>
              <w:rPr>
                <w:rFonts w:ascii="Times New Roman" w:hAnsi="Times New Roman"/>
                <w:i/>
                <w:sz w:val="18"/>
                <w:szCs w:val="18"/>
                <w:lang w:val="cs-CZ"/>
              </w:rPr>
            </w:pPr>
          </w:p>
        </w:tc>
        <w:tc>
          <w:tcPr>
            <w:tcW w:w="4961" w:type="dxa"/>
            <w:shd w:val="clear" w:color="auto" w:fill="auto"/>
          </w:tcPr>
          <w:p w:rsidR="00FA04D0" w:rsidRPr="00B175FB" w:rsidRDefault="00FA04D0" w:rsidP="00D66768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</w:tr>
      <w:tr w:rsidR="00906746" w:rsidRPr="00B175FB" w:rsidTr="00F6239D">
        <w:tc>
          <w:tcPr>
            <w:tcW w:w="1277" w:type="dxa"/>
            <w:vMerge/>
          </w:tcPr>
          <w:p w:rsidR="00FA04D0" w:rsidRPr="00B175FB" w:rsidRDefault="00FA04D0" w:rsidP="00666790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</w:p>
        </w:tc>
        <w:tc>
          <w:tcPr>
            <w:tcW w:w="850" w:type="dxa"/>
            <w:vMerge/>
          </w:tcPr>
          <w:p w:rsidR="00FA04D0" w:rsidRPr="00B175FB" w:rsidRDefault="00FA04D0" w:rsidP="00666790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1985" w:type="dxa"/>
            <w:vMerge/>
          </w:tcPr>
          <w:p w:rsidR="00FA04D0" w:rsidRPr="00B175FB" w:rsidRDefault="00FA04D0" w:rsidP="00666790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1134" w:type="dxa"/>
            <w:vMerge/>
          </w:tcPr>
          <w:p w:rsidR="00FA04D0" w:rsidRPr="00B175FB" w:rsidRDefault="00FA04D0" w:rsidP="00666790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2268" w:type="dxa"/>
            <w:shd w:val="clear" w:color="auto" w:fill="auto"/>
          </w:tcPr>
          <w:p w:rsidR="00FA04D0" w:rsidRPr="00B175FB" w:rsidRDefault="00FA04D0" w:rsidP="00666790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1. Opatření k zajištění souladu programů</w:t>
            </w:r>
            <w:r w:rsidRPr="00B175FB">
              <w:rPr>
                <w:rFonts w:ascii="Times New Roman" w:hAnsi="Times New Roman"/>
                <w:b/>
                <w:sz w:val="18"/>
                <w:szCs w:val="18"/>
                <w:lang w:val="cs-CZ"/>
              </w:rPr>
              <w:t xml:space="preserve"> </w:t>
            </w:r>
            <w:r w:rsidR="006F4F2B">
              <w:rPr>
                <w:rFonts w:ascii="Times New Roman" w:hAnsi="Times New Roman"/>
                <w:sz w:val="18"/>
                <w:szCs w:val="18"/>
                <w:lang w:val="cs-CZ"/>
              </w:rPr>
              <w:t>podporovaných z fondů a </w:t>
            </w: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jejich implementace</w:t>
            </w:r>
            <w:r w:rsidRPr="00B175FB">
              <w:rPr>
                <w:rFonts w:ascii="Times New Roman" w:hAnsi="Times New Roman"/>
                <w:b/>
                <w:sz w:val="18"/>
                <w:szCs w:val="18"/>
                <w:lang w:val="cs-CZ"/>
              </w:rPr>
              <w:t xml:space="preserve"> </w:t>
            </w: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s relevantními ustanoveními Listiny.</w:t>
            </w:r>
          </w:p>
        </w:tc>
        <w:tc>
          <w:tcPr>
            <w:tcW w:w="992" w:type="dxa"/>
            <w:shd w:val="clear" w:color="auto" w:fill="auto"/>
          </w:tcPr>
          <w:p w:rsidR="00FA04D0" w:rsidRPr="00B175FB" w:rsidRDefault="00FA04D0" w:rsidP="00666790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ANO</w:t>
            </w:r>
          </w:p>
        </w:tc>
        <w:tc>
          <w:tcPr>
            <w:tcW w:w="2693" w:type="dxa"/>
            <w:shd w:val="clear" w:color="auto" w:fill="auto"/>
          </w:tcPr>
          <w:p w:rsidR="00FA04D0" w:rsidRPr="00B175FB" w:rsidRDefault="00D05954" w:rsidP="00666790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35" w:history="1">
              <w:r w:rsidR="00FA04D0" w:rsidRPr="008D7190">
                <w:rPr>
                  <w:rStyle w:val="Hypertextovodkaz"/>
                  <w:rFonts w:ascii="Times New Roman" w:hAnsi="Times New Roman"/>
                  <w:sz w:val="18"/>
                  <w:szCs w:val="18"/>
                </w:rPr>
                <w:t>https://eur-lex.europa.eu/legal-content/CS/TXT/PDF/?uri=CELEX:52016XC0723(01)&amp;from=SL</w:t>
              </w:r>
            </w:hyperlink>
          </w:p>
        </w:tc>
        <w:tc>
          <w:tcPr>
            <w:tcW w:w="4961" w:type="dxa"/>
            <w:shd w:val="clear" w:color="auto" w:fill="auto"/>
          </w:tcPr>
          <w:p w:rsidR="00FA04D0" w:rsidRPr="00B175FB" w:rsidRDefault="00FA04D0" w:rsidP="006F4F2B">
            <w:pPr>
              <w:spacing w:after="0" w:line="240" w:lineRule="auto"/>
              <w:jc w:val="both"/>
              <w:rPr>
                <w:sz w:val="18"/>
                <w:szCs w:val="18"/>
                <w:lang w:eastAsia="cs-CZ"/>
              </w:rPr>
            </w:pPr>
            <w:r w:rsidRPr="00B175FB">
              <w:rPr>
                <w:sz w:val="18"/>
                <w:szCs w:val="18"/>
              </w:rPr>
              <w:t>Podmínka je plněna předběžnou kontrolou programů z hlediska souladu s Listinou základních práv EU, která je prováděna příslušnými řídícími orgány (ŘO) ve spolupráci s odborníky z Odboru pro lidská práva a ochranu menšin Úřadu vlády, hlavního vládního odborného a koordinačního orgánu pro otázky základních práv. Ti se podílí na tvorbě programových dokumentů a poskytují poradenství a podporu při stanovení cílů programu</w:t>
            </w:r>
            <w:r w:rsidR="008D7190" w:rsidRPr="008D7190">
              <w:rPr>
                <w:sz w:val="18"/>
                <w:szCs w:val="18"/>
              </w:rPr>
              <w:t>,</w:t>
            </w:r>
            <w:r w:rsidR="006F4F2B">
              <w:rPr>
                <w:sz w:val="18"/>
                <w:szCs w:val="18"/>
              </w:rPr>
              <w:t xml:space="preserve"> a </w:t>
            </w:r>
            <w:r w:rsidRPr="00B175FB">
              <w:rPr>
                <w:sz w:val="18"/>
                <w:szCs w:val="18"/>
              </w:rPr>
              <w:t xml:space="preserve">řešení případných problémů. Jsou začleněni do monitorovacích výborů dle potřeby. Pracovníci ŘO připravující jednotlivé výzvy jsou školeni v relevantních lidskoprávních otázkách na obecné úrovni i ve vztahu k tématům fondů EU. Je rovněž zřízena pracovní skupina z kontaktních bodů v rámci ŘO, která se pravidelně schází a předává si informace, diskutuje otázky implementace fondů a řeší problémy a sporné otázky. </w:t>
            </w:r>
          </w:p>
        </w:tc>
      </w:tr>
      <w:tr w:rsidR="00906746" w:rsidRPr="00B175FB" w:rsidTr="00F6239D">
        <w:tc>
          <w:tcPr>
            <w:tcW w:w="1277" w:type="dxa"/>
            <w:vMerge/>
          </w:tcPr>
          <w:p w:rsidR="00FA04D0" w:rsidRPr="00B175FB" w:rsidRDefault="00FA04D0" w:rsidP="00666790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</w:p>
        </w:tc>
        <w:tc>
          <w:tcPr>
            <w:tcW w:w="850" w:type="dxa"/>
            <w:vMerge/>
          </w:tcPr>
          <w:p w:rsidR="00FA04D0" w:rsidRPr="00B175FB" w:rsidRDefault="00FA04D0" w:rsidP="00666790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1985" w:type="dxa"/>
            <w:vMerge/>
          </w:tcPr>
          <w:p w:rsidR="00FA04D0" w:rsidRPr="00B175FB" w:rsidRDefault="00FA04D0" w:rsidP="00666790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1134" w:type="dxa"/>
            <w:vMerge/>
          </w:tcPr>
          <w:p w:rsidR="00FA04D0" w:rsidRPr="00B175FB" w:rsidRDefault="00FA04D0" w:rsidP="00666790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2268" w:type="dxa"/>
            <w:shd w:val="clear" w:color="auto" w:fill="auto"/>
          </w:tcPr>
          <w:p w:rsidR="00FA04D0" w:rsidRPr="00B175FB" w:rsidRDefault="00FA04D0" w:rsidP="00666790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2. Opatření k oznamování případů nesouladu operací podporovaných z fondů s Listinou a stížností týkajících se Listiny předložených v souladu s opatřeními zavedenými na základě článku 63(6) nařízení o společných ustanoveních monitorovacímu výboru.</w:t>
            </w:r>
          </w:p>
        </w:tc>
        <w:tc>
          <w:tcPr>
            <w:tcW w:w="992" w:type="dxa"/>
            <w:shd w:val="clear" w:color="auto" w:fill="auto"/>
          </w:tcPr>
          <w:p w:rsidR="00FA04D0" w:rsidRPr="00B175FB" w:rsidRDefault="00FA04D0" w:rsidP="00666790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ANO</w:t>
            </w:r>
          </w:p>
        </w:tc>
        <w:tc>
          <w:tcPr>
            <w:tcW w:w="2693" w:type="dxa"/>
            <w:shd w:val="clear" w:color="auto" w:fill="auto"/>
          </w:tcPr>
          <w:p w:rsidR="00FA04D0" w:rsidRPr="008D7190" w:rsidRDefault="00D05954" w:rsidP="00666790">
            <w:pPr>
              <w:pStyle w:val="DAVA"/>
              <w:spacing w:after="120"/>
              <w:rPr>
                <w:rFonts w:ascii="Times New Roman" w:hAnsi="Times New Roman"/>
                <w:color w:val="1F497D"/>
                <w:sz w:val="18"/>
                <w:szCs w:val="18"/>
              </w:rPr>
            </w:pPr>
            <w:hyperlink r:id="rId36" w:history="1">
              <w:r w:rsidR="00FA04D0" w:rsidRPr="008D7190">
                <w:rPr>
                  <w:rStyle w:val="Hypertextovodkaz"/>
                  <w:rFonts w:ascii="Times New Roman" w:hAnsi="Times New Roman"/>
                  <w:sz w:val="18"/>
                  <w:szCs w:val="18"/>
                </w:rPr>
                <w:t>Zákon č. 500/2004 Sb.,</w:t>
              </w:r>
              <w:r w:rsidR="00FA04D0" w:rsidRPr="008D7190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 xml:space="preserve"> správní řád.</w:t>
              </w:r>
            </w:hyperlink>
          </w:p>
          <w:p w:rsidR="00FA04D0" w:rsidRPr="008D7190" w:rsidRDefault="00D05954" w:rsidP="00666790">
            <w:pPr>
              <w:pStyle w:val="DAVA"/>
              <w:spacing w:after="120"/>
              <w:rPr>
                <w:rFonts w:ascii="Times New Roman" w:hAnsi="Times New Roman"/>
                <w:color w:val="1F497D"/>
                <w:sz w:val="18"/>
                <w:szCs w:val="18"/>
                <w:lang w:val="cs-CZ"/>
              </w:rPr>
            </w:pPr>
            <w:hyperlink r:id="rId37" w:history="1">
              <w:r w:rsidR="00FA04D0" w:rsidRPr="008D7190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Zákon č. 150/2002 Sb., soudní řád správní</w:t>
              </w:r>
            </w:hyperlink>
          </w:p>
          <w:p w:rsidR="00FA04D0" w:rsidRPr="00B175FB" w:rsidRDefault="00FA04D0" w:rsidP="00666790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4961" w:type="dxa"/>
            <w:shd w:val="clear" w:color="auto" w:fill="auto"/>
          </w:tcPr>
          <w:p w:rsidR="008D7190" w:rsidRPr="008D7190" w:rsidRDefault="008D7190" w:rsidP="008D7190">
            <w:pPr>
              <w:pStyle w:val="paragraph"/>
              <w:textAlignment w:val="baseline"/>
            </w:pPr>
            <w:r w:rsidRPr="008D7190">
              <w:rPr>
                <w:rStyle w:val="normaltextrun1"/>
                <w:sz w:val="18"/>
                <w:szCs w:val="18"/>
              </w:rPr>
              <w:t>Přidělování dotací v rámci programů probíhá ve správním řízení dle správního řádu. Proti rozhodnutí v řízení lze následně podat žalobu ve správním soudnictví.</w:t>
            </w:r>
            <w:r w:rsidRPr="008D7190">
              <w:rPr>
                <w:rStyle w:val="eop"/>
                <w:sz w:val="18"/>
                <w:szCs w:val="18"/>
              </w:rPr>
              <w:t> </w:t>
            </w:r>
          </w:p>
          <w:p w:rsidR="008D7190" w:rsidRPr="008D7190" w:rsidRDefault="008D7190" w:rsidP="008D7190">
            <w:pPr>
              <w:pStyle w:val="paragraph"/>
              <w:textAlignment w:val="baseline"/>
            </w:pPr>
            <w:r w:rsidRPr="008D7190">
              <w:rPr>
                <w:rStyle w:val="eop"/>
                <w:sz w:val="18"/>
                <w:szCs w:val="18"/>
              </w:rPr>
              <w:t> </w:t>
            </w:r>
          </w:p>
          <w:p w:rsidR="008D7190" w:rsidRPr="008D7190" w:rsidRDefault="008D7190" w:rsidP="008D7190">
            <w:pPr>
              <w:pStyle w:val="paragraph"/>
              <w:textAlignment w:val="baseline"/>
            </w:pPr>
            <w:r w:rsidRPr="008D7190">
              <w:rPr>
                <w:rStyle w:val="normaltextrun1"/>
                <w:sz w:val="18"/>
                <w:szCs w:val="18"/>
              </w:rPr>
              <w:t>Problémy s uplatňováním Listiny mohou být řešeny pomoci stížnosti, které může podat žadatel o dotaci či třetí osoba. Stížnosti týkající se procesu přidělení dotace či procesu administrace projektu ze strany ŘO se řeší rovněž dle správního řádu.</w:t>
            </w:r>
            <w:r w:rsidRPr="008D7190">
              <w:rPr>
                <w:rStyle w:val="eop"/>
                <w:sz w:val="18"/>
                <w:szCs w:val="18"/>
              </w:rPr>
              <w:t> </w:t>
            </w:r>
          </w:p>
          <w:p w:rsidR="008D7190" w:rsidRPr="008D7190" w:rsidRDefault="008D7190" w:rsidP="008D7190">
            <w:pPr>
              <w:pStyle w:val="paragraph"/>
              <w:textAlignment w:val="baseline"/>
            </w:pPr>
            <w:r w:rsidRPr="008D7190">
              <w:rPr>
                <w:rStyle w:val="eop"/>
                <w:sz w:val="18"/>
                <w:szCs w:val="18"/>
              </w:rPr>
              <w:t> </w:t>
            </w:r>
          </w:p>
          <w:p w:rsidR="008D7190" w:rsidRDefault="008D7190" w:rsidP="008D7190">
            <w:pPr>
              <w:pStyle w:val="DAVA"/>
              <w:spacing w:after="120"/>
              <w:jc w:val="both"/>
              <w:rPr>
                <w:rStyle w:val="normaltextrun1"/>
                <w:rFonts w:ascii="Times New Roman" w:hAnsi="Times New Roman"/>
                <w:sz w:val="18"/>
                <w:szCs w:val="18"/>
              </w:rPr>
            </w:pPr>
            <w:r w:rsidRPr="008D7190">
              <w:rPr>
                <w:rStyle w:val="normaltextrun1"/>
                <w:rFonts w:ascii="Times New Roman" w:hAnsi="Times New Roman"/>
                <w:sz w:val="18"/>
                <w:szCs w:val="18"/>
              </w:rPr>
              <w:t>Podněty týkající se nastavení výzev k předkládání projektů jsou projednávány na monitorovacích výborech a dalších platformách, kde jsou zastoupeni všichni relevantní partneři. Nastavení pravidel výběru projektů a jednání Monitorovacího výboru (MV) je ošetřeno metodickou dokumentací Národního orgánu pro koordinaci (NOK) a ŘO a statutem a jednacím řádem MV jednotlivých programů. </w:t>
            </w:r>
          </w:p>
          <w:p w:rsidR="00A51D23" w:rsidRPr="00B175FB" w:rsidRDefault="00A51D23" w:rsidP="00D66768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</w:tr>
      <w:tr w:rsidR="006E481B" w:rsidRPr="00B175FB" w:rsidTr="00F6239D">
        <w:tc>
          <w:tcPr>
            <w:tcW w:w="1277" w:type="dxa"/>
            <w:vMerge w:val="restart"/>
            <w:shd w:val="clear" w:color="auto" w:fill="auto"/>
          </w:tcPr>
          <w:p w:rsidR="00FA04D0" w:rsidRPr="00B175FB" w:rsidRDefault="00FA04D0" w:rsidP="00666790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  <w:r w:rsidRPr="00B175FB">
              <w:rPr>
                <w:rFonts w:ascii="Times New Roman" w:hAnsi="Times New Roman"/>
                <w:b/>
                <w:sz w:val="18"/>
                <w:szCs w:val="18"/>
                <w:lang w:val="cs-CZ"/>
              </w:rPr>
              <w:t>(4) Provádění a uplatňování Úmluvy OSN o právech osob se zdravotním postižením v</w:t>
            </w:r>
            <w:r w:rsidR="00492915">
              <w:rPr>
                <w:rFonts w:ascii="Times New Roman" w:hAnsi="Times New Roman"/>
                <w:b/>
                <w:sz w:val="18"/>
                <w:szCs w:val="18"/>
                <w:lang w:val="cs-CZ"/>
              </w:rPr>
              <w:t> </w:t>
            </w:r>
            <w:r w:rsidRPr="00B175FB">
              <w:rPr>
                <w:rFonts w:ascii="Times New Roman" w:hAnsi="Times New Roman"/>
                <w:b/>
                <w:sz w:val="18"/>
                <w:szCs w:val="18"/>
                <w:lang w:val="cs-CZ"/>
              </w:rPr>
              <w:t>souladu s</w:t>
            </w:r>
            <w:r w:rsidR="00492915">
              <w:rPr>
                <w:rFonts w:ascii="Times New Roman" w:hAnsi="Times New Roman"/>
                <w:b/>
                <w:sz w:val="18"/>
                <w:szCs w:val="18"/>
                <w:lang w:val="cs-CZ"/>
              </w:rPr>
              <w:t> </w:t>
            </w:r>
            <w:r w:rsidRPr="00B175FB">
              <w:rPr>
                <w:rFonts w:ascii="Times New Roman" w:hAnsi="Times New Roman"/>
                <w:b/>
                <w:sz w:val="18"/>
                <w:szCs w:val="18"/>
                <w:lang w:val="cs-CZ"/>
              </w:rPr>
              <w:t>rozhodnutím Rady 2010/48/ES</w:t>
            </w:r>
          </w:p>
          <w:p w:rsidR="00FA04D0" w:rsidRPr="00B175FB" w:rsidRDefault="00FA04D0" w:rsidP="00666790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</w:p>
        </w:tc>
        <w:tc>
          <w:tcPr>
            <w:tcW w:w="850" w:type="dxa"/>
            <w:vMerge w:val="restart"/>
          </w:tcPr>
          <w:p w:rsidR="00FA04D0" w:rsidRPr="00B175FB" w:rsidRDefault="00FA04D0" w:rsidP="00666790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Všechny fondy</w:t>
            </w:r>
          </w:p>
          <w:p w:rsidR="00FA04D0" w:rsidRPr="00B175FB" w:rsidRDefault="00FA04D0" w:rsidP="00666790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  <w:p w:rsidR="00FA04D0" w:rsidRPr="00B175FB" w:rsidRDefault="00FA04D0" w:rsidP="00666790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1985" w:type="dxa"/>
            <w:vMerge w:val="restart"/>
          </w:tcPr>
          <w:p w:rsidR="00FA04D0" w:rsidRPr="00B175FB" w:rsidRDefault="00FA04D0" w:rsidP="00666790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Všechny specifické cíle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A04D0" w:rsidRPr="00B175FB" w:rsidRDefault="00512D8D" w:rsidP="00666790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>
              <w:rPr>
                <w:rFonts w:ascii="Times New Roman" w:hAnsi="Times New Roman"/>
                <w:sz w:val="18"/>
                <w:szCs w:val="18"/>
                <w:lang w:val="cs-CZ"/>
              </w:rPr>
              <w:t>ANO</w:t>
            </w:r>
          </w:p>
          <w:p w:rsidR="00FA04D0" w:rsidRPr="00B175FB" w:rsidRDefault="00FA04D0" w:rsidP="00666790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2268" w:type="dxa"/>
            <w:shd w:val="clear" w:color="auto" w:fill="auto"/>
          </w:tcPr>
          <w:p w:rsidR="00FA04D0" w:rsidRPr="00B175FB" w:rsidRDefault="00FA04D0" w:rsidP="00666790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Je zaveden vnitrostátní rámec k zajištění provádění Úmluvy o právech osob se zdravotním postižením, který zahrnuje:</w:t>
            </w:r>
          </w:p>
        </w:tc>
        <w:tc>
          <w:tcPr>
            <w:tcW w:w="992" w:type="dxa"/>
            <w:shd w:val="clear" w:color="auto" w:fill="auto"/>
          </w:tcPr>
          <w:p w:rsidR="00FA04D0" w:rsidRPr="00B175FB" w:rsidRDefault="00593F2C" w:rsidP="00666790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>
              <w:rPr>
                <w:rFonts w:ascii="Times New Roman" w:hAnsi="Times New Roman"/>
                <w:sz w:val="18"/>
                <w:szCs w:val="18"/>
                <w:lang w:val="cs-CZ"/>
              </w:rPr>
              <w:t>ANO</w:t>
            </w:r>
          </w:p>
        </w:tc>
        <w:tc>
          <w:tcPr>
            <w:tcW w:w="2693" w:type="dxa"/>
            <w:shd w:val="clear" w:color="auto" w:fill="auto"/>
          </w:tcPr>
          <w:p w:rsidR="00FA04D0" w:rsidRPr="00B175FB" w:rsidRDefault="00FA04D0" w:rsidP="00666790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4961" w:type="dxa"/>
            <w:shd w:val="clear" w:color="auto" w:fill="auto"/>
          </w:tcPr>
          <w:p w:rsidR="00FA04D0" w:rsidRPr="00B175FB" w:rsidRDefault="00FA04D0" w:rsidP="00666790">
            <w:pPr>
              <w:pStyle w:val="DAVA"/>
              <w:spacing w:after="120"/>
              <w:ind w:left="7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</w:tr>
      <w:tr w:rsidR="00593F2C" w:rsidRPr="00B175FB" w:rsidTr="00F6239D">
        <w:tc>
          <w:tcPr>
            <w:tcW w:w="1277" w:type="dxa"/>
            <w:vMerge/>
          </w:tcPr>
          <w:p w:rsidR="00593F2C" w:rsidRPr="00B175FB" w:rsidRDefault="00593F2C" w:rsidP="00593F2C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</w:p>
        </w:tc>
        <w:tc>
          <w:tcPr>
            <w:tcW w:w="850" w:type="dxa"/>
            <w:vMerge/>
          </w:tcPr>
          <w:p w:rsidR="00593F2C" w:rsidRPr="00B175FB" w:rsidRDefault="00593F2C" w:rsidP="00593F2C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1985" w:type="dxa"/>
            <w:vMerge/>
          </w:tcPr>
          <w:p w:rsidR="00593F2C" w:rsidRPr="00B175FB" w:rsidRDefault="00593F2C" w:rsidP="00593F2C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1134" w:type="dxa"/>
            <w:vMerge/>
          </w:tcPr>
          <w:p w:rsidR="00593F2C" w:rsidRPr="00B175FB" w:rsidRDefault="00593F2C" w:rsidP="00593F2C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2268" w:type="dxa"/>
            <w:shd w:val="clear" w:color="auto" w:fill="auto"/>
          </w:tcPr>
          <w:p w:rsidR="00593F2C" w:rsidRPr="00B175FB" w:rsidRDefault="00593F2C" w:rsidP="00593F2C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1. Měřitelné</w:t>
            </w:r>
            <w:r>
              <w:rPr>
                <w:rFonts w:ascii="Times New Roman" w:hAnsi="Times New Roman"/>
                <w:sz w:val="18"/>
                <w:szCs w:val="18"/>
                <w:lang w:val="cs-CZ"/>
              </w:rPr>
              <w:t xml:space="preserve"> cíle, mechanismy sběru údajů a </w:t>
            </w: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monitorování.</w:t>
            </w:r>
          </w:p>
        </w:tc>
        <w:tc>
          <w:tcPr>
            <w:tcW w:w="992" w:type="dxa"/>
            <w:shd w:val="clear" w:color="auto" w:fill="auto"/>
          </w:tcPr>
          <w:p w:rsidR="00593F2C" w:rsidRPr="00B175FB" w:rsidRDefault="00593F2C" w:rsidP="00593F2C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>
              <w:rPr>
                <w:rFonts w:ascii="Times New Roman" w:hAnsi="Times New Roman"/>
                <w:sz w:val="18"/>
                <w:szCs w:val="18"/>
                <w:lang w:val="cs-CZ"/>
              </w:rPr>
              <w:t>ANO</w:t>
            </w:r>
          </w:p>
        </w:tc>
        <w:tc>
          <w:tcPr>
            <w:tcW w:w="2693" w:type="dxa"/>
            <w:shd w:val="clear" w:color="auto" w:fill="auto"/>
          </w:tcPr>
          <w:p w:rsidR="00593F2C" w:rsidRPr="00593F2C" w:rsidRDefault="00D05954" w:rsidP="00593F2C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38" w:history="1">
              <w:r w:rsidR="00593F2C" w:rsidRPr="00593F2C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Národní plán podpory rovných příležitostí pro osoby se zdravotním postižením na období 2021 – 2025 (NP OZP)</w:t>
              </w:r>
            </w:hyperlink>
          </w:p>
        </w:tc>
        <w:tc>
          <w:tcPr>
            <w:tcW w:w="4961" w:type="dxa"/>
            <w:shd w:val="clear" w:color="auto" w:fill="auto"/>
          </w:tcPr>
          <w:p w:rsidR="00593F2C" w:rsidRPr="00593F2C" w:rsidRDefault="00593F2C" w:rsidP="00593F2C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593F2C">
              <w:rPr>
                <w:rFonts w:ascii="Times New Roman" w:hAnsi="Times New Roman"/>
                <w:sz w:val="18"/>
                <w:szCs w:val="18"/>
                <w:lang w:val="cs-CZ"/>
              </w:rPr>
              <w:t>Národní plán podpory rovných příležitostí pro osoby se zdravotním postižením na období 2021-2025 byl schválen dne 20.</w:t>
            </w:r>
            <w:r>
              <w:rPr>
                <w:rFonts w:ascii="Times New Roman" w:hAnsi="Times New Roman"/>
                <w:sz w:val="18"/>
                <w:szCs w:val="18"/>
                <w:lang w:val="cs-CZ"/>
              </w:rPr>
              <w:t> </w:t>
            </w:r>
            <w:r w:rsidRPr="00593F2C">
              <w:rPr>
                <w:rFonts w:ascii="Times New Roman" w:hAnsi="Times New Roman"/>
                <w:sz w:val="18"/>
                <w:szCs w:val="18"/>
                <w:lang w:val="cs-CZ"/>
              </w:rPr>
              <w:t>července 2020 usnesením vlády č. 761.</w:t>
            </w:r>
          </w:p>
        </w:tc>
      </w:tr>
      <w:tr w:rsidR="00593F2C" w:rsidRPr="00B175FB" w:rsidTr="00F6239D">
        <w:tc>
          <w:tcPr>
            <w:tcW w:w="1277" w:type="dxa"/>
            <w:vMerge/>
          </w:tcPr>
          <w:p w:rsidR="00593F2C" w:rsidRPr="00B175FB" w:rsidRDefault="00593F2C" w:rsidP="00593F2C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</w:p>
        </w:tc>
        <w:tc>
          <w:tcPr>
            <w:tcW w:w="850" w:type="dxa"/>
            <w:vMerge/>
          </w:tcPr>
          <w:p w:rsidR="00593F2C" w:rsidRPr="00B175FB" w:rsidRDefault="00593F2C" w:rsidP="00593F2C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1985" w:type="dxa"/>
            <w:vMerge/>
          </w:tcPr>
          <w:p w:rsidR="00593F2C" w:rsidRPr="00B175FB" w:rsidRDefault="00593F2C" w:rsidP="00593F2C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1134" w:type="dxa"/>
            <w:vMerge/>
          </w:tcPr>
          <w:p w:rsidR="00593F2C" w:rsidRPr="00B175FB" w:rsidRDefault="00593F2C" w:rsidP="00593F2C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2268" w:type="dxa"/>
            <w:shd w:val="clear" w:color="auto" w:fill="auto"/>
          </w:tcPr>
          <w:p w:rsidR="00593F2C" w:rsidRPr="00B175FB" w:rsidRDefault="00593F2C" w:rsidP="00593F2C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2. Opatření zajišťující,</w:t>
            </w:r>
            <w:r>
              <w:rPr>
                <w:rFonts w:ascii="Times New Roman" w:hAnsi="Times New Roman"/>
                <w:sz w:val="18"/>
                <w:szCs w:val="18"/>
                <w:lang w:val="cs-CZ"/>
              </w:rPr>
              <w:t xml:space="preserve"> že politika, právní předpisy a </w:t>
            </w: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normy týkající se přístupnosti jsou řá</w:t>
            </w:r>
            <w:r>
              <w:rPr>
                <w:rFonts w:ascii="Times New Roman" w:hAnsi="Times New Roman"/>
                <w:sz w:val="18"/>
                <w:szCs w:val="18"/>
                <w:lang w:val="cs-CZ"/>
              </w:rPr>
              <w:t>dně zohledňovány při přípravě a </w:t>
            </w: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provádění programů.</w:t>
            </w:r>
          </w:p>
        </w:tc>
        <w:tc>
          <w:tcPr>
            <w:tcW w:w="992" w:type="dxa"/>
            <w:shd w:val="clear" w:color="auto" w:fill="auto"/>
          </w:tcPr>
          <w:p w:rsidR="00593F2C" w:rsidRPr="00B175FB" w:rsidRDefault="00593F2C" w:rsidP="00593F2C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ANO</w:t>
            </w:r>
          </w:p>
        </w:tc>
        <w:tc>
          <w:tcPr>
            <w:tcW w:w="2693" w:type="dxa"/>
            <w:shd w:val="clear" w:color="auto" w:fill="auto"/>
          </w:tcPr>
          <w:p w:rsidR="00593F2C" w:rsidRPr="00593F2C" w:rsidRDefault="00593F2C" w:rsidP="00593F2C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593F2C">
              <w:rPr>
                <w:rFonts w:ascii="Times New Roman" w:hAnsi="Times New Roman"/>
                <w:sz w:val="18"/>
                <w:szCs w:val="18"/>
                <w:lang w:val="cs-CZ"/>
              </w:rPr>
              <w:t xml:space="preserve">V ČR existuje legislativa upravující přístupnost </w:t>
            </w:r>
          </w:p>
          <w:p w:rsidR="00593F2C" w:rsidRPr="00593F2C" w:rsidRDefault="00593F2C" w:rsidP="00593F2C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593F2C">
              <w:rPr>
                <w:rFonts w:ascii="Times New Roman" w:hAnsi="Times New Roman"/>
                <w:sz w:val="18"/>
                <w:szCs w:val="18"/>
                <w:lang w:val="cs-CZ"/>
              </w:rPr>
              <w:t>NP OZP</w:t>
            </w:r>
          </w:p>
          <w:p w:rsidR="00593F2C" w:rsidRPr="00593F2C" w:rsidRDefault="00D05954" w:rsidP="00593F2C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39" w:history="1">
              <w:r w:rsidR="00593F2C" w:rsidRPr="00593F2C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Zákon č. 183/2006 Sb., o územním plánování a stavebním řádu (stavební zákon)</w:t>
              </w:r>
            </w:hyperlink>
          </w:p>
          <w:p w:rsidR="00593F2C" w:rsidRPr="00593F2C" w:rsidRDefault="00D05954" w:rsidP="00593F2C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40" w:history="1">
              <w:r w:rsidR="00593F2C" w:rsidRPr="00593F2C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Zákon č. 361/2000 Sb., o provozu na pozemních komunikacích</w:t>
              </w:r>
            </w:hyperlink>
          </w:p>
          <w:p w:rsidR="00593F2C" w:rsidRPr="00593F2C" w:rsidRDefault="00D05954" w:rsidP="00593F2C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41" w:history="1">
              <w:r w:rsidR="00593F2C" w:rsidRPr="00593F2C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 xml:space="preserve">Zákon č. 365/2000 Sb., </w:t>
              </w:r>
              <w:r w:rsidR="006A5A79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o</w:t>
              </w:r>
              <w:r w:rsidR="00593F2C" w:rsidRPr="00593F2C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 xml:space="preserve"> informačních systémech veřejné správy a o změně některých dalších zákonů </w:t>
              </w:r>
            </w:hyperlink>
          </w:p>
          <w:p w:rsidR="00593F2C" w:rsidRPr="00593F2C" w:rsidRDefault="00D05954" w:rsidP="00593F2C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42" w:history="1">
              <w:r w:rsidR="00593F2C" w:rsidRPr="00593F2C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 xml:space="preserve">Zákon č. 198/2009 Sb., </w:t>
              </w:r>
              <w:r w:rsidR="006A5A79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o</w:t>
              </w:r>
              <w:r w:rsidR="00593F2C" w:rsidRPr="00593F2C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 xml:space="preserve"> rovném zacházení a o právních prostředcích ochrany před diskriminací a o změně některých zákonů</w:t>
              </w:r>
            </w:hyperlink>
            <w:r w:rsidR="00593F2C" w:rsidRPr="00593F2C">
              <w:rPr>
                <w:rFonts w:ascii="Times New Roman" w:hAnsi="Times New Roman"/>
                <w:sz w:val="18"/>
                <w:szCs w:val="18"/>
                <w:lang w:val="cs-CZ"/>
              </w:rPr>
              <w:t xml:space="preserve"> </w:t>
            </w:r>
          </w:p>
          <w:p w:rsidR="00593F2C" w:rsidRPr="00593F2C" w:rsidRDefault="00D05954" w:rsidP="00593F2C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43" w:history="1">
              <w:r w:rsidR="00593F2C" w:rsidRPr="00593F2C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 xml:space="preserve">Zák. č. 99/2019 Sb., </w:t>
              </w:r>
              <w:r w:rsidR="006A5A79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o</w:t>
              </w:r>
              <w:r w:rsidR="00593F2C" w:rsidRPr="00593F2C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 xml:space="preserve"> přístupnosti internetových stránek a mobilních aplikací</w:t>
              </w:r>
            </w:hyperlink>
          </w:p>
        </w:tc>
        <w:tc>
          <w:tcPr>
            <w:tcW w:w="4961" w:type="dxa"/>
            <w:shd w:val="clear" w:color="auto" w:fill="auto"/>
          </w:tcPr>
          <w:p w:rsidR="00593F2C" w:rsidRPr="00593F2C" w:rsidRDefault="00593F2C" w:rsidP="00593F2C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593F2C">
              <w:rPr>
                <w:rFonts w:ascii="Times New Roman" w:hAnsi="Times New Roman"/>
                <w:sz w:val="18"/>
                <w:szCs w:val="18"/>
                <w:lang w:val="cs-CZ"/>
              </w:rPr>
              <w:t>Existují právní předpisy upravující danou oblast + pracovní skupina pro monitorování EAC zdravotní postižení, jejíž činnost by měla pokračovat i v období 2021-2027.</w:t>
            </w:r>
          </w:p>
        </w:tc>
      </w:tr>
      <w:tr w:rsidR="00906746" w:rsidRPr="00B175FB" w:rsidTr="00F6239D">
        <w:tc>
          <w:tcPr>
            <w:tcW w:w="1277" w:type="dxa"/>
            <w:vMerge/>
          </w:tcPr>
          <w:p w:rsidR="00FA04D0" w:rsidRPr="00B175FB" w:rsidRDefault="00FA04D0" w:rsidP="00666790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</w:p>
        </w:tc>
        <w:tc>
          <w:tcPr>
            <w:tcW w:w="850" w:type="dxa"/>
            <w:vMerge/>
          </w:tcPr>
          <w:p w:rsidR="00FA04D0" w:rsidRPr="00B175FB" w:rsidRDefault="00FA04D0" w:rsidP="00666790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1985" w:type="dxa"/>
            <w:vMerge/>
          </w:tcPr>
          <w:p w:rsidR="00FA04D0" w:rsidRPr="00B175FB" w:rsidRDefault="00FA04D0" w:rsidP="00666790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1134" w:type="dxa"/>
            <w:vMerge/>
          </w:tcPr>
          <w:p w:rsidR="00FA04D0" w:rsidRPr="00B175FB" w:rsidRDefault="00FA04D0" w:rsidP="00666790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2268" w:type="dxa"/>
            <w:shd w:val="clear" w:color="auto" w:fill="auto"/>
          </w:tcPr>
          <w:p w:rsidR="00FA04D0" w:rsidRPr="00B175FB" w:rsidRDefault="00FA04D0" w:rsidP="00666790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 xml:space="preserve">2a. Opatření k oznamování případů nesouladu operací podporovaných z fondů s Úmluvou o právech </w:t>
            </w:r>
            <w:r w:rsidR="006F4F2B">
              <w:rPr>
                <w:rFonts w:ascii="Times New Roman" w:hAnsi="Times New Roman"/>
                <w:sz w:val="18"/>
                <w:szCs w:val="18"/>
                <w:lang w:val="cs-CZ"/>
              </w:rPr>
              <w:t>osob se zdravotním postižením a </w:t>
            </w: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stížností týkajících se Úmluvy o právech osob se zdravotním postižením předložených v souladu s opatřeními zavedenými na základě článku 63(6) nařízení o společných ustanoveních monitorovacímu výboru.</w:t>
            </w:r>
          </w:p>
        </w:tc>
        <w:tc>
          <w:tcPr>
            <w:tcW w:w="992" w:type="dxa"/>
            <w:shd w:val="clear" w:color="auto" w:fill="auto"/>
          </w:tcPr>
          <w:p w:rsidR="00FA04D0" w:rsidRPr="00B175FB" w:rsidRDefault="00FA04D0" w:rsidP="00666790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ANO</w:t>
            </w:r>
          </w:p>
        </w:tc>
        <w:tc>
          <w:tcPr>
            <w:tcW w:w="2693" w:type="dxa"/>
            <w:shd w:val="clear" w:color="auto" w:fill="auto"/>
          </w:tcPr>
          <w:p w:rsidR="00FA04D0" w:rsidRPr="00B175FB" w:rsidRDefault="00FA04D0" w:rsidP="00666790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4961" w:type="dxa"/>
            <w:shd w:val="clear" w:color="auto" w:fill="auto"/>
          </w:tcPr>
          <w:p w:rsidR="00FA04D0" w:rsidRPr="00B175FB" w:rsidRDefault="00FA04D0" w:rsidP="00D66768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Řešení uvedených případů bude zajištěno prostřednictvím ŘO programů, a to především v rámci kontrolních a stížnostních mechanismů. MPSV bude řídícím orgánům poskytovat poradenství při nastavování vnitřních mechani</w:t>
            </w:r>
            <w:r w:rsidR="006F4F2B">
              <w:rPr>
                <w:rFonts w:ascii="Times New Roman" w:hAnsi="Times New Roman"/>
                <w:sz w:val="18"/>
                <w:szCs w:val="18"/>
                <w:lang w:val="cs-CZ"/>
              </w:rPr>
              <w:t>smů kontroly a </w:t>
            </w: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řešení případných problémů. K tomu bude sloužit i pracovní skupina pro monitorování HZ</w:t>
            </w:r>
            <w:r w:rsidR="006F4F2B">
              <w:rPr>
                <w:rFonts w:ascii="Times New Roman" w:hAnsi="Times New Roman"/>
                <w:sz w:val="18"/>
                <w:szCs w:val="18"/>
                <w:lang w:val="cs-CZ"/>
              </w:rPr>
              <w:t>P zdravotní postižení složená z </w:t>
            </w: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kontaktních bodů v rámci říd</w:t>
            </w:r>
            <w:r w:rsidR="00573EE9">
              <w:rPr>
                <w:rFonts w:ascii="Times New Roman" w:hAnsi="Times New Roman"/>
                <w:sz w:val="18"/>
                <w:szCs w:val="18"/>
                <w:lang w:val="cs-CZ"/>
              </w:rPr>
              <w:t>i</w:t>
            </w: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cích orgánů, která se bude pravidelně scházet, sdílet informace, diskutovat problémy spojené s implementací fondů a řešit sporné otázky.</w:t>
            </w:r>
          </w:p>
        </w:tc>
      </w:tr>
      <w:tr w:rsidR="00A51D23" w:rsidRPr="00B175FB" w:rsidTr="00F6239D">
        <w:tc>
          <w:tcPr>
            <w:tcW w:w="1277" w:type="dxa"/>
            <w:vMerge w:val="restart"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  <w:r w:rsidRPr="00B175FB">
              <w:rPr>
                <w:rFonts w:ascii="Times New Roman" w:hAnsi="Times New Roman"/>
                <w:b/>
                <w:sz w:val="18"/>
                <w:szCs w:val="18"/>
                <w:lang w:val="cs-CZ"/>
              </w:rPr>
              <w:t>1. Řádná správa vnitrostátní nebo regionální strategie pro inteligentní specializaci</w:t>
            </w:r>
          </w:p>
        </w:tc>
        <w:tc>
          <w:tcPr>
            <w:tcW w:w="850" w:type="dxa"/>
            <w:vMerge w:val="restart"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>
              <w:rPr>
                <w:rFonts w:ascii="Times New Roman" w:hAnsi="Times New Roman"/>
                <w:sz w:val="18"/>
                <w:szCs w:val="18"/>
                <w:lang w:val="cs-CZ"/>
              </w:rPr>
              <w:t>ERDF</w:t>
            </w:r>
          </w:p>
        </w:tc>
        <w:tc>
          <w:tcPr>
            <w:tcW w:w="1985" w:type="dxa"/>
            <w:vMerge w:val="restart"/>
          </w:tcPr>
          <w:p w:rsidR="00A51D23" w:rsidRPr="00B175FB" w:rsidRDefault="00970021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970021">
              <w:rPr>
                <w:rFonts w:ascii="Times New Roman" w:hAnsi="Times New Roman"/>
                <w:sz w:val="18"/>
                <w:szCs w:val="18"/>
                <w:lang w:val="cs-CZ"/>
              </w:rPr>
              <w:t>Specifické cíle dle čl. 2(1)(a)(i) a (iv) nařízení o EFRR a FS</w:t>
            </w:r>
          </w:p>
        </w:tc>
        <w:tc>
          <w:tcPr>
            <w:tcW w:w="1134" w:type="dxa"/>
            <w:vMerge w:val="restart"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>
              <w:rPr>
                <w:rFonts w:ascii="Times New Roman" w:hAnsi="Times New Roman"/>
                <w:sz w:val="18"/>
                <w:szCs w:val="18"/>
                <w:lang w:val="cs-CZ"/>
              </w:rPr>
              <w:t>ANO</w:t>
            </w:r>
          </w:p>
        </w:tc>
        <w:tc>
          <w:tcPr>
            <w:tcW w:w="2268" w:type="dxa"/>
            <w:shd w:val="clear" w:color="auto" w:fill="auto"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Strategie pro inteligentní specializaci se opírá (opírají) o:</w:t>
            </w:r>
          </w:p>
        </w:tc>
        <w:tc>
          <w:tcPr>
            <w:tcW w:w="992" w:type="dxa"/>
            <w:shd w:val="clear" w:color="auto" w:fill="auto"/>
          </w:tcPr>
          <w:p w:rsidR="00A51D23" w:rsidRPr="00A51D23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2693" w:type="dxa"/>
            <w:shd w:val="clear" w:color="auto" w:fill="auto"/>
          </w:tcPr>
          <w:p w:rsidR="00A51D23" w:rsidRPr="00A51D23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4961" w:type="dxa"/>
            <w:shd w:val="clear" w:color="auto" w:fill="auto"/>
          </w:tcPr>
          <w:p w:rsidR="00A51D23" w:rsidRPr="00A51D23" w:rsidRDefault="00A51D23" w:rsidP="00A51D23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</w:tr>
      <w:tr w:rsidR="00A51D23" w:rsidRPr="00B175FB" w:rsidTr="00F6239D">
        <w:tc>
          <w:tcPr>
            <w:tcW w:w="1277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</w:p>
        </w:tc>
        <w:tc>
          <w:tcPr>
            <w:tcW w:w="850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1985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1134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2268" w:type="dxa"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1. Aktuální ana</w:t>
            </w:r>
            <w:r>
              <w:rPr>
                <w:rFonts w:ascii="Times New Roman" w:hAnsi="Times New Roman"/>
                <w:sz w:val="18"/>
                <w:szCs w:val="18"/>
                <w:lang w:val="cs-CZ"/>
              </w:rPr>
              <w:t>lýzu výzev pro šíření inovací a </w:t>
            </w: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digitalizaci</w:t>
            </w:r>
          </w:p>
        </w:tc>
        <w:tc>
          <w:tcPr>
            <w:tcW w:w="992" w:type="dxa"/>
          </w:tcPr>
          <w:p w:rsidR="00A51D23" w:rsidRPr="00A51D23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A51D23">
              <w:rPr>
                <w:rFonts w:ascii="Times New Roman" w:hAnsi="Times New Roman"/>
                <w:sz w:val="18"/>
                <w:szCs w:val="18"/>
              </w:rPr>
              <w:t>ANO</w:t>
            </w:r>
          </w:p>
        </w:tc>
        <w:tc>
          <w:tcPr>
            <w:tcW w:w="2693" w:type="dxa"/>
          </w:tcPr>
          <w:p w:rsidR="00A51D23" w:rsidRPr="00A51D23" w:rsidRDefault="00D05954" w:rsidP="00A51D23">
            <w:pPr>
              <w:spacing w:after="0" w:line="240" w:lineRule="auto"/>
              <w:rPr>
                <w:rStyle w:val="Hypertextovodkaz"/>
                <w:rFonts w:eastAsia="Times New Roman"/>
                <w:sz w:val="18"/>
                <w:szCs w:val="18"/>
                <w:lang w:val="x-none" w:eastAsia="x-none"/>
              </w:rPr>
            </w:pPr>
            <w:hyperlink r:id="rId44" w:history="1">
              <w:r w:rsidR="00A51D23" w:rsidRPr="00A51D23">
                <w:rPr>
                  <w:rStyle w:val="Hypertextovodkaz"/>
                  <w:sz w:val="18"/>
                  <w:szCs w:val="18"/>
                </w:rPr>
                <w:t>Národní RIS3 strategie 2021-2027</w:t>
              </w:r>
            </w:hyperlink>
            <w:r w:rsidR="00A51D23" w:rsidRPr="00A51D23">
              <w:rPr>
                <w:sz w:val="18"/>
                <w:szCs w:val="18"/>
              </w:rPr>
              <w:t xml:space="preserve">; </w:t>
            </w:r>
            <w:hyperlink r:id="rId45" w:history="1">
              <w:r w:rsidR="00A51D23" w:rsidRPr="00A51D23">
                <w:rPr>
                  <w:rStyle w:val="Hypertextovodkaz"/>
                  <w:sz w:val="18"/>
                  <w:szCs w:val="18"/>
                </w:rPr>
                <w:t>Komplexní analýza bariér aplikovaného a orientovaného výzkumu, vývoje a inovací v ČR a návrh implementace nastavených opatření v progr. obd. 2021 – 2027 pro Nár. RIS3 strategii; Analýza propojení KETs s aplikačními odvětvími Nár</w:t>
              </w:r>
            </w:hyperlink>
            <w:r w:rsidR="00A51D23" w:rsidRPr="00A51D23">
              <w:rPr>
                <w:sz w:val="18"/>
                <w:szCs w:val="18"/>
              </w:rPr>
              <w:t xml:space="preserve">. RIS3 strategie, krajské RIS3 strategie; </w:t>
            </w:r>
            <w:hyperlink r:id="rId46" w:history="1">
              <w:r w:rsidR="00A51D23" w:rsidRPr="00A51D23">
                <w:rPr>
                  <w:rStyle w:val="Hypertextovodkaz"/>
                  <w:sz w:val="18"/>
                  <w:szCs w:val="18"/>
                </w:rPr>
                <w:t>Nár. politika VaVaI</w:t>
              </w:r>
            </w:hyperlink>
            <w:r w:rsidR="00A51D23" w:rsidRPr="00A51D23">
              <w:rPr>
                <w:sz w:val="18"/>
                <w:szCs w:val="18"/>
              </w:rPr>
              <w:t xml:space="preserve">; </w:t>
            </w:r>
            <w:hyperlink r:id="rId47" w:history="1">
              <w:r w:rsidR="00A51D23" w:rsidRPr="00A51D23">
                <w:rPr>
                  <w:sz w:val="18"/>
                  <w:szCs w:val="18"/>
                </w:rPr>
                <w:t>Analýza VaVaI a její mezinár. srovnání</w:t>
              </w:r>
            </w:hyperlink>
            <w:r w:rsidR="00A51D23" w:rsidRPr="00A51D23">
              <w:rPr>
                <w:sz w:val="18"/>
                <w:szCs w:val="18"/>
              </w:rPr>
              <w:t xml:space="preserve">; </w:t>
            </w:r>
            <w:hyperlink r:id="rId48" w:history="1">
              <w:r w:rsidR="00A51D23" w:rsidRPr="00A51D23">
                <w:rPr>
                  <w:rStyle w:val="Hypertextovodkaz"/>
                  <w:sz w:val="18"/>
                  <w:szCs w:val="18"/>
                </w:rPr>
                <w:t>INKA -  mapování inovační kapacity</w:t>
              </w:r>
            </w:hyperlink>
            <w:r w:rsidR="00A51D23" w:rsidRPr="00A51D23">
              <w:rPr>
                <w:sz w:val="18"/>
                <w:szCs w:val="18"/>
              </w:rPr>
              <w:t xml:space="preserve">; </w:t>
            </w:r>
            <w:hyperlink r:id="rId49" w:history="1">
              <w:r w:rsidR="00A51D23" w:rsidRPr="00A51D23">
                <w:rPr>
                  <w:rStyle w:val="Hypertextovodkaz"/>
                  <w:sz w:val="18"/>
                  <w:szCs w:val="18"/>
                </w:rPr>
                <w:t>INKA - analýza makroekonomických. a mikroekonomických. dat</w:t>
              </w:r>
            </w:hyperlink>
          </w:p>
          <w:p w:rsidR="00A51D23" w:rsidRPr="00A51D23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4961" w:type="dxa"/>
          </w:tcPr>
          <w:p w:rsidR="00A51D23" w:rsidRPr="00A51D23" w:rsidRDefault="00A51D23" w:rsidP="00FE6F9D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51D23">
              <w:rPr>
                <w:rFonts w:ascii="Times New Roman" w:hAnsi="Times New Roman"/>
                <w:sz w:val="18"/>
                <w:szCs w:val="18"/>
              </w:rPr>
              <w:t>Národní RIS3 strategie ČR 2021</w:t>
            </w: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>-2027, která byla schválena vládou 25. 1. 2021, je</w:t>
            </w:r>
            <w:r w:rsidRPr="00A51D23">
              <w:rPr>
                <w:rFonts w:ascii="Times New Roman" w:hAnsi="Times New Roman"/>
                <w:sz w:val="18"/>
                <w:szCs w:val="18"/>
              </w:rPr>
              <w:t xml:space="preserve"> založena na zrevidovaných východiscích, analytická a návrhová část vycház</w:t>
            </w: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>í</w:t>
            </w:r>
            <w:r w:rsidRPr="00A51D23">
              <w:rPr>
                <w:rFonts w:ascii="Times New Roman" w:hAnsi="Times New Roman"/>
                <w:sz w:val="18"/>
                <w:szCs w:val="18"/>
              </w:rPr>
              <w:t xml:space="preserve"> z provedených analýz a</w:t>
            </w: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 xml:space="preserve"> je</w:t>
            </w:r>
            <w:r w:rsidRPr="00A51D23">
              <w:rPr>
                <w:rFonts w:ascii="Times New Roman" w:hAnsi="Times New Roman"/>
                <w:sz w:val="18"/>
                <w:szCs w:val="18"/>
              </w:rPr>
              <w:t xml:space="preserve"> kladen důraz na přehlednou strukturu klíčových oblastí změn a</w:t>
            </w:r>
            <w:r w:rsidR="00FE6F9D">
              <w:rPr>
                <w:rFonts w:ascii="Times New Roman" w:hAnsi="Times New Roman"/>
                <w:sz w:val="18"/>
                <w:szCs w:val="18"/>
                <w:lang w:val="cs-CZ"/>
              </w:rPr>
              <w:t> </w:t>
            </w:r>
            <w:r w:rsidRPr="00A51D23">
              <w:rPr>
                <w:rFonts w:ascii="Times New Roman" w:hAnsi="Times New Roman"/>
                <w:sz w:val="18"/>
                <w:szCs w:val="18"/>
              </w:rPr>
              <w:t xml:space="preserve">cílů. Zásadní </w:t>
            </w: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>jsou</w:t>
            </w:r>
            <w:r w:rsidRPr="00A51D23">
              <w:rPr>
                <w:rFonts w:ascii="Times New Roman" w:hAnsi="Times New Roman"/>
                <w:sz w:val="18"/>
                <w:szCs w:val="18"/>
              </w:rPr>
              <w:t xml:space="preserve"> provazby na strukturu programů pro PO 2021-2027. Analogicky </w:t>
            </w: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>byly</w:t>
            </w:r>
            <w:r w:rsidRPr="00A51D23">
              <w:rPr>
                <w:rFonts w:ascii="Times New Roman" w:hAnsi="Times New Roman"/>
                <w:sz w:val="18"/>
                <w:szCs w:val="18"/>
              </w:rPr>
              <w:t xml:space="preserve"> př</w:t>
            </w: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>i</w:t>
            </w:r>
            <w:r w:rsidRPr="00A51D23">
              <w:rPr>
                <w:rFonts w:ascii="Times New Roman" w:hAnsi="Times New Roman"/>
                <w:sz w:val="18"/>
                <w:szCs w:val="18"/>
              </w:rPr>
              <w:t>prav</w:t>
            </w: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>eny</w:t>
            </w:r>
            <w:r w:rsidRPr="00A51D23">
              <w:rPr>
                <w:rFonts w:ascii="Times New Roman" w:hAnsi="Times New Roman"/>
                <w:sz w:val="18"/>
                <w:szCs w:val="18"/>
              </w:rPr>
              <w:t xml:space="preserve"> krajsk</w:t>
            </w: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>é</w:t>
            </w:r>
            <w:r w:rsidRPr="00A51D23">
              <w:rPr>
                <w:rFonts w:ascii="Times New Roman" w:hAnsi="Times New Roman"/>
                <w:sz w:val="18"/>
                <w:szCs w:val="18"/>
              </w:rPr>
              <w:t xml:space="preserve"> RIS3 strategi</w:t>
            </w: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>e</w:t>
            </w:r>
            <w:r w:rsidRPr="00A51D23">
              <w:rPr>
                <w:rFonts w:ascii="Times New Roman" w:hAnsi="Times New Roman"/>
                <w:sz w:val="18"/>
                <w:szCs w:val="18"/>
              </w:rPr>
              <w:t xml:space="preserve"> -podpůrným nástrojem je výzva Smart Akcelerátor II., která přispívá k rozvoji krajských RIS3.</w:t>
            </w:r>
          </w:p>
          <w:p w:rsidR="00A51D23" w:rsidRPr="00A51D23" w:rsidRDefault="00A51D23" w:rsidP="00A51D23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A51D23">
              <w:rPr>
                <w:rFonts w:ascii="Times New Roman" w:hAnsi="Times New Roman"/>
                <w:sz w:val="18"/>
                <w:szCs w:val="18"/>
              </w:rPr>
              <w:t>V březnu 2020 byla dokončena „Komplexní analýza bariér aplikovaného a orientovaného výzkumu, experimentálního vývoje a inovací v ČR a návrh implementace nastavených opatření v programovém období 2021</w:t>
            </w:r>
            <w:r w:rsidR="00970021" w:rsidRPr="00970021">
              <w:rPr>
                <w:rFonts w:ascii="Times New Roman" w:hAnsi="Times New Roman"/>
                <w:sz w:val="18"/>
                <w:szCs w:val="18"/>
              </w:rPr>
              <w:t xml:space="preserve"> – </w:t>
            </w:r>
            <w:r w:rsidRPr="00A51D23">
              <w:rPr>
                <w:rFonts w:ascii="Times New Roman" w:hAnsi="Times New Roman"/>
                <w:sz w:val="18"/>
                <w:szCs w:val="18"/>
              </w:rPr>
              <w:t>2027 pro Národní RIS3 strategii“, která obsahuje aktuální analýzu výzev pro šíření inovací a</w:t>
            </w:r>
            <w:r>
              <w:rPr>
                <w:rFonts w:ascii="Times New Roman" w:hAnsi="Times New Roman"/>
                <w:sz w:val="18"/>
                <w:szCs w:val="18"/>
                <w:lang w:val="cs-CZ"/>
              </w:rPr>
              <w:t> </w:t>
            </w:r>
            <w:r w:rsidRPr="00A51D23">
              <w:rPr>
                <w:rFonts w:ascii="Times New Roman" w:hAnsi="Times New Roman"/>
                <w:sz w:val="18"/>
                <w:szCs w:val="18"/>
              </w:rPr>
              <w:t>digitalizaci. Na konci dubna 2020 byla dokončena „Analýza propojení KETs s aplikačními odvětvími Národní RIS3 strategie“ zpracovaná Technologickým centrem AV ČR. Aktualizace Národní RIS3 strategie je založena především na výsledcích těchto analýz.</w:t>
            </w:r>
          </w:p>
        </w:tc>
      </w:tr>
      <w:tr w:rsidR="00A51D23" w:rsidRPr="00B175FB" w:rsidTr="00F6239D">
        <w:tc>
          <w:tcPr>
            <w:tcW w:w="1277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</w:p>
        </w:tc>
        <w:tc>
          <w:tcPr>
            <w:tcW w:w="850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1985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1134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2268" w:type="dxa"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970021">
              <w:rPr>
                <w:rFonts w:ascii="Times New Roman" w:hAnsi="Times New Roman"/>
                <w:sz w:val="18"/>
                <w:szCs w:val="18"/>
              </w:rPr>
              <w:t>2. Existenci příslušné regionální/vnitrostátní instituce nebo subjektu odpovědného za řízení strategie pro inteligentní specializaci</w:t>
            </w:r>
          </w:p>
        </w:tc>
        <w:tc>
          <w:tcPr>
            <w:tcW w:w="992" w:type="dxa"/>
          </w:tcPr>
          <w:p w:rsidR="00A51D23" w:rsidRPr="00A51D23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>ANO</w:t>
            </w:r>
          </w:p>
        </w:tc>
        <w:tc>
          <w:tcPr>
            <w:tcW w:w="2693" w:type="dxa"/>
          </w:tcPr>
          <w:p w:rsidR="00A51D23" w:rsidRPr="00A51D23" w:rsidRDefault="00D05954" w:rsidP="00A51D23">
            <w:pPr>
              <w:spacing w:after="0" w:line="240" w:lineRule="auto"/>
              <w:rPr>
                <w:sz w:val="18"/>
                <w:szCs w:val="18"/>
                <w:lang w:eastAsia="cs-CZ"/>
              </w:rPr>
            </w:pPr>
            <w:hyperlink r:id="rId50" w:history="1">
              <w:r w:rsidR="00A51D23" w:rsidRPr="00A51D23">
                <w:rPr>
                  <w:rStyle w:val="Hypertextovodkaz"/>
                  <w:sz w:val="18"/>
                  <w:szCs w:val="18"/>
                </w:rPr>
                <w:t>Národní RIS3 strategie 2021-2027</w:t>
              </w:r>
            </w:hyperlink>
            <w:r w:rsidR="00A51D23" w:rsidRPr="00A51D23">
              <w:rPr>
                <w:sz w:val="18"/>
                <w:szCs w:val="18"/>
              </w:rPr>
              <w:t xml:space="preserve">; </w:t>
            </w:r>
            <w:r w:rsidR="00A51D23" w:rsidRPr="00A51D23">
              <w:rPr>
                <w:rFonts w:eastAsia="Times New Roman"/>
                <w:sz w:val="18"/>
                <w:szCs w:val="18"/>
                <w:lang w:val="x-none" w:eastAsia="x-none"/>
              </w:rPr>
              <w:t xml:space="preserve">krajské RIS3 strategie; každoroční </w:t>
            </w:r>
            <w:hyperlink r:id="rId51" w:history="1">
              <w:r w:rsidR="00A51D23" w:rsidRPr="00A51D23">
                <w:rPr>
                  <w:rStyle w:val="Hypertextovodkaz"/>
                  <w:sz w:val="18"/>
                  <w:szCs w:val="18"/>
                </w:rPr>
                <w:t>Zprávy o realizaci RIS3 a Plány implementace RIS3</w:t>
              </w:r>
            </w:hyperlink>
            <w:r w:rsidR="00A51D23" w:rsidRPr="00A51D23">
              <w:rPr>
                <w:rFonts w:eastAsia="Times New Roman"/>
                <w:sz w:val="18"/>
                <w:szCs w:val="18"/>
                <w:lang w:val="x-none" w:eastAsia="x-none"/>
              </w:rPr>
              <w:t xml:space="preserve">; pravidelné Zprávy o realizaci krajských RIS3 včetně ročních finančních výkazů; </w:t>
            </w:r>
            <w:hyperlink r:id="rId52" w:history="1">
              <w:r w:rsidR="00A51D23" w:rsidRPr="00A51D23">
                <w:rPr>
                  <w:rStyle w:val="Hypertextovodkaz"/>
                  <w:sz w:val="18"/>
                  <w:szCs w:val="18"/>
                </w:rPr>
                <w:t>Národní politika výzkumu, vývoje a inovací České republiky 2021+</w:t>
              </w:r>
            </w:hyperlink>
            <w:r w:rsidR="00A51D23" w:rsidRPr="00A51D23">
              <w:rPr>
                <w:sz w:val="18"/>
                <w:szCs w:val="18"/>
              </w:rPr>
              <w:t xml:space="preserve"> </w:t>
            </w:r>
            <w:r w:rsidR="00A51D23" w:rsidRPr="00A51D23">
              <w:rPr>
                <w:rFonts w:eastAsia="Times New Roman"/>
                <w:sz w:val="18"/>
                <w:szCs w:val="18"/>
                <w:lang w:val="x-none" w:eastAsia="x-none"/>
              </w:rPr>
              <w:t xml:space="preserve">(MPO jako gestor Opatření 21: Realizace Národní RIS3 strategie). </w:t>
            </w:r>
          </w:p>
          <w:p w:rsidR="00A51D23" w:rsidRPr="00A51D23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4961" w:type="dxa"/>
          </w:tcPr>
          <w:p w:rsidR="00A51D23" w:rsidRPr="00A51D23" w:rsidRDefault="00A51D23" w:rsidP="00A51D23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A51D23">
              <w:rPr>
                <w:rFonts w:ascii="Times New Roman" w:hAnsi="Times New Roman"/>
                <w:sz w:val="18"/>
                <w:szCs w:val="18"/>
              </w:rPr>
              <w:t>Zakotveny byly národní i regionální implementační struktury, resp. řídicí struktury RIS3 (Řídicí výbor RIS3, národní RIS3 manažer; krajští RIS3 manažeři/koordinátoři; Krajské rady pro inovace ad.). Jako významný podpůrný nástroj jsou využívány výzvy Smart Akcelerátor, jejichž plnění přispívá k všestrannému rozvoji krajských RIS3.</w:t>
            </w:r>
          </w:p>
        </w:tc>
      </w:tr>
      <w:tr w:rsidR="00A51D23" w:rsidRPr="00B175FB" w:rsidTr="00F6239D">
        <w:tc>
          <w:tcPr>
            <w:tcW w:w="1277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</w:p>
        </w:tc>
        <w:tc>
          <w:tcPr>
            <w:tcW w:w="850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1985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1134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2268" w:type="dxa"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970021">
              <w:rPr>
                <w:rFonts w:ascii="Times New Roman" w:hAnsi="Times New Roman"/>
                <w:sz w:val="18"/>
                <w:szCs w:val="18"/>
              </w:rPr>
              <w:t>3. Nástroje monitorování a</w:t>
            </w:r>
            <w:r w:rsidR="006A5A79">
              <w:rPr>
                <w:rFonts w:ascii="Times New Roman" w:hAnsi="Times New Roman"/>
                <w:sz w:val="18"/>
                <w:szCs w:val="18"/>
                <w:lang w:val="cs-CZ"/>
              </w:rPr>
              <w:t> </w:t>
            </w:r>
            <w:r w:rsidRPr="00970021">
              <w:rPr>
                <w:rFonts w:ascii="Times New Roman" w:hAnsi="Times New Roman"/>
                <w:sz w:val="18"/>
                <w:szCs w:val="18"/>
              </w:rPr>
              <w:t>hodnocení na měření výsledků vzhledem k cílům strategie</w:t>
            </w:r>
          </w:p>
        </w:tc>
        <w:tc>
          <w:tcPr>
            <w:tcW w:w="992" w:type="dxa"/>
          </w:tcPr>
          <w:p w:rsidR="00A51D23" w:rsidRPr="00A51D23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>ANO</w:t>
            </w:r>
          </w:p>
        </w:tc>
        <w:tc>
          <w:tcPr>
            <w:tcW w:w="2693" w:type="dxa"/>
          </w:tcPr>
          <w:p w:rsidR="00A51D23" w:rsidRPr="00A51D23" w:rsidRDefault="00D05954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53" w:history="1">
              <w:r w:rsidR="00A51D23" w:rsidRPr="00A51D23">
                <w:rPr>
                  <w:rStyle w:val="Hypertextovodkaz"/>
                  <w:rFonts w:ascii="Times New Roman" w:hAnsi="Times New Roman"/>
                  <w:sz w:val="18"/>
                  <w:szCs w:val="18"/>
                </w:rPr>
                <w:t>Národní RIS3 strategie 2021-2027</w:t>
              </w:r>
            </w:hyperlink>
            <w:r w:rsidR="00A51D23" w:rsidRPr="00A51D23">
              <w:rPr>
                <w:rFonts w:ascii="Times New Roman" w:hAnsi="Times New Roman"/>
                <w:sz w:val="18"/>
                <w:szCs w:val="18"/>
              </w:rPr>
              <w:t xml:space="preserve">; krajské RIS3 strategie; každoroční </w:t>
            </w:r>
            <w:hyperlink r:id="rId54" w:history="1">
              <w:r w:rsidR="00A51D23" w:rsidRPr="00A51D23">
                <w:rPr>
                  <w:rStyle w:val="Hypertextovodkaz"/>
                  <w:rFonts w:ascii="Times New Roman" w:hAnsi="Times New Roman"/>
                  <w:sz w:val="18"/>
                  <w:szCs w:val="18"/>
                </w:rPr>
                <w:t>Zprávy o realizaci RIS3 a Plány implementace RIS3</w:t>
              </w:r>
            </w:hyperlink>
            <w:r w:rsidR="00A51D23" w:rsidRPr="00A51D23">
              <w:rPr>
                <w:rFonts w:ascii="Times New Roman" w:hAnsi="Times New Roman"/>
                <w:sz w:val="18"/>
                <w:szCs w:val="18"/>
              </w:rPr>
              <w:t>; pravidelné Zprávy o realizaci krajských RIS3 včetně ročních finančních výkazů.</w:t>
            </w:r>
          </w:p>
        </w:tc>
        <w:tc>
          <w:tcPr>
            <w:tcW w:w="4961" w:type="dxa"/>
          </w:tcPr>
          <w:p w:rsidR="00A51D23" w:rsidRPr="00A51D23" w:rsidRDefault="00A51D23" w:rsidP="00A51D23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51D23">
              <w:rPr>
                <w:rFonts w:ascii="Times New Roman" w:hAnsi="Times New Roman"/>
                <w:sz w:val="18"/>
                <w:szCs w:val="18"/>
              </w:rPr>
              <w:t>Monitoring národní RIS3 je funkční a jeho celková metodika, vč.</w:t>
            </w:r>
            <w:r w:rsidR="00970021" w:rsidRPr="0097002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51D23">
              <w:rPr>
                <w:rFonts w:ascii="Times New Roman" w:hAnsi="Times New Roman"/>
                <w:sz w:val="18"/>
                <w:szCs w:val="18"/>
              </w:rPr>
              <w:t>indikátorů, byla zpracována. Nastaveny byly pravidelné sběry dat ve spolupráci s gestory OP (exporty z MS 2014+) a poskytovateli národní podpory. Národní programy jsou monitorovány na základě dat z IS VaVaI. Zvažována je možnost online monitoringu. Dílčí problémy jsou průběžně odlaďovány. Jsou vypracovávány pravidelné roční Zprávy o realizaci RIS3, které jsou předkládány ke schválení Řídícímu výboru Národní RIS3 strategie  Jako významný podpůrný nástroj jsou využívány výzvy Smart Akcelerátor, jejichž plnění přispívá k všestrannému rozvoji krajských RIS3. Kritérium je však plněno i v krajích, které podporu z těchto výzev nevyužívají.</w:t>
            </w:r>
          </w:p>
          <w:p w:rsidR="00A51D23" w:rsidRPr="00A51D23" w:rsidRDefault="00A51D23" w:rsidP="00A51D23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A51D23">
              <w:rPr>
                <w:rFonts w:ascii="Times New Roman" w:hAnsi="Times New Roman"/>
                <w:sz w:val="18"/>
                <w:szCs w:val="18"/>
              </w:rPr>
              <w:t>Nastavení a rozvoj portálu pro online monitoring výsledků Národní RIS3 strategie je součástí projektu „Systémová podpora implementace a řízení Národní RIS3 strategie“ financovaného z Operačního programu Výzkum, vývoj a vzdělávání (OP VVV), který započal v březnu 2020.</w:t>
            </w:r>
          </w:p>
        </w:tc>
      </w:tr>
      <w:tr w:rsidR="00A51D23" w:rsidRPr="00B175FB" w:rsidTr="00F6239D">
        <w:tc>
          <w:tcPr>
            <w:tcW w:w="1277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</w:p>
        </w:tc>
        <w:tc>
          <w:tcPr>
            <w:tcW w:w="850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1985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1134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2268" w:type="dxa"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4. Fungování spolupráce se zúčastněnými stranami („procesu objevování podnikatelského potenciálu“)</w:t>
            </w:r>
          </w:p>
        </w:tc>
        <w:tc>
          <w:tcPr>
            <w:tcW w:w="992" w:type="dxa"/>
          </w:tcPr>
          <w:p w:rsidR="00A51D23" w:rsidRPr="00A51D23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>ANO</w:t>
            </w:r>
          </w:p>
        </w:tc>
        <w:tc>
          <w:tcPr>
            <w:tcW w:w="2693" w:type="dxa"/>
          </w:tcPr>
          <w:p w:rsidR="00A51D23" w:rsidRPr="00A51D23" w:rsidRDefault="00D05954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55" w:history="1">
              <w:r w:rsidR="00A51D23" w:rsidRPr="00A51D23">
                <w:rPr>
                  <w:rStyle w:val="Hypertextovodkaz"/>
                  <w:rFonts w:ascii="Times New Roman" w:hAnsi="Times New Roman"/>
                  <w:sz w:val="18"/>
                  <w:szCs w:val="18"/>
                </w:rPr>
                <w:t>Národní RIS3 strategie 2021-2027</w:t>
              </w:r>
            </w:hyperlink>
            <w:r w:rsidR="00A51D23" w:rsidRPr="00A51D23">
              <w:rPr>
                <w:rFonts w:ascii="Times New Roman" w:hAnsi="Times New Roman"/>
                <w:sz w:val="18"/>
                <w:szCs w:val="18"/>
              </w:rPr>
              <w:t xml:space="preserve">; krajské RIS3 strategie; každoroční </w:t>
            </w:r>
            <w:hyperlink r:id="rId56" w:history="1">
              <w:r w:rsidR="00A51D23" w:rsidRPr="00A51D23">
                <w:rPr>
                  <w:rStyle w:val="Hypertextovodkaz"/>
                  <w:rFonts w:ascii="Times New Roman" w:hAnsi="Times New Roman"/>
                  <w:sz w:val="18"/>
                  <w:szCs w:val="18"/>
                </w:rPr>
                <w:t>Zprávy o realizaci RIS3 a Plány implementace RIS3</w:t>
              </w:r>
            </w:hyperlink>
            <w:r w:rsidR="00A51D23" w:rsidRPr="00A51D23">
              <w:rPr>
                <w:rFonts w:ascii="Times New Roman" w:hAnsi="Times New Roman"/>
                <w:sz w:val="18"/>
                <w:szCs w:val="18"/>
              </w:rPr>
              <w:t>; dále pravidelné Zprávy o realizaci krajských RIS3 a jejich každoroční finanční přílohy.</w:t>
            </w:r>
          </w:p>
        </w:tc>
        <w:tc>
          <w:tcPr>
            <w:tcW w:w="4961" w:type="dxa"/>
          </w:tcPr>
          <w:p w:rsidR="00A51D23" w:rsidRPr="00A51D23" w:rsidRDefault="00A51D23" w:rsidP="00A51D23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>Ustaveny byly jak regionální (KIP) tak národní inovační platformy (NIP), které jsou faktickým nositelem EDP. Mají statut poradních orgánů Řídicího výboru RIS3/Krajských rad pro inovace. Jejich činnost – tj. periodicita jednání a výstupů (především ve vztahu k identifikaci nových inovačních trendů či potvrzení stávajících) jsou průběžně vyhodnocovány a pravidelně tvoří základní pramen pro aktualizace RIS3. Jako významný podpůrný nástroj jsou využívány výzvy Smart Akcelerátor, jejichž plnění přispívá k všestrannému rozvoji krajských RIS3.</w:t>
            </w:r>
          </w:p>
        </w:tc>
      </w:tr>
      <w:tr w:rsidR="00A51D23" w:rsidRPr="00B175FB" w:rsidTr="00F6239D">
        <w:tc>
          <w:tcPr>
            <w:tcW w:w="1277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</w:p>
        </w:tc>
        <w:tc>
          <w:tcPr>
            <w:tcW w:w="850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1985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1134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2268" w:type="dxa"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970021">
              <w:rPr>
                <w:rFonts w:ascii="Times New Roman" w:hAnsi="Times New Roman"/>
                <w:sz w:val="18"/>
                <w:szCs w:val="18"/>
              </w:rPr>
              <w:t>5. Opatření nezbytná ke zlepšení vnitrostátních nebo regionálních systémů výzkumu a inovací, kde je to relevantní</w:t>
            </w:r>
          </w:p>
        </w:tc>
        <w:tc>
          <w:tcPr>
            <w:tcW w:w="992" w:type="dxa"/>
          </w:tcPr>
          <w:p w:rsidR="00A51D23" w:rsidRPr="00A51D23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>ANO</w:t>
            </w:r>
          </w:p>
        </w:tc>
        <w:tc>
          <w:tcPr>
            <w:tcW w:w="2693" w:type="dxa"/>
          </w:tcPr>
          <w:p w:rsidR="00A51D23" w:rsidRPr="00A51D23" w:rsidRDefault="00D05954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57" w:history="1">
              <w:r w:rsidR="00A51D23" w:rsidRPr="00A51D23">
                <w:rPr>
                  <w:rFonts w:ascii="Times New Roman" w:eastAsia="Calibri" w:hAnsi="Times New Roman"/>
                  <w:color w:val="0000FF"/>
                  <w:sz w:val="18"/>
                  <w:szCs w:val="18"/>
                  <w:u w:val="single"/>
                </w:rPr>
                <w:t>Národní politika výzkumu, vývoje a inovací České republiky 2021+</w:t>
              </w:r>
            </w:hyperlink>
            <w:r w:rsidR="00A51D23" w:rsidRPr="00A51D23"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hyperlink r:id="rId58" w:history="1">
              <w:r w:rsidR="00A51D23" w:rsidRPr="00A51D23">
                <w:rPr>
                  <w:rStyle w:val="Hypertextovodkaz"/>
                  <w:rFonts w:ascii="Times New Roman" w:hAnsi="Times New Roman"/>
                  <w:sz w:val="18"/>
                  <w:szCs w:val="18"/>
                </w:rPr>
                <w:t>Národní RIS3 strategie 2021-2027</w:t>
              </w:r>
            </w:hyperlink>
            <w:r w:rsidR="00A51D23" w:rsidRPr="00A51D23">
              <w:rPr>
                <w:rFonts w:ascii="Times New Roman" w:eastAsia="Calibri" w:hAnsi="Times New Roman"/>
                <w:sz w:val="18"/>
                <w:szCs w:val="18"/>
              </w:rPr>
              <w:t>.</w:t>
            </w:r>
            <w:r w:rsidR="00A51D23" w:rsidRPr="00A51D23">
              <w:rPr>
                <w:rFonts w:ascii="Times New Roman" w:eastAsia="Calibri" w:hAnsi="Times New Roman"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4961" w:type="dxa"/>
          </w:tcPr>
          <w:p w:rsidR="00A51D23" w:rsidRPr="00A51D23" w:rsidRDefault="00A51D23" w:rsidP="00A51D23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A51D23">
              <w:rPr>
                <w:rFonts w:ascii="Times New Roman" w:hAnsi="Times New Roman"/>
                <w:sz w:val="18"/>
                <w:szCs w:val="18"/>
              </w:rPr>
              <w:t>Plnění opatření Národní politiky výzkumu, vývoje a inovací 2021+ (NP VaVaI). Opatření obsažená v NP VaVaI jsou koncipována jen pro národní úroveň. Jako významný podpůrný nástroj jsou využívány výzvy Smart Akcelerátor, jejichž plnění přispívá k všestrannému rozvoji krajských RIS3.</w:t>
            </w:r>
          </w:p>
        </w:tc>
      </w:tr>
      <w:tr w:rsidR="00A51D23" w:rsidRPr="00B175FB" w:rsidTr="00F6239D">
        <w:tc>
          <w:tcPr>
            <w:tcW w:w="1277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</w:p>
        </w:tc>
        <w:tc>
          <w:tcPr>
            <w:tcW w:w="850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1985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1134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2268" w:type="dxa"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970021">
              <w:rPr>
                <w:rFonts w:ascii="Times New Roman" w:hAnsi="Times New Roman"/>
                <w:sz w:val="18"/>
                <w:szCs w:val="18"/>
              </w:rPr>
              <w:t>6. Pokud je to relevantní, opatření na podporu průmyslové transformace</w:t>
            </w:r>
          </w:p>
        </w:tc>
        <w:tc>
          <w:tcPr>
            <w:tcW w:w="992" w:type="dxa"/>
          </w:tcPr>
          <w:p w:rsidR="00A51D23" w:rsidRPr="00A51D23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 xml:space="preserve">ANO </w:t>
            </w:r>
          </w:p>
        </w:tc>
        <w:tc>
          <w:tcPr>
            <w:tcW w:w="2693" w:type="dxa"/>
          </w:tcPr>
          <w:p w:rsidR="00A51D23" w:rsidRPr="00A51D23" w:rsidRDefault="00D05954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</w:rPr>
            </w:pPr>
            <w:hyperlink r:id="rId59" w:history="1">
              <w:r w:rsidR="00A51D23" w:rsidRPr="00A51D23">
                <w:rPr>
                  <w:rStyle w:val="Hypertextovodkaz"/>
                  <w:rFonts w:ascii="Times New Roman" w:hAnsi="Times New Roman"/>
                  <w:sz w:val="18"/>
                  <w:szCs w:val="18"/>
                </w:rPr>
                <w:t>Národní RIS3 strategie 2021-2027</w:t>
              </w:r>
            </w:hyperlink>
            <w:r w:rsidR="00A51D23" w:rsidRPr="00A51D23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A51D23" w:rsidRPr="00A51D23" w:rsidRDefault="00D05954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</w:rPr>
            </w:pPr>
            <w:hyperlink r:id="rId60" w:history="1">
              <w:r w:rsidR="00A51D23" w:rsidRPr="00A51D23">
                <w:rPr>
                  <w:rStyle w:val="Hypertextovodkaz"/>
                  <w:rFonts w:ascii="Times New Roman" w:hAnsi="Times New Roman"/>
                  <w:sz w:val="18"/>
                  <w:szCs w:val="18"/>
                </w:rPr>
                <w:t>Digitální Česko – III. pilíř Digitální ekonomika</w:t>
              </w:r>
            </w:hyperlink>
          </w:p>
          <w:p w:rsidR="00A51D23" w:rsidRPr="00A51D23" w:rsidRDefault="00D05954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61" w:history="1">
              <w:r w:rsidR="00A51D23" w:rsidRPr="00A51D23">
                <w:rPr>
                  <w:rStyle w:val="Hypertextovodkaz"/>
                  <w:rFonts w:ascii="Times New Roman" w:hAnsi="Times New Roman"/>
                  <w:sz w:val="18"/>
                  <w:szCs w:val="18"/>
                </w:rPr>
                <w:t>Národní strategie umělé inteligence</w:t>
              </w:r>
            </w:hyperlink>
          </w:p>
        </w:tc>
        <w:tc>
          <w:tcPr>
            <w:tcW w:w="4961" w:type="dxa"/>
          </w:tcPr>
          <w:p w:rsidR="00970021" w:rsidRPr="00970021" w:rsidRDefault="00970021" w:rsidP="00970021">
            <w:pPr>
              <w:pStyle w:val="DAVA"/>
              <w:spacing w:after="120"/>
              <w:jc w:val="both"/>
              <w:rPr>
                <w:rFonts w:ascii="Times New Roman" w:eastAsia="Cambria" w:hAnsi="Times New Roman"/>
                <w:sz w:val="18"/>
                <w:szCs w:val="18"/>
              </w:rPr>
            </w:pPr>
            <w:r w:rsidRPr="00970021">
              <w:rPr>
                <w:rFonts w:ascii="Times New Roman" w:eastAsia="Cambria" w:hAnsi="Times New Roman"/>
                <w:sz w:val="18"/>
                <w:szCs w:val="18"/>
              </w:rPr>
              <w:t>Opatření na podporu průmyslové transformace jsou kromě Národní RIS3 strategie obsažena zejména ve dvou strategiích, které v nedávné době schválila Vláda ČR. Jedná se o strategii Digitální Česko (pilíř Digitální ekonomika a společnost) schválenou v roce 2018; dále jde o Národní strategii umělé inteligence (schválena v roce 2019)</w:t>
            </w:r>
          </w:p>
          <w:p w:rsidR="00A51D23" w:rsidRPr="00A51D23" w:rsidRDefault="00A51D23" w:rsidP="00A51D23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A51D23">
              <w:rPr>
                <w:rFonts w:ascii="Times New Roman" w:hAnsi="Times New Roman"/>
                <w:sz w:val="18"/>
                <w:szCs w:val="18"/>
              </w:rPr>
              <w:t>Jako významný podpůrný nástroj jsou využívány výzvy Smart Akcelerátor, jejichž plnění přispívá k všestrannému rozvoji krajských RIS3.</w:t>
            </w:r>
          </w:p>
        </w:tc>
      </w:tr>
      <w:tr w:rsidR="00A51D23" w:rsidRPr="00B175FB" w:rsidTr="00F6239D">
        <w:tc>
          <w:tcPr>
            <w:tcW w:w="1277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</w:p>
        </w:tc>
        <w:tc>
          <w:tcPr>
            <w:tcW w:w="850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1985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1134" w:type="dxa"/>
            <w:vMerge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2268" w:type="dxa"/>
          </w:tcPr>
          <w:p w:rsidR="00A51D23" w:rsidRPr="00B175FB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 xml:space="preserve">7. Opatření pro posílení spolupráce s partnery mimo daný členský stát v prioritních oblastech podporovaných strategií pro inteligentní specializaci </w:t>
            </w:r>
          </w:p>
        </w:tc>
        <w:tc>
          <w:tcPr>
            <w:tcW w:w="992" w:type="dxa"/>
          </w:tcPr>
          <w:p w:rsidR="00A51D23" w:rsidRPr="00A51D23" w:rsidRDefault="00A51D23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>ANO</w:t>
            </w:r>
          </w:p>
        </w:tc>
        <w:tc>
          <w:tcPr>
            <w:tcW w:w="2693" w:type="dxa"/>
          </w:tcPr>
          <w:p w:rsidR="00A51D23" w:rsidRPr="00A51D23" w:rsidRDefault="00D05954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</w:rPr>
            </w:pPr>
            <w:hyperlink r:id="rId62" w:history="1">
              <w:r w:rsidR="00A51D23" w:rsidRPr="00A51D23">
                <w:rPr>
                  <w:rStyle w:val="Hypertextovodkaz"/>
                  <w:rFonts w:ascii="Times New Roman" w:hAnsi="Times New Roman"/>
                  <w:sz w:val="18"/>
                  <w:szCs w:val="18"/>
                </w:rPr>
                <w:t>Národní RIS3 strategie 2021-2027</w:t>
              </w:r>
            </w:hyperlink>
          </w:p>
          <w:p w:rsidR="00A51D23" w:rsidRPr="00A51D23" w:rsidRDefault="00D05954" w:rsidP="00A51D23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63" w:history="1">
              <w:r w:rsidR="00A51D23" w:rsidRPr="00A51D23">
                <w:rPr>
                  <w:rStyle w:val="Hypertextovodkaz"/>
                  <w:rFonts w:ascii="Times New Roman" w:hAnsi="Times New Roman"/>
                  <w:sz w:val="18"/>
                  <w:szCs w:val="18"/>
                </w:rPr>
                <w:t>Národní politika výzkumu, vývoje a inovací</w:t>
              </w:r>
            </w:hyperlink>
            <w:r w:rsidR="00A51D23" w:rsidRPr="00A51D23">
              <w:rPr>
                <w:rFonts w:ascii="Times New Roman" w:hAnsi="Times New Roman"/>
                <w:sz w:val="18"/>
                <w:szCs w:val="18"/>
              </w:rPr>
              <w:t xml:space="preserve"> České republiky 2021+</w:t>
            </w:r>
          </w:p>
        </w:tc>
        <w:tc>
          <w:tcPr>
            <w:tcW w:w="4961" w:type="dxa"/>
          </w:tcPr>
          <w:p w:rsidR="00A51D23" w:rsidRPr="00A51D23" w:rsidRDefault="00A51D23" w:rsidP="00A51D23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>S</w:t>
            </w:r>
            <w:r w:rsidRPr="00A51D23">
              <w:rPr>
                <w:rFonts w:ascii="Times New Roman" w:hAnsi="Times New Roman"/>
                <w:sz w:val="18"/>
                <w:szCs w:val="18"/>
              </w:rPr>
              <w:t>oubor opatření na podporu mezinárodní spolupráce j</w:t>
            </w: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>e</w:t>
            </w:r>
            <w:r w:rsidRPr="00A51D23">
              <w:rPr>
                <w:rFonts w:ascii="Times New Roman" w:hAnsi="Times New Roman"/>
                <w:sz w:val="18"/>
                <w:szCs w:val="18"/>
              </w:rPr>
              <w:t xml:space="preserve"> integrální součástí NP VaVaI platné pro období let 2021+.</w:t>
            </w: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 xml:space="preserve"> </w:t>
            </w:r>
            <w:r w:rsidRPr="00A51D23">
              <w:rPr>
                <w:rFonts w:ascii="Times New Roman" w:hAnsi="Times New Roman"/>
                <w:sz w:val="18"/>
                <w:szCs w:val="18"/>
              </w:rPr>
              <w:t>Národní RIS3 strategie</w:t>
            </w:r>
            <w:r w:rsidRPr="00A51D23">
              <w:rPr>
                <w:rFonts w:ascii="Times New Roman" w:hAnsi="Times New Roman"/>
                <w:sz w:val="18"/>
                <w:szCs w:val="18"/>
                <w:lang w:val="cs-CZ"/>
              </w:rPr>
              <w:t xml:space="preserve"> 2021-2027</w:t>
            </w:r>
            <w:r w:rsidRPr="00A51D23">
              <w:rPr>
                <w:rFonts w:ascii="Times New Roman" w:hAnsi="Times New Roman"/>
                <w:sz w:val="18"/>
                <w:szCs w:val="18"/>
              </w:rPr>
              <w:t xml:space="preserve"> též obsahuje opatření pro posílení mezinárodní spolupráce v prioritních oblastech podporovaných v rámci strategie. Opatření v tomto směru jsou obsažena rovněž v krajských RIS3 strategiích. Jako významný podpůrný nástroj jsou využívány výzvy Smart Akcelerátor, jejichž plnění přispívá k všestrannému rozvoji krajských RIS3.</w:t>
            </w:r>
          </w:p>
        </w:tc>
      </w:tr>
      <w:tr w:rsidR="00586B2B" w:rsidRPr="00B175FB" w:rsidTr="00F6239D">
        <w:tc>
          <w:tcPr>
            <w:tcW w:w="1277" w:type="dxa"/>
            <w:shd w:val="clear" w:color="auto" w:fill="auto"/>
          </w:tcPr>
          <w:p w:rsidR="00586B2B" w:rsidRPr="00B175FB" w:rsidRDefault="00586B2B" w:rsidP="00586B2B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  <w:r w:rsidRPr="00B175FB">
              <w:rPr>
                <w:rFonts w:ascii="Times New Roman" w:hAnsi="Times New Roman"/>
                <w:b/>
                <w:sz w:val="18"/>
                <w:szCs w:val="18"/>
                <w:lang w:val="cs-CZ"/>
              </w:rPr>
              <w:t>4.3 Strategický rámec politiky pro systém vzdělávání a</w:t>
            </w:r>
            <w:r w:rsidR="00FE6F9D">
              <w:rPr>
                <w:rFonts w:ascii="Times New Roman" w:hAnsi="Times New Roman"/>
                <w:b/>
                <w:sz w:val="18"/>
                <w:szCs w:val="18"/>
                <w:lang w:val="cs-CZ"/>
              </w:rPr>
              <w:t> </w:t>
            </w:r>
            <w:r w:rsidRPr="00B175FB">
              <w:rPr>
                <w:rFonts w:ascii="Times New Roman" w:hAnsi="Times New Roman"/>
                <w:b/>
                <w:sz w:val="18"/>
                <w:szCs w:val="18"/>
                <w:lang w:val="cs-CZ"/>
              </w:rPr>
              <w:t>odborné přípravy na všech úrovních</w:t>
            </w:r>
          </w:p>
        </w:tc>
        <w:tc>
          <w:tcPr>
            <w:tcW w:w="850" w:type="dxa"/>
          </w:tcPr>
          <w:p w:rsidR="00586B2B" w:rsidRPr="00B175F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>
              <w:rPr>
                <w:rFonts w:ascii="Times New Roman" w:hAnsi="Times New Roman"/>
                <w:sz w:val="18"/>
                <w:szCs w:val="18"/>
                <w:lang w:val="cs-CZ"/>
              </w:rPr>
              <w:t>ERDF</w:t>
            </w:r>
          </w:p>
          <w:p w:rsidR="00586B2B" w:rsidRPr="00B175F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  <w:p w:rsidR="00586B2B" w:rsidRPr="00B175F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  <w:p w:rsidR="00586B2B" w:rsidRPr="00B175F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  <w:p w:rsidR="00586B2B" w:rsidRPr="00B175F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  <w:p w:rsidR="00586B2B" w:rsidRPr="00B175F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  <w:p w:rsidR="00586B2B" w:rsidRPr="00B175F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ESF+</w:t>
            </w:r>
          </w:p>
          <w:p w:rsidR="00586B2B" w:rsidRPr="00B175F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  <w:p w:rsidR="00586B2B" w:rsidRPr="00B175F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1985" w:type="dxa"/>
          </w:tcPr>
          <w:p w:rsidR="00586B2B" w:rsidRPr="00B175F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Zlepšení přístupu k inkluzivním a kvalitním službám v oblasti vzdělávání, odborné přípravy a celoživotního učení pomocí rozvoje infrastruktury</w:t>
            </w:r>
          </w:p>
          <w:p w:rsidR="00586B2B" w:rsidRPr="00B175F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  <w:p w:rsidR="00586B2B" w:rsidRPr="00B175FB" w:rsidRDefault="00586B2B" w:rsidP="00586B2B">
            <w:pPr>
              <w:pStyle w:val="DAVA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Zvyšování, kvality, účinnosti a rel</w:t>
            </w:r>
            <w:r>
              <w:rPr>
                <w:rFonts w:ascii="Times New Roman" w:hAnsi="Times New Roman"/>
                <w:sz w:val="18"/>
                <w:szCs w:val="18"/>
                <w:lang w:val="cs-CZ"/>
              </w:rPr>
              <w:t>evantnosti systémů vzdělávání a </w:t>
            </w: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odborné přípravy na trhu práce s cílem podporovat získávání klíčových kompetencí včetně digitálních dovedností</w:t>
            </w:r>
          </w:p>
          <w:p w:rsidR="00586B2B" w:rsidRPr="00B175F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Podpora r</w:t>
            </w:r>
            <w:r>
              <w:rPr>
                <w:rFonts w:ascii="Times New Roman" w:hAnsi="Times New Roman"/>
                <w:sz w:val="18"/>
                <w:szCs w:val="18"/>
                <w:lang w:val="cs-CZ"/>
              </w:rPr>
              <w:t>ovného přístupu ke kvalitnímu a </w:t>
            </w: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 xml:space="preserve">inkluzívnímu vzdělávání a odborné přípravě a jejich dokončení, zejména pro znevýhodněné </w:t>
            </w:r>
            <w:r>
              <w:rPr>
                <w:rFonts w:ascii="Times New Roman" w:hAnsi="Times New Roman"/>
                <w:sz w:val="18"/>
                <w:szCs w:val="18"/>
                <w:lang w:val="cs-CZ"/>
              </w:rPr>
              <w:t>skupiny, od vzdělávání a péče v </w:t>
            </w: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raném věku přes všeobecné a odborné vzdělávání a přípravu až po vys</w:t>
            </w:r>
            <w:r>
              <w:rPr>
                <w:rFonts w:ascii="Times New Roman" w:hAnsi="Times New Roman"/>
                <w:sz w:val="18"/>
                <w:szCs w:val="18"/>
                <w:lang w:val="cs-CZ"/>
              </w:rPr>
              <w:t>okoškolské v zdělávání, jakož i </w:t>
            </w: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vzdělávání a učení dospělých, včetně usnadnění mobility ve vzdělávání pro všechny</w:t>
            </w:r>
          </w:p>
          <w:p w:rsidR="00586B2B" w:rsidRPr="00B175FB" w:rsidRDefault="00586B2B" w:rsidP="00586B2B">
            <w:pPr>
              <w:pStyle w:val="DAVA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Podpora celoživotního vzdělávání, zejména flexibilního zvyšování kvalifikace a možnosti rekvalifikace pro všechny s přihlédnutím k digitálním dovednostem, lepší předvídání změn a</w:t>
            </w:r>
            <w:r w:rsidR="00FE6F9D">
              <w:rPr>
                <w:rFonts w:ascii="Times New Roman" w:hAnsi="Times New Roman"/>
                <w:sz w:val="18"/>
                <w:szCs w:val="18"/>
                <w:lang w:val="cs-CZ"/>
              </w:rPr>
              <w:t> </w:t>
            </w: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nových požadavků na dovednosti na základě potřeb t</w:t>
            </w:r>
            <w:r>
              <w:rPr>
                <w:rFonts w:ascii="Times New Roman" w:hAnsi="Times New Roman"/>
                <w:sz w:val="18"/>
                <w:szCs w:val="18"/>
                <w:lang w:val="cs-CZ"/>
              </w:rPr>
              <w:t>rhu práce, usnadnění přechodu k </w:t>
            </w:r>
            <w:r w:rsidRPr="00B175FB">
              <w:rPr>
                <w:rFonts w:ascii="Times New Roman" w:hAnsi="Times New Roman"/>
                <w:sz w:val="18"/>
                <w:szCs w:val="18"/>
                <w:lang w:val="cs-CZ"/>
              </w:rPr>
              <w:t>povolání a podpoře profesní mobility;</w:t>
            </w:r>
          </w:p>
          <w:p w:rsidR="00586B2B" w:rsidRPr="00B175F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1134" w:type="dxa"/>
            <w:shd w:val="clear" w:color="auto" w:fill="auto"/>
          </w:tcPr>
          <w:p w:rsidR="00586B2B" w:rsidRPr="00586B2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ANO</w:t>
            </w:r>
          </w:p>
        </w:tc>
        <w:tc>
          <w:tcPr>
            <w:tcW w:w="2268" w:type="dxa"/>
            <w:shd w:val="clear" w:color="auto" w:fill="auto"/>
          </w:tcPr>
          <w:p w:rsidR="00586B2B" w:rsidRPr="00586B2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Je zaveden vnitrostátní nebo regionální strategický rámec politiky pro systém vzdělávání a odborné přípravy, který zahrnuje:</w:t>
            </w:r>
          </w:p>
        </w:tc>
        <w:tc>
          <w:tcPr>
            <w:tcW w:w="992" w:type="dxa"/>
            <w:shd w:val="clear" w:color="auto" w:fill="auto"/>
          </w:tcPr>
          <w:p w:rsidR="00586B2B" w:rsidRPr="00586B2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ANO</w:t>
            </w:r>
          </w:p>
        </w:tc>
        <w:tc>
          <w:tcPr>
            <w:tcW w:w="2693" w:type="dxa"/>
            <w:shd w:val="clear" w:color="auto" w:fill="auto"/>
          </w:tcPr>
          <w:p w:rsidR="00586B2B" w:rsidRPr="00586B2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4961" w:type="dxa"/>
            <w:shd w:val="clear" w:color="auto" w:fill="auto"/>
          </w:tcPr>
          <w:p w:rsidR="00586B2B" w:rsidRPr="00586B2B" w:rsidRDefault="00586B2B" w:rsidP="00586B2B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</w:tr>
      <w:tr w:rsidR="00586B2B" w:rsidRPr="00B175FB" w:rsidTr="00F6239D">
        <w:tc>
          <w:tcPr>
            <w:tcW w:w="1277" w:type="dxa"/>
          </w:tcPr>
          <w:p w:rsidR="00586B2B" w:rsidRPr="00B175FB" w:rsidRDefault="00586B2B" w:rsidP="00586B2B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</w:p>
        </w:tc>
        <w:tc>
          <w:tcPr>
            <w:tcW w:w="850" w:type="dxa"/>
          </w:tcPr>
          <w:p w:rsidR="00586B2B" w:rsidRPr="00B175F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1985" w:type="dxa"/>
          </w:tcPr>
          <w:p w:rsidR="00586B2B" w:rsidRPr="00B175F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1134" w:type="dxa"/>
          </w:tcPr>
          <w:p w:rsidR="00586B2B" w:rsidRPr="00586B2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2268" w:type="dxa"/>
            <w:shd w:val="clear" w:color="auto" w:fill="auto"/>
          </w:tcPr>
          <w:p w:rsidR="00586B2B" w:rsidRPr="00586B2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1. Systémy pro předjímání a</w:t>
            </w:r>
            <w:r>
              <w:rPr>
                <w:rFonts w:ascii="Times New Roman" w:hAnsi="Times New Roman"/>
                <w:sz w:val="18"/>
                <w:szCs w:val="18"/>
                <w:lang w:val="cs-CZ"/>
              </w:rPr>
              <w:t> </w:t>
            </w: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prognózu dovedností založené na důkazech</w:t>
            </w:r>
          </w:p>
        </w:tc>
        <w:tc>
          <w:tcPr>
            <w:tcW w:w="992" w:type="dxa"/>
            <w:shd w:val="clear" w:color="auto" w:fill="auto"/>
          </w:tcPr>
          <w:p w:rsidR="00586B2B" w:rsidRPr="00586B2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ANO</w:t>
            </w:r>
          </w:p>
        </w:tc>
        <w:tc>
          <w:tcPr>
            <w:tcW w:w="2693" w:type="dxa"/>
            <w:shd w:val="clear" w:color="auto" w:fill="auto"/>
          </w:tcPr>
          <w:p w:rsidR="00586B2B" w:rsidRPr="00586B2B" w:rsidRDefault="00D05954" w:rsidP="00586B2B">
            <w:pPr>
              <w:pStyle w:val="DAVA"/>
              <w:spacing w:after="120"/>
              <w:rPr>
                <w:rStyle w:val="Hypertextovodkaz"/>
                <w:rFonts w:ascii="Times New Roman" w:hAnsi="Times New Roman"/>
                <w:sz w:val="18"/>
                <w:szCs w:val="18"/>
                <w:lang w:val="cs-CZ"/>
              </w:rPr>
            </w:pPr>
            <w:hyperlink r:id="rId64" w:history="1">
              <w:r w:rsidR="00586B2B" w:rsidRPr="00586B2B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http://www.msmt.cz/vzdelavani/skolstvi-v-cr/strategie-2030</w:t>
              </w:r>
            </w:hyperlink>
          </w:p>
          <w:p w:rsidR="00586B2B" w:rsidRPr="00586B2B" w:rsidRDefault="00586B2B" w:rsidP="00586B2B">
            <w:pPr>
              <w:pStyle w:val="DAVA"/>
              <w:spacing w:after="120"/>
              <w:rPr>
                <w:rStyle w:val="Hypertextovodkaz"/>
                <w:rFonts w:ascii="Times New Roman" w:hAnsi="Times New Roman"/>
                <w:sz w:val="18"/>
                <w:szCs w:val="18"/>
                <w:lang w:val="cs-CZ"/>
              </w:rPr>
            </w:pPr>
            <w:r w:rsidRPr="00586B2B">
              <w:rPr>
                <w:rStyle w:val="Hypertextovodkaz"/>
                <w:rFonts w:ascii="Times New Roman" w:hAnsi="Times New Roman"/>
                <w:sz w:val="18"/>
                <w:szCs w:val="18"/>
                <w:lang w:val="cs-CZ"/>
              </w:rPr>
              <w:t>https://www.facebook.com/Edu2030plus/</w:t>
            </w:r>
          </w:p>
          <w:p w:rsidR="00586B2B" w:rsidRPr="00586B2B" w:rsidRDefault="00D05954" w:rsidP="00586B2B">
            <w:pPr>
              <w:pStyle w:val="DAVA"/>
              <w:spacing w:after="120"/>
              <w:rPr>
                <w:rStyle w:val="Hypertextovodkaz"/>
                <w:rFonts w:ascii="Times New Roman" w:hAnsi="Times New Roman"/>
                <w:sz w:val="18"/>
                <w:szCs w:val="18"/>
                <w:lang w:val="cs-CZ"/>
              </w:rPr>
            </w:pPr>
            <w:hyperlink r:id="rId65" w:history="1">
              <w:r w:rsidR="00586B2B" w:rsidRPr="00586B2B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http://www.msmt.cz/vzdelavani/skolstvi-v-cr/dlouhodobe-zamery-cr</w:t>
              </w:r>
            </w:hyperlink>
          </w:p>
          <w:p w:rsidR="00586B2B" w:rsidRPr="00586B2B" w:rsidRDefault="00586B2B" w:rsidP="00586B2B">
            <w:pPr>
              <w:pStyle w:val="DAVA"/>
              <w:spacing w:after="120"/>
              <w:rPr>
                <w:rStyle w:val="Hypertextovodkaz"/>
                <w:rFonts w:ascii="Times New Roman" w:hAnsi="Times New Roman"/>
                <w:sz w:val="18"/>
                <w:szCs w:val="18"/>
                <w:lang w:val="cs-CZ"/>
              </w:rPr>
            </w:pPr>
            <w:r w:rsidRPr="00586B2B">
              <w:rPr>
                <w:rStyle w:val="Hypertextovodkaz"/>
                <w:rFonts w:ascii="Times New Roman" w:hAnsi="Times New Roman"/>
                <w:sz w:val="18"/>
                <w:szCs w:val="18"/>
                <w:lang w:val="cs-CZ"/>
              </w:rPr>
              <w:t>http://www.msmt.cz/vzdelavani/vysoke-skolstvi/dlouhodoby-zamer</w:t>
            </w:r>
          </w:p>
          <w:p w:rsidR="00586B2B" w:rsidRPr="00586B2B" w:rsidRDefault="00D05954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66" w:history="1">
              <w:r w:rsidR="00586B2B" w:rsidRPr="00586B2B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http://www.csicr.cz/</w:t>
              </w:r>
            </w:hyperlink>
          </w:p>
          <w:p w:rsidR="00586B2B" w:rsidRPr="00586B2B" w:rsidRDefault="00D05954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67" w:history="1">
              <w:r w:rsidR="00586B2B" w:rsidRPr="00586B2B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http://www.msmt.cz/ministerstvo/ris-msmt</w:t>
              </w:r>
            </w:hyperlink>
          </w:p>
          <w:p w:rsidR="00586B2B" w:rsidRPr="00586B2B" w:rsidRDefault="00D05954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68" w:history="1">
              <w:r w:rsidR="00586B2B" w:rsidRPr="00586B2B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https://portal.csicr.cz/</w:t>
              </w:r>
            </w:hyperlink>
          </w:p>
          <w:p w:rsidR="00586B2B" w:rsidRPr="00586B2B" w:rsidRDefault="00D05954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69" w:history="1">
              <w:r w:rsidR="00586B2B" w:rsidRPr="00586B2B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http://www.cermat.cz/</w:t>
              </w:r>
            </w:hyperlink>
          </w:p>
        </w:tc>
        <w:tc>
          <w:tcPr>
            <w:tcW w:w="4961" w:type="dxa"/>
            <w:shd w:val="clear" w:color="auto" w:fill="auto"/>
          </w:tcPr>
          <w:p w:rsidR="00586B2B" w:rsidRPr="00586B2B" w:rsidRDefault="00586B2B" w:rsidP="003C6E87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Strategie vzdělávací politiky ČR do roku 2030+, vymezuje priority na úrovni strategických cílů pro jednotlivé stupně vzdělání a</w:t>
            </w:r>
            <w:r w:rsidR="003C6E87">
              <w:rPr>
                <w:rFonts w:ascii="Times New Roman" w:hAnsi="Times New Roman"/>
                <w:sz w:val="18"/>
                <w:szCs w:val="18"/>
                <w:lang w:val="cs-CZ"/>
              </w:rPr>
              <w:t> </w:t>
            </w: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stanovuje i priority v hodnocení kvality vzdělání. Její součástí je i robustní indikátorová soustava, která je zpracovávána ve spolupráci se zahraničními odborníky. Od roku 2021 budou data v</w:t>
            </w:r>
            <w:r w:rsidR="003C6E87">
              <w:rPr>
                <w:rFonts w:ascii="Times New Roman" w:hAnsi="Times New Roman"/>
                <w:sz w:val="18"/>
                <w:szCs w:val="18"/>
                <w:lang w:val="cs-CZ"/>
              </w:rPr>
              <w:t> </w:t>
            </w: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IS každoročně aktualizována s cílem pravidelného mapování stavu vzdělávací soustavy, včetně její výkon</w:t>
            </w:r>
            <w:r w:rsidR="00573EE9">
              <w:rPr>
                <w:rFonts w:ascii="Times New Roman" w:hAnsi="Times New Roman"/>
                <w:sz w:val="18"/>
                <w:szCs w:val="18"/>
                <w:lang w:val="cs-CZ"/>
              </w:rPr>
              <w:t>n</w:t>
            </w: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osti.</w:t>
            </w:r>
          </w:p>
          <w:p w:rsidR="00586B2B" w:rsidRPr="00586B2B" w:rsidRDefault="00586B2B" w:rsidP="003C6E87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Agregovaná data jsou dostupná za všechny typy vzdělávání a</w:t>
            </w:r>
            <w:r w:rsidR="003C6E87">
              <w:rPr>
                <w:rFonts w:ascii="Times New Roman" w:hAnsi="Times New Roman"/>
                <w:sz w:val="18"/>
                <w:szCs w:val="18"/>
                <w:lang w:val="cs-CZ"/>
              </w:rPr>
              <w:t> </w:t>
            </w: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pokrývají všechny teritoriální úrovně od dat agregovaných celostátně, přes regiony po vlastní školy. Na úrovni VŠ probíhají výběrová šetření a využívají se omezená administrativní data.</w:t>
            </w:r>
          </w:p>
          <w:p w:rsidR="00586B2B" w:rsidRPr="00586B2B" w:rsidRDefault="00586B2B" w:rsidP="003C6E87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Mapování gramotností a kompetencí je součástí šetření České školské inspekce na dílčích úrovních vzdělávání.</w:t>
            </w:r>
          </w:p>
          <w:p w:rsidR="00586B2B" w:rsidRPr="00586B2B" w:rsidRDefault="00586B2B" w:rsidP="003C6E87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Cermat ověřuje, jak žáci dosáhli cílů vzdělávání stanovených RVP a ŠVP v příslušném oboru vzdělání, zejména pak úrovně klíčových kompetencí žáka, které jsou důležité pro jeho další vzdělávání nebo výkon povolání.</w:t>
            </w:r>
          </w:p>
        </w:tc>
      </w:tr>
      <w:tr w:rsidR="00586B2B" w:rsidRPr="00B175FB" w:rsidTr="00F6239D">
        <w:tc>
          <w:tcPr>
            <w:tcW w:w="1277" w:type="dxa"/>
          </w:tcPr>
          <w:p w:rsidR="00586B2B" w:rsidRPr="00B175FB" w:rsidRDefault="00586B2B" w:rsidP="00586B2B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</w:p>
        </w:tc>
        <w:tc>
          <w:tcPr>
            <w:tcW w:w="850" w:type="dxa"/>
          </w:tcPr>
          <w:p w:rsidR="00586B2B" w:rsidRPr="00B175F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1985" w:type="dxa"/>
          </w:tcPr>
          <w:p w:rsidR="00586B2B" w:rsidRPr="00B175F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1134" w:type="dxa"/>
          </w:tcPr>
          <w:p w:rsidR="00586B2B" w:rsidRPr="00586B2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2268" w:type="dxa"/>
            <w:shd w:val="clear" w:color="auto" w:fill="auto"/>
          </w:tcPr>
          <w:p w:rsidR="00586B2B" w:rsidRPr="00586B2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1a. Mechanismy pro sledování uplatnění absolventů a služby pro kvalitní a účinné poradenství pro studující všech věkových skupin</w:t>
            </w:r>
          </w:p>
        </w:tc>
        <w:tc>
          <w:tcPr>
            <w:tcW w:w="992" w:type="dxa"/>
            <w:shd w:val="clear" w:color="auto" w:fill="auto"/>
          </w:tcPr>
          <w:p w:rsidR="00586B2B" w:rsidRPr="00586B2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ANO</w:t>
            </w:r>
          </w:p>
        </w:tc>
        <w:tc>
          <w:tcPr>
            <w:tcW w:w="2693" w:type="dxa"/>
            <w:shd w:val="clear" w:color="auto" w:fill="auto"/>
          </w:tcPr>
          <w:p w:rsidR="00586B2B" w:rsidRPr="00586B2B" w:rsidRDefault="00586B2B" w:rsidP="00586B2B">
            <w:pPr>
              <w:pStyle w:val="DAVA"/>
              <w:spacing w:after="120"/>
              <w:rPr>
                <w:rStyle w:val="Hypertextovodkaz"/>
                <w:rFonts w:ascii="Times New Roman" w:hAnsi="Times New Roman"/>
                <w:sz w:val="18"/>
                <w:szCs w:val="18"/>
                <w:lang w:val="cs-CZ"/>
              </w:rPr>
            </w:pPr>
            <w:r w:rsidRPr="00586B2B">
              <w:rPr>
                <w:rStyle w:val="Hypertextovodkaz"/>
                <w:rFonts w:ascii="Times New Roman" w:hAnsi="Times New Roman"/>
                <w:sz w:val="18"/>
                <w:szCs w:val="18"/>
                <w:lang w:val="cs-CZ"/>
              </w:rPr>
              <w:t>http://www.infoabsolvent.cz/</w:t>
            </w:r>
          </w:p>
          <w:p w:rsidR="00586B2B" w:rsidRPr="00586B2B" w:rsidRDefault="00586B2B" w:rsidP="00586B2B">
            <w:pPr>
              <w:pStyle w:val="DAVA"/>
              <w:spacing w:after="120"/>
              <w:rPr>
                <w:rStyle w:val="Hypertextovodkaz"/>
                <w:rFonts w:ascii="Times New Roman" w:hAnsi="Times New Roman"/>
                <w:sz w:val="18"/>
                <w:szCs w:val="18"/>
                <w:lang w:val="cs-CZ"/>
              </w:rPr>
            </w:pPr>
          </w:p>
          <w:p w:rsidR="00586B2B" w:rsidRPr="00586B2B" w:rsidRDefault="00586B2B" w:rsidP="00586B2B">
            <w:pPr>
              <w:pStyle w:val="DAVA"/>
              <w:spacing w:after="120"/>
              <w:rPr>
                <w:rStyle w:val="Hypertextovodkaz"/>
                <w:rFonts w:ascii="Times New Roman" w:hAnsi="Times New Roman"/>
                <w:sz w:val="18"/>
                <w:szCs w:val="18"/>
                <w:lang w:val="cs-CZ"/>
              </w:rPr>
            </w:pPr>
          </w:p>
          <w:p w:rsidR="00586B2B" w:rsidRPr="00586B2B" w:rsidRDefault="00586B2B" w:rsidP="00586B2B">
            <w:pPr>
              <w:pStyle w:val="DAVA"/>
              <w:spacing w:after="120"/>
              <w:rPr>
                <w:rStyle w:val="Hypertextovodkaz"/>
                <w:rFonts w:ascii="Times New Roman" w:hAnsi="Times New Roman"/>
                <w:sz w:val="18"/>
                <w:szCs w:val="18"/>
                <w:lang w:val="cs-CZ"/>
              </w:rPr>
            </w:pPr>
            <w:r w:rsidRPr="00586B2B">
              <w:rPr>
                <w:rStyle w:val="Hypertextovodkaz"/>
                <w:rFonts w:ascii="Times New Roman" w:hAnsi="Times New Roman"/>
                <w:sz w:val="18"/>
                <w:szCs w:val="18"/>
                <w:lang w:val="cs-CZ"/>
              </w:rPr>
              <w:t>https://www.uradprace.cz/predikce-trhu-prace-kompas</w:t>
            </w:r>
            <w:r w:rsidRPr="00586B2B" w:rsidDel="001E652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586B2B" w:rsidRPr="00586B2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  <w:p w:rsidR="00586B2B" w:rsidRPr="00586B2B" w:rsidRDefault="00D05954" w:rsidP="00586B2B">
            <w:pPr>
              <w:pStyle w:val="DAVA"/>
              <w:spacing w:after="120"/>
              <w:rPr>
                <w:rStyle w:val="Hypertextovodkaz"/>
                <w:rFonts w:ascii="Times New Roman" w:hAnsi="Times New Roman"/>
                <w:sz w:val="18"/>
                <w:szCs w:val="18"/>
                <w:lang w:val="cs-CZ"/>
              </w:rPr>
            </w:pPr>
            <w:hyperlink r:id="rId70" w:history="1">
              <w:r w:rsidR="00586B2B" w:rsidRPr="00586B2B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http://www.nuv.cz/p/ckp</w:t>
              </w:r>
            </w:hyperlink>
          </w:p>
          <w:p w:rsidR="00586B2B" w:rsidRPr="00586B2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  <w:p w:rsidR="00586B2B" w:rsidRPr="00586B2B" w:rsidRDefault="00D05954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71" w:history="1">
              <w:r w:rsidR="00586B2B" w:rsidRPr="00586B2B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http://www.msmt.cz/vzdelavani/vysoke-skolstvi/analyzy</w:t>
              </w:r>
            </w:hyperlink>
          </w:p>
          <w:p w:rsidR="00586B2B" w:rsidRPr="00586B2B" w:rsidRDefault="00D05954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72" w:history="1">
              <w:r w:rsidR="00586B2B" w:rsidRPr="00586B2B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https://www.eurograduate.eu/</w:t>
              </w:r>
            </w:hyperlink>
          </w:p>
        </w:tc>
        <w:tc>
          <w:tcPr>
            <w:tcW w:w="4961" w:type="dxa"/>
            <w:shd w:val="clear" w:color="auto" w:fill="auto"/>
          </w:tcPr>
          <w:p w:rsidR="00586B2B" w:rsidRPr="00586B2B" w:rsidRDefault="00586B2B" w:rsidP="003C6E87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Podmínka je plněna prostřednictvím informačního systému o</w:t>
            </w:r>
            <w:r w:rsidR="003C6E87">
              <w:rPr>
                <w:rFonts w:ascii="Times New Roman" w:hAnsi="Times New Roman"/>
                <w:sz w:val="18"/>
                <w:szCs w:val="18"/>
                <w:lang w:val="cs-CZ"/>
              </w:rPr>
              <w:t> </w:t>
            </w: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uplatnění absolventů škol na trhu práce http://www.infoabsolvent.cz/, který nabízí pomoc při hledání vzdělávací a profesní dráhy.</w:t>
            </w:r>
          </w:p>
          <w:p w:rsidR="00586B2B" w:rsidRPr="00586B2B" w:rsidRDefault="00586B2B" w:rsidP="003C6E87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Dále prostřednictvím projektu Kompas, jehož cílem je vytvoření predikčního systému vývoje trhu práce, včetně kvalifikačních požadavků, jak na národní, tak regionální úrovni.</w:t>
            </w:r>
          </w:p>
          <w:p w:rsidR="00586B2B" w:rsidRPr="00586B2B" w:rsidRDefault="00586B2B" w:rsidP="003C6E87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 xml:space="preserve">Kariérové poradenství je ve školách zajišťováno prostřednictvím výchovných a kariérových poradců. Na národní úrovni působí Centrum kariérového poradenství (CKP) poskytující </w:t>
            </w:r>
            <w:r w:rsidRPr="00586B2B">
              <w:rPr>
                <w:rFonts w:ascii="Times New Roman" w:hAnsi="Times New Roman"/>
                <w:sz w:val="18"/>
                <w:szCs w:val="18"/>
              </w:rPr>
              <w:t>podporu i</w:t>
            </w:r>
            <w:r w:rsidR="003C6E87">
              <w:rPr>
                <w:rFonts w:ascii="Times New Roman" w:hAnsi="Times New Roman"/>
                <w:sz w:val="18"/>
                <w:szCs w:val="18"/>
                <w:lang w:val="cs-CZ"/>
              </w:rPr>
              <w:t> </w:t>
            </w:r>
            <w:r w:rsidRPr="00586B2B">
              <w:rPr>
                <w:rFonts w:ascii="Times New Roman" w:hAnsi="Times New Roman"/>
                <w:sz w:val="18"/>
                <w:szCs w:val="18"/>
              </w:rPr>
              <w:t>poskytovatelům kariérového poradenství</w:t>
            </w: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.</w:t>
            </w:r>
          </w:p>
          <w:p w:rsidR="00586B2B" w:rsidRPr="00586B2B" w:rsidRDefault="00586B2B" w:rsidP="003C6E87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N</w:t>
            </w:r>
            <w:r w:rsidRPr="00586B2B">
              <w:rPr>
                <w:rFonts w:ascii="Times New Roman" w:hAnsi="Times New Roman"/>
                <w:sz w:val="18"/>
                <w:szCs w:val="18"/>
              </w:rPr>
              <w:t>árodní šetření absolventů vysokých škol</w:t>
            </w: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, které</w:t>
            </w:r>
            <w:r w:rsidRPr="00586B2B">
              <w:rPr>
                <w:rFonts w:ascii="Times New Roman" w:hAnsi="Times New Roman"/>
                <w:sz w:val="18"/>
                <w:szCs w:val="18"/>
              </w:rPr>
              <w:t xml:space="preserve"> navazuje na šetření obdobného typu v minulosti. Šetření pokrývá tematiku hodnocení studia a jeho relevance pro uplatnitelnost na trhu práce. Současně s národním šetřením probíhal pilot mezinárodního šetření Eurograduate, do kterého se ČR zapojila jako jedna z 8</w:t>
            </w:r>
            <w:r w:rsidR="003C6E87">
              <w:rPr>
                <w:rFonts w:ascii="Times New Roman" w:hAnsi="Times New Roman"/>
                <w:sz w:val="18"/>
                <w:szCs w:val="18"/>
                <w:lang w:val="cs-CZ"/>
              </w:rPr>
              <w:t> </w:t>
            </w:r>
            <w:r w:rsidRPr="00586B2B">
              <w:rPr>
                <w:rFonts w:ascii="Times New Roman" w:hAnsi="Times New Roman"/>
                <w:sz w:val="18"/>
                <w:szCs w:val="18"/>
              </w:rPr>
              <w:t>vybraných zemí.</w:t>
            </w:r>
          </w:p>
        </w:tc>
      </w:tr>
      <w:tr w:rsidR="00586B2B" w:rsidRPr="00B175FB" w:rsidTr="00F6239D">
        <w:tc>
          <w:tcPr>
            <w:tcW w:w="1277" w:type="dxa"/>
          </w:tcPr>
          <w:p w:rsidR="00586B2B" w:rsidRPr="00B175FB" w:rsidRDefault="00586B2B" w:rsidP="00586B2B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</w:p>
        </w:tc>
        <w:tc>
          <w:tcPr>
            <w:tcW w:w="850" w:type="dxa"/>
          </w:tcPr>
          <w:p w:rsidR="00586B2B" w:rsidRPr="00B175F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1985" w:type="dxa"/>
          </w:tcPr>
          <w:p w:rsidR="00586B2B" w:rsidRPr="00B175F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1134" w:type="dxa"/>
          </w:tcPr>
          <w:p w:rsidR="00586B2B" w:rsidRPr="00586B2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2268" w:type="dxa"/>
            <w:shd w:val="clear" w:color="auto" w:fill="auto"/>
          </w:tcPr>
          <w:p w:rsidR="00586B2B" w:rsidRPr="00586B2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2. Opatření k zajištění rovného přístupu ke kvalitnímu, dostupnému, relevantnímu, nesegregovanému a inkluzivnímu vzdělávání a</w:t>
            </w:r>
            <w:r w:rsidR="00FE6F9D">
              <w:rPr>
                <w:rFonts w:ascii="Times New Roman" w:hAnsi="Times New Roman"/>
                <w:sz w:val="18"/>
                <w:szCs w:val="18"/>
                <w:lang w:val="cs-CZ"/>
              </w:rPr>
              <w:t> </w:t>
            </w: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odborné přípravě, k účasti na něm i jeho dokončení a</w:t>
            </w:r>
            <w:r w:rsidR="00FE6F9D">
              <w:rPr>
                <w:rFonts w:ascii="Times New Roman" w:hAnsi="Times New Roman"/>
                <w:sz w:val="18"/>
                <w:szCs w:val="18"/>
                <w:lang w:val="cs-CZ"/>
              </w:rPr>
              <w:t> </w:t>
            </w: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k</w:t>
            </w:r>
            <w:r w:rsidR="00FE6F9D">
              <w:rPr>
                <w:rFonts w:ascii="Times New Roman" w:hAnsi="Times New Roman"/>
                <w:sz w:val="18"/>
                <w:szCs w:val="18"/>
                <w:lang w:val="cs-CZ"/>
              </w:rPr>
              <w:t> </w:t>
            </w: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získání klíčových kompetencí na všech úrovních včetně vysokoškolského vzdělávání</w:t>
            </w:r>
          </w:p>
        </w:tc>
        <w:tc>
          <w:tcPr>
            <w:tcW w:w="992" w:type="dxa"/>
            <w:shd w:val="clear" w:color="auto" w:fill="auto"/>
          </w:tcPr>
          <w:p w:rsidR="00586B2B" w:rsidRPr="00586B2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ANO</w:t>
            </w:r>
          </w:p>
        </w:tc>
        <w:tc>
          <w:tcPr>
            <w:tcW w:w="2693" w:type="dxa"/>
            <w:shd w:val="clear" w:color="auto" w:fill="auto"/>
          </w:tcPr>
          <w:p w:rsidR="00586B2B" w:rsidRPr="00586B2B" w:rsidRDefault="00D05954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73" w:history="1">
              <w:r w:rsidR="00586B2B" w:rsidRPr="00586B2B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http://www.msmt.cz/vzdelavani/skolstvi-v-cr/strategie-2030</w:t>
              </w:r>
            </w:hyperlink>
          </w:p>
          <w:p w:rsidR="00586B2B" w:rsidRPr="00586B2B" w:rsidRDefault="00D05954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74" w:history="1">
              <w:r w:rsidR="00586B2B" w:rsidRPr="00586B2B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https://www.facebook.com/Edu2030plus/</w:t>
              </w:r>
            </w:hyperlink>
          </w:p>
          <w:p w:rsidR="00586B2B" w:rsidRPr="00586B2B" w:rsidRDefault="00D05954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75" w:history="1">
              <w:r w:rsidR="00586B2B" w:rsidRPr="00586B2B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http://www.msmt.cz/vzdelavani/skolstvi-v-cr/dlouhodobe-zamery-cr</w:t>
              </w:r>
            </w:hyperlink>
          </w:p>
          <w:p w:rsidR="00586B2B" w:rsidRPr="00586B2B" w:rsidRDefault="00D05954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76" w:history="1">
              <w:r w:rsidR="00586B2B" w:rsidRPr="00586B2B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http://www.msmt.cz/vzdelavani/vysoke-skolstvi/dlouhodoby-zamer</w:t>
              </w:r>
            </w:hyperlink>
          </w:p>
          <w:p w:rsidR="00586B2B" w:rsidRPr="00586B2B" w:rsidRDefault="00D05954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77" w:history="1">
              <w:r w:rsidR="00586B2B" w:rsidRPr="00586B2B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http://www.msmt.cz/dokumenty-3/skolsky-zakon</w:t>
              </w:r>
            </w:hyperlink>
          </w:p>
          <w:p w:rsidR="00586B2B" w:rsidRPr="00586B2B" w:rsidRDefault="00D05954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78" w:history="1">
              <w:r w:rsidR="00586B2B" w:rsidRPr="00586B2B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http://www.msmt.cz/dokumenty-3/vyhlasky-ke-skolskemu-zakonu</w:t>
              </w:r>
            </w:hyperlink>
          </w:p>
          <w:p w:rsidR="00586B2B" w:rsidRPr="00586B2B" w:rsidRDefault="00D05954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79" w:history="1">
              <w:r w:rsidR="00586B2B" w:rsidRPr="00586B2B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http://www.msmt.cz/vyzkum-a-vyvoj-2/zakon-c-111-1998-sb-o-vysokych-skolach</w:t>
              </w:r>
            </w:hyperlink>
          </w:p>
          <w:p w:rsidR="00586B2B" w:rsidRPr="00586B2B" w:rsidRDefault="00D05954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80" w:history="1">
              <w:r w:rsidR="00586B2B" w:rsidRPr="00586B2B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http://www.msmt.cz/vzdelavani/vysoke-skolstvi/studenti-stipendia-a-podpora-studentu</w:t>
              </w:r>
            </w:hyperlink>
          </w:p>
        </w:tc>
        <w:tc>
          <w:tcPr>
            <w:tcW w:w="4961" w:type="dxa"/>
            <w:shd w:val="clear" w:color="auto" w:fill="auto"/>
          </w:tcPr>
          <w:p w:rsidR="00586B2B" w:rsidRPr="00586B2B" w:rsidRDefault="00586B2B" w:rsidP="003C6E87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Inkluzívní přístup ke vzdělávání a ve školství znamená právo na vysoce kvalitní vzdělávání pro všechny žáky a studenty, bez ohledu na jejich individuální a sociální charakteristiky. Přístup se zakládá na novele školského zákona, který v §16 školského zákona s účinností od 1. září 2016 vymezil podmínky pro vzdělávání žáků se speciálními vzdělávacími potřebami (SVP). V souvislosti s novelizací školského zákona došlo k náběhu financování postupně přiznávaných nárokových podpůrných opatření podle §</w:t>
            </w:r>
            <w:r w:rsidR="003C6E87">
              <w:rPr>
                <w:rFonts w:ascii="Times New Roman" w:hAnsi="Times New Roman"/>
                <w:sz w:val="18"/>
                <w:szCs w:val="18"/>
                <w:lang w:val="cs-CZ"/>
              </w:rPr>
              <w:t> </w:t>
            </w: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16 školského zákona a vyhlášky č. 27/2016 Sb.</w:t>
            </w:r>
          </w:p>
          <w:p w:rsidR="00586B2B" w:rsidRPr="00586B2B" w:rsidRDefault="00586B2B" w:rsidP="003C6E87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Základní podmínkou k zajištění rovného přístupu k</w:t>
            </w:r>
            <w:r w:rsidR="003C6E87">
              <w:rPr>
                <w:rFonts w:ascii="Times New Roman" w:hAnsi="Times New Roman"/>
                <w:sz w:val="18"/>
                <w:szCs w:val="18"/>
                <w:lang w:val="cs-CZ"/>
              </w:rPr>
              <w:t> </w:t>
            </w: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vysokoškolskému vzdělání je bezplatné studium na veřejných vysokých školách. Ke zmírnění další finanční zátěže spojené se studiem slouží tzv. sociální stipendium, které cílí na studenty s</w:t>
            </w:r>
            <w:r w:rsidR="003C6E87">
              <w:rPr>
                <w:rFonts w:ascii="Times New Roman" w:hAnsi="Times New Roman"/>
                <w:sz w:val="18"/>
                <w:szCs w:val="18"/>
                <w:lang w:val="cs-CZ"/>
              </w:rPr>
              <w:t> </w:t>
            </w: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nejslabším socioekonomickým zázemím. V rámci rozpočtu pro vysoké školy pak mohou přímo vysoké školy žádat o příspěvek na podporu studentů se SVP.</w:t>
            </w:r>
          </w:p>
        </w:tc>
      </w:tr>
      <w:tr w:rsidR="00586B2B" w:rsidRPr="00B175FB" w:rsidTr="00F6239D">
        <w:tc>
          <w:tcPr>
            <w:tcW w:w="1277" w:type="dxa"/>
          </w:tcPr>
          <w:p w:rsidR="00586B2B" w:rsidRPr="00B175FB" w:rsidRDefault="00586B2B" w:rsidP="00586B2B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</w:p>
        </w:tc>
        <w:tc>
          <w:tcPr>
            <w:tcW w:w="850" w:type="dxa"/>
          </w:tcPr>
          <w:p w:rsidR="00586B2B" w:rsidRPr="00B175F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1985" w:type="dxa"/>
          </w:tcPr>
          <w:p w:rsidR="00586B2B" w:rsidRPr="00B175F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1134" w:type="dxa"/>
          </w:tcPr>
          <w:p w:rsidR="00586B2B" w:rsidRPr="00586B2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2268" w:type="dxa"/>
            <w:shd w:val="clear" w:color="auto" w:fill="auto"/>
          </w:tcPr>
          <w:p w:rsidR="00586B2B" w:rsidRPr="00586B2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3. Koordinační mechanismus, který pokryje všechny úrovně vzdělávání a odborné přípravy, včetně vyššího vzdělávání, a jasné rozdělení odpovědnosti mezi příslušnými celostátními a/nebo regionálními subjekty</w:t>
            </w:r>
          </w:p>
        </w:tc>
        <w:tc>
          <w:tcPr>
            <w:tcW w:w="992" w:type="dxa"/>
            <w:shd w:val="clear" w:color="auto" w:fill="auto"/>
          </w:tcPr>
          <w:p w:rsidR="00586B2B" w:rsidRPr="00586B2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ANO</w:t>
            </w:r>
          </w:p>
        </w:tc>
        <w:tc>
          <w:tcPr>
            <w:tcW w:w="2693" w:type="dxa"/>
            <w:shd w:val="clear" w:color="auto" w:fill="auto"/>
          </w:tcPr>
          <w:p w:rsidR="00586B2B" w:rsidRPr="00586B2B" w:rsidRDefault="00D05954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81" w:history="1">
              <w:r w:rsidR="00586B2B" w:rsidRPr="00586B2B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http://www.msmt.cz/vzdelavani/skolstvi-v-cr/strategie-2030</w:t>
              </w:r>
            </w:hyperlink>
          </w:p>
          <w:p w:rsidR="00586B2B" w:rsidRPr="00586B2B" w:rsidRDefault="00D05954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82" w:history="1">
              <w:r w:rsidR="00586B2B" w:rsidRPr="00586B2B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https://www.facebook.com/Edu2030plus/</w:t>
              </w:r>
            </w:hyperlink>
          </w:p>
          <w:p w:rsidR="00586B2B" w:rsidRPr="00586B2B" w:rsidRDefault="00D05954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83" w:history="1">
              <w:r w:rsidR="00586B2B" w:rsidRPr="00586B2B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http://www.msmt.cz/vzdelavani/skolstvi-v-cr/dlouhodobe-zamery-cr</w:t>
              </w:r>
            </w:hyperlink>
          </w:p>
          <w:p w:rsidR="00586B2B" w:rsidRPr="00586B2B" w:rsidRDefault="00D05954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84" w:history="1">
              <w:r w:rsidR="00586B2B" w:rsidRPr="00586B2B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http://www.msmt.cz/vzdelavani/vysoke-skolstvi/dlouhodoby-zamer</w:t>
              </w:r>
            </w:hyperlink>
          </w:p>
          <w:p w:rsidR="00586B2B" w:rsidRPr="00586B2B" w:rsidRDefault="00D05954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85" w:history="1">
              <w:r w:rsidR="00586B2B" w:rsidRPr="00586B2B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http://www.msmt.cz/dokumenty-3/skolsky-zakon</w:t>
              </w:r>
            </w:hyperlink>
          </w:p>
          <w:p w:rsidR="00586B2B" w:rsidRPr="00586B2B" w:rsidRDefault="00D05954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86" w:history="1">
              <w:r w:rsidR="00586B2B" w:rsidRPr="00586B2B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http://www.msmt.cz/vyzkum-a-vyvoj-2/zakon-c-111-1998-sb-o-vysokych-skolach</w:t>
              </w:r>
            </w:hyperlink>
          </w:p>
          <w:p w:rsidR="00586B2B" w:rsidRPr="00586B2B" w:rsidRDefault="00D05954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87" w:history="1">
              <w:r w:rsidR="00586B2B" w:rsidRPr="00586B2B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https://www.vlada.cz/cz/ppov/tripartita/pracovni_tymy_rhsd/pracovni-tymy-rhsd-139314/</w:t>
              </w:r>
            </w:hyperlink>
          </w:p>
          <w:p w:rsidR="00586B2B" w:rsidRPr="00586B2B" w:rsidRDefault="00D05954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88" w:history="1">
              <w:r w:rsidR="00586B2B" w:rsidRPr="00586B2B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https://www.mmr.cz/cs/Microsites/Uzemni-dimenze/MAP-KAP</w:t>
              </w:r>
            </w:hyperlink>
          </w:p>
          <w:p w:rsidR="00586B2B" w:rsidRPr="00586B2B" w:rsidRDefault="00D05954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89" w:history="1">
              <w:r w:rsidR="00586B2B" w:rsidRPr="00586B2B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http://www.radavs.cz/</w:t>
              </w:r>
            </w:hyperlink>
          </w:p>
        </w:tc>
        <w:tc>
          <w:tcPr>
            <w:tcW w:w="4961" w:type="dxa"/>
            <w:shd w:val="clear" w:color="auto" w:fill="auto"/>
          </w:tcPr>
          <w:p w:rsidR="00586B2B" w:rsidRPr="00586B2B" w:rsidRDefault="00586B2B" w:rsidP="003C6E87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Koordinační mechanismy napříč stupni vzdělávání sestávají z řady nástrojů využívaných v rámci řízení vzdělávací soustavy. Opatření je akcentováno ve všech strategických a koncepčních dokumentech a dále vychází přímo ze zákona č. 561/2004 Sb., o</w:t>
            </w:r>
            <w:r w:rsidR="003C6E87">
              <w:rPr>
                <w:rFonts w:ascii="Times New Roman" w:hAnsi="Times New Roman"/>
                <w:sz w:val="18"/>
                <w:szCs w:val="18"/>
                <w:lang w:val="cs-CZ"/>
              </w:rPr>
              <w:t> </w:t>
            </w: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předškolním, základním, středním, vyšším odborném a jiném vzdělávání (školský zákon).</w:t>
            </w:r>
          </w:p>
          <w:p w:rsidR="00586B2B" w:rsidRPr="00586B2B" w:rsidRDefault="00586B2B" w:rsidP="003C6E87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 xml:space="preserve">Na regionální úrovni jsou dále realizovány </w:t>
            </w:r>
            <w:r w:rsidR="001E7663">
              <w:rPr>
                <w:rFonts w:ascii="Times New Roman" w:hAnsi="Times New Roman"/>
                <w:sz w:val="18"/>
                <w:szCs w:val="18"/>
                <w:lang w:val="cs-CZ"/>
              </w:rPr>
              <w:t>M</w:t>
            </w: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ístní krajské akční plány rozvoje vzdělávání.</w:t>
            </w:r>
          </w:p>
          <w:p w:rsidR="00586B2B" w:rsidRPr="00586B2B" w:rsidRDefault="00586B2B" w:rsidP="003C6E87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586B2B">
              <w:rPr>
                <w:rFonts w:ascii="Times New Roman" w:hAnsi="Times New Roman"/>
                <w:sz w:val="18"/>
                <w:szCs w:val="18"/>
              </w:rPr>
              <w:t>Koordinační mechanismus v rámci vysokého školství probíhá na úrovni zákonně vymezené působnosti ministerstva ve vztahu k</w:t>
            </w:r>
            <w:r w:rsidR="003C6E87">
              <w:rPr>
                <w:rFonts w:ascii="Times New Roman" w:hAnsi="Times New Roman"/>
                <w:sz w:val="18"/>
                <w:szCs w:val="18"/>
                <w:lang w:val="cs-CZ"/>
              </w:rPr>
              <w:t> </w:t>
            </w:r>
            <w:r w:rsidRPr="00586B2B">
              <w:rPr>
                <w:rFonts w:ascii="Times New Roman" w:hAnsi="Times New Roman"/>
                <w:sz w:val="18"/>
                <w:szCs w:val="18"/>
              </w:rPr>
              <w:t>vysokým školám a její reprezentaci. Strategické a koncepční dokumenty týkající se vysokého školství pak při tvorbě opatření a</w:t>
            </w:r>
            <w:r w:rsidR="003C6E87">
              <w:rPr>
                <w:rFonts w:ascii="Times New Roman" w:hAnsi="Times New Roman"/>
                <w:sz w:val="18"/>
                <w:szCs w:val="18"/>
                <w:lang w:val="cs-CZ"/>
              </w:rPr>
              <w:t> </w:t>
            </w:r>
            <w:r w:rsidRPr="00586B2B">
              <w:rPr>
                <w:rFonts w:ascii="Times New Roman" w:hAnsi="Times New Roman"/>
                <w:sz w:val="18"/>
                <w:szCs w:val="18"/>
              </w:rPr>
              <w:t>stanovování nástrojů plně respektují toto vymezení odpovědnosti a komunikace mezi MŠMT vysokými školami</w:t>
            </w: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.</w:t>
            </w:r>
            <w:r w:rsidRPr="00586B2B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586B2B" w:rsidRPr="00586B2B" w:rsidRDefault="00905618" w:rsidP="003C6E87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>
              <w:rPr>
                <w:rFonts w:ascii="Times New Roman" w:hAnsi="Times New Roman"/>
                <w:sz w:val="18"/>
                <w:szCs w:val="18"/>
                <w:lang w:val="cs-CZ"/>
              </w:rPr>
              <w:t>Schválený</w:t>
            </w:r>
            <w:r w:rsidR="00586B2B" w:rsidRPr="00586B2B">
              <w:rPr>
                <w:rFonts w:ascii="Times New Roman" w:hAnsi="Times New Roman"/>
                <w:sz w:val="18"/>
                <w:szCs w:val="18"/>
                <w:lang w:val="cs-CZ"/>
              </w:rPr>
              <w:t xml:space="preserve"> Strategický záměr </w:t>
            </w:r>
            <w:r>
              <w:rPr>
                <w:rFonts w:ascii="Times New Roman" w:hAnsi="Times New Roman"/>
                <w:sz w:val="18"/>
                <w:szCs w:val="18"/>
                <w:lang w:val="cs-CZ"/>
              </w:rPr>
              <w:t xml:space="preserve">ministerstva </w:t>
            </w:r>
            <w:r w:rsidR="00586B2B" w:rsidRPr="00586B2B">
              <w:rPr>
                <w:rFonts w:ascii="Times New Roman" w:hAnsi="Times New Roman"/>
                <w:sz w:val="18"/>
                <w:szCs w:val="18"/>
                <w:lang w:val="cs-CZ"/>
              </w:rPr>
              <w:t>pro oblast vysok</w:t>
            </w:r>
            <w:r>
              <w:rPr>
                <w:rFonts w:ascii="Times New Roman" w:hAnsi="Times New Roman"/>
                <w:sz w:val="18"/>
                <w:szCs w:val="18"/>
                <w:lang w:val="cs-CZ"/>
              </w:rPr>
              <w:t>ých</w:t>
            </w:r>
            <w:r w:rsidR="00586B2B" w:rsidRPr="00586B2B">
              <w:rPr>
                <w:rFonts w:ascii="Times New Roman" w:hAnsi="Times New Roman"/>
                <w:sz w:val="18"/>
                <w:szCs w:val="18"/>
                <w:lang w:val="cs-CZ"/>
              </w:rPr>
              <w:t xml:space="preserve"> škol </w:t>
            </w:r>
            <w:r w:rsidR="00F503A3">
              <w:rPr>
                <w:rFonts w:ascii="Times New Roman" w:hAnsi="Times New Roman"/>
                <w:sz w:val="18"/>
                <w:szCs w:val="18"/>
                <w:lang w:val="cs-CZ"/>
              </w:rPr>
              <w:t xml:space="preserve">na období </w:t>
            </w:r>
            <w:r>
              <w:rPr>
                <w:rFonts w:ascii="Times New Roman" w:hAnsi="Times New Roman"/>
                <w:sz w:val="18"/>
                <w:szCs w:val="18"/>
                <w:lang w:val="cs-CZ"/>
              </w:rPr>
              <w:t>od roku</w:t>
            </w:r>
            <w:r w:rsidR="00586B2B" w:rsidRPr="00586B2B">
              <w:rPr>
                <w:rFonts w:ascii="Times New Roman" w:hAnsi="Times New Roman"/>
                <w:sz w:val="18"/>
                <w:szCs w:val="18"/>
                <w:lang w:val="cs-CZ"/>
              </w:rPr>
              <w:t xml:space="preserve"> 2021 </w:t>
            </w:r>
            <w:r>
              <w:rPr>
                <w:rFonts w:ascii="Times New Roman" w:hAnsi="Times New Roman"/>
                <w:sz w:val="18"/>
                <w:szCs w:val="18"/>
                <w:lang w:val="cs-CZ"/>
              </w:rPr>
              <w:t>je</w:t>
            </w:r>
            <w:r w:rsidR="00586B2B" w:rsidRPr="00586B2B">
              <w:rPr>
                <w:rFonts w:ascii="Times New Roman" w:hAnsi="Times New Roman"/>
                <w:sz w:val="18"/>
                <w:szCs w:val="18"/>
                <w:lang w:val="cs-CZ"/>
              </w:rPr>
              <w:t xml:space="preserve"> hlavním koncepčním dokumentem pro oblast vysokoškolské politiky a zároveň implementačním nástrojem Strategie vzdělávací politiky ČR 2030+.</w:t>
            </w:r>
          </w:p>
        </w:tc>
      </w:tr>
      <w:tr w:rsidR="00586B2B" w:rsidRPr="00B175FB" w:rsidTr="00F6239D">
        <w:tc>
          <w:tcPr>
            <w:tcW w:w="1277" w:type="dxa"/>
          </w:tcPr>
          <w:p w:rsidR="00586B2B" w:rsidRPr="00B175FB" w:rsidRDefault="00586B2B" w:rsidP="00586B2B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</w:p>
        </w:tc>
        <w:tc>
          <w:tcPr>
            <w:tcW w:w="850" w:type="dxa"/>
          </w:tcPr>
          <w:p w:rsidR="00586B2B" w:rsidRPr="00B175F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1985" w:type="dxa"/>
          </w:tcPr>
          <w:p w:rsidR="00586B2B" w:rsidRPr="00B175F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1134" w:type="dxa"/>
          </w:tcPr>
          <w:p w:rsidR="00586B2B" w:rsidRPr="00586B2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2268" w:type="dxa"/>
            <w:shd w:val="clear" w:color="auto" w:fill="auto"/>
          </w:tcPr>
          <w:p w:rsidR="00586B2B" w:rsidRPr="00586B2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4. Opatření na monitorování, hodnocení a</w:t>
            </w:r>
            <w:r w:rsidR="00FE6F9D">
              <w:rPr>
                <w:rFonts w:ascii="Times New Roman" w:hAnsi="Times New Roman"/>
                <w:sz w:val="18"/>
                <w:szCs w:val="18"/>
                <w:lang w:val="cs-CZ"/>
              </w:rPr>
              <w:t> </w:t>
            </w: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přezkum strategického rámce politiky</w:t>
            </w:r>
          </w:p>
        </w:tc>
        <w:tc>
          <w:tcPr>
            <w:tcW w:w="992" w:type="dxa"/>
            <w:shd w:val="clear" w:color="auto" w:fill="auto"/>
          </w:tcPr>
          <w:p w:rsidR="00586B2B" w:rsidRPr="00586B2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ANO</w:t>
            </w:r>
          </w:p>
        </w:tc>
        <w:tc>
          <w:tcPr>
            <w:tcW w:w="2693" w:type="dxa"/>
            <w:shd w:val="clear" w:color="auto" w:fill="auto"/>
          </w:tcPr>
          <w:p w:rsidR="00586B2B" w:rsidRPr="00586B2B" w:rsidRDefault="00586B2B" w:rsidP="00586B2B">
            <w:pPr>
              <w:pStyle w:val="DAVA"/>
              <w:spacing w:after="120"/>
              <w:rPr>
                <w:rStyle w:val="Hypertextovodkaz"/>
                <w:rFonts w:ascii="Times New Roman" w:hAnsi="Times New Roman"/>
                <w:sz w:val="18"/>
                <w:szCs w:val="18"/>
                <w:lang w:val="cs-CZ"/>
              </w:rPr>
            </w:pPr>
            <w:r w:rsidRPr="00586B2B">
              <w:rPr>
                <w:rStyle w:val="Hypertextovodkaz"/>
                <w:rFonts w:ascii="Times New Roman" w:hAnsi="Times New Roman"/>
                <w:sz w:val="18"/>
                <w:szCs w:val="18"/>
                <w:lang w:val="cs-CZ"/>
              </w:rPr>
              <w:t>http://www.msmt.cz/vzdelavani/skolstvi-v-cr/strategie-2030</w:t>
            </w:r>
          </w:p>
          <w:p w:rsidR="00586B2B" w:rsidRPr="00586B2B" w:rsidRDefault="00586B2B" w:rsidP="00586B2B">
            <w:pPr>
              <w:pStyle w:val="DAVA"/>
              <w:spacing w:after="120"/>
              <w:rPr>
                <w:rStyle w:val="Hypertextovodkaz"/>
                <w:rFonts w:ascii="Times New Roman" w:hAnsi="Times New Roman"/>
                <w:sz w:val="18"/>
                <w:szCs w:val="18"/>
                <w:lang w:val="cs-CZ"/>
              </w:rPr>
            </w:pPr>
            <w:r w:rsidRPr="00586B2B">
              <w:rPr>
                <w:rStyle w:val="Hypertextovodkaz"/>
                <w:rFonts w:ascii="Times New Roman" w:hAnsi="Times New Roman"/>
                <w:sz w:val="18"/>
                <w:szCs w:val="18"/>
                <w:lang w:val="cs-CZ"/>
              </w:rPr>
              <w:t>https://www.facebook.com/Edu2030plus/</w:t>
            </w:r>
          </w:p>
          <w:p w:rsidR="00586B2B" w:rsidRPr="00586B2B" w:rsidRDefault="00D05954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90" w:history="1">
              <w:r w:rsidR="00586B2B" w:rsidRPr="00586B2B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https://www.mmr.cz/cs/Microsites/PORTAL-STRATEGICKE-PRACE-V-CESKE-REPUBLICE/Nastroje-a-metodicka-podpora/Vystupy-projektu</w:t>
              </w:r>
            </w:hyperlink>
          </w:p>
          <w:p w:rsidR="00586B2B" w:rsidRPr="00586B2B" w:rsidRDefault="00D05954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91" w:history="1">
              <w:r w:rsidR="00586B2B" w:rsidRPr="00586B2B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www.vzdelavani2020.cz</w:t>
              </w:r>
            </w:hyperlink>
          </w:p>
          <w:p w:rsidR="00586B2B" w:rsidRPr="00586B2B" w:rsidRDefault="00D05954" w:rsidP="00586B2B">
            <w:pPr>
              <w:pStyle w:val="DAVA"/>
              <w:spacing w:after="120"/>
              <w:rPr>
                <w:rStyle w:val="Hypertextovodkaz"/>
                <w:rFonts w:ascii="Times New Roman" w:hAnsi="Times New Roman"/>
                <w:sz w:val="18"/>
                <w:szCs w:val="18"/>
                <w:lang w:val="cs-CZ"/>
              </w:rPr>
            </w:pPr>
            <w:hyperlink r:id="rId92" w:history="1">
              <w:r w:rsidR="00586B2B" w:rsidRPr="00586B2B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http://www.msmt.cz/ministerstvo/novinar/experti-hodnotili-naplnovani-strategie-vzdelavani-2020</w:t>
              </w:r>
            </w:hyperlink>
          </w:p>
          <w:p w:rsidR="00586B2B" w:rsidRPr="00586B2B" w:rsidRDefault="00D05954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93" w:history="1">
              <w:r w:rsidR="00586B2B" w:rsidRPr="00586B2B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http://www.msmt.cz/vzdelavani/skolstvi-v-cr/dlouhodobe-zamery-cr</w:t>
              </w:r>
            </w:hyperlink>
          </w:p>
          <w:p w:rsidR="00586B2B" w:rsidRPr="00586B2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586B2B">
              <w:rPr>
                <w:rStyle w:val="Hypertextovodkaz"/>
                <w:rFonts w:ascii="Times New Roman" w:hAnsi="Times New Roman"/>
                <w:sz w:val="18"/>
                <w:szCs w:val="18"/>
                <w:lang w:val="cs-CZ"/>
              </w:rPr>
              <w:t>http://www.msmt.cz/vzdelavani/vysoke-skolstvi/dlouhodoby-zamer</w:t>
            </w:r>
            <w:r w:rsidRPr="00586B2B" w:rsidDel="00CB367F">
              <w:rPr>
                <w:rFonts w:ascii="Times New Roman" w:hAnsi="Times New Roman"/>
                <w:sz w:val="18"/>
                <w:szCs w:val="18"/>
                <w:lang w:val="cs-CZ"/>
              </w:rPr>
              <w:t xml:space="preserve"> </w:t>
            </w:r>
          </w:p>
        </w:tc>
        <w:tc>
          <w:tcPr>
            <w:tcW w:w="4961" w:type="dxa"/>
            <w:shd w:val="clear" w:color="auto" w:fill="auto"/>
          </w:tcPr>
          <w:p w:rsidR="00586B2B" w:rsidRPr="00586B2B" w:rsidRDefault="00586B2B" w:rsidP="003C6E87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Strategické dokumenty MŠMT jsou připravovány v souladu se závaznou Metodikou přípravy veřejných strategií.</w:t>
            </w:r>
          </w:p>
          <w:p w:rsidR="00586B2B" w:rsidRPr="00586B2B" w:rsidRDefault="00586B2B" w:rsidP="003C6E87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Koncepční a strategické materiály jsou každoročně evaluovány. Strategie vzdělávací politiky dále prochází v referenčních bodech nezávislou externí evaluací.</w:t>
            </w:r>
          </w:p>
          <w:p w:rsidR="00586B2B" w:rsidRPr="00586B2B" w:rsidRDefault="00586B2B" w:rsidP="003C6E87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Strategie vzdělávací politiky je závazným materiálem resortu, přičemž jí podřízené a navazující dokumenty musí respektovat její obsah a podporovat soulad na základě soustavy implementačních dokumentů. Plnění cílů Strategie vzdělávací politiky prochází každoroční evaluací doplněnou o nezávislé evaluace v</w:t>
            </w:r>
            <w:r w:rsidR="003C6E87">
              <w:rPr>
                <w:rFonts w:ascii="Times New Roman" w:hAnsi="Times New Roman"/>
                <w:sz w:val="18"/>
                <w:szCs w:val="18"/>
                <w:lang w:val="cs-CZ"/>
              </w:rPr>
              <w:t> </w:t>
            </w: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referenčních obdobích.</w:t>
            </w:r>
          </w:p>
        </w:tc>
      </w:tr>
      <w:tr w:rsidR="00586B2B" w:rsidRPr="00B175FB" w:rsidTr="00F6239D">
        <w:tc>
          <w:tcPr>
            <w:tcW w:w="1277" w:type="dxa"/>
          </w:tcPr>
          <w:p w:rsidR="00586B2B" w:rsidRPr="00B175FB" w:rsidRDefault="00586B2B" w:rsidP="00586B2B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</w:p>
        </w:tc>
        <w:tc>
          <w:tcPr>
            <w:tcW w:w="850" w:type="dxa"/>
          </w:tcPr>
          <w:p w:rsidR="00586B2B" w:rsidRPr="00B175F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1985" w:type="dxa"/>
          </w:tcPr>
          <w:p w:rsidR="00586B2B" w:rsidRPr="00B175F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1134" w:type="dxa"/>
          </w:tcPr>
          <w:p w:rsidR="00586B2B" w:rsidRPr="00586B2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2268" w:type="dxa"/>
            <w:shd w:val="clear" w:color="auto" w:fill="auto"/>
          </w:tcPr>
          <w:p w:rsidR="00586B2B" w:rsidRPr="00586B2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5. Opatření zaměřená na osoby s nedostatečnými dovednostmi, dospělé osoby s nízkou kvalifikací a osoby ze znevýhodněného socioekonomického prostředí a cesty prohlubování dovedností</w:t>
            </w:r>
          </w:p>
        </w:tc>
        <w:tc>
          <w:tcPr>
            <w:tcW w:w="992" w:type="dxa"/>
            <w:shd w:val="clear" w:color="auto" w:fill="auto"/>
          </w:tcPr>
          <w:p w:rsidR="00586B2B" w:rsidRPr="00586B2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ANO</w:t>
            </w:r>
          </w:p>
        </w:tc>
        <w:tc>
          <w:tcPr>
            <w:tcW w:w="2693" w:type="dxa"/>
            <w:shd w:val="clear" w:color="auto" w:fill="auto"/>
          </w:tcPr>
          <w:p w:rsidR="00586B2B" w:rsidRPr="00586B2B" w:rsidRDefault="00D05954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94" w:history="1">
              <w:r w:rsidR="00586B2B" w:rsidRPr="00586B2B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http://www.msmt.cz/vzdelavani/skolstvi-v-cr/strategie-2030</w:t>
              </w:r>
            </w:hyperlink>
          </w:p>
          <w:p w:rsidR="00586B2B" w:rsidRPr="00586B2B" w:rsidRDefault="00D05954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95" w:history="1">
              <w:r w:rsidR="00586B2B" w:rsidRPr="00586B2B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https://www.facebook.com/Edu2030plus/</w:t>
              </w:r>
            </w:hyperlink>
          </w:p>
          <w:p w:rsidR="00586B2B" w:rsidRPr="00586B2B" w:rsidRDefault="00D05954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96" w:history="1">
              <w:r w:rsidR="00586B2B" w:rsidRPr="00586B2B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www.vzdelavani2020.cz</w:t>
              </w:r>
            </w:hyperlink>
          </w:p>
          <w:p w:rsidR="00586B2B" w:rsidRPr="00586B2B" w:rsidRDefault="00D05954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97" w:history="1">
              <w:r w:rsidR="00586B2B" w:rsidRPr="00586B2B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http://www.msmt.cz/vzdelavani/skolstvi-v-cr/dlouhodobe-zamery-cr</w:t>
              </w:r>
            </w:hyperlink>
          </w:p>
          <w:p w:rsidR="00586B2B" w:rsidRPr="00586B2B" w:rsidRDefault="00D05954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98" w:history="1">
              <w:r w:rsidR="00586B2B" w:rsidRPr="00586B2B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http://www.msmt.cz/vzdelavani/vysoke-skolstvi/dlouhodoby-zamer</w:t>
              </w:r>
            </w:hyperlink>
          </w:p>
          <w:p w:rsidR="00586B2B" w:rsidRPr="00586B2B" w:rsidRDefault="00D05954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99" w:history="1">
              <w:r w:rsidR="00586B2B" w:rsidRPr="00586B2B">
                <w:rPr>
                  <w:rStyle w:val="Hypertextovodkaz"/>
                  <w:rFonts w:ascii="Times New Roman" w:hAnsi="Times New Roman"/>
                  <w:sz w:val="18"/>
                  <w:szCs w:val="18"/>
                </w:rPr>
                <w:t>http://www.msmt.cz/vzdelavani/dalsi-vzdelavani/zakon-c-179-2006-sb</w:t>
              </w:r>
            </w:hyperlink>
          </w:p>
          <w:p w:rsidR="00586B2B" w:rsidRPr="00586B2B" w:rsidRDefault="00D05954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100" w:history="1">
              <w:r w:rsidR="00586B2B" w:rsidRPr="00586B2B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http://www.nuv.cz/eqf</w:t>
              </w:r>
            </w:hyperlink>
            <w:r w:rsidR="00586B2B" w:rsidRPr="00586B2B">
              <w:rPr>
                <w:rFonts w:ascii="Times New Roman" w:hAnsi="Times New Roman"/>
                <w:sz w:val="18"/>
                <w:szCs w:val="18"/>
                <w:lang w:val="cs-CZ"/>
              </w:rPr>
              <w:t xml:space="preserve"> </w:t>
            </w:r>
          </w:p>
          <w:p w:rsidR="00586B2B" w:rsidRPr="00586B2B" w:rsidRDefault="00D05954" w:rsidP="00586B2B">
            <w:pPr>
              <w:pStyle w:val="DAVA"/>
              <w:spacing w:after="120"/>
              <w:rPr>
                <w:rStyle w:val="Hypertextovodkaz"/>
                <w:rFonts w:ascii="Times New Roman" w:hAnsi="Times New Roman"/>
                <w:sz w:val="18"/>
                <w:szCs w:val="18"/>
                <w:lang w:val="cs-CZ"/>
              </w:rPr>
            </w:pPr>
            <w:hyperlink r:id="rId101" w:history="1">
              <w:r w:rsidR="00586B2B" w:rsidRPr="00586B2B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www.narodnikvalifikace.cz</w:t>
              </w:r>
            </w:hyperlink>
          </w:p>
          <w:p w:rsidR="00586B2B" w:rsidRPr="00586B2B" w:rsidRDefault="00D05954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102" w:history="1">
              <w:r w:rsidR="00586B2B" w:rsidRPr="00586B2B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https://www.mpsv.cz/podpora-zamestnanosti</w:t>
              </w:r>
            </w:hyperlink>
          </w:p>
          <w:p w:rsidR="00586B2B" w:rsidRPr="00586B2B" w:rsidRDefault="00D05954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103" w:history="1">
              <w:r w:rsidR="00586B2B" w:rsidRPr="00586B2B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https://www.mpsv.cz/web/cz/aktualni-zneni</w:t>
              </w:r>
            </w:hyperlink>
          </w:p>
          <w:p w:rsidR="00586B2B" w:rsidRPr="00586B2B" w:rsidRDefault="00D05954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104" w:history="1">
              <w:r w:rsidR="00586B2B" w:rsidRPr="00586B2B">
                <w:rPr>
                  <w:rStyle w:val="Hypertextovodkaz"/>
                  <w:rFonts w:ascii="Times New Roman" w:hAnsi="Times New Roman"/>
                  <w:sz w:val="18"/>
                  <w:szCs w:val="18"/>
                </w:rPr>
                <w:t>https://povez-ii.cz/</w:t>
              </w:r>
            </w:hyperlink>
          </w:p>
        </w:tc>
        <w:tc>
          <w:tcPr>
            <w:tcW w:w="4961" w:type="dxa"/>
            <w:shd w:val="clear" w:color="auto" w:fill="auto"/>
          </w:tcPr>
          <w:p w:rsidR="00586B2B" w:rsidRPr="00586B2B" w:rsidRDefault="00586B2B" w:rsidP="003C6E87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 xml:space="preserve">Rámec pro celoživotní učení je </w:t>
            </w:r>
            <w:r w:rsidR="00900AF0">
              <w:rPr>
                <w:rFonts w:ascii="Times New Roman" w:hAnsi="Times New Roman"/>
                <w:sz w:val="18"/>
                <w:szCs w:val="18"/>
                <w:lang w:val="cs-CZ"/>
              </w:rPr>
              <w:t>dán</w:t>
            </w: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 xml:space="preserve"> zákonem č. 179/2006 Sb., který umožňuje získat profesní kvalifikaci mimo systém počátečního vzdělávání. Princip je založen na uznání výsledků předchozího učení. Na základě toho jsou nabízeny i poptávány kurzy vedoucí k přípravě na zkoušku přístupné pro všechny cílové skupiny. </w:t>
            </w:r>
          </w:p>
          <w:p w:rsidR="00586B2B" w:rsidRPr="00586B2B" w:rsidRDefault="00586B2B" w:rsidP="003C6E87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ČR přiřadila svůj vzdělávací systém a rámec kvalifikací NSK k</w:t>
            </w:r>
            <w:r w:rsidR="003C6E87">
              <w:rPr>
                <w:rFonts w:ascii="Times New Roman" w:hAnsi="Times New Roman"/>
                <w:sz w:val="18"/>
                <w:szCs w:val="18"/>
                <w:lang w:val="cs-CZ"/>
              </w:rPr>
              <w:t> </w:t>
            </w: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EQF již v r. 2011</w:t>
            </w:r>
            <w:r w:rsidR="00900AF0">
              <w:rPr>
                <w:rFonts w:ascii="Times New Roman" w:hAnsi="Times New Roman"/>
                <w:sz w:val="18"/>
                <w:szCs w:val="18"/>
                <w:lang w:val="cs-CZ"/>
              </w:rPr>
              <w:t>.</w:t>
            </w: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 xml:space="preserve"> Pro zavádění EQF v ČR byl ustaven National Coordination Point (NCP). </w:t>
            </w:r>
          </w:p>
          <w:p w:rsidR="00586B2B" w:rsidRPr="00586B2B" w:rsidRDefault="00586B2B" w:rsidP="003C6E87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 xml:space="preserve">MPSV prostřednictvím UP ČR zajišťuje podporu dalšího profesního vzdělávání dospělé </w:t>
            </w:r>
            <w:r w:rsidR="003C6E87" w:rsidRPr="00586B2B">
              <w:rPr>
                <w:rFonts w:ascii="Times New Roman" w:hAnsi="Times New Roman"/>
                <w:sz w:val="18"/>
                <w:szCs w:val="18"/>
                <w:lang w:val="cs-CZ"/>
              </w:rPr>
              <w:t>populace,</w:t>
            </w: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 xml:space="preserve"> a to jak prostřednictvím existujících legislativních nástrojů vymezených zákonem č.</w:t>
            </w:r>
            <w:r w:rsidR="003C6E87">
              <w:rPr>
                <w:rFonts w:ascii="Times New Roman" w:hAnsi="Times New Roman"/>
                <w:sz w:val="18"/>
                <w:szCs w:val="18"/>
                <w:lang w:val="cs-CZ"/>
              </w:rPr>
              <w:t> </w:t>
            </w: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435/2004 Sb., o zaměstnanosti, tak prostřednictvím projektů zaměřených na podporu odborného rozvoje zaměstnanců podporovaného zaměstnavateli.</w:t>
            </w:r>
          </w:p>
          <w:p w:rsidR="00586B2B" w:rsidRPr="00586B2B" w:rsidRDefault="00586B2B" w:rsidP="003C6E87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Konkrétně se jedná o zabezpečování rekvalifikačních kurzů podle zákona o zaměstnanosti, tak rovněž pro prostřednictvím zaměstnanecké rekvalifikace. Projekty na podporu odborného rozvoje zaměstnavatelů.</w:t>
            </w:r>
          </w:p>
        </w:tc>
      </w:tr>
      <w:tr w:rsidR="00586B2B" w:rsidRPr="00B175FB" w:rsidTr="00F6239D">
        <w:tc>
          <w:tcPr>
            <w:tcW w:w="1277" w:type="dxa"/>
          </w:tcPr>
          <w:p w:rsidR="00586B2B" w:rsidRPr="00B175FB" w:rsidRDefault="00586B2B" w:rsidP="00586B2B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</w:p>
        </w:tc>
        <w:tc>
          <w:tcPr>
            <w:tcW w:w="850" w:type="dxa"/>
          </w:tcPr>
          <w:p w:rsidR="00586B2B" w:rsidRPr="00B175F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1985" w:type="dxa"/>
          </w:tcPr>
          <w:p w:rsidR="00586B2B" w:rsidRPr="00B175F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1134" w:type="dxa"/>
          </w:tcPr>
          <w:p w:rsidR="00586B2B" w:rsidRPr="00586B2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2268" w:type="dxa"/>
            <w:shd w:val="clear" w:color="auto" w:fill="auto"/>
          </w:tcPr>
          <w:p w:rsidR="00586B2B" w:rsidRPr="00586B2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6. Opatření na podporu učitelů, školitelů a</w:t>
            </w:r>
            <w:r w:rsidR="00FE6F9D">
              <w:rPr>
                <w:rFonts w:ascii="Times New Roman" w:hAnsi="Times New Roman"/>
                <w:sz w:val="18"/>
                <w:szCs w:val="18"/>
                <w:lang w:val="cs-CZ"/>
              </w:rPr>
              <w:t> </w:t>
            </w: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akademických pracovníků, pokud jde o</w:t>
            </w:r>
            <w:r w:rsidR="00FE6F9D">
              <w:rPr>
                <w:rFonts w:ascii="Times New Roman" w:hAnsi="Times New Roman"/>
                <w:sz w:val="18"/>
                <w:szCs w:val="18"/>
                <w:lang w:val="cs-CZ"/>
              </w:rPr>
              <w:t> </w:t>
            </w: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vhodné učební metody, posuzování a validaci klíčových kompetencí</w:t>
            </w:r>
          </w:p>
        </w:tc>
        <w:tc>
          <w:tcPr>
            <w:tcW w:w="992" w:type="dxa"/>
            <w:shd w:val="clear" w:color="auto" w:fill="auto"/>
          </w:tcPr>
          <w:p w:rsidR="00586B2B" w:rsidRPr="00586B2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ANO</w:t>
            </w:r>
          </w:p>
        </w:tc>
        <w:tc>
          <w:tcPr>
            <w:tcW w:w="2693" w:type="dxa"/>
            <w:shd w:val="clear" w:color="auto" w:fill="auto"/>
          </w:tcPr>
          <w:p w:rsidR="00586B2B" w:rsidRPr="00586B2B" w:rsidRDefault="00D05954" w:rsidP="00586B2B">
            <w:pPr>
              <w:pStyle w:val="DAVA"/>
              <w:spacing w:after="120"/>
              <w:rPr>
                <w:rStyle w:val="Hypertextovodkaz"/>
                <w:rFonts w:ascii="Times New Roman" w:hAnsi="Times New Roman"/>
                <w:sz w:val="18"/>
                <w:szCs w:val="18"/>
                <w:lang w:val="cs-CZ"/>
              </w:rPr>
            </w:pPr>
            <w:hyperlink r:id="rId105" w:history="1">
              <w:r w:rsidR="00586B2B" w:rsidRPr="00586B2B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http://www.msmt.cz/vzdelavani/skolstvi-v-cr/strategie-2030</w:t>
              </w:r>
            </w:hyperlink>
          </w:p>
          <w:p w:rsidR="00586B2B" w:rsidRPr="00586B2B" w:rsidRDefault="00D05954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106" w:history="1">
              <w:r w:rsidR="00586B2B" w:rsidRPr="00586B2B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http://www.msmt.cz/vzdelavani/vysoke-skolstvi/dlouhodoby-zamer</w:t>
              </w:r>
            </w:hyperlink>
          </w:p>
          <w:p w:rsidR="00586B2B" w:rsidRPr="00586B2B" w:rsidRDefault="00D05954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107" w:history="1">
              <w:r w:rsidR="00586B2B" w:rsidRPr="00586B2B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https://www.facebook.com/Edu2030plus/</w:t>
              </w:r>
            </w:hyperlink>
          </w:p>
          <w:p w:rsidR="00586B2B" w:rsidRPr="00586B2B" w:rsidRDefault="00D05954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108" w:history="1">
              <w:r w:rsidR="00586B2B" w:rsidRPr="00586B2B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https://www.nauvs.cz/index.php/cs/</w:t>
              </w:r>
            </w:hyperlink>
          </w:p>
          <w:p w:rsidR="00586B2B" w:rsidRPr="00586B2B" w:rsidRDefault="00D05954" w:rsidP="00586B2B">
            <w:pPr>
              <w:pStyle w:val="DAVA"/>
              <w:spacing w:after="120"/>
              <w:rPr>
                <w:rStyle w:val="Hypertextovodkaz"/>
                <w:rFonts w:ascii="Times New Roman" w:hAnsi="Times New Roman"/>
                <w:sz w:val="18"/>
                <w:szCs w:val="18"/>
                <w:lang w:val="cs-CZ"/>
              </w:rPr>
            </w:pPr>
            <w:hyperlink r:id="rId109" w:history="1">
              <w:r w:rsidR="00586B2B" w:rsidRPr="00586B2B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https://www.nidv.cz/sypo</w:t>
              </w:r>
            </w:hyperlink>
          </w:p>
          <w:p w:rsidR="00586B2B" w:rsidRPr="00586B2B" w:rsidRDefault="00D05954" w:rsidP="00586B2B">
            <w:pPr>
              <w:pStyle w:val="DAVA"/>
              <w:spacing w:after="120"/>
              <w:rPr>
                <w:rStyle w:val="Hypertextovodkaz"/>
                <w:rFonts w:ascii="Times New Roman" w:hAnsi="Times New Roman"/>
                <w:sz w:val="18"/>
                <w:szCs w:val="18"/>
                <w:lang w:val="cs-CZ"/>
              </w:rPr>
            </w:pPr>
            <w:hyperlink r:id="rId110" w:history="1">
              <w:r w:rsidR="00586B2B" w:rsidRPr="00586B2B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http://www.msmt.cz/dokumenty-3/skolsky-zakon</w:t>
              </w:r>
            </w:hyperlink>
          </w:p>
          <w:p w:rsidR="00586B2B" w:rsidRPr="00586B2B" w:rsidRDefault="00D05954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111" w:history="1">
              <w:r w:rsidR="00586B2B" w:rsidRPr="00586B2B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http://www.msmt.cz/vyzkum-a-vyvoj-2/zakon-c-111-1998-sb-o-vysokych-skolach</w:t>
              </w:r>
            </w:hyperlink>
          </w:p>
          <w:p w:rsidR="00586B2B" w:rsidRPr="00586B2B" w:rsidRDefault="00D05954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112" w:history="1">
              <w:r w:rsidR="00586B2B" w:rsidRPr="00586B2B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http://www.msmt.cz/dokumenty-3/zakon-o-pedagogickych-pracovnicich</w:t>
              </w:r>
            </w:hyperlink>
          </w:p>
          <w:p w:rsidR="00586B2B" w:rsidRPr="00586B2B" w:rsidRDefault="00D05954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113" w:history="1">
              <w:r w:rsidR="00586B2B" w:rsidRPr="00586B2B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http://www.msmt.cz/ministerstvo/vyhlaska-c-317-2005-sb-2</w:t>
              </w:r>
            </w:hyperlink>
          </w:p>
        </w:tc>
        <w:tc>
          <w:tcPr>
            <w:tcW w:w="4961" w:type="dxa"/>
            <w:shd w:val="clear" w:color="auto" w:fill="auto"/>
          </w:tcPr>
          <w:p w:rsidR="00586B2B" w:rsidRPr="00586B2B" w:rsidRDefault="00586B2B" w:rsidP="003C6E87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Strategie vzdělávací politiky ČR do roku 2030+</w:t>
            </w:r>
          </w:p>
          <w:p w:rsidR="00586B2B" w:rsidRPr="00586B2B" w:rsidRDefault="00586B2B" w:rsidP="003C6E87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 xml:space="preserve">Strategický záměr </w:t>
            </w:r>
            <w:r w:rsidR="00F503A3">
              <w:rPr>
                <w:rFonts w:ascii="Times New Roman" w:hAnsi="Times New Roman"/>
                <w:sz w:val="18"/>
                <w:szCs w:val="18"/>
                <w:lang w:val="cs-CZ"/>
              </w:rPr>
              <w:t xml:space="preserve">ministerstva </w:t>
            </w: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 xml:space="preserve">pro oblast vysokých škol </w:t>
            </w:r>
            <w:r w:rsidR="00F503A3">
              <w:rPr>
                <w:rFonts w:ascii="Times New Roman" w:hAnsi="Times New Roman"/>
                <w:sz w:val="18"/>
                <w:szCs w:val="18"/>
                <w:lang w:val="cs-CZ"/>
              </w:rPr>
              <w:t xml:space="preserve">na období od roku </w:t>
            </w: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2021</w:t>
            </w:r>
          </w:p>
          <w:p w:rsidR="00586B2B" w:rsidRPr="00586B2B" w:rsidRDefault="00586B2B" w:rsidP="003C6E87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Zákon o vysokých školách (zákon č. 111/1998 Sb.)</w:t>
            </w:r>
          </w:p>
          <w:p w:rsidR="00586B2B" w:rsidRPr="00586B2B" w:rsidRDefault="00586B2B" w:rsidP="003C6E87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Systém podpory profesního rozvoje učitelů a ředitelů (SYPO)</w:t>
            </w:r>
          </w:p>
          <w:p w:rsidR="00586B2B" w:rsidRPr="00586B2B" w:rsidRDefault="00586B2B" w:rsidP="003C6E87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Zákon o předškolním, základním, středním, vyšším odborném a</w:t>
            </w:r>
            <w:r w:rsidR="003C6E87">
              <w:rPr>
                <w:rFonts w:ascii="Times New Roman" w:hAnsi="Times New Roman"/>
                <w:sz w:val="18"/>
                <w:szCs w:val="18"/>
                <w:lang w:val="cs-CZ"/>
              </w:rPr>
              <w:t> </w:t>
            </w: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 xml:space="preserve">jiném vzdělávání (zákon č. 561/2004 Sb.) </w:t>
            </w:r>
          </w:p>
          <w:p w:rsidR="00586B2B" w:rsidRPr="00586B2B" w:rsidRDefault="00586B2B" w:rsidP="003C6E87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 xml:space="preserve">Zákon o pedagogických pracovnících a o změně některých zákonů (zákon č. 563/2004 Sb.), dle kterého, mají pedagogové po dobu výkonu své pedagogické činnosti povinnost dalšího vzdělávání, kterým si obnovují, udržují a doplňují kvalifikaci. </w:t>
            </w:r>
          </w:p>
          <w:p w:rsidR="00586B2B" w:rsidRPr="00586B2B" w:rsidRDefault="00586B2B" w:rsidP="003C6E87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Vyhláška č. 317/2005 Sb., o dalším vzdělávání pedagogických pracovníků, akreditační komisi a kariérním systému pedagogických pracovníků</w:t>
            </w:r>
          </w:p>
          <w:p w:rsidR="00586B2B" w:rsidRPr="00586B2B" w:rsidRDefault="00586B2B" w:rsidP="003C6E87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Národní akreditační úřad pro vysoké školství rozhoduje o</w:t>
            </w:r>
            <w:r w:rsidR="003C6E87">
              <w:rPr>
                <w:rFonts w:ascii="Times New Roman" w:hAnsi="Times New Roman"/>
                <w:sz w:val="18"/>
                <w:szCs w:val="18"/>
                <w:lang w:val="cs-CZ"/>
              </w:rPr>
              <w:t> </w:t>
            </w: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akreditacích studijních programů, institucionálních akreditacích pro </w:t>
            </w:r>
            <w:hyperlink r:id="rId114" w:anchor="local-content" w:tgtFrame="_blank" w:history="1">
              <w:r w:rsidRPr="00586B2B">
                <w:rPr>
                  <w:rFonts w:ascii="Times New Roman" w:hAnsi="Times New Roman"/>
                  <w:sz w:val="18"/>
                  <w:szCs w:val="18"/>
                  <w:lang w:val="cs-CZ"/>
                </w:rPr>
                <w:t>oblasti vzdělávání</w:t>
              </w:r>
            </w:hyperlink>
          </w:p>
        </w:tc>
      </w:tr>
      <w:tr w:rsidR="00586B2B" w:rsidRPr="00B175FB" w:rsidTr="00F6239D">
        <w:tc>
          <w:tcPr>
            <w:tcW w:w="1277" w:type="dxa"/>
          </w:tcPr>
          <w:p w:rsidR="00586B2B" w:rsidRPr="00B175FB" w:rsidRDefault="00586B2B" w:rsidP="00586B2B">
            <w:pPr>
              <w:pStyle w:val="DAVA"/>
              <w:spacing w:after="120"/>
              <w:rPr>
                <w:rFonts w:ascii="Times New Roman" w:hAnsi="Times New Roman"/>
                <w:b/>
                <w:sz w:val="18"/>
                <w:szCs w:val="18"/>
                <w:lang w:val="cs-CZ"/>
              </w:rPr>
            </w:pPr>
          </w:p>
        </w:tc>
        <w:tc>
          <w:tcPr>
            <w:tcW w:w="850" w:type="dxa"/>
          </w:tcPr>
          <w:p w:rsidR="00586B2B" w:rsidRPr="00B175F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1985" w:type="dxa"/>
          </w:tcPr>
          <w:p w:rsidR="00586B2B" w:rsidRPr="00B175F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1134" w:type="dxa"/>
          </w:tcPr>
          <w:p w:rsidR="00586B2B" w:rsidRPr="00586B2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</w:p>
        </w:tc>
        <w:tc>
          <w:tcPr>
            <w:tcW w:w="2268" w:type="dxa"/>
            <w:shd w:val="clear" w:color="auto" w:fill="auto"/>
          </w:tcPr>
          <w:p w:rsidR="00586B2B" w:rsidRPr="00586B2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7. Opatření na podporu mobility studentů a</w:t>
            </w:r>
            <w:r w:rsidR="00FE6F9D">
              <w:rPr>
                <w:rFonts w:ascii="Times New Roman" w:hAnsi="Times New Roman"/>
                <w:sz w:val="18"/>
                <w:szCs w:val="18"/>
                <w:lang w:val="cs-CZ"/>
              </w:rPr>
              <w:t> </w:t>
            </w: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zaměstnanců a nadnárodní spolupráce poskytovatelů vzdělávání a odborné přípravy, včetně uznávání výsledků učení a</w:t>
            </w:r>
            <w:r w:rsidR="00FE6F9D">
              <w:rPr>
                <w:rFonts w:ascii="Times New Roman" w:hAnsi="Times New Roman"/>
                <w:sz w:val="18"/>
                <w:szCs w:val="18"/>
                <w:lang w:val="cs-CZ"/>
              </w:rPr>
              <w:t> </w:t>
            </w: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kvalifikace</w:t>
            </w:r>
          </w:p>
        </w:tc>
        <w:tc>
          <w:tcPr>
            <w:tcW w:w="992" w:type="dxa"/>
            <w:shd w:val="clear" w:color="auto" w:fill="auto"/>
          </w:tcPr>
          <w:p w:rsidR="00586B2B" w:rsidRPr="00586B2B" w:rsidRDefault="00586B2B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ANO</w:t>
            </w:r>
          </w:p>
        </w:tc>
        <w:tc>
          <w:tcPr>
            <w:tcW w:w="2693" w:type="dxa"/>
            <w:shd w:val="clear" w:color="auto" w:fill="auto"/>
          </w:tcPr>
          <w:p w:rsidR="00586B2B" w:rsidRPr="00586B2B" w:rsidRDefault="00D05954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115" w:history="1">
              <w:r w:rsidR="00586B2B" w:rsidRPr="00586B2B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http://www.msmt.cz/vzdelavani/skolstvi-v-cr/strategie-2030</w:t>
              </w:r>
            </w:hyperlink>
          </w:p>
          <w:p w:rsidR="00586B2B" w:rsidRPr="00586B2B" w:rsidRDefault="00D05954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116" w:history="1">
              <w:r w:rsidR="00586B2B" w:rsidRPr="00586B2B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http://www.msmt.cz/vzdelavani/dalsi-vzdelavani/zakon-c-179-2006-sb</w:t>
              </w:r>
            </w:hyperlink>
          </w:p>
          <w:p w:rsidR="00586B2B" w:rsidRPr="00586B2B" w:rsidRDefault="00D05954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117" w:history="1">
              <w:r w:rsidR="00586B2B" w:rsidRPr="00586B2B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http://www.msmt.cz/vyzkum-a-vyvoj-2/zakon-c-111-1998-sb-o-vysokych-skolach</w:t>
              </w:r>
            </w:hyperlink>
          </w:p>
          <w:p w:rsidR="00586B2B" w:rsidRPr="00586B2B" w:rsidRDefault="00D05954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118" w:history="1">
              <w:r w:rsidR="00586B2B" w:rsidRPr="00586B2B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http://www.msmt.cz/vzdelavani/vysoke-skolstvi/pravidla-pro-poskytovani-prispevku-a-dotaci-verejnym-vs</w:t>
              </w:r>
            </w:hyperlink>
          </w:p>
          <w:p w:rsidR="00586B2B" w:rsidRPr="00586B2B" w:rsidRDefault="00D05954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119" w:history="1">
              <w:r w:rsidR="00586B2B" w:rsidRPr="00586B2B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http://www.msmt.cz/vzdelavani/vysoke-skolstvi/studenti-stipendia-a-podpora-studentu</w:t>
              </w:r>
            </w:hyperlink>
          </w:p>
          <w:p w:rsidR="00586B2B" w:rsidRPr="00586B2B" w:rsidRDefault="00D05954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120" w:history="1">
              <w:r w:rsidR="00586B2B" w:rsidRPr="00586B2B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http://www.msmt.cz/vzdelavani/vysoke-skolstvi/dlouhodoby-zamer</w:t>
              </w:r>
            </w:hyperlink>
          </w:p>
          <w:p w:rsidR="00586B2B" w:rsidRPr="00586B2B" w:rsidRDefault="00D05954" w:rsidP="00586B2B">
            <w:pPr>
              <w:pStyle w:val="DAVA"/>
              <w:spacing w:after="120"/>
              <w:rPr>
                <w:rFonts w:ascii="Times New Roman" w:hAnsi="Times New Roman"/>
                <w:sz w:val="18"/>
                <w:szCs w:val="18"/>
                <w:lang w:val="cs-CZ"/>
              </w:rPr>
            </w:pPr>
            <w:hyperlink r:id="rId121" w:history="1">
              <w:r w:rsidR="00586B2B" w:rsidRPr="00586B2B">
                <w:rPr>
                  <w:rStyle w:val="Hypertextovodkaz"/>
                  <w:rFonts w:ascii="Times New Roman" w:hAnsi="Times New Roman"/>
                  <w:sz w:val="18"/>
                  <w:szCs w:val="18"/>
                  <w:lang w:val="cs-CZ"/>
                </w:rPr>
                <w:t>http://www.naerasmusplus.cz/</w:t>
              </w:r>
            </w:hyperlink>
          </w:p>
        </w:tc>
        <w:tc>
          <w:tcPr>
            <w:tcW w:w="4961" w:type="dxa"/>
            <w:shd w:val="clear" w:color="auto" w:fill="auto"/>
          </w:tcPr>
          <w:p w:rsidR="00586B2B" w:rsidRPr="00586B2B" w:rsidRDefault="00586B2B" w:rsidP="003C6E87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 xml:space="preserve">Uznávání výsledků učení a kvalifikace </w:t>
            </w:r>
          </w:p>
          <w:p w:rsidR="00586B2B" w:rsidRPr="00586B2B" w:rsidRDefault="00586B2B" w:rsidP="003C6E87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86B2B">
              <w:rPr>
                <w:rFonts w:ascii="Times New Roman" w:hAnsi="Times New Roman"/>
                <w:sz w:val="18"/>
                <w:szCs w:val="18"/>
              </w:rPr>
              <w:t>Uznávání zahraničního vysokoškolského vzdělání a kvalifikace se řídí zákonem č. 111/1998 Sb., o</w:t>
            </w: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 </w:t>
            </w:r>
            <w:r w:rsidRPr="00586B2B">
              <w:rPr>
                <w:rFonts w:ascii="Times New Roman" w:hAnsi="Times New Roman"/>
                <w:sz w:val="18"/>
                <w:szCs w:val="18"/>
              </w:rPr>
              <w:t>vysokých školách a tzv. Lisabonskou úmluvou</w:t>
            </w: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.</w:t>
            </w:r>
          </w:p>
          <w:p w:rsidR="00586B2B" w:rsidRPr="00586B2B" w:rsidRDefault="00586B2B" w:rsidP="003C6E87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Opatření na podporu mobility cílových skupin jsou primárně plněna prostřednictvím zapojení České republiky do Evropského vysokoškolského prostoru. Největší objem mobilitních programů je realizován prostřednictvím programu Erasmus+ a ErasmusPro.</w:t>
            </w:r>
          </w:p>
          <w:p w:rsidR="00586B2B" w:rsidRPr="00586B2B" w:rsidRDefault="00586B2B" w:rsidP="003C6E87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ČR v letech 2019 až 2020 spolupředsedá společně s Finskem a</w:t>
            </w:r>
            <w:r w:rsidR="003C6E87">
              <w:rPr>
                <w:rFonts w:ascii="Times New Roman" w:hAnsi="Times New Roman"/>
                <w:sz w:val="18"/>
                <w:szCs w:val="18"/>
                <w:lang w:val="cs-CZ"/>
              </w:rPr>
              <w:t> </w:t>
            </w: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Kazachstánem tzv. peer group k třístupňovému systému kompatibilnímu se zastřešujícím rámcem kvalifikací EHEA a</w:t>
            </w:r>
            <w:r w:rsidR="003C6E87">
              <w:rPr>
                <w:rFonts w:ascii="Times New Roman" w:hAnsi="Times New Roman"/>
                <w:sz w:val="18"/>
                <w:szCs w:val="18"/>
                <w:lang w:val="cs-CZ"/>
              </w:rPr>
              <w:t> </w:t>
            </w: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prvním a druhým cyklem využívajícím ECTS. Implementace doporučení této skupiny se bude prolínat do strategických dokumentů pro nadcházející období.</w:t>
            </w:r>
          </w:p>
          <w:p w:rsidR="00586B2B" w:rsidRPr="00586B2B" w:rsidRDefault="00586B2B" w:rsidP="003C6E87">
            <w:pPr>
              <w:pStyle w:val="DAVA"/>
              <w:spacing w:after="120"/>
              <w:jc w:val="both"/>
              <w:rPr>
                <w:rFonts w:ascii="Times New Roman" w:hAnsi="Times New Roman"/>
                <w:sz w:val="18"/>
                <w:szCs w:val="18"/>
                <w:lang w:val="cs-CZ"/>
              </w:rPr>
            </w:pP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MŠMT disponuje rovněž ukazatelem D-Podpora mezinárodní spolupráce ve financování vysokých škol, využití ukazatelů kvality a výkonu odměňující vysoké školy za mobilitu studentů a</w:t>
            </w:r>
            <w:r w:rsidR="003C6E87">
              <w:rPr>
                <w:rFonts w:ascii="Times New Roman" w:hAnsi="Times New Roman"/>
                <w:sz w:val="18"/>
                <w:szCs w:val="18"/>
                <w:lang w:val="cs-CZ"/>
              </w:rPr>
              <w:t> </w:t>
            </w:r>
            <w:r w:rsidRPr="00586B2B">
              <w:rPr>
                <w:rFonts w:ascii="Times New Roman" w:hAnsi="Times New Roman"/>
                <w:sz w:val="18"/>
                <w:szCs w:val="18"/>
                <w:lang w:val="cs-CZ"/>
              </w:rPr>
              <w:t>akademických pracovníků.</w:t>
            </w:r>
          </w:p>
        </w:tc>
      </w:tr>
    </w:tbl>
    <w:p w:rsidR="00FA04D0" w:rsidRPr="00B175FB" w:rsidRDefault="00FA04D0" w:rsidP="006E481B">
      <w:pPr>
        <w:rPr>
          <w:b/>
          <w:noProof/>
        </w:rPr>
      </w:pPr>
    </w:p>
    <w:p w:rsidR="00FA04D0" w:rsidRPr="00B175FB" w:rsidRDefault="00FA04D0" w:rsidP="006E481B">
      <w:pPr>
        <w:rPr>
          <w:noProof/>
        </w:rPr>
        <w:sectPr w:rsidR="00FA04D0" w:rsidRPr="00B175FB" w:rsidSect="006E481B">
          <w:pgSz w:w="16839" w:h="11907" w:orient="landscape"/>
          <w:pgMar w:top="1134" w:right="624" w:bottom="1134" w:left="1134" w:header="510" w:footer="567" w:gutter="0"/>
          <w:cols w:space="708"/>
          <w:docGrid w:linePitch="326"/>
        </w:sectPr>
      </w:pPr>
    </w:p>
    <w:p w:rsidR="00114426" w:rsidRPr="00B175FB" w:rsidRDefault="000762E9" w:rsidP="006A2F6A">
      <w:pPr>
        <w:pStyle w:val="Odstavecseseznamem"/>
        <w:numPr>
          <w:ilvl w:val="0"/>
          <w:numId w:val="78"/>
        </w:numPr>
        <w:rPr>
          <w:b/>
          <w:noProof/>
        </w:rPr>
      </w:pPr>
      <w:bookmarkStart w:id="284" w:name="_Toc32998645"/>
      <w:bookmarkStart w:id="285" w:name="_Toc32998692"/>
      <w:bookmarkStart w:id="286" w:name="_Toc33000824"/>
      <w:bookmarkStart w:id="287" w:name="_Toc33000258"/>
      <w:bookmarkStart w:id="288" w:name="_Toc66476081"/>
      <w:bookmarkStart w:id="289" w:name="_Toc68611039"/>
      <w:r w:rsidRPr="00B175FB">
        <w:rPr>
          <w:rStyle w:val="Nadpis1Char"/>
          <w:color w:val="1F4E79" w:themeColor="accent5" w:themeShade="80"/>
          <w:lang w:val="cs-CZ"/>
        </w:rPr>
        <w:t>Programové orgány</w:t>
      </w:r>
      <w:bookmarkEnd w:id="284"/>
      <w:bookmarkEnd w:id="285"/>
      <w:bookmarkEnd w:id="286"/>
      <w:bookmarkEnd w:id="287"/>
      <w:bookmarkEnd w:id="288"/>
      <w:bookmarkEnd w:id="289"/>
      <w:r w:rsidRPr="00B175FB">
        <w:rPr>
          <w:rStyle w:val="Nadpis1Char"/>
          <w:color w:val="1F4E79" w:themeColor="accent5" w:themeShade="80"/>
          <w:lang w:val="cs-CZ"/>
        </w:rPr>
        <w:t xml:space="preserve"> </w:t>
      </w:r>
    </w:p>
    <w:p w:rsidR="00114426" w:rsidRPr="00F6239D" w:rsidRDefault="0092092A" w:rsidP="00F6239D">
      <w:pPr>
        <w:pStyle w:val="Titulek"/>
        <w:rPr>
          <w:rFonts w:eastAsia="Times New Roman"/>
          <w:b w:val="0"/>
          <w:i/>
          <w:szCs w:val="24"/>
        </w:rPr>
      </w:pPr>
      <w:bookmarkStart w:id="290" w:name="_Toc66346586"/>
      <w:bookmarkStart w:id="291" w:name="_Hlk66693092"/>
      <w:r w:rsidRPr="00F6239D">
        <w:rPr>
          <w:rFonts w:ascii="Times New Roman" w:hAnsi="Times New Roman" w:cs="Times New Roman"/>
        </w:rPr>
        <w:t xml:space="preserve">Tabulka </w:t>
      </w:r>
      <w:r w:rsidRPr="00F6239D">
        <w:rPr>
          <w:rFonts w:ascii="Times New Roman" w:hAnsi="Times New Roman" w:cs="Times New Roman"/>
        </w:rPr>
        <w:fldChar w:fldCharType="begin"/>
      </w:r>
      <w:r w:rsidRPr="00F6239D">
        <w:rPr>
          <w:rFonts w:ascii="Times New Roman" w:hAnsi="Times New Roman" w:cs="Times New Roman"/>
        </w:rPr>
        <w:instrText xml:space="preserve"> SEQ Tabulka \* ARABIC </w:instrText>
      </w:r>
      <w:r w:rsidRPr="00F6239D">
        <w:rPr>
          <w:rFonts w:ascii="Times New Roman" w:hAnsi="Times New Roman" w:cs="Times New Roman"/>
        </w:rPr>
        <w:fldChar w:fldCharType="separate"/>
      </w:r>
      <w:r w:rsidR="00262D11">
        <w:rPr>
          <w:rFonts w:ascii="Times New Roman" w:hAnsi="Times New Roman" w:cs="Times New Roman"/>
          <w:noProof/>
        </w:rPr>
        <w:t>52</w:t>
      </w:r>
      <w:r w:rsidRPr="00F6239D">
        <w:rPr>
          <w:rFonts w:ascii="Times New Roman" w:hAnsi="Times New Roman" w:cs="Times New Roman"/>
        </w:rPr>
        <w:fldChar w:fldCharType="end"/>
      </w:r>
      <w:r w:rsidRPr="00F6239D">
        <w:rPr>
          <w:rFonts w:ascii="Times New Roman" w:hAnsi="Times New Roman" w:cs="Times New Roman"/>
        </w:rPr>
        <w:t>: Programové orgány</w:t>
      </w:r>
      <w:bookmarkEnd w:id="290"/>
    </w:p>
    <w:tbl>
      <w:tblPr>
        <w:tblStyle w:val="Tabulkasmkou4zvraznn1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2598"/>
        <w:gridCol w:w="2075"/>
        <w:gridCol w:w="2126"/>
        <w:gridCol w:w="2830"/>
      </w:tblGrid>
      <w:tr w:rsidR="00114426" w:rsidRPr="00A101EF" w:rsidTr="002348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114426" w:rsidRPr="00F6239D" w:rsidRDefault="000762E9">
            <w:pPr>
              <w:rPr>
                <w:sz w:val="20"/>
                <w:szCs w:val="20"/>
              </w:rPr>
            </w:pPr>
            <w:r w:rsidRPr="00F6239D">
              <w:rPr>
                <w:sz w:val="20"/>
                <w:szCs w:val="20"/>
              </w:rPr>
              <w:t>Programové orgány</w:t>
            </w:r>
          </w:p>
        </w:tc>
        <w:tc>
          <w:tcPr>
            <w:tcW w:w="207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114426" w:rsidRPr="00F6239D" w:rsidRDefault="000762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6239D">
              <w:rPr>
                <w:sz w:val="20"/>
                <w:szCs w:val="20"/>
              </w:rPr>
              <w:t xml:space="preserve">Název instituce </w:t>
            </w:r>
          </w:p>
        </w:tc>
        <w:tc>
          <w:tcPr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</w:tcPr>
          <w:p w:rsidR="00114426" w:rsidRPr="00F6239D" w:rsidRDefault="000762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6239D">
              <w:rPr>
                <w:sz w:val="20"/>
                <w:szCs w:val="20"/>
              </w:rPr>
              <w:t xml:space="preserve">Jméno kontaktní osoby </w:t>
            </w:r>
          </w:p>
        </w:tc>
        <w:tc>
          <w:tcPr>
            <w:tcW w:w="283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  <w:hideMark/>
          </w:tcPr>
          <w:p w:rsidR="00114426" w:rsidRPr="00F6239D" w:rsidRDefault="0011442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6239D">
              <w:rPr>
                <w:sz w:val="20"/>
                <w:szCs w:val="20"/>
              </w:rPr>
              <w:t>E-mail</w:t>
            </w:r>
          </w:p>
        </w:tc>
      </w:tr>
      <w:tr w:rsidR="00114426" w:rsidRPr="00A101EF" w:rsidTr="00D563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8" w:type="dxa"/>
            <w:hideMark/>
          </w:tcPr>
          <w:p w:rsidR="00114426" w:rsidRPr="00F6239D" w:rsidRDefault="000762E9" w:rsidP="00BF33E3">
            <w:pPr>
              <w:spacing w:line="240" w:lineRule="auto"/>
              <w:rPr>
                <w:sz w:val="20"/>
                <w:szCs w:val="20"/>
              </w:rPr>
            </w:pPr>
            <w:r w:rsidRPr="00F6239D">
              <w:rPr>
                <w:sz w:val="20"/>
                <w:szCs w:val="20"/>
              </w:rPr>
              <w:t>Řídicí orgán</w:t>
            </w:r>
          </w:p>
        </w:tc>
        <w:tc>
          <w:tcPr>
            <w:tcW w:w="2075" w:type="dxa"/>
          </w:tcPr>
          <w:p w:rsidR="00114426" w:rsidRPr="00F6239D" w:rsidRDefault="001C31F7" w:rsidP="00BF33E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6239D">
              <w:rPr>
                <w:sz w:val="20"/>
                <w:szCs w:val="20"/>
              </w:rPr>
              <w:t xml:space="preserve">Ministerstvo školství, mládeže </w:t>
            </w:r>
            <w:r w:rsidR="00A62B35" w:rsidRPr="00F6239D">
              <w:rPr>
                <w:sz w:val="20"/>
                <w:szCs w:val="20"/>
              </w:rPr>
              <w:br/>
            </w:r>
            <w:r w:rsidRPr="00F6239D">
              <w:rPr>
                <w:sz w:val="20"/>
                <w:szCs w:val="20"/>
              </w:rPr>
              <w:t>a tělovýchovy</w:t>
            </w:r>
            <w:r w:rsidR="00C3695E" w:rsidRPr="00F6239D">
              <w:rPr>
                <w:sz w:val="20"/>
                <w:szCs w:val="20"/>
              </w:rPr>
              <w:t xml:space="preserve"> České republiky</w:t>
            </w:r>
          </w:p>
        </w:tc>
        <w:tc>
          <w:tcPr>
            <w:tcW w:w="2126" w:type="dxa"/>
          </w:tcPr>
          <w:p w:rsidR="00FA6E9C" w:rsidRPr="00F6239D" w:rsidRDefault="00FA6E9C" w:rsidP="00BF33E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6239D">
              <w:rPr>
                <w:sz w:val="20"/>
                <w:szCs w:val="20"/>
              </w:rPr>
              <w:t>Václav Velčovský,</w:t>
            </w:r>
          </w:p>
          <w:p w:rsidR="00FA6E9C" w:rsidRPr="00F6239D" w:rsidRDefault="00FA6E9C" w:rsidP="00BF33E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6239D">
              <w:rPr>
                <w:sz w:val="20"/>
                <w:szCs w:val="20"/>
              </w:rPr>
              <w:t>náměstek</w:t>
            </w:r>
          </w:p>
        </w:tc>
        <w:tc>
          <w:tcPr>
            <w:tcW w:w="2830" w:type="dxa"/>
          </w:tcPr>
          <w:p w:rsidR="005C4FAD" w:rsidRDefault="00FA6E9C" w:rsidP="00BF33E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0"/>
                <w:szCs w:val="20"/>
              </w:rPr>
            </w:pPr>
            <w:r w:rsidRPr="00F6239D">
              <w:rPr>
                <w:sz w:val="20"/>
                <w:szCs w:val="20"/>
              </w:rPr>
              <w:t>Vaclav.</w:t>
            </w:r>
            <w:r w:rsidR="007C0C2B">
              <w:rPr>
                <w:sz w:val="20"/>
                <w:szCs w:val="20"/>
              </w:rPr>
              <w:t>V</w:t>
            </w:r>
            <w:r w:rsidRPr="00F6239D">
              <w:rPr>
                <w:sz w:val="20"/>
                <w:szCs w:val="20"/>
              </w:rPr>
              <w:t>elcovsky@msmt.cz</w:t>
            </w:r>
          </w:p>
          <w:p w:rsidR="00114426" w:rsidRPr="00F6239D" w:rsidRDefault="00114426" w:rsidP="00BF33E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B31035" w:rsidRPr="00A101EF" w:rsidTr="00D5637D">
        <w:trPr>
          <w:trHeight w:val="6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8" w:type="dxa"/>
            <w:shd w:val="clear" w:color="auto" w:fill="auto"/>
            <w:hideMark/>
          </w:tcPr>
          <w:p w:rsidR="00B31035" w:rsidRPr="00F6239D" w:rsidRDefault="00B31035" w:rsidP="00BF33E3">
            <w:pPr>
              <w:spacing w:line="240" w:lineRule="auto"/>
              <w:rPr>
                <w:sz w:val="20"/>
                <w:szCs w:val="20"/>
              </w:rPr>
            </w:pPr>
            <w:r w:rsidRPr="00F6239D">
              <w:rPr>
                <w:sz w:val="20"/>
                <w:szCs w:val="20"/>
              </w:rPr>
              <w:t>Auditní orgán</w:t>
            </w:r>
          </w:p>
        </w:tc>
        <w:tc>
          <w:tcPr>
            <w:tcW w:w="2075" w:type="dxa"/>
            <w:shd w:val="clear" w:color="auto" w:fill="auto"/>
          </w:tcPr>
          <w:p w:rsidR="00B31035" w:rsidRPr="00F6239D" w:rsidRDefault="00B31035" w:rsidP="00BF33E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6239D">
              <w:rPr>
                <w:sz w:val="20"/>
                <w:szCs w:val="20"/>
              </w:rPr>
              <w:t>Ministerstvo financí České republiky – odbor Auditní orgán</w:t>
            </w:r>
          </w:p>
        </w:tc>
        <w:tc>
          <w:tcPr>
            <w:tcW w:w="2126" w:type="dxa"/>
            <w:shd w:val="clear" w:color="auto" w:fill="auto"/>
          </w:tcPr>
          <w:p w:rsidR="00B31035" w:rsidRPr="00F6239D" w:rsidRDefault="00B31035" w:rsidP="00BF33E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6239D">
              <w:rPr>
                <w:sz w:val="20"/>
                <w:szCs w:val="20"/>
              </w:rPr>
              <w:t xml:space="preserve">Stanislav Bureš, </w:t>
            </w:r>
            <w:r w:rsidR="00D5637D">
              <w:rPr>
                <w:sz w:val="20"/>
                <w:szCs w:val="20"/>
              </w:rPr>
              <w:br/>
            </w:r>
            <w:r w:rsidRPr="00F6239D">
              <w:rPr>
                <w:sz w:val="20"/>
                <w:szCs w:val="20"/>
              </w:rPr>
              <w:t>ředitel</w:t>
            </w:r>
          </w:p>
        </w:tc>
        <w:tc>
          <w:tcPr>
            <w:tcW w:w="2830" w:type="dxa"/>
            <w:shd w:val="clear" w:color="auto" w:fill="auto"/>
          </w:tcPr>
          <w:p w:rsidR="00B31035" w:rsidRPr="00F6239D" w:rsidRDefault="00B31035" w:rsidP="00BF33E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6239D">
              <w:rPr>
                <w:sz w:val="20"/>
                <w:szCs w:val="20"/>
              </w:rPr>
              <w:t>Stanislav.Bures@mfcr.cz</w:t>
            </w:r>
          </w:p>
        </w:tc>
      </w:tr>
      <w:tr w:rsidR="00FA6E9C" w:rsidRPr="00A101EF" w:rsidTr="00D563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8" w:type="dxa"/>
            <w:hideMark/>
          </w:tcPr>
          <w:p w:rsidR="00FA6E9C" w:rsidRPr="00F6239D" w:rsidRDefault="00FA6E9C" w:rsidP="00BF33E3">
            <w:pPr>
              <w:spacing w:line="240" w:lineRule="auto"/>
              <w:rPr>
                <w:sz w:val="20"/>
                <w:szCs w:val="20"/>
              </w:rPr>
            </w:pPr>
            <w:r w:rsidRPr="00F6239D">
              <w:rPr>
                <w:sz w:val="20"/>
                <w:szCs w:val="20"/>
              </w:rPr>
              <w:t>Subjekt, který dostává platby od Komise</w:t>
            </w:r>
          </w:p>
        </w:tc>
        <w:tc>
          <w:tcPr>
            <w:tcW w:w="2075" w:type="dxa"/>
          </w:tcPr>
          <w:p w:rsidR="00FA6E9C" w:rsidRPr="00F6239D" w:rsidRDefault="00FA6E9C" w:rsidP="00BF33E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6239D">
              <w:rPr>
                <w:sz w:val="20"/>
                <w:szCs w:val="20"/>
              </w:rPr>
              <w:t>Ministerstvo financí České republiky – odbor Národní fond</w:t>
            </w:r>
          </w:p>
        </w:tc>
        <w:tc>
          <w:tcPr>
            <w:tcW w:w="2126" w:type="dxa"/>
          </w:tcPr>
          <w:p w:rsidR="00FA6E9C" w:rsidRPr="00F6239D" w:rsidRDefault="00FA6E9C" w:rsidP="00BF33E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6239D">
              <w:rPr>
                <w:sz w:val="20"/>
                <w:szCs w:val="20"/>
              </w:rPr>
              <w:t>Veronika Ondráčková, ředitelka</w:t>
            </w:r>
          </w:p>
        </w:tc>
        <w:tc>
          <w:tcPr>
            <w:tcW w:w="2830" w:type="dxa"/>
          </w:tcPr>
          <w:p w:rsidR="00FA6E9C" w:rsidRPr="00F6239D" w:rsidRDefault="00FA6E9C" w:rsidP="00BF33E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6239D">
              <w:rPr>
                <w:sz w:val="20"/>
                <w:szCs w:val="20"/>
              </w:rPr>
              <w:t>Veronika.Ondrackova@mfcr.cz</w:t>
            </w:r>
          </w:p>
        </w:tc>
      </w:tr>
      <w:tr w:rsidR="00FA6E9C" w:rsidRPr="00A101EF" w:rsidTr="00D563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8" w:type="dxa"/>
            <w:hideMark/>
          </w:tcPr>
          <w:p w:rsidR="00FA6E9C" w:rsidRPr="009B09F1" w:rsidRDefault="00FA6E9C" w:rsidP="00BF33E3">
            <w:pPr>
              <w:spacing w:line="240" w:lineRule="auto"/>
              <w:rPr>
                <w:b w:val="0"/>
                <w:sz w:val="20"/>
                <w:szCs w:val="20"/>
              </w:rPr>
            </w:pPr>
            <w:r w:rsidRPr="00F6239D">
              <w:rPr>
                <w:sz w:val="20"/>
                <w:szCs w:val="20"/>
              </w:rPr>
              <w:t xml:space="preserve">Účetní funkce v případě, </w:t>
            </w:r>
            <w:r w:rsidR="009B09F1">
              <w:rPr>
                <w:sz w:val="20"/>
                <w:szCs w:val="20"/>
              </w:rPr>
              <w:br/>
            </w:r>
            <w:r w:rsidRPr="00F6239D">
              <w:rPr>
                <w:sz w:val="20"/>
                <w:szCs w:val="20"/>
              </w:rPr>
              <w:t xml:space="preserve">že je tato funkce svěřena jinému subjektu než řídicímu orgánu  </w:t>
            </w:r>
          </w:p>
        </w:tc>
        <w:tc>
          <w:tcPr>
            <w:tcW w:w="2075" w:type="dxa"/>
          </w:tcPr>
          <w:p w:rsidR="00FA6E9C" w:rsidRPr="00F6239D" w:rsidRDefault="00FA6E9C" w:rsidP="00BF33E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6239D">
              <w:rPr>
                <w:sz w:val="20"/>
                <w:szCs w:val="20"/>
              </w:rPr>
              <w:t>Ministerstvo financí České republiky – odbor Národní fond</w:t>
            </w:r>
          </w:p>
        </w:tc>
        <w:tc>
          <w:tcPr>
            <w:tcW w:w="2126" w:type="dxa"/>
          </w:tcPr>
          <w:p w:rsidR="00FA6E9C" w:rsidRPr="00F6239D" w:rsidRDefault="00FA6E9C" w:rsidP="00BF33E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6239D">
              <w:rPr>
                <w:sz w:val="20"/>
                <w:szCs w:val="20"/>
              </w:rPr>
              <w:t>Veronika Ondráčková, ředitelka</w:t>
            </w:r>
          </w:p>
        </w:tc>
        <w:tc>
          <w:tcPr>
            <w:tcW w:w="2830" w:type="dxa"/>
          </w:tcPr>
          <w:p w:rsidR="00FA6E9C" w:rsidRPr="00F6239D" w:rsidRDefault="00FA6E9C" w:rsidP="00BF33E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6239D">
              <w:rPr>
                <w:sz w:val="20"/>
                <w:szCs w:val="20"/>
              </w:rPr>
              <w:t>Veronika.Ondrackova@mfcr.cz</w:t>
            </w:r>
          </w:p>
        </w:tc>
      </w:tr>
      <w:bookmarkEnd w:id="291"/>
    </w:tbl>
    <w:p w:rsidR="00114426" w:rsidRPr="00B175FB" w:rsidRDefault="00114426" w:rsidP="00114426">
      <w:pPr>
        <w:rPr>
          <w:noProof/>
        </w:rPr>
      </w:pPr>
    </w:p>
    <w:p w:rsidR="005575FB" w:rsidRPr="00E22EF8" w:rsidRDefault="00633437" w:rsidP="005575FB">
      <w:pPr>
        <w:pStyle w:val="Odstavecseseznamem"/>
        <w:numPr>
          <w:ilvl w:val="0"/>
          <w:numId w:val="78"/>
        </w:numPr>
        <w:rPr>
          <w:b/>
          <w:smallCaps/>
          <w:color w:val="1F4E79" w:themeColor="accent5" w:themeShade="80"/>
        </w:rPr>
      </w:pPr>
      <w:bookmarkStart w:id="292" w:name="_Toc32998646"/>
      <w:bookmarkStart w:id="293" w:name="_Toc32998693"/>
      <w:bookmarkStart w:id="294" w:name="_Toc33000825"/>
      <w:bookmarkStart w:id="295" w:name="_Toc33000259"/>
      <w:bookmarkStart w:id="296" w:name="_Toc66476082"/>
      <w:bookmarkStart w:id="297" w:name="_Toc68611040"/>
      <w:r w:rsidRPr="00B175FB">
        <w:rPr>
          <w:rStyle w:val="Nadpis1Char"/>
          <w:color w:val="1F4E79" w:themeColor="accent5" w:themeShade="80"/>
          <w:lang w:val="cs-CZ"/>
        </w:rPr>
        <w:t>Partnerství</w:t>
      </w:r>
      <w:bookmarkEnd w:id="292"/>
      <w:bookmarkEnd w:id="293"/>
      <w:bookmarkEnd w:id="294"/>
      <w:bookmarkEnd w:id="295"/>
      <w:bookmarkEnd w:id="296"/>
      <w:bookmarkEnd w:id="29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40"/>
      </w:tblGrid>
      <w:tr w:rsidR="00114426" w:rsidRPr="00B175FB" w:rsidTr="00602D39">
        <w:trPr>
          <w:trHeight w:val="707"/>
        </w:trPr>
        <w:tc>
          <w:tcPr>
            <w:tcW w:w="9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F66" w:rsidRPr="00B175FB" w:rsidRDefault="00C82F66" w:rsidP="00C82F66">
            <w:pPr>
              <w:spacing w:line="276" w:lineRule="auto"/>
              <w:rPr>
                <w:b/>
                <w:color w:val="000000"/>
                <w:sz w:val="22"/>
              </w:rPr>
            </w:pPr>
            <w:r w:rsidRPr="00B175FB">
              <w:rPr>
                <w:b/>
                <w:color w:val="000000"/>
                <w:sz w:val="22"/>
              </w:rPr>
              <w:t>Příprava operačního programu</w:t>
            </w:r>
          </w:p>
          <w:p w:rsidR="00C82F66" w:rsidRPr="00B175FB" w:rsidRDefault="00C82F66" w:rsidP="00C82F66">
            <w:pPr>
              <w:spacing w:line="276" w:lineRule="auto"/>
              <w:jc w:val="both"/>
              <w:rPr>
                <w:color w:val="000000"/>
                <w:sz w:val="22"/>
              </w:rPr>
            </w:pPr>
            <w:r w:rsidRPr="00B175FB">
              <w:rPr>
                <w:rFonts w:eastAsia="Arial Unicode MS"/>
                <w:bCs/>
                <w:color w:val="000000"/>
                <w:sz w:val="22"/>
              </w:rPr>
              <w:t xml:space="preserve">Příprava OP JAK probíhala </w:t>
            </w:r>
            <w:r w:rsidRPr="00B175FB">
              <w:rPr>
                <w:rFonts w:eastAsia="Arial Unicode MS"/>
                <w:color w:val="000000"/>
                <w:sz w:val="22"/>
              </w:rPr>
              <w:t>v souladu s čl. 6 obecného nařízení a byly do ní zapojeny veškeré relevantní subjekty.</w:t>
            </w:r>
            <w:r w:rsidRPr="00B175FB">
              <w:rPr>
                <w:rFonts w:eastAsia="Arial Unicode MS"/>
                <w:bCs/>
                <w:color w:val="000000"/>
                <w:sz w:val="22"/>
              </w:rPr>
              <w:t xml:space="preserve"> </w:t>
            </w:r>
            <w:r w:rsidRPr="00B175FB">
              <w:rPr>
                <w:color w:val="000000"/>
                <w:sz w:val="22"/>
              </w:rPr>
              <w:t>Subjektem zodpovědným za přípravu OP JAK je na základě usnesení vlády č.</w:t>
            </w:r>
            <w:r w:rsidR="00A468C6" w:rsidRPr="00B175FB">
              <w:rPr>
                <w:color w:val="000000"/>
                <w:sz w:val="22"/>
              </w:rPr>
              <w:t> </w:t>
            </w:r>
            <w:r w:rsidRPr="00B175FB">
              <w:rPr>
                <w:color w:val="000000"/>
                <w:sz w:val="22"/>
              </w:rPr>
              <w:t xml:space="preserve">94/2019 MŠMT. </w:t>
            </w:r>
          </w:p>
          <w:p w:rsidR="00C82F66" w:rsidRPr="00B175FB" w:rsidRDefault="00C82F66" w:rsidP="00C82F66">
            <w:pPr>
              <w:spacing w:line="276" w:lineRule="auto"/>
              <w:jc w:val="both"/>
              <w:rPr>
                <w:color w:val="000000"/>
                <w:sz w:val="22"/>
              </w:rPr>
            </w:pPr>
            <w:r w:rsidRPr="00B175FB">
              <w:rPr>
                <w:color w:val="000000"/>
                <w:sz w:val="22"/>
              </w:rPr>
              <w:t>Výběr relevantních partnerů zapojených do procesu přípravy OP JAK byl uskutečněn v souladu s</w:t>
            </w:r>
            <w:r w:rsidR="00A468C6" w:rsidRPr="00B175FB">
              <w:rPr>
                <w:color w:val="000000"/>
                <w:sz w:val="22"/>
              </w:rPr>
              <w:t> </w:t>
            </w:r>
            <w:r w:rsidRPr="00B175FB">
              <w:rPr>
                <w:color w:val="000000"/>
                <w:sz w:val="22"/>
              </w:rPr>
              <w:t>článkem</w:t>
            </w:r>
            <w:r w:rsidR="00A468C6" w:rsidRPr="00B175FB">
              <w:rPr>
                <w:color w:val="000000"/>
                <w:sz w:val="22"/>
              </w:rPr>
              <w:t> </w:t>
            </w:r>
            <w:r w:rsidRPr="00B175FB">
              <w:rPr>
                <w:color w:val="000000"/>
                <w:sz w:val="22"/>
              </w:rPr>
              <w:t xml:space="preserve">6 nařízení o společných ustanoveních a Etickým kodexem EK pro partnerství. Zohledněny byly rovněž zkušenosti se spoluprací v rámci přípravy a realizace OP VVV v programovém </w:t>
            </w:r>
            <w:r w:rsidR="00A468C6" w:rsidRPr="00B175FB">
              <w:rPr>
                <w:color w:val="000000"/>
                <w:sz w:val="22"/>
              </w:rPr>
              <w:br/>
            </w:r>
            <w:r w:rsidRPr="00B175FB">
              <w:rPr>
                <w:color w:val="000000"/>
                <w:sz w:val="22"/>
              </w:rPr>
              <w:t>období 2014</w:t>
            </w:r>
            <w:r w:rsidR="008D5E22">
              <w:rPr>
                <w:color w:val="000000"/>
                <w:sz w:val="22"/>
              </w:rPr>
              <w:t>-</w:t>
            </w:r>
            <w:r w:rsidRPr="00B175FB">
              <w:rPr>
                <w:color w:val="000000"/>
                <w:sz w:val="22"/>
              </w:rPr>
              <w:t>2020. Princip partnerství je v OP JAK rovněž naplňován zapojením ŘO OP JAK do</w:t>
            </w:r>
            <w:r w:rsidR="00A468C6" w:rsidRPr="00B175FB">
              <w:rPr>
                <w:color w:val="000000"/>
                <w:sz w:val="22"/>
              </w:rPr>
              <w:t> </w:t>
            </w:r>
            <w:r w:rsidRPr="00B175FB">
              <w:rPr>
                <w:color w:val="000000"/>
                <w:sz w:val="22"/>
              </w:rPr>
              <w:t>bilaterálních jednání s relevantními partnery a projednáváním témat z připravovaného programového období 2021</w:t>
            </w:r>
            <w:r w:rsidR="00C6523E">
              <w:rPr>
                <w:color w:val="000000"/>
                <w:sz w:val="22"/>
              </w:rPr>
              <w:t>-</w:t>
            </w:r>
            <w:r w:rsidRPr="00B175FB">
              <w:rPr>
                <w:color w:val="000000"/>
                <w:sz w:val="22"/>
              </w:rPr>
              <w:t>2027 na jednáních Monitorovacího výboru OP VVV.</w:t>
            </w:r>
          </w:p>
          <w:p w:rsidR="00C82F66" w:rsidRPr="00B175FB" w:rsidRDefault="00C82F66" w:rsidP="00C82F66">
            <w:pPr>
              <w:spacing w:line="276" w:lineRule="auto"/>
              <w:jc w:val="both"/>
              <w:rPr>
                <w:color w:val="000000"/>
                <w:sz w:val="22"/>
              </w:rPr>
            </w:pPr>
            <w:r w:rsidRPr="00B175FB">
              <w:rPr>
                <w:color w:val="000000"/>
                <w:sz w:val="22"/>
              </w:rPr>
              <w:t xml:space="preserve">Celkový počet partnerů zapojených do přípravy OP JAK v rámci veškerých platforem dostáhl téměř 150. </w:t>
            </w:r>
          </w:p>
          <w:p w:rsidR="00F728C3" w:rsidRPr="00B175FB" w:rsidRDefault="00F728C3" w:rsidP="00C82F66">
            <w:pPr>
              <w:spacing w:line="276" w:lineRule="auto"/>
              <w:jc w:val="both"/>
              <w:rPr>
                <w:color w:val="000000"/>
                <w:sz w:val="22"/>
              </w:rPr>
            </w:pPr>
          </w:p>
          <w:p w:rsidR="00C82F66" w:rsidRPr="00B175FB" w:rsidRDefault="00C82F66" w:rsidP="00C82F66">
            <w:pPr>
              <w:spacing w:line="276" w:lineRule="auto"/>
              <w:jc w:val="both"/>
              <w:rPr>
                <w:color w:val="000000"/>
                <w:sz w:val="22"/>
              </w:rPr>
            </w:pPr>
            <w:r w:rsidRPr="00B175FB">
              <w:rPr>
                <w:color w:val="000000"/>
                <w:sz w:val="22"/>
              </w:rPr>
              <w:t>Přípravný výbor OP JAK</w:t>
            </w:r>
          </w:p>
          <w:p w:rsidR="00C82F66" w:rsidRPr="00B175FB" w:rsidRDefault="00C82F66" w:rsidP="00C82F66">
            <w:pPr>
              <w:spacing w:line="276" w:lineRule="auto"/>
              <w:jc w:val="both"/>
              <w:rPr>
                <w:color w:val="000000"/>
                <w:sz w:val="22"/>
              </w:rPr>
            </w:pPr>
            <w:r w:rsidRPr="00B175FB">
              <w:rPr>
                <w:color w:val="000000"/>
                <w:sz w:val="22"/>
              </w:rPr>
              <w:t>Vrcholným orgánem byl v květnu 2019 ustanoven Přípravný výbor OP JAK</w:t>
            </w:r>
            <w:r w:rsidR="005B619F">
              <w:rPr>
                <w:color w:val="000000"/>
                <w:sz w:val="22"/>
              </w:rPr>
              <w:t xml:space="preserve">. </w:t>
            </w:r>
            <w:r w:rsidRPr="00B175FB">
              <w:rPr>
                <w:color w:val="000000"/>
                <w:sz w:val="22"/>
              </w:rPr>
              <w:t>Přípravný výbor OP JAK byl vytvořen na principu partnerské spolupráce, zohledňuje zájmy sociálních a odborných partnerů a</w:t>
            </w:r>
            <w:r w:rsidR="00A468C6" w:rsidRPr="00B175FB">
              <w:rPr>
                <w:color w:val="000000"/>
                <w:sz w:val="22"/>
              </w:rPr>
              <w:t> </w:t>
            </w:r>
            <w:r w:rsidRPr="00B175FB">
              <w:rPr>
                <w:color w:val="000000"/>
                <w:sz w:val="22"/>
              </w:rPr>
              <w:t>představuje platformu pro řešení aktuálních témat přípravy programového období 2021</w:t>
            </w:r>
            <w:r w:rsidR="00C6523E">
              <w:rPr>
                <w:color w:val="000000"/>
                <w:sz w:val="22"/>
              </w:rPr>
              <w:t>-</w:t>
            </w:r>
            <w:r w:rsidRPr="00B175FB">
              <w:rPr>
                <w:color w:val="000000"/>
                <w:sz w:val="22"/>
              </w:rPr>
              <w:t>2027.</w:t>
            </w:r>
          </w:p>
          <w:p w:rsidR="00C82F66" w:rsidRPr="00B175FB" w:rsidRDefault="00C82F66" w:rsidP="00C82F66">
            <w:pPr>
              <w:spacing w:line="276" w:lineRule="auto"/>
              <w:jc w:val="both"/>
              <w:rPr>
                <w:color w:val="000000"/>
                <w:sz w:val="22"/>
              </w:rPr>
            </w:pPr>
            <w:r w:rsidRPr="00B175FB">
              <w:rPr>
                <w:color w:val="000000"/>
                <w:sz w:val="22"/>
              </w:rPr>
              <w:t>Členy Přípravného výboru OP JAK byli jmenováni, mimo zástupců MŠMT, klíčoví aktéři veřejné správy a samosprávy doporučení ze strany MMR či na základě přímých podnětů od dotčených organizací (partnerské resorty, regiony, sociální partneři, zástupci nestátních neziskových organizací, zástupci odborné veřejnosti, zájmových skupin apod.). Seznam</w:t>
            </w:r>
            <w:r w:rsidR="00682782" w:rsidRPr="00B175FB">
              <w:rPr>
                <w:color w:val="000000"/>
                <w:sz w:val="22"/>
              </w:rPr>
              <w:t> </w:t>
            </w:r>
            <w:r w:rsidRPr="00B175FB">
              <w:rPr>
                <w:color w:val="000000"/>
                <w:sz w:val="22"/>
              </w:rPr>
              <w:t>partnerů zapojených do přípravy OP JAK je</w:t>
            </w:r>
            <w:r w:rsidR="00234841">
              <w:rPr>
                <w:color w:val="000000"/>
                <w:sz w:val="22"/>
              </w:rPr>
              <w:t> </w:t>
            </w:r>
            <w:r w:rsidRPr="00B175FB">
              <w:rPr>
                <w:color w:val="000000"/>
                <w:sz w:val="22"/>
              </w:rPr>
              <w:t>uveden níže.</w:t>
            </w:r>
          </w:p>
          <w:p w:rsidR="00C82F66" w:rsidRPr="00F6239D" w:rsidRDefault="00C82F66" w:rsidP="00087121">
            <w:pPr>
              <w:spacing w:before="240" w:after="240" w:line="240" w:lineRule="auto"/>
              <w:rPr>
                <w:b/>
                <w:color w:val="000000"/>
                <w:sz w:val="22"/>
              </w:rPr>
            </w:pPr>
            <w:r w:rsidRPr="001C1C68">
              <w:rPr>
                <w:rFonts w:eastAsia="Times New Roman"/>
                <w:b/>
                <w:sz w:val="22"/>
              </w:rPr>
              <w:t xml:space="preserve">Tabulka </w:t>
            </w:r>
            <w:r w:rsidR="00087121" w:rsidRPr="001C1C68">
              <w:rPr>
                <w:rFonts w:eastAsia="Times New Roman"/>
                <w:b/>
                <w:iCs/>
                <w:noProof/>
                <w:sz w:val="22"/>
              </w:rPr>
              <w:fldChar w:fldCharType="begin"/>
            </w:r>
            <w:r w:rsidR="00087121" w:rsidRPr="001C1C68">
              <w:rPr>
                <w:rFonts w:eastAsia="Times New Roman"/>
                <w:b/>
                <w:iCs/>
                <w:noProof/>
                <w:sz w:val="22"/>
              </w:rPr>
              <w:instrText xml:space="preserve"> SEQ Tabulka \* ARABIC </w:instrText>
            </w:r>
            <w:r w:rsidR="00087121" w:rsidRPr="001C1C68">
              <w:rPr>
                <w:rFonts w:eastAsia="Times New Roman"/>
                <w:b/>
                <w:iCs/>
                <w:noProof/>
                <w:sz w:val="22"/>
              </w:rPr>
              <w:fldChar w:fldCharType="separate"/>
            </w:r>
            <w:r w:rsidR="001D2D0C">
              <w:rPr>
                <w:rFonts w:eastAsia="Times New Roman"/>
                <w:b/>
                <w:iCs/>
                <w:noProof/>
                <w:sz w:val="22"/>
              </w:rPr>
              <w:t>53</w:t>
            </w:r>
            <w:r w:rsidR="00087121" w:rsidRPr="001C1C68">
              <w:rPr>
                <w:rFonts w:eastAsia="Times New Roman"/>
                <w:b/>
                <w:iCs/>
                <w:noProof/>
                <w:sz w:val="22"/>
              </w:rPr>
              <w:fldChar w:fldCharType="end"/>
            </w:r>
            <w:r w:rsidR="00087121" w:rsidRPr="001C1C68">
              <w:rPr>
                <w:rFonts w:eastAsia="Times New Roman"/>
                <w:b/>
                <w:iCs/>
                <w:noProof/>
                <w:sz w:val="22"/>
              </w:rPr>
              <w:t>:</w:t>
            </w:r>
            <w:r w:rsidRPr="001C1C68">
              <w:rPr>
                <w:rFonts w:eastAsia="Times New Roman"/>
                <w:b/>
                <w:sz w:val="22"/>
              </w:rPr>
              <w:t xml:space="preserve"> </w:t>
            </w:r>
            <w:r w:rsidRPr="00F6239D">
              <w:rPr>
                <w:b/>
                <w:color w:val="000000"/>
                <w:sz w:val="22"/>
              </w:rPr>
              <w:t>Seznam partnerů zapojených do přípravy OP JAK</w:t>
            </w:r>
          </w:p>
          <w:tbl>
            <w:tblPr>
              <w:tblStyle w:val="Svtltabulkasmkou1"/>
              <w:tblW w:w="8109" w:type="dxa"/>
              <w:tblBorders>
                <w:top w:val="single" w:sz="4" w:space="0" w:color="4472C4" w:themeColor="accent1"/>
                <w:left w:val="single" w:sz="4" w:space="0" w:color="4472C4" w:themeColor="accent1"/>
                <w:bottom w:val="single" w:sz="4" w:space="0" w:color="4472C4" w:themeColor="accent1"/>
                <w:right w:val="single" w:sz="4" w:space="0" w:color="4472C4" w:themeColor="accent1"/>
                <w:insideH w:val="single" w:sz="4" w:space="0" w:color="4472C4" w:themeColor="accent1"/>
                <w:insideV w:val="single" w:sz="4" w:space="0" w:color="4472C4" w:themeColor="accent1"/>
              </w:tblBorders>
              <w:tblLook w:val="04A0" w:firstRow="1" w:lastRow="0" w:firstColumn="1" w:lastColumn="0" w:noHBand="0" w:noVBand="1"/>
            </w:tblPr>
            <w:tblGrid>
              <w:gridCol w:w="1554"/>
              <w:gridCol w:w="6555"/>
            </w:tblGrid>
            <w:tr w:rsidR="005C4FAD" w:rsidRPr="00B175FB" w:rsidTr="00087121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6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8109" w:type="dxa"/>
                  <w:gridSpan w:val="2"/>
                  <w:tcBorders>
                    <w:bottom w:val="none" w:sz="0" w:space="0" w:color="auto"/>
                  </w:tcBorders>
                  <w:shd w:val="clear" w:color="auto" w:fill="002060"/>
                  <w:noWrap/>
                </w:tcPr>
                <w:p w:rsidR="005C4FAD" w:rsidRPr="005C4FAD" w:rsidRDefault="005C4FAD" w:rsidP="00F6239D">
                  <w:pPr>
                    <w:spacing w:line="276" w:lineRule="auto"/>
                    <w:jc w:val="center"/>
                    <w:rPr>
                      <w:rFonts w:eastAsia="Times New Roman"/>
                      <w:sz w:val="22"/>
                      <w:lang w:eastAsia="cs-CZ"/>
                    </w:rPr>
                  </w:pPr>
                  <w:r w:rsidRPr="005C4FAD">
                    <w:rPr>
                      <w:rFonts w:eastAsia="Times New Roman"/>
                      <w:sz w:val="22"/>
                      <w:lang w:eastAsia="cs-CZ"/>
                    </w:rPr>
                    <w:t>Přípravný výbor OP JAK – zastoupené organizace</w:t>
                  </w:r>
                </w:p>
              </w:tc>
            </w:tr>
            <w:tr w:rsidR="007C6122" w:rsidRPr="00B175FB" w:rsidTr="00087121">
              <w:trPr>
                <w:trHeight w:val="27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54" w:type="dxa"/>
                  <w:noWrap/>
                </w:tcPr>
                <w:p w:rsidR="007C6122" w:rsidRPr="00B175FB" w:rsidRDefault="007C6122" w:rsidP="007C6122">
                  <w:pPr>
                    <w:spacing w:before="0" w:after="0" w:line="276" w:lineRule="auto"/>
                    <w:rPr>
                      <w:rFonts w:eastAsia="Times New Roman"/>
                      <w:color w:val="000000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color w:val="000000"/>
                      <w:sz w:val="22"/>
                      <w:lang w:eastAsia="cs-CZ"/>
                    </w:rPr>
                    <w:t>1.</w:t>
                  </w:r>
                </w:p>
              </w:tc>
              <w:tc>
                <w:tcPr>
                  <w:tcW w:w="6555" w:type="dxa"/>
                </w:tcPr>
                <w:p w:rsidR="007C6122" w:rsidRPr="00B175FB" w:rsidRDefault="007C6122" w:rsidP="007C6122">
                  <w:pPr>
                    <w:spacing w:before="0" w:after="0"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/>
                      <w:sz w:val="22"/>
                      <w:lang w:eastAsia="cs-CZ"/>
                    </w:rPr>
                  </w:pPr>
                  <w:r>
                    <w:rPr>
                      <w:rFonts w:eastAsia="Times New Roman"/>
                      <w:sz w:val="22"/>
                      <w:lang w:eastAsia="cs-CZ"/>
                    </w:rPr>
                    <w:t>Akademie věd ČR</w:t>
                  </w:r>
                </w:p>
              </w:tc>
            </w:tr>
            <w:tr w:rsidR="007C6122" w:rsidRPr="00B175FB" w:rsidTr="00087121">
              <w:trPr>
                <w:trHeight w:val="27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54" w:type="dxa"/>
                  <w:noWrap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rPr>
                      <w:rFonts w:eastAsia="Times New Roman"/>
                      <w:b w:val="0"/>
                      <w:color w:val="000000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sz w:val="22"/>
                      <w:lang w:eastAsia="cs-CZ"/>
                    </w:rPr>
                    <w:t>2.</w:t>
                  </w:r>
                </w:p>
              </w:tc>
              <w:tc>
                <w:tcPr>
                  <w:tcW w:w="6555" w:type="dxa"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sz w:val="22"/>
                      <w:lang w:eastAsia="cs-CZ"/>
                    </w:rPr>
                    <w:t>Asociace krajů ČR</w:t>
                  </w:r>
                </w:p>
              </w:tc>
            </w:tr>
            <w:tr w:rsidR="007C6122" w:rsidRPr="00B175FB" w:rsidTr="00087121">
              <w:trPr>
                <w:trHeight w:val="28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54" w:type="dxa"/>
                  <w:noWrap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rPr>
                      <w:rFonts w:eastAsia="Times New Roman"/>
                      <w:b w:val="0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color w:val="000000"/>
                      <w:sz w:val="22"/>
                      <w:lang w:eastAsia="cs-CZ"/>
                    </w:rPr>
                    <w:t>3.</w:t>
                  </w:r>
                </w:p>
              </w:tc>
              <w:tc>
                <w:tcPr>
                  <w:tcW w:w="6555" w:type="dxa"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sz w:val="22"/>
                      <w:lang w:eastAsia="cs-CZ"/>
                    </w:rPr>
                    <w:t>Asociace výzkumných univerzit</w:t>
                  </w:r>
                </w:p>
              </w:tc>
            </w:tr>
            <w:tr w:rsidR="007C6122" w:rsidRPr="00B175FB" w:rsidTr="00087121">
              <w:trPr>
                <w:trHeight w:val="27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54" w:type="dxa"/>
                  <w:noWrap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rPr>
                      <w:rFonts w:eastAsia="Times New Roman"/>
                      <w:b w:val="0"/>
                      <w:color w:val="000000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color w:val="000000"/>
                      <w:sz w:val="22"/>
                      <w:lang w:eastAsia="cs-CZ"/>
                    </w:rPr>
                    <w:t>4.</w:t>
                  </w:r>
                </w:p>
              </w:tc>
              <w:tc>
                <w:tcPr>
                  <w:tcW w:w="6555" w:type="dxa"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sz w:val="22"/>
                      <w:lang w:eastAsia="cs-CZ"/>
                    </w:rPr>
                    <w:t>Česká konference rektorů</w:t>
                  </w:r>
                </w:p>
              </w:tc>
            </w:tr>
            <w:tr w:rsidR="007C6122" w:rsidRPr="00B175FB" w:rsidTr="00087121">
              <w:trPr>
                <w:trHeight w:val="24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54" w:type="dxa"/>
                  <w:noWrap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rPr>
                      <w:rFonts w:eastAsia="Times New Roman"/>
                      <w:b w:val="0"/>
                      <w:color w:val="000000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color w:val="000000"/>
                      <w:sz w:val="22"/>
                      <w:lang w:eastAsia="cs-CZ"/>
                    </w:rPr>
                    <w:t>5.</w:t>
                  </w:r>
                </w:p>
              </w:tc>
              <w:tc>
                <w:tcPr>
                  <w:tcW w:w="6555" w:type="dxa"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sz w:val="22"/>
                      <w:lang w:eastAsia="cs-CZ"/>
                    </w:rPr>
                    <w:t>Česká odborná společnost pro inkluzivní vzdělávání, z. s.</w:t>
                  </w:r>
                </w:p>
              </w:tc>
            </w:tr>
            <w:tr w:rsidR="007C6122" w:rsidRPr="00B175FB" w:rsidTr="00087121">
              <w:trPr>
                <w:trHeight w:val="36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54" w:type="dxa"/>
                  <w:noWrap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rPr>
                      <w:rFonts w:eastAsia="Times New Roman"/>
                      <w:b w:val="0"/>
                      <w:color w:val="000000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color w:val="000000"/>
                      <w:sz w:val="22"/>
                      <w:lang w:eastAsia="cs-CZ"/>
                    </w:rPr>
                    <w:t>6.</w:t>
                  </w:r>
                </w:p>
              </w:tc>
              <w:tc>
                <w:tcPr>
                  <w:tcW w:w="6555" w:type="dxa"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sz w:val="22"/>
                      <w:lang w:eastAsia="cs-CZ"/>
                    </w:rPr>
                    <w:t>Česká rada dětí a mládeže</w:t>
                  </w:r>
                </w:p>
              </w:tc>
            </w:tr>
            <w:tr w:rsidR="007C6122" w:rsidRPr="00B175FB" w:rsidTr="00087121">
              <w:trPr>
                <w:trHeight w:val="36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54" w:type="dxa"/>
                  <w:noWrap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rPr>
                      <w:rFonts w:eastAsia="Times New Roman"/>
                      <w:b w:val="0"/>
                      <w:color w:val="000000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color w:val="000000"/>
                      <w:sz w:val="22"/>
                      <w:lang w:eastAsia="cs-CZ"/>
                    </w:rPr>
                    <w:t>7.</w:t>
                  </w:r>
                </w:p>
              </w:tc>
              <w:tc>
                <w:tcPr>
                  <w:tcW w:w="6555" w:type="dxa"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color w:val="000000"/>
                      <w:sz w:val="22"/>
                      <w:lang w:eastAsia="cs-CZ"/>
                    </w:rPr>
                    <w:t>Česká zemědělská univerzita v</w:t>
                  </w:r>
                  <w:r w:rsidR="00AB2434">
                    <w:rPr>
                      <w:rFonts w:eastAsia="Times New Roman"/>
                      <w:color w:val="000000"/>
                      <w:sz w:val="22"/>
                      <w:lang w:eastAsia="cs-CZ"/>
                    </w:rPr>
                    <w:t> </w:t>
                  </w:r>
                  <w:r w:rsidRPr="00B175FB">
                    <w:rPr>
                      <w:rFonts w:eastAsia="Times New Roman"/>
                      <w:color w:val="000000"/>
                      <w:sz w:val="22"/>
                      <w:lang w:eastAsia="cs-CZ"/>
                    </w:rPr>
                    <w:t>Praze</w:t>
                  </w:r>
                </w:p>
              </w:tc>
            </w:tr>
            <w:tr w:rsidR="007C6122" w:rsidRPr="00B175FB" w:rsidTr="00087121">
              <w:trPr>
                <w:trHeight w:val="24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54" w:type="dxa"/>
                  <w:noWrap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rPr>
                      <w:rFonts w:eastAsia="Times New Roman"/>
                      <w:b w:val="0"/>
                      <w:color w:val="000000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color w:val="000000"/>
                      <w:sz w:val="22"/>
                      <w:lang w:eastAsia="cs-CZ"/>
                    </w:rPr>
                    <w:t>8.</w:t>
                  </w:r>
                </w:p>
              </w:tc>
              <w:tc>
                <w:tcPr>
                  <w:tcW w:w="6555" w:type="dxa"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sz w:val="22"/>
                      <w:lang w:eastAsia="cs-CZ"/>
                    </w:rPr>
                    <w:t>Českomoravská konfederace odborových svazů</w:t>
                  </w:r>
                </w:p>
              </w:tc>
            </w:tr>
            <w:tr w:rsidR="007C6122" w:rsidRPr="00B175FB" w:rsidTr="00087121">
              <w:trPr>
                <w:trHeight w:val="25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54" w:type="dxa"/>
                  <w:noWrap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rPr>
                      <w:rFonts w:eastAsia="Times New Roman"/>
                      <w:b w:val="0"/>
                      <w:color w:val="000000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color w:val="000000"/>
                      <w:sz w:val="22"/>
                      <w:lang w:eastAsia="cs-CZ"/>
                    </w:rPr>
                    <w:t>9.</w:t>
                  </w:r>
                </w:p>
              </w:tc>
              <w:tc>
                <w:tcPr>
                  <w:tcW w:w="6555" w:type="dxa"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sz w:val="22"/>
                      <w:lang w:eastAsia="cs-CZ"/>
                    </w:rPr>
                    <w:t>Dům zahraniční spolupráce</w:t>
                  </w:r>
                </w:p>
              </w:tc>
            </w:tr>
            <w:tr w:rsidR="007C6122" w:rsidRPr="00B175FB" w:rsidTr="00087121">
              <w:trPr>
                <w:trHeight w:val="24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54" w:type="dxa"/>
                  <w:noWrap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rPr>
                      <w:rFonts w:eastAsia="Times New Roman"/>
                      <w:b w:val="0"/>
                      <w:color w:val="000000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color w:val="000000"/>
                      <w:sz w:val="22"/>
                      <w:lang w:eastAsia="cs-CZ"/>
                    </w:rPr>
                    <w:t>10.</w:t>
                  </w:r>
                </w:p>
              </w:tc>
              <w:tc>
                <w:tcPr>
                  <w:tcW w:w="6555" w:type="dxa"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sz w:val="22"/>
                      <w:lang w:eastAsia="cs-CZ"/>
                    </w:rPr>
                    <w:t>Magistrát hl. m. Prahy</w:t>
                  </w:r>
                </w:p>
              </w:tc>
            </w:tr>
            <w:tr w:rsidR="007C6122" w:rsidRPr="00B175FB" w:rsidTr="00087121">
              <w:trPr>
                <w:trHeight w:val="26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54" w:type="dxa"/>
                  <w:noWrap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rPr>
                      <w:rFonts w:eastAsia="Times New Roman"/>
                      <w:b w:val="0"/>
                      <w:color w:val="000000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color w:val="000000"/>
                      <w:sz w:val="22"/>
                      <w:lang w:eastAsia="cs-CZ"/>
                    </w:rPr>
                    <w:t>11.</w:t>
                  </w:r>
                </w:p>
              </w:tc>
              <w:tc>
                <w:tcPr>
                  <w:tcW w:w="6555" w:type="dxa"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color w:val="000000"/>
                      <w:sz w:val="22"/>
                      <w:lang w:eastAsia="cs-CZ"/>
                    </w:rPr>
                    <w:t xml:space="preserve">Ministerstvo dopravy </w:t>
                  </w:r>
                </w:p>
              </w:tc>
            </w:tr>
            <w:tr w:rsidR="007C6122" w:rsidRPr="00B175FB" w:rsidTr="00087121">
              <w:trPr>
                <w:trHeight w:val="26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54" w:type="dxa"/>
                  <w:noWrap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rPr>
                      <w:rFonts w:eastAsia="Times New Roman"/>
                      <w:b w:val="0"/>
                      <w:color w:val="000000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color w:val="000000"/>
                      <w:sz w:val="22"/>
                      <w:lang w:eastAsia="cs-CZ"/>
                    </w:rPr>
                    <w:t>12.</w:t>
                  </w:r>
                </w:p>
              </w:tc>
              <w:tc>
                <w:tcPr>
                  <w:tcW w:w="6555" w:type="dxa"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sz w:val="22"/>
                      <w:lang w:eastAsia="cs-CZ"/>
                    </w:rPr>
                    <w:t>Ministerstvo financí – Platební a certifikační orgán</w:t>
                  </w:r>
                </w:p>
              </w:tc>
            </w:tr>
            <w:tr w:rsidR="007C6122" w:rsidRPr="00B175FB" w:rsidTr="00087121">
              <w:trPr>
                <w:trHeight w:val="26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54" w:type="dxa"/>
                  <w:noWrap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rPr>
                      <w:rFonts w:eastAsia="Times New Roman"/>
                      <w:b w:val="0"/>
                      <w:color w:val="000000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color w:val="000000"/>
                      <w:sz w:val="22"/>
                      <w:lang w:eastAsia="cs-CZ"/>
                    </w:rPr>
                    <w:t>13.</w:t>
                  </w:r>
                </w:p>
              </w:tc>
              <w:tc>
                <w:tcPr>
                  <w:tcW w:w="6555" w:type="dxa"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sz w:val="22"/>
                      <w:lang w:eastAsia="cs-CZ"/>
                    </w:rPr>
                    <w:t>Ministerstvo práce a sociálních věcí</w:t>
                  </w:r>
                </w:p>
              </w:tc>
            </w:tr>
            <w:tr w:rsidR="007C6122" w:rsidRPr="00B175FB" w:rsidTr="00087121">
              <w:trPr>
                <w:trHeight w:val="27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54" w:type="dxa"/>
                  <w:noWrap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rPr>
                      <w:rFonts w:eastAsia="Times New Roman"/>
                      <w:b w:val="0"/>
                      <w:color w:val="000000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color w:val="000000"/>
                      <w:sz w:val="22"/>
                      <w:lang w:eastAsia="cs-CZ"/>
                    </w:rPr>
                    <w:t>14.</w:t>
                  </w:r>
                </w:p>
              </w:tc>
              <w:tc>
                <w:tcPr>
                  <w:tcW w:w="6555" w:type="dxa"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sz w:val="22"/>
                      <w:lang w:eastAsia="cs-CZ"/>
                    </w:rPr>
                    <w:t xml:space="preserve">Ministerstvo pro místní rozvoj </w:t>
                  </w:r>
                </w:p>
              </w:tc>
            </w:tr>
            <w:tr w:rsidR="007C6122" w:rsidRPr="00B175FB" w:rsidTr="00087121">
              <w:trPr>
                <w:trHeight w:val="27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54" w:type="dxa"/>
                  <w:noWrap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rPr>
                      <w:rFonts w:eastAsia="Times New Roman"/>
                      <w:b w:val="0"/>
                      <w:color w:val="000000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color w:val="000000"/>
                      <w:sz w:val="22"/>
                      <w:lang w:eastAsia="cs-CZ"/>
                    </w:rPr>
                    <w:t>15.</w:t>
                  </w:r>
                </w:p>
              </w:tc>
              <w:tc>
                <w:tcPr>
                  <w:tcW w:w="6555" w:type="dxa"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sz w:val="22"/>
                      <w:lang w:eastAsia="cs-CZ"/>
                    </w:rPr>
                    <w:t>Ministerstvo pro místní rozvoj – Národní orgán pro koordinaci</w:t>
                  </w:r>
                </w:p>
              </w:tc>
            </w:tr>
            <w:tr w:rsidR="007C6122" w:rsidRPr="00B175FB" w:rsidTr="00087121">
              <w:trPr>
                <w:trHeight w:val="26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54" w:type="dxa"/>
                  <w:noWrap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rPr>
                      <w:rFonts w:eastAsia="Times New Roman"/>
                      <w:b w:val="0"/>
                      <w:color w:val="000000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color w:val="000000"/>
                      <w:sz w:val="22"/>
                      <w:lang w:eastAsia="cs-CZ"/>
                    </w:rPr>
                    <w:t>16.</w:t>
                  </w:r>
                </w:p>
              </w:tc>
              <w:tc>
                <w:tcPr>
                  <w:tcW w:w="6555" w:type="dxa"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sz w:val="22"/>
                      <w:lang w:eastAsia="cs-CZ"/>
                    </w:rPr>
                    <w:t xml:space="preserve">Ministerstvo průmyslu a obchodu </w:t>
                  </w:r>
                </w:p>
              </w:tc>
            </w:tr>
            <w:tr w:rsidR="007C6122" w:rsidRPr="00B175FB" w:rsidTr="00087121">
              <w:trPr>
                <w:trHeight w:val="27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54" w:type="dxa"/>
                  <w:noWrap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rPr>
                      <w:rFonts w:eastAsia="Times New Roman"/>
                      <w:b w:val="0"/>
                      <w:color w:val="000000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color w:val="000000"/>
                      <w:sz w:val="22"/>
                      <w:lang w:eastAsia="cs-CZ"/>
                    </w:rPr>
                    <w:t>17.</w:t>
                  </w:r>
                </w:p>
              </w:tc>
              <w:tc>
                <w:tcPr>
                  <w:tcW w:w="6555" w:type="dxa"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color w:val="000000"/>
                      <w:sz w:val="22"/>
                      <w:lang w:eastAsia="cs-CZ"/>
                    </w:rPr>
                    <w:t>Ministerstvo zdravotnictví České republiky</w:t>
                  </w:r>
                </w:p>
              </w:tc>
            </w:tr>
            <w:tr w:rsidR="007C6122" w:rsidRPr="00B175FB" w:rsidTr="00087121">
              <w:trPr>
                <w:trHeight w:val="29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54" w:type="dxa"/>
                  <w:noWrap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rPr>
                      <w:rFonts w:eastAsia="Times New Roman"/>
                      <w:b w:val="0"/>
                      <w:color w:val="000000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color w:val="000000"/>
                      <w:sz w:val="22"/>
                      <w:lang w:eastAsia="cs-CZ"/>
                    </w:rPr>
                    <w:t>18.</w:t>
                  </w:r>
                </w:p>
              </w:tc>
              <w:tc>
                <w:tcPr>
                  <w:tcW w:w="6555" w:type="dxa"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sz w:val="22"/>
                      <w:lang w:eastAsia="cs-CZ"/>
                    </w:rPr>
                    <w:t xml:space="preserve">MŠMT – Kancelář ministra </w:t>
                  </w:r>
                </w:p>
              </w:tc>
            </w:tr>
            <w:tr w:rsidR="007C6122" w:rsidRPr="00B175FB" w:rsidTr="00087121">
              <w:trPr>
                <w:trHeight w:val="25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54" w:type="dxa"/>
                  <w:noWrap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rPr>
                      <w:rFonts w:eastAsia="Times New Roman"/>
                      <w:b w:val="0"/>
                      <w:color w:val="000000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color w:val="000000"/>
                      <w:sz w:val="22"/>
                      <w:lang w:eastAsia="cs-CZ"/>
                    </w:rPr>
                    <w:t>19.</w:t>
                  </w:r>
                </w:p>
              </w:tc>
              <w:tc>
                <w:tcPr>
                  <w:tcW w:w="6555" w:type="dxa"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sz w:val="22"/>
                      <w:lang w:eastAsia="cs-CZ"/>
                    </w:rPr>
                    <w:t>MŠMT – Sekce ekonomická</w:t>
                  </w:r>
                  <w:r>
                    <w:rPr>
                      <w:rFonts w:eastAsia="Times New Roman"/>
                      <w:sz w:val="22"/>
                      <w:lang w:eastAsia="cs-CZ"/>
                    </w:rPr>
                    <w:t xml:space="preserve"> a legislativní </w:t>
                  </w:r>
                </w:p>
              </w:tc>
            </w:tr>
            <w:tr w:rsidR="007C6122" w:rsidRPr="00B175FB" w:rsidTr="00087121">
              <w:trPr>
                <w:trHeight w:val="36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54" w:type="dxa"/>
                  <w:noWrap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rPr>
                      <w:rFonts w:eastAsia="Times New Roman"/>
                      <w:b w:val="0"/>
                      <w:color w:val="000000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color w:val="000000"/>
                      <w:sz w:val="22"/>
                      <w:lang w:eastAsia="cs-CZ"/>
                    </w:rPr>
                    <w:t>20.</w:t>
                  </w:r>
                </w:p>
              </w:tc>
              <w:tc>
                <w:tcPr>
                  <w:tcW w:w="6555" w:type="dxa"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sz w:val="22"/>
                      <w:lang w:eastAsia="cs-CZ"/>
                    </w:rPr>
                    <w:t>MŠMT – Sekce vysokého školství, vědy a výzkumu</w:t>
                  </w:r>
                </w:p>
              </w:tc>
            </w:tr>
            <w:tr w:rsidR="007C6122" w:rsidRPr="00B175FB" w:rsidTr="00087121">
              <w:trPr>
                <w:trHeight w:val="31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54" w:type="dxa"/>
                  <w:noWrap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rPr>
                      <w:rFonts w:eastAsia="Times New Roman"/>
                      <w:b w:val="0"/>
                      <w:color w:val="000000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color w:val="000000"/>
                      <w:sz w:val="22"/>
                      <w:lang w:eastAsia="cs-CZ"/>
                    </w:rPr>
                    <w:t>21.</w:t>
                  </w:r>
                </w:p>
              </w:tc>
              <w:tc>
                <w:tcPr>
                  <w:tcW w:w="6555" w:type="dxa"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sz w:val="22"/>
                      <w:lang w:eastAsia="cs-CZ"/>
                    </w:rPr>
                    <w:t>MŠMT – Sekce vzdělávání a mládeže</w:t>
                  </w:r>
                </w:p>
              </w:tc>
            </w:tr>
            <w:tr w:rsidR="007C6122" w:rsidRPr="00B175FB" w:rsidTr="00087121">
              <w:trPr>
                <w:trHeight w:val="27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54" w:type="dxa"/>
                  <w:noWrap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rPr>
                      <w:rFonts w:eastAsia="Times New Roman"/>
                      <w:b w:val="0"/>
                      <w:color w:val="000000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color w:val="000000"/>
                      <w:sz w:val="22"/>
                      <w:lang w:eastAsia="cs-CZ"/>
                    </w:rPr>
                    <w:t>22.</w:t>
                  </w:r>
                </w:p>
              </w:tc>
              <w:tc>
                <w:tcPr>
                  <w:tcW w:w="6555" w:type="dxa"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sz w:val="22"/>
                      <w:lang w:eastAsia="cs-CZ"/>
                    </w:rPr>
                    <w:t>Národní síť Místních akčních skupin ČR, z. s.</w:t>
                  </w:r>
                </w:p>
              </w:tc>
            </w:tr>
            <w:tr w:rsidR="007C6122" w:rsidRPr="00B175FB" w:rsidTr="00087121">
              <w:trPr>
                <w:trHeight w:val="26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54" w:type="dxa"/>
                  <w:noWrap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rPr>
                      <w:rFonts w:eastAsia="Times New Roman"/>
                      <w:b w:val="0"/>
                      <w:color w:val="000000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color w:val="000000"/>
                      <w:sz w:val="22"/>
                      <w:lang w:eastAsia="cs-CZ"/>
                    </w:rPr>
                    <w:t>23.</w:t>
                  </w:r>
                </w:p>
              </w:tc>
              <w:tc>
                <w:tcPr>
                  <w:tcW w:w="6555" w:type="dxa"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sz w:val="22"/>
                      <w:lang w:eastAsia="cs-CZ"/>
                    </w:rPr>
                    <w:t>Rada vlády pro nestátní neziskové organizace</w:t>
                  </w:r>
                </w:p>
              </w:tc>
            </w:tr>
            <w:tr w:rsidR="007C6122" w:rsidRPr="00B175FB" w:rsidTr="00087121">
              <w:trPr>
                <w:trHeight w:val="28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54" w:type="dxa"/>
                  <w:noWrap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rPr>
                      <w:rFonts w:eastAsia="Times New Roman"/>
                      <w:b w:val="0"/>
                      <w:color w:val="000000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color w:val="000000"/>
                      <w:sz w:val="22"/>
                      <w:lang w:eastAsia="cs-CZ"/>
                    </w:rPr>
                    <w:t>24.</w:t>
                  </w:r>
                </w:p>
              </w:tc>
              <w:tc>
                <w:tcPr>
                  <w:tcW w:w="6555" w:type="dxa"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sz w:val="22"/>
                      <w:lang w:eastAsia="cs-CZ"/>
                    </w:rPr>
                    <w:t>Rada vysokých škol</w:t>
                  </w:r>
                </w:p>
              </w:tc>
            </w:tr>
            <w:tr w:rsidR="007C6122" w:rsidRPr="00B175FB" w:rsidTr="00087121">
              <w:trPr>
                <w:trHeight w:val="28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54" w:type="dxa"/>
                  <w:noWrap/>
                </w:tcPr>
                <w:p w:rsidR="007C6122" w:rsidRPr="00B175FB" w:rsidRDefault="007C6122" w:rsidP="007C6122">
                  <w:pPr>
                    <w:spacing w:before="0" w:after="0" w:line="276" w:lineRule="auto"/>
                    <w:rPr>
                      <w:rFonts w:eastAsia="Times New Roman"/>
                      <w:b w:val="0"/>
                      <w:color w:val="000000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color w:val="000000"/>
                      <w:sz w:val="22"/>
                      <w:lang w:eastAsia="cs-CZ"/>
                    </w:rPr>
                    <w:t xml:space="preserve">25. </w:t>
                  </w:r>
                </w:p>
              </w:tc>
              <w:tc>
                <w:tcPr>
                  <w:tcW w:w="6555" w:type="dxa"/>
                </w:tcPr>
                <w:p w:rsidR="007C6122" w:rsidRPr="00B175FB" w:rsidRDefault="007C6122" w:rsidP="007C6122">
                  <w:pPr>
                    <w:spacing w:before="0" w:after="0"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sz w:val="22"/>
                      <w:lang w:eastAsia="cs-CZ"/>
                    </w:rPr>
                    <w:t>Sdružení místních samospráv ČR</w:t>
                  </w:r>
                </w:p>
              </w:tc>
            </w:tr>
            <w:tr w:rsidR="007C6122" w:rsidRPr="00B175FB" w:rsidTr="00087121">
              <w:trPr>
                <w:trHeight w:val="25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54" w:type="dxa"/>
                  <w:noWrap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rPr>
                      <w:rFonts w:eastAsia="Times New Roman"/>
                      <w:b w:val="0"/>
                      <w:color w:val="000000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color w:val="000000"/>
                      <w:sz w:val="22"/>
                      <w:lang w:eastAsia="cs-CZ"/>
                    </w:rPr>
                    <w:t>26.</w:t>
                  </w:r>
                </w:p>
              </w:tc>
              <w:tc>
                <w:tcPr>
                  <w:tcW w:w="6555" w:type="dxa"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sz w:val="22"/>
                      <w:lang w:eastAsia="cs-CZ"/>
                    </w:rPr>
                    <w:t>Senát Parlamentu ČR – Výbor pro záležitosti Evropské unie</w:t>
                  </w:r>
                </w:p>
              </w:tc>
            </w:tr>
            <w:tr w:rsidR="007C6122" w:rsidRPr="00B175FB" w:rsidTr="00087121">
              <w:trPr>
                <w:trHeight w:val="27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54" w:type="dxa"/>
                  <w:noWrap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rPr>
                      <w:rFonts w:eastAsia="Times New Roman"/>
                      <w:b w:val="0"/>
                      <w:color w:val="000000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color w:val="000000"/>
                      <w:sz w:val="22"/>
                      <w:lang w:eastAsia="cs-CZ"/>
                    </w:rPr>
                    <w:t>27.</w:t>
                  </w:r>
                </w:p>
              </w:tc>
              <w:tc>
                <w:tcPr>
                  <w:tcW w:w="6555" w:type="dxa"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sz w:val="22"/>
                      <w:lang w:eastAsia="cs-CZ"/>
                    </w:rPr>
                    <w:t>Stálá konference asociací ve vzdělávání, z. s.</w:t>
                  </w:r>
                </w:p>
              </w:tc>
            </w:tr>
            <w:tr w:rsidR="007C6122" w:rsidRPr="00B175FB" w:rsidTr="00087121">
              <w:trPr>
                <w:trHeight w:val="21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54" w:type="dxa"/>
                  <w:noWrap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rPr>
                      <w:rFonts w:eastAsia="Times New Roman"/>
                      <w:b w:val="0"/>
                      <w:color w:val="000000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color w:val="000000"/>
                      <w:sz w:val="22"/>
                      <w:lang w:eastAsia="cs-CZ"/>
                    </w:rPr>
                    <w:t>28.</w:t>
                  </w:r>
                </w:p>
              </w:tc>
              <w:tc>
                <w:tcPr>
                  <w:tcW w:w="6555" w:type="dxa"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sz w:val="22"/>
                      <w:lang w:eastAsia="cs-CZ"/>
                    </w:rPr>
                    <w:t>Svaz měst a obcí ČR</w:t>
                  </w:r>
                </w:p>
              </w:tc>
            </w:tr>
            <w:tr w:rsidR="007C6122" w:rsidRPr="00B175FB" w:rsidTr="00087121">
              <w:trPr>
                <w:trHeight w:val="26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54" w:type="dxa"/>
                  <w:noWrap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rPr>
                      <w:rFonts w:eastAsia="Times New Roman"/>
                      <w:b w:val="0"/>
                      <w:color w:val="000000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color w:val="000000"/>
                      <w:sz w:val="22"/>
                      <w:lang w:eastAsia="cs-CZ"/>
                    </w:rPr>
                    <w:t>29.</w:t>
                  </w:r>
                </w:p>
              </w:tc>
              <w:tc>
                <w:tcPr>
                  <w:tcW w:w="6555" w:type="dxa"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sz w:val="22"/>
                      <w:lang w:eastAsia="cs-CZ"/>
                    </w:rPr>
                    <w:t>Svaz průmyslu a dopravy ČR</w:t>
                  </w:r>
                </w:p>
              </w:tc>
            </w:tr>
            <w:tr w:rsidR="007C6122" w:rsidRPr="00B175FB" w:rsidTr="00087121">
              <w:trPr>
                <w:trHeight w:val="32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54" w:type="dxa"/>
                  <w:noWrap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rPr>
                      <w:rFonts w:eastAsia="Times New Roman"/>
                      <w:b w:val="0"/>
                      <w:color w:val="000000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color w:val="000000"/>
                      <w:sz w:val="22"/>
                      <w:lang w:eastAsia="cs-CZ"/>
                    </w:rPr>
                    <w:t>30.</w:t>
                  </w:r>
                </w:p>
              </w:tc>
              <w:tc>
                <w:tcPr>
                  <w:tcW w:w="6555" w:type="dxa"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sz w:val="22"/>
                      <w:lang w:eastAsia="cs-CZ"/>
                    </w:rPr>
                    <w:t>Technologická agentura ČR</w:t>
                  </w:r>
                </w:p>
              </w:tc>
            </w:tr>
            <w:tr w:rsidR="007C6122" w:rsidRPr="00B175FB" w:rsidTr="00087121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54" w:type="dxa"/>
                  <w:noWrap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rPr>
                      <w:rFonts w:eastAsia="Times New Roman"/>
                      <w:b w:val="0"/>
                      <w:color w:val="000000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color w:val="000000"/>
                      <w:sz w:val="22"/>
                      <w:lang w:eastAsia="cs-CZ"/>
                    </w:rPr>
                    <w:t>31.</w:t>
                  </w:r>
                </w:p>
              </w:tc>
              <w:tc>
                <w:tcPr>
                  <w:tcW w:w="6555" w:type="dxa"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sz w:val="22"/>
                      <w:lang w:eastAsia="cs-CZ"/>
                    </w:rPr>
                    <w:t>Unie školských asociací ČR – CZESHA</w:t>
                  </w:r>
                </w:p>
              </w:tc>
            </w:tr>
            <w:tr w:rsidR="007C6122" w:rsidRPr="00B175FB" w:rsidTr="00087121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54" w:type="dxa"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rPr>
                      <w:rFonts w:eastAsia="Times New Roman"/>
                      <w:b w:val="0"/>
                      <w:color w:val="000000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color w:val="000000"/>
                      <w:sz w:val="22"/>
                      <w:lang w:eastAsia="cs-CZ"/>
                    </w:rPr>
                    <w:t>32.</w:t>
                  </w:r>
                </w:p>
              </w:tc>
              <w:tc>
                <w:tcPr>
                  <w:tcW w:w="6555" w:type="dxa"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color w:val="000000"/>
                      <w:sz w:val="22"/>
                      <w:lang w:eastAsia="cs-CZ"/>
                    </w:rPr>
                    <w:t>Univerzita Palackého v</w:t>
                  </w:r>
                  <w:r w:rsidR="00AB2434">
                    <w:rPr>
                      <w:rFonts w:eastAsia="Times New Roman"/>
                      <w:color w:val="000000"/>
                      <w:sz w:val="22"/>
                      <w:lang w:eastAsia="cs-CZ"/>
                    </w:rPr>
                    <w:t> </w:t>
                  </w:r>
                  <w:r w:rsidRPr="00B175FB">
                    <w:rPr>
                      <w:rFonts w:eastAsia="Times New Roman"/>
                      <w:color w:val="000000"/>
                      <w:sz w:val="22"/>
                      <w:lang w:eastAsia="cs-CZ"/>
                    </w:rPr>
                    <w:t>Olomouci</w:t>
                  </w:r>
                </w:p>
              </w:tc>
            </w:tr>
            <w:tr w:rsidR="007C6122" w:rsidRPr="00B175FB" w:rsidTr="00087121">
              <w:trPr>
                <w:trHeight w:val="26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54" w:type="dxa"/>
                  <w:noWrap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rPr>
                      <w:rFonts w:eastAsia="Times New Roman"/>
                      <w:b w:val="0"/>
                      <w:color w:val="000000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color w:val="000000"/>
                      <w:sz w:val="22"/>
                      <w:lang w:eastAsia="cs-CZ"/>
                    </w:rPr>
                    <w:t>33.</w:t>
                  </w:r>
                </w:p>
              </w:tc>
              <w:tc>
                <w:tcPr>
                  <w:tcW w:w="6555" w:type="dxa"/>
                  <w:noWrap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sz w:val="22"/>
                      <w:lang w:eastAsia="cs-CZ"/>
                    </w:rPr>
                    <w:t>Úřad vlády ČR – Oddělení Evropských programů a fondů</w:t>
                  </w:r>
                </w:p>
              </w:tc>
            </w:tr>
            <w:tr w:rsidR="007C6122" w:rsidRPr="00B175FB" w:rsidTr="00087121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54" w:type="dxa"/>
                  <w:noWrap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rPr>
                      <w:rFonts w:eastAsia="Times New Roman"/>
                      <w:b w:val="0"/>
                      <w:color w:val="000000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color w:val="000000"/>
                      <w:sz w:val="22"/>
                      <w:lang w:eastAsia="cs-CZ"/>
                    </w:rPr>
                    <w:t>34.</w:t>
                  </w:r>
                </w:p>
              </w:tc>
              <w:tc>
                <w:tcPr>
                  <w:tcW w:w="6555" w:type="dxa"/>
                  <w:noWrap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/>
                      <w:color w:val="000000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sz w:val="22"/>
                      <w:lang w:eastAsia="cs-CZ"/>
                    </w:rPr>
                    <w:t xml:space="preserve">Úřad vlády ČR – Rada pro výzkum, vývoj a inovace </w:t>
                  </w:r>
                </w:p>
              </w:tc>
            </w:tr>
            <w:tr w:rsidR="007C6122" w:rsidRPr="00B175FB" w:rsidTr="00087121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54" w:type="dxa"/>
                  <w:noWrap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rPr>
                      <w:rFonts w:eastAsia="Times New Roman"/>
                      <w:b w:val="0"/>
                      <w:color w:val="000000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color w:val="000000"/>
                      <w:sz w:val="22"/>
                      <w:lang w:eastAsia="cs-CZ"/>
                    </w:rPr>
                    <w:t>3</w:t>
                  </w:r>
                  <w:r>
                    <w:rPr>
                      <w:rFonts w:eastAsia="Times New Roman"/>
                      <w:color w:val="000000"/>
                      <w:sz w:val="22"/>
                      <w:lang w:eastAsia="cs-CZ"/>
                    </w:rPr>
                    <w:t>5</w:t>
                  </w:r>
                  <w:r w:rsidRPr="00B175FB">
                    <w:rPr>
                      <w:rFonts w:eastAsia="Times New Roman"/>
                      <w:color w:val="000000"/>
                      <w:sz w:val="22"/>
                      <w:lang w:eastAsia="cs-CZ"/>
                    </w:rPr>
                    <w:t>.</w:t>
                  </w:r>
                </w:p>
              </w:tc>
              <w:tc>
                <w:tcPr>
                  <w:tcW w:w="6555" w:type="dxa"/>
                  <w:noWrap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/>
                      <w:color w:val="000000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sz w:val="22"/>
                      <w:lang w:eastAsia="cs-CZ"/>
                    </w:rPr>
                    <w:t xml:space="preserve">Úřad vlády ČR – Sekce pro lidská práva </w:t>
                  </w:r>
                </w:p>
              </w:tc>
            </w:tr>
            <w:tr w:rsidR="007C6122" w:rsidRPr="00B175FB" w:rsidTr="00087121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54" w:type="dxa"/>
                  <w:noWrap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rPr>
                      <w:rFonts w:eastAsia="Times New Roman"/>
                      <w:b w:val="0"/>
                      <w:color w:val="000000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color w:val="000000"/>
                      <w:sz w:val="22"/>
                      <w:lang w:eastAsia="cs-CZ"/>
                    </w:rPr>
                    <w:t>3</w:t>
                  </w:r>
                  <w:r w:rsidR="00BE17B1">
                    <w:rPr>
                      <w:rFonts w:eastAsia="Times New Roman"/>
                      <w:color w:val="000000"/>
                      <w:sz w:val="22"/>
                      <w:lang w:eastAsia="cs-CZ"/>
                    </w:rPr>
                    <w:t>6</w:t>
                  </w:r>
                  <w:r w:rsidRPr="00B175FB">
                    <w:rPr>
                      <w:rFonts w:eastAsia="Times New Roman"/>
                      <w:color w:val="000000"/>
                      <w:sz w:val="22"/>
                      <w:lang w:eastAsia="cs-CZ"/>
                    </w:rPr>
                    <w:t>.</w:t>
                  </w:r>
                </w:p>
              </w:tc>
              <w:tc>
                <w:tcPr>
                  <w:tcW w:w="6555" w:type="dxa"/>
                  <w:noWrap/>
                  <w:hideMark/>
                </w:tcPr>
                <w:p w:rsidR="007C6122" w:rsidRPr="00B175FB" w:rsidRDefault="007C6122" w:rsidP="007C6122">
                  <w:pPr>
                    <w:spacing w:before="0" w:after="0"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/>
                      <w:color w:val="000000"/>
                      <w:sz w:val="22"/>
                      <w:lang w:eastAsia="cs-CZ"/>
                    </w:rPr>
                  </w:pPr>
                  <w:r w:rsidRPr="00B175FB">
                    <w:rPr>
                      <w:rFonts w:eastAsia="Times New Roman"/>
                      <w:sz w:val="22"/>
                      <w:lang w:eastAsia="cs-CZ"/>
                    </w:rPr>
                    <w:t>ITI aglomerace</w:t>
                  </w:r>
                </w:p>
              </w:tc>
            </w:tr>
            <w:tr w:rsidR="005B648D" w:rsidRPr="00B175FB" w:rsidTr="00087121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54" w:type="dxa"/>
                  <w:noWrap/>
                </w:tcPr>
                <w:p w:rsidR="005B648D" w:rsidRPr="00B175FB" w:rsidRDefault="005B648D" w:rsidP="007C6122">
                  <w:pPr>
                    <w:spacing w:before="0" w:after="0" w:line="276" w:lineRule="auto"/>
                    <w:rPr>
                      <w:rFonts w:eastAsia="Times New Roman"/>
                      <w:b w:val="0"/>
                      <w:color w:val="000000"/>
                      <w:sz w:val="22"/>
                      <w:lang w:eastAsia="cs-CZ"/>
                    </w:rPr>
                  </w:pPr>
                  <w:r>
                    <w:rPr>
                      <w:rFonts w:eastAsia="Times New Roman"/>
                      <w:color w:val="000000"/>
                      <w:sz w:val="22"/>
                      <w:lang w:eastAsia="cs-CZ"/>
                    </w:rPr>
                    <w:t>37.</w:t>
                  </w:r>
                </w:p>
              </w:tc>
              <w:tc>
                <w:tcPr>
                  <w:tcW w:w="6555" w:type="dxa"/>
                  <w:noWrap/>
                </w:tcPr>
                <w:p w:rsidR="005B648D" w:rsidRPr="00B175FB" w:rsidRDefault="005B648D" w:rsidP="007C6122">
                  <w:pPr>
                    <w:spacing w:before="0" w:after="0"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/>
                      <w:sz w:val="22"/>
                      <w:lang w:eastAsia="cs-CZ"/>
                    </w:rPr>
                  </w:pPr>
                  <w:r w:rsidRPr="005B648D">
                    <w:rPr>
                      <w:rFonts w:eastAsia="Times New Roman"/>
                      <w:sz w:val="22"/>
                      <w:lang w:eastAsia="cs-CZ"/>
                    </w:rPr>
                    <w:t>Vysokoškolský odborový svaz</w:t>
                  </w:r>
                </w:p>
              </w:tc>
            </w:tr>
          </w:tbl>
          <w:p w:rsidR="00C82F66" w:rsidRPr="00B175FB" w:rsidRDefault="00C82F66" w:rsidP="00C82F66">
            <w:pPr>
              <w:spacing w:line="276" w:lineRule="auto"/>
              <w:jc w:val="both"/>
              <w:rPr>
                <w:sz w:val="22"/>
              </w:rPr>
            </w:pPr>
            <w:r w:rsidRPr="00B175FB">
              <w:rPr>
                <w:color w:val="000000"/>
                <w:sz w:val="22"/>
              </w:rPr>
              <w:t xml:space="preserve">V čele Přípravného výboru OP JAK stojí předseda, kterým je náměstek pro řízení sekce </w:t>
            </w:r>
            <w:r w:rsidR="009273BA">
              <w:rPr>
                <w:color w:val="000000"/>
                <w:sz w:val="22"/>
              </w:rPr>
              <w:t xml:space="preserve">mezinárodních vztahů, </w:t>
            </w:r>
            <w:r w:rsidRPr="00B175FB">
              <w:rPr>
                <w:color w:val="000000"/>
                <w:sz w:val="22"/>
              </w:rPr>
              <w:t xml:space="preserve">EU a ESIF. </w:t>
            </w:r>
            <w:r w:rsidRPr="00B175FB">
              <w:rPr>
                <w:sz w:val="22"/>
              </w:rPr>
              <w:t xml:space="preserve">Činnost Přípravného výboru OP JAK se řídí statutem a jednacím řádem. </w:t>
            </w:r>
          </w:p>
          <w:p w:rsidR="00FD2113" w:rsidRPr="00B175FB" w:rsidRDefault="00FD2113" w:rsidP="00FD2113">
            <w:pPr>
              <w:spacing w:line="276" w:lineRule="auto"/>
              <w:jc w:val="both"/>
              <w:rPr>
                <w:sz w:val="22"/>
              </w:rPr>
            </w:pPr>
            <w:r w:rsidRPr="00B175FB">
              <w:rPr>
                <w:sz w:val="22"/>
              </w:rPr>
              <w:t xml:space="preserve">1. jednání Přípravného výboru OP JAK </w:t>
            </w:r>
            <w:r w:rsidR="00810B9D">
              <w:rPr>
                <w:sz w:val="22"/>
              </w:rPr>
              <w:t xml:space="preserve">konané </w:t>
            </w:r>
            <w:r w:rsidRPr="00B175FB">
              <w:rPr>
                <w:sz w:val="22"/>
              </w:rPr>
              <w:t xml:space="preserve">dne 29. </w:t>
            </w:r>
            <w:r w:rsidR="00E10832">
              <w:rPr>
                <w:sz w:val="22"/>
              </w:rPr>
              <w:t>května</w:t>
            </w:r>
            <w:r w:rsidRPr="00B175FB">
              <w:rPr>
                <w:sz w:val="22"/>
              </w:rPr>
              <w:t xml:space="preserve"> 2019 bylo zaměřeno </w:t>
            </w:r>
            <w:r w:rsidR="003A56D7">
              <w:rPr>
                <w:sz w:val="22"/>
              </w:rPr>
              <w:t xml:space="preserve">na </w:t>
            </w:r>
            <w:r w:rsidRPr="00B175FB">
              <w:rPr>
                <w:sz w:val="22"/>
              </w:rPr>
              <w:t xml:space="preserve">představení struktury OP JAK, včetně zvolených specifických cílů, definování hraničních oblastí s dalšími operačními programy, představení strategických dokumentů. Současně byly prezentovány intervenční logiky jako základ programového dokumentu. </w:t>
            </w:r>
          </w:p>
          <w:p w:rsidR="00C82F66" w:rsidRPr="00B175FB" w:rsidRDefault="00C82F66" w:rsidP="00C82F66">
            <w:pPr>
              <w:spacing w:line="276" w:lineRule="auto"/>
              <w:jc w:val="both"/>
              <w:rPr>
                <w:sz w:val="22"/>
              </w:rPr>
            </w:pPr>
            <w:r w:rsidRPr="00B175FB">
              <w:rPr>
                <w:sz w:val="22"/>
              </w:rPr>
              <w:t>První pracovní návrh Programového dokumentu OP JAK byl zaslán partnerům k připomínkám v průběhu listopadu 2019 a následně představen a projednán na 2. jednání Přípravného výboru OP JAK, které</w:t>
            </w:r>
            <w:r w:rsidR="00C072B8">
              <w:rPr>
                <w:sz w:val="22"/>
              </w:rPr>
              <w:t> </w:t>
            </w:r>
            <w:r w:rsidRPr="00B175FB">
              <w:rPr>
                <w:sz w:val="22"/>
              </w:rPr>
              <w:t>se</w:t>
            </w:r>
            <w:r w:rsidR="00C072B8">
              <w:rPr>
                <w:sz w:val="22"/>
              </w:rPr>
              <w:t> </w:t>
            </w:r>
            <w:r w:rsidRPr="00B175FB">
              <w:rPr>
                <w:sz w:val="22"/>
              </w:rPr>
              <w:t xml:space="preserve">konalo </w:t>
            </w:r>
            <w:r w:rsidR="00810B9D">
              <w:rPr>
                <w:sz w:val="22"/>
              </w:rPr>
              <w:t>dne 12.</w:t>
            </w:r>
            <w:r w:rsidR="00E10832">
              <w:rPr>
                <w:sz w:val="22"/>
              </w:rPr>
              <w:t> </w:t>
            </w:r>
            <w:r w:rsidRPr="00B175FB">
              <w:rPr>
                <w:sz w:val="22"/>
              </w:rPr>
              <w:t>prosinc</w:t>
            </w:r>
            <w:r w:rsidR="00810B9D">
              <w:rPr>
                <w:sz w:val="22"/>
              </w:rPr>
              <w:t>e</w:t>
            </w:r>
            <w:r w:rsidRPr="00B175FB">
              <w:rPr>
                <w:sz w:val="22"/>
              </w:rPr>
              <w:t xml:space="preserve"> 2019.</w:t>
            </w:r>
          </w:p>
          <w:p w:rsidR="00C82F66" w:rsidRPr="00B175FB" w:rsidRDefault="00810B9D" w:rsidP="00C82F66">
            <w:pPr>
              <w:spacing w:line="276" w:lineRule="auto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Na 3. jednání Přípravného výboru OP JAK konaném dne 9. října 2020 byl představen indikativní plán intervencí</w:t>
            </w:r>
            <w:r w:rsidR="00E10832">
              <w:rPr>
                <w:color w:val="000000"/>
                <w:sz w:val="22"/>
              </w:rPr>
              <w:t xml:space="preserve"> a třetí pracovní návrh Programového dokumentu OP JAK, jež zohledňoval </w:t>
            </w:r>
            <w:r w:rsidR="00347690">
              <w:rPr>
                <w:color w:val="000000"/>
                <w:sz w:val="22"/>
              </w:rPr>
              <w:t xml:space="preserve">relevantní </w:t>
            </w:r>
            <w:r w:rsidR="00E10832">
              <w:rPr>
                <w:sz w:val="22"/>
              </w:rPr>
              <w:t>připomínky k druhému pracovnímu návrhu Programového dokumentu OP JAK, které ŘO OP JAK obdržel od zástupců příslušných generálních ředitelství EK</w:t>
            </w:r>
            <w:r w:rsidR="00E10832">
              <w:rPr>
                <w:color w:val="000000"/>
                <w:sz w:val="22"/>
              </w:rPr>
              <w:t>.</w:t>
            </w:r>
            <w:r w:rsidR="003C68B9">
              <w:rPr>
                <w:color w:val="000000"/>
                <w:sz w:val="22"/>
              </w:rPr>
              <w:t xml:space="preserve"> ŘO plánuje další jednání Přípravného výboru OP JAK.</w:t>
            </w:r>
          </w:p>
          <w:p w:rsidR="00C82F66" w:rsidRPr="00B175FB" w:rsidRDefault="00C82F66" w:rsidP="00C82F66">
            <w:pPr>
              <w:spacing w:line="276" w:lineRule="auto"/>
              <w:jc w:val="both"/>
              <w:rPr>
                <w:color w:val="000000"/>
                <w:sz w:val="22"/>
              </w:rPr>
            </w:pPr>
            <w:r w:rsidRPr="00B175FB">
              <w:rPr>
                <w:color w:val="000000"/>
                <w:sz w:val="22"/>
              </w:rPr>
              <w:t>Tematické pracovní skupiny</w:t>
            </w:r>
          </w:p>
          <w:p w:rsidR="00C82F66" w:rsidRDefault="00C82F66" w:rsidP="00C82F66">
            <w:pPr>
              <w:spacing w:line="276" w:lineRule="auto"/>
              <w:jc w:val="both"/>
              <w:rPr>
                <w:sz w:val="22"/>
              </w:rPr>
            </w:pPr>
            <w:r w:rsidRPr="00B175FB">
              <w:rPr>
                <w:sz w:val="22"/>
              </w:rPr>
              <w:t>V procesu přípravy OP JAK bylo partnerství rozvíjeno i formou dvou tematických pracovních skupin, jejichž struktura koresponduje s prioritami a cíli politiky. Jedná se o Tematickou pracovní skupinu Výzkum a vývoj a Tematickou pracovní skupinu Vzdělávání. Členy obou skupin nominovali členové Přípravného výboru OP JAK; jsou jimi tedy opět vedle zástupců</w:t>
            </w:r>
            <w:r w:rsidR="00DC7462">
              <w:rPr>
                <w:sz w:val="22"/>
              </w:rPr>
              <w:t xml:space="preserve"> MŠMT zástupci veřejné správy a </w:t>
            </w:r>
            <w:r w:rsidRPr="00B175FB">
              <w:rPr>
                <w:sz w:val="22"/>
              </w:rPr>
              <w:t>samosprávy, odborné veřejnosti, zájmových skupin atp.</w:t>
            </w:r>
          </w:p>
          <w:p w:rsidR="00810B9D" w:rsidRPr="00B175FB" w:rsidRDefault="00810B9D" w:rsidP="00C82F66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Obě pracovní skupiny se sešly dne 20. června 2019 a 23. října 2019.</w:t>
            </w:r>
            <w:r w:rsidR="00A830B9">
              <w:rPr>
                <w:sz w:val="22"/>
              </w:rPr>
              <w:t xml:space="preserve"> Na prvním setkání byla členům představena struktura OP JAK včetně zvolených specifických cílů a byly prezentovány intervenční logiky jako základ programového dokumentu. Na druhém setkání byl prezentován první pracovní návrh Programového dokumentu OP JAK, jež následně členové připomínkovali.</w:t>
            </w:r>
          </w:p>
          <w:p w:rsidR="007D445C" w:rsidRDefault="007D445C" w:rsidP="00C82F66">
            <w:pPr>
              <w:spacing w:after="200" w:line="276" w:lineRule="auto"/>
              <w:jc w:val="both"/>
              <w:rPr>
                <w:color w:val="000000"/>
                <w:sz w:val="22"/>
              </w:rPr>
            </w:pPr>
            <w:r w:rsidRPr="007D445C">
              <w:rPr>
                <w:color w:val="000000"/>
                <w:sz w:val="22"/>
              </w:rPr>
              <w:t>Další jednání</w:t>
            </w:r>
          </w:p>
          <w:p w:rsidR="007D445C" w:rsidRDefault="007D445C" w:rsidP="00C82F66">
            <w:pPr>
              <w:spacing w:after="200" w:line="276" w:lineRule="auto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Proces přípravy OP JAK byl </w:t>
            </w:r>
            <w:r w:rsidR="00E75150">
              <w:rPr>
                <w:color w:val="000000"/>
                <w:sz w:val="22"/>
              </w:rPr>
              <w:t xml:space="preserve">opakovaně </w:t>
            </w:r>
            <w:r w:rsidR="00164DAB">
              <w:rPr>
                <w:color w:val="000000"/>
                <w:sz w:val="22"/>
              </w:rPr>
              <w:t xml:space="preserve">rozsáhlým </w:t>
            </w:r>
            <w:r>
              <w:rPr>
                <w:color w:val="000000"/>
                <w:sz w:val="22"/>
              </w:rPr>
              <w:t>tématem mnoha jednání pléna České konference rektorů, Rady vysokých škol, Národní stálé konference, Regionální stálé konference a dalších klíčových stakeholderů.</w:t>
            </w:r>
          </w:p>
          <w:p w:rsidR="007D445C" w:rsidRPr="007D445C" w:rsidRDefault="007D445C" w:rsidP="00C82F66">
            <w:pPr>
              <w:spacing w:after="200" w:line="276" w:lineRule="auto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Do přípravy OP JAK byli s ohledem na obsahovou náplň Priority 2 zapojeni též zástupci občanské části Rady vlády pro záležitosti romské menšiny.</w:t>
            </w:r>
            <w:r w:rsidR="00A53675">
              <w:rPr>
                <w:color w:val="000000"/>
                <w:sz w:val="22"/>
              </w:rPr>
              <w:t xml:space="preserve"> Dne 19. června 2020 MMR-NOK zorganizovalo jednání za</w:t>
            </w:r>
            <w:r w:rsidR="006E13D5">
              <w:rPr>
                <w:color w:val="000000"/>
                <w:sz w:val="22"/>
              </w:rPr>
              <w:t> </w:t>
            </w:r>
            <w:r w:rsidR="00A53675">
              <w:rPr>
                <w:color w:val="000000"/>
                <w:sz w:val="22"/>
              </w:rPr>
              <w:t xml:space="preserve">přítomnosti zástupců Evropské komise k problematice podpory romské integrace. </w:t>
            </w:r>
            <w:r w:rsidR="008E6605">
              <w:rPr>
                <w:color w:val="000000"/>
                <w:sz w:val="22"/>
              </w:rPr>
              <w:br/>
            </w:r>
            <w:r w:rsidR="00A53675">
              <w:rPr>
                <w:color w:val="000000"/>
                <w:sz w:val="22"/>
              </w:rPr>
              <w:t xml:space="preserve">Dne 28. července 2020 MMR-NOK zorganizovalo jednání k problematice sběru dat o romské menšině. Obdobnému tématu se věnoval kulatý stůl organizovaný </w:t>
            </w:r>
            <w:r w:rsidR="00A53675" w:rsidRPr="00A53675">
              <w:rPr>
                <w:color w:val="000000"/>
                <w:sz w:val="22"/>
              </w:rPr>
              <w:t>Odbor</w:t>
            </w:r>
            <w:r w:rsidR="00A53675">
              <w:rPr>
                <w:color w:val="000000"/>
                <w:sz w:val="22"/>
              </w:rPr>
              <w:t>em</w:t>
            </w:r>
            <w:r w:rsidR="00A53675" w:rsidRPr="00A53675">
              <w:rPr>
                <w:color w:val="000000"/>
                <w:sz w:val="22"/>
              </w:rPr>
              <w:t xml:space="preserve"> lidských práv a ochrany menšin</w:t>
            </w:r>
            <w:r w:rsidR="00A53675">
              <w:rPr>
                <w:color w:val="000000"/>
                <w:sz w:val="22"/>
              </w:rPr>
              <w:t xml:space="preserve"> Úřadu vlády České republiky dne 14. září 2020. </w:t>
            </w:r>
            <w:r w:rsidR="00014B73">
              <w:rPr>
                <w:color w:val="000000"/>
                <w:sz w:val="22"/>
              </w:rPr>
              <w:t xml:space="preserve">Všech těchto jednání se aktivně účastnili i zástupci ŘO OP JAK. Dne 22. října 2020 zorganizoval ŘO OP JAK jednání se zástupci Evropské komise a Ministerstva práce a sociálních věcí jakožto Řídicího orgánu Operačního programu Zaměstnanost plus na téma podpory romské menšiny z OP JAK a Operačního programu Zaměstnanost plus. Dne 10. února 2021 zorganizoval ŘO OP JAK jednání k podpoře vzdělávání romské menšiny. </w:t>
            </w:r>
          </w:p>
          <w:p w:rsidR="00C82F66" w:rsidRPr="00B175FB" w:rsidRDefault="00C82F66" w:rsidP="00C82F66">
            <w:pPr>
              <w:spacing w:after="200" w:line="276" w:lineRule="auto"/>
              <w:jc w:val="both"/>
              <w:rPr>
                <w:b/>
                <w:color w:val="000000"/>
                <w:sz w:val="22"/>
              </w:rPr>
            </w:pPr>
            <w:r w:rsidRPr="00B175FB">
              <w:rPr>
                <w:b/>
                <w:color w:val="000000"/>
                <w:sz w:val="22"/>
              </w:rPr>
              <w:t xml:space="preserve">Provádění operačního programu </w:t>
            </w:r>
          </w:p>
          <w:p w:rsidR="00C82F66" w:rsidRPr="00B175FB" w:rsidRDefault="00C82F66" w:rsidP="00C82F66">
            <w:pPr>
              <w:spacing w:line="276" w:lineRule="auto"/>
              <w:jc w:val="both"/>
              <w:rPr>
                <w:sz w:val="22"/>
              </w:rPr>
            </w:pPr>
            <w:r w:rsidRPr="00B175FB">
              <w:rPr>
                <w:sz w:val="22"/>
              </w:rPr>
              <w:t xml:space="preserve">Princip partnerství bude naplňován i v rámci implementace OP JAK, a to v souladu s článkem 6 </w:t>
            </w:r>
            <w:r w:rsidRPr="00B175FB">
              <w:rPr>
                <w:color w:val="000000"/>
                <w:sz w:val="22"/>
              </w:rPr>
              <w:t>nařízení o společných ustanoveních</w:t>
            </w:r>
            <w:r w:rsidRPr="00B175FB">
              <w:rPr>
                <w:sz w:val="22"/>
              </w:rPr>
              <w:t xml:space="preserve"> a Etickým kodexem Evropské komise pro partnerství budou relevantní partneři zapojeni nejen do přípravy, ale také do realizace OP JAK. </w:t>
            </w:r>
          </w:p>
          <w:p w:rsidR="00C82F66" w:rsidRPr="00B175FB" w:rsidRDefault="00C82F66" w:rsidP="00C82F66">
            <w:pPr>
              <w:spacing w:line="276" w:lineRule="auto"/>
              <w:jc w:val="both"/>
              <w:rPr>
                <w:color w:val="000000"/>
                <w:sz w:val="22"/>
              </w:rPr>
            </w:pPr>
            <w:r w:rsidRPr="00B175FB">
              <w:rPr>
                <w:color w:val="000000"/>
                <w:sz w:val="22"/>
              </w:rPr>
              <w:t>Monitorovací výbor OP JAK</w:t>
            </w:r>
          </w:p>
          <w:p w:rsidR="00C82F66" w:rsidRPr="00B175FB" w:rsidRDefault="00C82F66" w:rsidP="00C82F66">
            <w:pPr>
              <w:spacing w:line="276" w:lineRule="auto"/>
              <w:jc w:val="both"/>
              <w:rPr>
                <w:color w:val="000000"/>
                <w:sz w:val="22"/>
              </w:rPr>
            </w:pPr>
            <w:r w:rsidRPr="00B175FB">
              <w:rPr>
                <w:color w:val="000000"/>
                <w:sz w:val="22"/>
              </w:rPr>
              <w:t xml:space="preserve">Základním nástrojem pro zapojení relevantních partnerů do implementace, monitorování a evaluací bude </w:t>
            </w:r>
            <w:r w:rsidR="005E63A4">
              <w:rPr>
                <w:color w:val="000000"/>
                <w:sz w:val="22"/>
              </w:rPr>
              <w:t>MV</w:t>
            </w:r>
            <w:r w:rsidRPr="00B175FB">
              <w:rPr>
                <w:color w:val="000000"/>
                <w:sz w:val="22"/>
              </w:rPr>
              <w:t xml:space="preserve"> OP JAK. MV OP JAK bude ustaven na návrh ŘO OP JAK nejpozději do 3 měsíců od schválení operačního programu Evropskou komisí. Při jeho sestavování se bude</w:t>
            </w:r>
            <w:r w:rsidR="005E63A4">
              <w:rPr>
                <w:color w:val="000000"/>
                <w:sz w:val="22"/>
              </w:rPr>
              <w:t xml:space="preserve"> primárně vycházet z členství v </w:t>
            </w:r>
            <w:r w:rsidRPr="00B175FB">
              <w:rPr>
                <w:color w:val="000000"/>
                <w:sz w:val="22"/>
              </w:rPr>
              <w:t xml:space="preserve">Přípravném výboru OP JAK tak, aby se aktéři zapojení do přípravy operačního programu odpovídajícím způsobem podíleli také na jeho provádění. </w:t>
            </w:r>
          </w:p>
          <w:p w:rsidR="003526AA" w:rsidRDefault="003526AA" w:rsidP="00C82F66">
            <w:pPr>
              <w:spacing w:line="276" w:lineRule="auto"/>
              <w:jc w:val="both"/>
              <w:rPr>
                <w:color w:val="000000"/>
                <w:sz w:val="22"/>
              </w:rPr>
            </w:pPr>
          </w:p>
          <w:p w:rsidR="00C82F66" w:rsidRPr="00B175FB" w:rsidRDefault="00C82F66" w:rsidP="00C82F66">
            <w:pPr>
              <w:spacing w:line="276" w:lineRule="auto"/>
              <w:jc w:val="both"/>
              <w:rPr>
                <w:color w:val="000000"/>
                <w:sz w:val="22"/>
              </w:rPr>
            </w:pPr>
            <w:r w:rsidRPr="00B175FB">
              <w:rPr>
                <w:color w:val="000000"/>
                <w:sz w:val="22"/>
              </w:rPr>
              <w:t>Specifické odborné platformy a pracovní skupiny</w:t>
            </w:r>
          </w:p>
          <w:p w:rsidR="00C82F66" w:rsidRPr="00B175FB" w:rsidRDefault="00C82F66" w:rsidP="00C82F66">
            <w:pPr>
              <w:spacing w:line="276" w:lineRule="auto"/>
              <w:jc w:val="both"/>
              <w:rPr>
                <w:color w:val="000000"/>
                <w:sz w:val="22"/>
              </w:rPr>
            </w:pPr>
            <w:r w:rsidRPr="00B175FB">
              <w:rPr>
                <w:color w:val="000000"/>
                <w:sz w:val="22"/>
              </w:rPr>
              <w:t>Partneři budou dále zapojováni i do specifických odborných platforem a pracovních skupin souvisejících s implementací (např. Plánovací komise programu hlavní, Plánovací komise programu P1 a P2).</w:t>
            </w:r>
          </w:p>
          <w:p w:rsidR="00C82F66" w:rsidRPr="00B175FB" w:rsidRDefault="00C82F66">
            <w:pPr>
              <w:rPr>
                <w:rFonts w:eastAsia="Times New Roman"/>
                <w:i/>
                <w:noProof/>
                <w:sz w:val="22"/>
              </w:rPr>
            </w:pPr>
          </w:p>
        </w:tc>
      </w:tr>
    </w:tbl>
    <w:p w:rsidR="009B2578" w:rsidRPr="00B175FB" w:rsidRDefault="009B2578" w:rsidP="00114426">
      <w:pPr>
        <w:rPr>
          <w:b/>
          <w:bCs/>
          <w:noProof/>
        </w:rPr>
      </w:pPr>
    </w:p>
    <w:p w:rsidR="00FD2113" w:rsidRPr="00E22EF8" w:rsidRDefault="008829BE" w:rsidP="00FD2113">
      <w:pPr>
        <w:pStyle w:val="Odstavecseseznamem"/>
        <w:numPr>
          <w:ilvl w:val="0"/>
          <w:numId w:val="78"/>
        </w:numPr>
        <w:rPr>
          <w:b/>
          <w:smallCaps/>
          <w:color w:val="1F4E79" w:themeColor="accent5" w:themeShade="80"/>
        </w:rPr>
      </w:pPr>
      <w:bookmarkStart w:id="298" w:name="_Toc66476083"/>
      <w:bookmarkStart w:id="299" w:name="_Toc68611041"/>
      <w:bookmarkStart w:id="300" w:name="_Toc32998647"/>
      <w:bookmarkStart w:id="301" w:name="_Toc32998694"/>
      <w:bookmarkStart w:id="302" w:name="_Toc33000826"/>
      <w:bookmarkStart w:id="303" w:name="_Toc33000260"/>
      <w:r w:rsidRPr="00B175FB">
        <w:rPr>
          <w:rStyle w:val="Nadpis1Char"/>
          <w:color w:val="1F4E79" w:themeColor="accent5" w:themeShade="80"/>
          <w:lang w:val="cs-CZ"/>
        </w:rPr>
        <w:t>K</w:t>
      </w:r>
      <w:r w:rsidR="005C751E" w:rsidRPr="00B175FB">
        <w:rPr>
          <w:rStyle w:val="Nadpis1Char"/>
          <w:color w:val="1F4E79" w:themeColor="accent5" w:themeShade="80"/>
          <w:lang w:val="cs-CZ"/>
        </w:rPr>
        <w:t>omunikace a viditelnost</w:t>
      </w:r>
      <w:bookmarkEnd w:id="298"/>
      <w:bookmarkEnd w:id="299"/>
      <w:bookmarkEnd w:id="300"/>
      <w:bookmarkEnd w:id="301"/>
      <w:bookmarkEnd w:id="302"/>
      <w:bookmarkEnd w:id="30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114426" w:rsidRPr="00B175FB" w:rsidTr="00114426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9F9" w:rsidRPr="00B175FB" w:rsidRDefault="00EC09F9" w:rsidP="00EC09F9">
            <w:pPr>
              <w:spacing w:line="276" w:lineRule="auto"/>
              <w:jc w:val="both"/>
              <w:rPr>
                <w:rFonts w:cs="Arial"/>
                <w:b/>
                <w:sz w:val="22"/>
              </w:rPr>
            </w:pPr>
            <w:r w:rsidRPr="00B175FB">
              <w:rPr>
                <w:rFonts w:cs="Arial"/>
                <w:b/>
                <w:sz w:val="22"/>
              </w:rPr>
              <w:t>Řízení komunikace</w:t>
            </w:r>
          </w:p>
          <w:p w:rsidR="00EC09F9" w:rsidRPr="00B175FB" w:rsidRDefault="00EC09F9" w:rsidP="00EC09F9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B175FB">
              <w:rPr>
                <w:rFonts w:cs="Arial"/>
                <w:sz w:val="22"/>
              </w:rPr>
              <w:t>ŘO využije zkušenosti v oblasti komunikace a publicity z programového období 2014</w:t>
            </w:r>
            <w:r w:rsidR="00C6523E">
              <w:rPr>
                <w:rFonts w:cs="Arial"/>
                <w:sz w:val="22"/>
              </w:rPr>
              <w:t>-</w:t>
            </w:r>
            <w:r w:rsidRPr="00B175FB">
              <w:rPr>
                <w:rFonts w:cs="Arial"/>
                <w:sz w:val="22"/>
              </w:rPr>
              <w:t>2020, např. řízení komunikace a organizace „PS Publicita“) nebo využití osvědčených komunikačních nástrojů.</w:t>
            </w:r>
          </w:p>
          <w:p w:rsidR="00EC09F9" w:rsidRPr="00B175FB" w:rsidRDefault="00EC09F9" w:rsidP="000C0DDB">
            <w:pPr>
              <w:keepNext/>
              <w:widowControl w:val="0"/>
              <w:spacing w:before="240" w:line="276" w:lineRule="auto"/>
              <w:jc w:val="both"/>
              <w:rPr>
                <w:rFonts w:cs="Arial"/>
                <w:sz w:val="22"/>
              </w:rPr>
            </w:pPr>
            <w:r w:rsidRPr="00B175FB">
              <w:rPr>
                <w:rFonts w:cs="Arial"/>
                <w:sz w:val="22"/>
              </w:rPr>
              <w:t xml:space="preserve">Komunikační aktivity budou nastaveny v souladu se </w:t>
            </w:r>
            <w:r w:rsidR="005A4946">
              <w:rPr>
                <w:rFonts w:cs="Arial"/>
                <w:sz w:val="22"/>
              </w:rPr>
              <w:t>SKS</w:t>
            </w:r>
            <w:r w:rsidRPr="00B175FB">
              <w:rPr>
                <w:rFonts w:cs="Arial"/>
                <w:sz w:val="22"/>
              </w:rPr>
              <w:t>. SKS bude definovat hlavní cílové skupiny, odpovědnosti a role subjektů implementační struktury, nastavení indikátorové soustavy a evaluačních aktivit. Pro program bude určen komunikační úředník, který se bude účastnit Pracovní skupiny pro informování a publicitu fondů EU pro programové období 2021</w:t>
            </w:r>
            <w:r w:rsidR="00C6523E">
              <w:rPr>
                <w:rFonts w:cs="Arial"/>
                <w:sz w:val="22"/>
              </w:rPr>
              <w:t>-</w:t>
            </w:r>
            <w:r w:rsidRPr="00B175FB">
              <w:rPr>
                <w:rFonts w:cs="Arial"/>
                <w:sz w:val="22"/>
              </w:rPr>
              <w:t xml:space="preserve">2027 pod vedením </w:t>
            </w:r>
            <w:r w:rsidR="00E82998">
              <w:rPr>
                <w:rFonts w:cs="Arial"/>
                <w:sz w:val="22"/>
              </w:rPr>
              <w:t>MMR – NOK</w:t>
            </w:r>
            <w:r w:rsidRPr="00B175FB">
              <w:rPr>
                <w:rFonts w:cs="Arial"/>
                <w:sz w:val="22"/>
              </w:rPr>
              <w:t xml:space="preserve">. </w:t>
            </w:r>
          </w:p>
          <w:p w:rsidR="00EC09F9" w:rsidRPr="00B175FB" w:rsidRDefault="00EC09F9" w:rsidP="00EC09F9">
            <w:pPr>
              <w:spacing w:before="240" w:line="276" w:lineRule="auto"/>
              <w:jc w:val="both"/>
              <w:rPr>
                <w:rFonts w:cs="Arial"/>
                <w:sz w:val="22"/>
              </w:rPr>
            </w:pPr>
            <w:r w:rsidRPr="00B175FB">
              <w:rPr>
                <w:rFonts w:cs="Arial"/>
                <w:sz w:val="22"/>
              </w:rPr>
              <w:t>Na programové úrovn</w:t>
            </w:r>
            <w:r w:rsidR="00C6523E">
              <w:rPr>
                <w:rFonts w:cs="Arial"/>
                <w:sz w:val="22"/>
              </w:rPr>
              <w:t>i</w:t>
            </w:r>
            <w:r w:rsidRPr="00B175FB">
              <w:rPr>
                <w:rFonts w:cs="Arial"/>
                <w:sz w:val="22"/>
              </w:rPr>
              <w:t xml:space="preserve"> bude zpracován DIK</w:t>
            </w:r>
            <w:r>
              <w:rPr>
                <w:rFonts w:cs="Arial"/>
                <w:sz w:val="22"/>
              </w:rPr>
              <w:t>o</w:t>
            </w:r>
            <w:r w:rsidRPr="00B175FB">
              <w:rPr>
                <w:rFonts w:cs="Arial"/>
                <w:sz w:val="22"/>
              </w:rPr>
              <w:t>P, který bude pro celé programové období rámcově definovat cíle komunikace, cílové skupiny, komunikační aktivity, indikativní rozpočet a ukazatele pro monitorování a hodnocení. Každoročně bude vytvářen podrobnější RK</w:t>
            </w:r>
            <w:r>
              <w:rPr>
                <w:rFonts w:cs="Arial"/>
                <w:sz w:val="22"/>
              </w:rPr>
              <w:t>o</w:t>
            </w:r>
            <w:r w:rsidRPr="00B175FB">
              <w:rPr>
                <w:rFonts w:cs="Arial"/>
                <w:sz w:val="22"/>
              </w:rPr>
              <w:t>P, který bude zohledňovat specifika aktuální fáze implementace a konkretizovat plánované aktivity. RK</w:t>
            </w:r>
            <w:r>
              <w:rPr>
                <w:rFonts w:cs="Arial"/>
                <w:sz w:val="22"/>
              </w:rPr>
              <w:t>o</w:t>
            </w:r>
            <w:r w:rsidRPr="00B175FB">
              <w:rPr>
                <w:rFonts w:cs="Arial"/>
                <w:sz w:val="22"/>
              </w:rPr>
              <w:t xml:space="preserve">P bude podléhat schvalování </w:t>
            </w:r>
            <w:r>
              <w:rPr>
                <w:rFonts w:cs="Arial"/>
                <w:sz w:val="22"/>
              </w:rPr>
              <w:t xml:space="preserve">na </w:t>
            </w:r>
            <w:r w:rsidRPr="00B175FB">
              <w:rPr>
                <w:rFonts w:cs="Arial"/>
                <w:sz w:val="22"/>
              </w:rPr>
              <w:t xml:space="preserve">PS Publicita a následně MV. </w:t>
            </w:r>
          </w:p>
          <w:p w:rsidR="00EC09F9" w:rsidRPr="00B175FB" w:rsidRDefault="00EC09F9" w:rsidP="00EC09F9">
            <w:pPr>
              <w:spacing w:line="276" w:lineRule="auto"/>
              <w:jc w:val="both"/>
              <w:rPr>
                <w:rFonts w:cs="Arial"/>
                <w:b/>
                <w:sz w:val="22"/>
              </w:rPr>
            </w:pPr>
            <w:r w:rsidRPr="00B175FB">
              <w:rPr>
                <w:rFonts w:cs="Arial"/>
                <w:b/>
                <w:sz w:val="22"/>
              </w:rPr>
              <w:t xml:space="preserve">Cíle komunikace </w:t>
            </w:r>
          </w:p>
          <w:p w:rsidR="00EC09F9" w:rsidRDefault="00EC09F9" w:rsidP="00EC09F9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8E5C13">
              <w:rPr>
                <w:rFonts w:cs="Arial"/>
                <w:sz w:val="22"/>
              </w:rPr>
              <w:t xml:space="preserve">Hlavní komunikační cíl a základní potřeba komunikace OP JAK </w:t>
            </w:r>
            <w:r>
              <w:rPr>
                <w:rFonts w:cs="Arial"/>
                <w:sz w:val="22"/>
              </w:rPr>
              <w:t>bude vycházet ze strategického cíle operačního programu, tzn.</w:t>
            </w:r>
            <w:r w:rsidRPr="008E5C13">
              <w:rPr>
                <w:rFonts w:cs="Arial"/>
                <w:sz w:val="22"/>
              </w:rPr>
              <w:t xml:space="preserve"> </w:t>
            </w:r>
            <w:r>
              <w:rPr>
                <w:rFonts w:cs="Arial"/>
                <w:sz w:val="22"/>
              </w:rPr>
              <w:t xml:space="preserve">ukázat </w:t>
            </w:r>
            <w:r w:rsidRPr="008E5C13">
              <w:rPr>
                <w:rFonts w:cs="Arial"/>
                <w:sz w:val="22"/>
              </w:rPr>
              <w:t>široké i odborné veřejnosti v ČR, že EU podporuje prostřednictvím OP JAK rozvoj otevřené a vzdělané společnosti založené na znalostech a dovednostech, rovných příležitostech a rozvíjející potenciál každého jednotlivce</w:t>
            </w:r>
            <w:r>
              <w:rPr>
                <w:rFonts w:cs="Arial"/>
                <w:sz w:val="22"/>
              </w:rPr>
              <w:t>, a zvýšit mezi lidmi ve všech regionech ČR povědomí o této podpoře.</w:t>
            </w:r>
            <w:r w:rsidRPr="008E5C13">
              <w:rPr>
                <w:rFonts w:cs="Arial"/>
                <w:sz w:val="22"/>
              </w:rPr>
              <w:t xml:space="preserve"> OP</w:t>
            </w:r>
            <w:r>
              <w:rPr>
                <w:rFonts w:cs="Arial"/>
                <w:sz w:val="22"/>
              </w:rPr>
              <w:t> </w:t>
            </w:r>
            <w:r w:rsidRPr="008E5C13">
              <w:rPr>
                <w:rFonts w:cs="Arial"/>
                <w:sz w:val="22"/>
              </w:rPr>
              <w:t xml:space="preserve">JAK bude v souladu se svými prioritami komunikovat </w:t>
            </w:r>
            <w:r>
              <w:rPr>
                <w:rFonts w:cs="Arial"/>
                <w:sz w:val="22"/>
              </w:rPr>
              <w:t>výhradně</w:t>
            </w:r>
            <w:r w:rsidRPr="008E5C13">
              <w:rPr>
                <w:rFonts w:cs="Arial"/>
                <w:sz w:val="22"/>
              </w:rPr>
              <w:t xml:space="preserve"> podporu EU v oblasti výzkumu a</w:t>
            </w:r>
            <w:r>
              <w:rPr>
                <w:rFonts w:cs="Arial"/>
                <w:sz w:val="22"/>
              </w:rPr>
              <w:t> </w:t>
            </w:r>
            <w:r w:rsidRPr="008E5C13">
              <w:rPr>
                <w:rFonts w:cs="Arial"/>
                <w:sz w:val="22"/>
              </w:rPr>
              <w:t>vývoje a rovněž podporu všech úrovní vzdělávání v</w:t>
            </w:r>
            <w:r>
              <w:rPr>
                <w:rFonts w:cs="Arial"/>
                <w:sz w:val="22"/>
              </w:rPr>
              <w:t> </w:t>
            </w:r>
            <w:r w:rsidRPr="008E5C13">
              <w:rPr>
                <w:rFonts w:cs="Arial"/>
                <w:sz w:val="22"/>
              </w:rPr>
              <w:t>ČR</w:t>
            </w:r>
            <w:r>
              <w:rPr>
                <w:rFonts w:cs="Arial"/>
                <w:sz w:val="22"/>
              </w:rPr>
              <w:t>.</w:t>
            </w:r>
          </w:p>
          <w:p w:rsidR="00EC09F9" w:rsidRPr="00B175FB" w:rsidRDefault="00EC09F9" w:rsidP="00EC09F9">
            <w:pPr>
              <w:spacing w:line="276" w:lineRule="auto"/>
              <w:jc w:val="both"/>
              <w:rPr>
                <w:rFonts w:cs="Arial"/>
                <w:b/>
                <w:sz w:val="22"/>
              </w:rPr>
            </w:pPr>
            <w:r w:rsidRPr="00B175FB">
              <w:rPr>
                <w:rFonts w:cs="Arial"/>
                <w:sz w:val="22"/>
              </w:rPr>
              <w:t xml:space="preserve">Na počátku programového období budou doznívat komunikační aktivity informující o výsledcích a přínosech OP VVV, které budou zároveň upozorňovat na provázanost s OP JAK, a napomáhat tak k důležitému budování znalosti a informování o možnostech podpory v programovém </w:t>
            </w:r>
            <w:r w:rsidRPr="00B175FB">
              <w:rPr>
                <w:rFonts w:cs="Arial"/>
                <w:sz w:val="22"/>
              </w:rPr>
              <w:br/>
              <w:t>období 2021</w:t>
            </w:r>
            <w:r w:rsidR="00C6523E">
              <w:rPr>
                <w:rFonts w:cs="Arial"/>
                <w:sz w:val="22"/>
              </w:rPr>
              <w:t>-</w:t>
            </w:r>
            <w:r w:rsidRPr="00B175FB">
              <w:rPr>
                <w:rFonts w:cs="Arial"/>
                <w:sz w:val="22"/>
              </w:rPr>
              <w:t>2027. Klíčová bude komunikace, jejímž cílem bude motivovat a mobilizovat potenciální žadatele k podání žádostí o podporu, a komunikace cílící na dostatečnou informovanost potenciálních žadatelů, žadatelů a příjemců, která povede k úspěšnému podání žádostí o podporu, realizaci a naplnění požadovaných výstupů a cílů projektů. Ke konci programového období se komunikační aktivity více zaměří na budování povědomí o výsledcích a přínosech OP JAK.</w:t>
            </w:r>
          </w:p>
          <w:p w:rsidR="00EC09F9" w:rsidRPr="00B175FB" w:rsidRDefault="00EC09F9" w:rsidP="00EC09F9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B175FB">
              <w:rPr>
                <w:rFonts w:cs="Arial"/>
                <w:sz w:val="22"/>
              </w:rPr>
              <w:t>Cíle komunikace budou vzájemně provázány v průběhu programového období</w:t>
            </w:r>
            <w:r>
              <w:rPr>
                <w:rFonts w:cs="Arial"/>
                <w:sz w:val="22"/>
              </w:rPr>
              <w:t>, a to</w:t>
            </w:r>
            <w:r w:rsidRPr="00B175FB">
              <w:rPr>
                <w:rFonts w:cs="Arial"/>
                <w:sz w:val="22"/>
              </w:rPr>
              <w:t xml:space="preserve"> v souladu s fázemi komunikace definovanými v SKS a DIK</w:t>
            </w:r>
            <w:r>
              <w:rPr>
                <w:rFonts w:cs="Arial"/>
                <w:sz w:val="22"/>
              </w:rPr>
              <w:t>o</w:t>
            </w:r>
            <w:r w:rsidRPr="00B175FB">
              <w:rPr>
                <w:rFonts w:cs="Arial"/>
                <w:sz w:val="22"/>
              </w:rPr>
              <w:t>P</w:t>
            </w:r>
            <w:r>
              <w:rPr>
                <w:rFonts w:cs="Arial"/>
                <w:sz w:val="22"/>
              </w:rPr>
              <w:t>.</w:t>
            </w:r>
          </w:p>
          <w:p w:rsidR="00EC09F9" w:rsidRPr="00B175FB" w:rsidRDefault="00EC09F9" w:rsidP="00EC09F9">
            <w:pPr>
              <w:spacing w:line="276" w:lineRule="auto"/>
              <w:jc w:val="both"/>
              <w:rPr>
                <w:rFonts w:cs="Arial"/>
                <w:b/>
                <w:sz w:val="22"/>
              </w:rPr>
            </w:pPr>
            <w:r w:rsidRPr="00B175FB">
              <w:rPr>
                <w:rFonts w:cs="Arial"/>
                <w:b/>
                <w:sz w:val="22"/>
              </w:rPr>
              <w:t>Cílové skupiny</w:t>
            </w:r>
          </w:p>
          <w:p w:rsidR="00EC09F9" w:rsidRDefault="00EC09F9" w:rsidP="00EC09F9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B175FB">
              <w:rPr>
                <w:rFonts w:cs="Arial"/>
                <w:sz w:val="22"/>
              </w:rPr>
              <w:t>Klíčovou cílovou skupinou budou potenciální žadatelé, žadatelé, příjemci, potenciální a koneční uživatelé podpory. Další</w:t>
            </w:r>
            <w:r w:rsidRPr="000E60C3">
              <w:rPr>
                <w:rFonts w:cs="Arial"/>
                <w:sz w:val="22"/>
              </w:rPr>
              <w:t xml:space="preserve"> </w:t>
            </w:r>
            <w:r>
              <w:rPr>
                <w:rFonts w:cs="Arial"/>
                <w:sz w:val="22"/>
              </w:rPr>
              <w:t>hlavní</w:t>
            </w:r>
            <w:r w:rsidRPr="00B175FB">
              <w:rPr>
                <w:rFonts w:cs="Arial"/>
                <w:sz w:val="22"/>
              </w:rPr>
              <w:t xml:space="preserve"> cílovou skupinou bude odborná veřejnost (aktéři v oblasti vzdělávání a výzkumu</w:t>
            </w:r>
            <w:r w:rsidRPr="000E60C3">
              <w:rPr>
                <w:rFonts w:cs="Arial"/>
                <w:sz w:val="22"/>
              </w:rPr>
              <w:t xml:space="preserve"> tak, jak jsou definováni v kapitole 2 u jednotlivých specifických cílů).</w:t>
            </w:r>
            <w:r w:rsidRPr="00B175FB">
              <w:rPr>
                <w:rFonts w:cs="Arial"/>
                <w:sz w:val="22"/>
              </w:rPr>
              <w:t xml:space="preserve"> Komunikace bude zacílena také na širokou veřejnost a média. Cílové skupiny budou vždy podrobněji specifikovány </w:t>
            </w:r>
            <w:r>
              <w:rPr>
                <w:rFonts w:cs="Arial"/>
                <w:sz w:val="22"/>
              </w:rPr>
              <w:t xml:space="preserve">v souladu s SKS a DIKoP a zároveň </w:t>
            </w:r>
            <w:r w:rsidRPr="00B175FB">
              <w:rPr>
                <w:rFonts w:cs="Arial"/>
                <w:sz w:val="22"/>
              </w:rPr>
              <w:t xml:space="preserve">podle zaměření </w:t>
            </w:r>
            <w:r>
              <w:rPr>
                <w:rFonts w:cs="Arial"/>
                <w:sz w:val="22"/>
              </w:rPr>
              <w:t xml:space="preserve">věcné </w:t>
            </w:r>
            <w:r w:rsidRPr="00B175FB">
              <w:rPr>
                <w:rFonts w:cs="Arial"/>
                <w:sz w:val="22"/>
              </w:rPr>
              <w:t xml:space="preserve">priority </w:t>
            </w:r>
            <w:r>
              <w:rPr>
                <w:rFonts w:cs="Arial"/>
                <w:sz w:val="22"/>
              </w:rPr>
              <w:t xml:space="preserve">programu </w:t>
            </w:r>
            <w:r w:rsidRPr="00B175FB">
              <w:rPr>
                <w:rFonts w:cs="Arial"/>
                <w:sz w:val="22"/>
              </w:rPr>
              <w:t>a konkrétní výzvy OP</w:t>
            </w:r>
            <w:r>
              <w:rPr>
                <w:rFonts w:cs="Arial"/>
                <w:sz w:val="22"/>
              </w:rPr>
              <w:t> </w:t>
            </w:r>
            <w:r w:rsidRPr="00B175FB">
              <w:rPr>
                <w:rFonts w:cs="Arial"/>
                <w:sz w:val="22"/>
              </w:rPr>
              <w:t>JAK.</w:t>
            </w:r>
          </w:p>
          <w:p w:rsidR="00EC09F9" w:rsidRPr="00B175FB" w:rsidRDefault="00EC09F9" w:rsidP="00EC09F9">
            <w:pPr>
              <w:spacing w:line="276" w:lineRule="auto"/>
              <w:jc w:val="both"/>
              <w:rPr>
                <w:rFonts w:cs="Arial"/>
                <w:b/>
                <w:sz w:val="22"/>
              </w:rPr>
            </w:pPr>
            <w:r w:rsidRPr="00B175FB">
              <w:rPr>
                <w:rFonts w:cs="Arial"/>
                <w:b/>
                <w:sz w:val="22"/>
              </w:rPr>
              <w:t>Plánované komunikační aktivity/kanály</w:t>
            </w:r>
          </w:p>
          <w:p w:rsidR="00EC09F9" w:rsidRDefault="00EC09F9" w:rsidP="00EC09F9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ŘO bude využívat pro zacílení na primární a hlavní cílové skupiny OP JAK stávající účinné a ověřené komunikační aktivity: </w:t>
            </w:r>
          </w:p>
          <w:p w:rsidR="00EC09F9" w:rsidRPr="00B175FB" w:rsidRDefault="00EC09F9" w:rsidP="00EC09F9">
            <w:pPr>
              <w:pStyle w:val="Odstavecseseznamem"/>
              <w:numPr>
                <w:ilvl w:val="0"/>
                <w:numId w:val="79"/>
              </w:numPr>
              <w:spacing w:line="276" w:lineRule="auto"/>
              <w:jc w:val="both"/>
              <w:rPr>
                <w:sz w:val="22"/>
              </w:rPr>
            </w:pPr>
            <w:r w:rsidRPr="00EF551A">
              <w:rPr>
                <w:sz w:val="22"/>
              </w:rPr>
              <w:t>přímá</w:t>
            </w:r>
            <w:r w:rsidRPr="00B175FB">
              <w:rPr>
                <w:sz w:val="22"/>
              </w:rPr>
              <w:t xml:space="preserve"> komunikace</w:t>
            </w:r>
            <w:r w:rsidRPr="00EF551A">
              <w:rPr>
                <w:sz w:val="22"/>
              </w:rPr>
              <w:t>:</w:t>
            </w:r>
            <w:r w:rsidRPr="00B175FB">
              <w:rPr>
                <w:sz w:val="22"/>
              </w:rPr>
              <w:t xml:space="preserve"> semináře, workshopy, individuální konzultace, </w:t>
            </w:r>
            <w:r>
              <w:rPr>
                <w:sz w:val="22"/>
              </w:rPr>
              <w:t xml:space="preserve">kulaté stoly, pracovní skupiny, </w:t>
            </w:r>
            <w:r w:rsidRPr="00B175FB">
              <w:rPr>
                <w:sz w:val="22"/>
              </w:rPr>
              <w:t>konference, eventy a veletrhy</w:t>
            </w:r>
            <w:r>
              <w:rPr>
                <w:sz w:val="22"/>
              </w:rPr>
              <w:t xml:space="preserve"> atd.</w:t>
            </w:r>
            <w:r w:rsidR="00E82998">
              <w:rPr>
                <w:sz w:val="22"/>
              </w:rPr>
              <w:t>;</w:t>
            </w:r>
          </w:p>
          <w:p w:rsidR="00EC09F9" w:rsidRPr="00B175FB" w:rsidRDefault="00EC09F9" w:rsidP="00EC09F9">
            <w:pPr>
              <w:pStyle w:val="Odstavecseseznamem"/>
              <w:numPr>
                <w:ilvl w:val="0"/>
                <w:numId w:val="79"/>
              </w:num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p</w:t>
            </w:r>
            <w:r w:rsidRPr="00B175FB">
              <w:rPr>
                <w:sz w:val="22"/>
              </w:rPr>
              <w:t>ublikační aktivity: letáky k výzvám a prioritám, plakáty, brožury se základními informacemi nebo specificky zaměřené, metodická podpora</w:t>
            </w:r>
            <w:r>
              <w:rPr>
                <w:sz w:val="22"/>
              </w:rPr>
              <w:t xml:space="preserve"> aj.</w:t>
            </w:r>
            <w:r w:rsidR="00E82998">
              <w:rPr>
                <w:sz w:val="22"/>
              </w:rPr>
              <w:t>;</w:t>
            </w:r>
          </w:p>
          <w:p w:rsidR="00EC09F9" w:rsidRPr="00B175FB" w:rsidRDefault="00EC09F9" w:rsidP="00EC09F9">
            <w:pPr>
              <w:pStyle w:val="Odstavecseseznamem"/>
              <w:numPr>
                <w:ilvl w:val="0"/>
                <w:numId w:val="79"/>
              </w:num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o</w:t>
            </w:r>
            <w:r w:rsidRPr="00B175FB">
              <w:rPr>
                <w:sz w:val="22"/>
              </w:rPr>
              <w:t xml:space="preserve">n-line komunikace: </w:t>
            </w:r>
            <w:r>
              <w:rPr>
                <w:sz w:val="22"/>
              </w:rPr>
              <w:t>vlastní</w:t>
            </w:r>
            <w:r w:rsidRPr="00B175FB">
              <w:rPr>
                <w:sz w:val="22"/>
              </w:rPr>
              <w:t xml:space="preserve"> webové stránky </w:t>
            </w:r>
            <w:r>
              <w:rPr>
                <w:sz w:val="22"/>
              </w:rPr>
              <w:t>OP JAK s uveřejněným</w:t>
            </w:r>
            <w:r w:rsidRPr="00B175FB">
              <w:rPr>
                <w:sz w:val="22"/>
              </w:rPr>
              <w:t xml:space="preserve"> harmonogram</w:t>
            </w:r>
            <w:r>
              <w:rPr>
                <w:sz w:val="22"/>
              </w:rPr>
              <w:t>em</w:t>
            </w:r>
            <w:r w:rsidRPr="00B175FB">
              <w:rPr>
                <w:sz w:val="22"/>
              </w:rPr>
              <w:t xml:space="preserve"> výzev a</w:t>
            </w:r>
            <w:r>
              <w:rPr>
                <w:sz w:val="22"/>
              </w:rPr>
              <w:t> </w:t>
            </w:r>
            <w:r w:rsidRPr="00B175FB">
              <w:rPr>
                <w:sz w:val="22"/>
              </w:rPr>
              <w:t>odkaz</w:t>
            </w:r>
            <w:r>
              <w:rPr>
                <w:sz w:val="22"/>
              </w:rPr>
              <w:t>em</w:t>
            </w:r>
            <w:r w:rsidRPr="00B175FB">
              <w:rPr>
                <w:sz w:val="22"/>
              </w:rPr>
              <w:t xml:space="preserve"> na seznam podpořených operací, newsletter, </w:t>
            </w:r>
            <w:r>
              <w:rPr>
                <w:sz w:val="22"/>
              </w:rPr>
              <w:t xml:space="preserve">testimonialy, </w:t>
            </w:r>
            <w:r w:rsidRPr="00B175FB">
              <w:rPr>
                <w:sz w:val="22"/>
              </w:rPr>
              <w:t>profil OP JAK na sociálních sítích Facebook, Instagram a YouTube</w:t>
            </w:r>
            <w:r>
              <w:rPr>
                <w:sz w:val="22"/>
              </w:rPr>
              <w:t xml:space="preserve"> včetně možnosti placených příspěvků atd.</w:t>
            </w:r>
            <w:r w:rsidR="00E82998">
              <w:rPr>
                <w:sz w:val="22"/>
              </w:rPr>
              <w:t>;</w:t>
            </w:r>
          </w:p>
          <w:p w:rsidR="00EC09F9" w:rsidRPr="00B175FB" w:rsidRDefault="00EC09F9" w:rsidP="00EC09F9">
            <w:pPr>
              <w:pStyle w:val="Odstavecseseznamem"/>
              <w:numPr>
                <w:ilvl w:val="0"/>
                <w:numId w:val="79"/>
              </w:num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m</w:t>
            </w:r>
            <w:r w:rsidRPr="00B175FB">
              <w:rPr>
                <w:sz w:val="22"/>
              </w:rPr>
              <w:t>ediální komunikace: mediální kampa</w:t>
            </w:r>
            <w:r>
              <w:rPr>
                <w:sz w:val="22"/>
              </w:rPr>
              <w:t>ně</w:t>
            </w:r>
            <w:r w:rsidRPr="00B175FB">
              <w:rPr>
                <w:sz w:val="22"/>
              </w:rPr>
              <w:t xml:space="preserve"> zaměřen</w:t>
            </w:r>
            <w:r>
              <w:rPr>
                <w:sz w:val="22"/>
              </w:rPr>
              <w:t>é dle fáze implementace</w:t>
            </w:r>
            <w:r w:rsidRPr="00B175FB">
              <w:rPr>
                <w:sz w:val="22"/>
              </w:rPr>
              <w:t xml:space="preserve"> OP </w:t>
            </w:r>
            <w:r>
              <w:rPr>
                <w:sz w:val="22"/>
              </w:rPr>
              <w:t>nejdříve</w:t>
            </w:r>
            <w:r w:rsidRPr="00B175FB">
              <w:rPr>
                <w:sz w:val="22"/>
              </w:rPr>
              <w:t xml:space="preserve"> na</w:t>
            </w:r>
            <w:r>
              <w:rPr>
                <w:sz w:val="22"/>
              </w:rPr>
              <w:t> </w:t>
            </w:r>
            <w:r w:rsidRPr="00B175FB">
              <w:rPr>
                <w:sz w:val="22"/>
              </w:rPr>
              <w:t xml:space="preserve">základní informace o novém </w:t>
            </w:r>
            <w:r w:rsidR="009273BA">
              <w:rPr>
                <w:sz w:val="22"/>
              </w:rPr>
              <w:t>operačním programu</w:t>
            </w:r>
            <w:r w:rsidRPr="00B175FB">
              <w:rPr>
                <w:sz w:val="22"/>
              </w:rPr>
              <w:t xml:space="preserve"> informující především </w:t>
            </w:r>
            <w:r w:rsidR="00C6523E">
              <w:rPr>
                <w:sz w:val="22"/>
              </w:rPr>
              <w:t>potenciální žadatele</w:t>
            </w:r>
            <w:r w:rsidRPr="00B175FB">
              <w:rPr>
                <w:sz w:val="22"/>
              </w:rPr>
              <w:t xml:space="preserve"> o možnostech čerpání podpory </w:t>
            </w:r>
            <w:r>
              <w:rPr>
                <w:sz w:val="22"/>
              </w:rPr>
              <w:t>a</w:t>
            </w:r>
            <w:r w:rsidR="00FC59E6">
              <w:rPr>
                <w:sz w:val="22"/>
              </w:rPr>
              <w:t> </w:t>
            </w:r>
            <w:r>
              <w:rPr>
                <w:sz w:val="22"/>
              </w:rPr>
              <w:t>následně již</w:t>
            </w:r>
            <w:r w:rsidRPr="00B175FB">
              <w:rPr>
                <w:sz w:val="22"/>
              </w:rPr>
              <w:t xml:space="preserve"> na </w:t>
            </w:r>
            <w:r>
              <w:rPr>
                <w:sz w:val="22"/>
              </w:rPr>
              <w:t>dosažené</w:t>
            </w:r>
            <w:r w:rsidRPr="00B175FB">
              <w:rPr>
                <w:sz w:val="22"/>
              </w:rPr>
              <w:t xml:space="preserve"> výsledky </w:t>
            </w:r>
            <w:r>
              <w:rPr>
                <w:sz w:val="22"/>
              </w:rPr>
              <w:t xml:space="preserve">a přínosy podpory EU, dále </w:t>
            </w:r>
            <w:r w:rsidRPr="00B175FB">
              <w:rPr>
                <w:sz w:val="22"/>
              </w:rPr>
              <w:t>tiskové zprávy a</w:t>
            </w:r>
            <w:r w:rsidR="009273BA">
              <w:rPr>
                <w:sz w:val="22"/>
              </w:rPr>
              <w:t> </w:t>
            </w:r>
            <w:r w:rsidRPr="00B175FB">
              <w:rPr>
                <w:sz w:val="22"/>
              </w:rPr>
              <w:t>PR články</w:t>
            </w:r>
            <w:r>
              <w:rPr>
                <w:sz w:val="22"/>
              </w:rPr>
              <w:t xml:space="preserve"> aj.</w:t>
            </w:r>
            <w:r w:rsidR="00E82998">
              <w:rPr>
                <w:sz w:val="22"/>
              </w:rPr>
              <w:t>;</w:t>
            </w:r>
          </w:p>
          <w:p w:rsidR="00EC09F9" w:rsidRDefault="00EC09F9" w:rsidP="00EC09F9">
            <w:pPr>
              <w:pStyle w:val="Odstavecseseznamem"/>
              <w:numPr>
                <w:ilvl w:val="0"/>
                <w:numId w:val="79"/>
              </w:num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o</w:t>
            </w:r>
            <w:r w:rsidRPr="00B175FB">
              <w:rPr>
                <w:sz w:val="22"/>
              </w:rPr>
              <w:t xml:space="preserve">statní nástroje: propagační předměty, </w:t>
            </w:r>
            <w:r>
              <w:rPr>
                <w:sz w:val="22"/>
              </w:rPr>
              <w:t xml:space="preserve">tematické </w:t>
            </w:r>
            <w:r w:rsidRPr="00B175FB">
              <w:rPr>
                <w:sz w:val="22"/>
              </w:rPr>
              <w:t>soutěže</w:t>
            </w:r>
            <w:r>
              <w:rPr>
                <w:sz w:val="22"/>
              </w:rPr>
              <w:t xml:space="preserve"> (klasické i na sociálních sítí</w:t>
            </w:r>
            <w:r w:rsidR="00C6523E">
              <w:rPr>
                <w:sz w:val="22"/>
              </w:rPr>
              <w:t>ch</w:t>
            </w:r>
            <w:r>
              <w:rPr>
                <w:sz w:val="22"/>
              </w:rPr>
              <w:t>)</w:t>
            </w:r>
            <w:r w:rsidRPr="00B175FB">
              <w:rPr>
                <w:sz w:val="22"/>
              </w:rPr>
              <w:t xml:space="preserve">, </w:t>
            </w:r>
            <w:r>
              <w:rPr>
                <w:sz w:val="22"/>
              </w:rPr>
              <w:t>putovní</w:t>
            </w:r>
            <w:r w:rsidRPr="00B175FB">
              <w:rPr>
                <w:sz w:val="22"/>
              </w:rPr>
              <w:t xml:space="preserve"> výstavy, </w:t>
            </w:r>
            <w:r>
              <w:rPr>
                <w:sz w:val="22"/>
              </w:rPr>
              <w:t xml:space="preserve">jednotný vizuální styl, </w:t>
            </w:r>
            <w:r w:rsidRPr="00B175FB">
              <w:rPr>
                <w:sz w:val="22"/>
              </w:rPr>
              <w:t>grafické a fotografické práce</w:t>
            </w:r>
            <w:r>
              <w:rPr>
                <w:sz w:val="22"/>
              </w:rPr>
              <w:t xml:space="preserve"> atd.</w:t>
            </w:r>
          </w:p>
          <w:p w:rsidR="00921D13" w:rsidRPr="000C0DDB" w:rsidRDefault="00EC09F9" w:rsidP="000C0DDB">
            <w:pPr>
              <w:spacing w:line="276" w:lineRule="auto"/>
              <w:jc w:val="both"/>
              <w:rPr>
                <w:sz w:val="22"/>
              </w:rPr>
            </w:pPr>
            <w:r w:rsidRPr="000C0DDB">
              <w:rPr>
                <w:sz w:val="22"/>
              </w:rPr>
              <w:t xml:space="preserve">Další komunikační aktivity zacílené na specifické cílové skupiny či zohledňující tematické zaměření </w:t>
            </w:r>
            <w:r w:rsidR="009273BA">
              <w:rPr>
                <w:sz w:val="22"/>
              </w:rPr>
              <w:t>operačního programu</w:t>
            </w:r>
            <w:r w:rsidRPr="000C0DDB">
              <w:rPr>
                <w:sz w:val="22"/>
              </w:rPr>
              <w:t xml:space="preserve"> budou s ohledem na </w:t>
            </w:r>
            <w:r w:rsidRPr="000C0DDB">
              <w:rPr>
                <w:rFonts w:cs="Arial"/>
                <w:sz w:val="22"/>
              </w:rPr>
              <w:t>konkrétní výzvy OP JAK</w:t>
            </w:r>
            <w:r w:rsidRPr="000C0DDB">
              <w:rPr>
                <w:sz w:val="22"/>
              </w:rPr>
              <w:t xml:space="preserve"> vždy řešeny v rámci jednotlivých RKoP. </w:t>
            </w:r>
          </w:p>
        </w:tc>
      </w:tr>
    </w:tbl>
    <w:p w:rsidR="00114426" w:rsidRDefault="00114426" w:rsidP="00114426">
      <w:pPr>
        <w:rPr>
          <w:b/>
          <w:bCs/>
          <w:noProof/>
        </w:rPr>
      </w:pPr>
    </w:p>
    <w:p w:rsidR="00114426" w:rsidRPr="00B175FB" w:rsidRDefault="001D09F9" w:rsidP="006A2F6A">
      <w:pPr>
        <w:pStyle w:val="Odstavecseseznamem"/>
        <w:numPr>
          <w:ilvl w:val="0"/>
          <w:numId w:val="78"/>
        </w:numPr>
        <w:rPr>
          <w:rStyle w:val="Nadpis1Char"/>
          <w:color w:val="1F4E79" w:themeColor="accent5" w:themeShade="80"/>
          <w:lang w:val="cs-CZ"/>
        </w:rPr>
      </w:pPr>
      <w:bookmarkStart w:id="304" w:name="_Toc66476084"/>
      <w:bookmarkStart w:id="305" w:name="_Toc68611042"/>
      <w:r w:rsidRPr="00B175FB">
        <w:rPr>
          <w:rStyle w:val="Nadpis1Char"/>
          <w:color w:val="1F4E79" w:themeColor="accent5" w:themeShade="80"/>
          <w:lang w:val="cs-CZ"/>
        </w:rPr>
        <w:t>Využití jednotkových nákladů, jednorázových částek, paušálních sazeb a</w:t>
      </w:r>
      <w:r w:rsidR="007C718B" w:rsidRPr="00B175FB">
        <w:rPr>
          <w:rStyle w:val="Nadpis1Char"/>
          <w:color w:val="1F4E79" w:themeColor="accent5" w:themeShade="80"/>
          <w:lang w:val="cs-CZ"/>
        </w:rPr>
        <w:t> </w:t>
      </w:r>
      <w:r w:rsidRPr="00B175FB">
        <w:rPr>
          <w:rStyle w:val="Nadpis1Char"/>
          <w:color w:val="1F4E79" w:themeColor="accent5" w:themeShade="80"/>
          <w:lang w:val="cs-CZ"/>
        </w:rPr>
        <w:t>financování nesouvisejícího s náklady</w:t>
      </w:r>
      <w:bookmarkEnd w:id="304"/>
      <w:bookmarkEnd w:id="305"/>
    </w:p>
    <w:p w:rsidR="00B31035" w:rsidRPr="00855499" w:rsidRDefault="00B31035" w:rsidP="00855499">
      <w:pPr>
        <w:spacing w:before="240" w:after="240" w:line="240" w:lineRule="auto"/>
        <w:rPr>
          <w:rFonts w:eastAsia="Times New Roman"/>
          <w:b/>
          <w:sz w:val="22"/>
        </w:rPr>
      </w:pPr>
      <w:bookmarkStart w:id="306" w:name="_Hlk66692853"/>
      <w:r w:rsidRPr="00B85CE5">
        <w:rPr>
          <w:rFonts w:eastAsia="Times New Roman"/>
          <w:b/>
          <w:sz w:val="22"/>
        </w:rPr>
        <w:t xml:space="preserve">Tabulka </w:t>
      </w:r>
      <w:r w:rsidR="00B85CE5" w:rsidRPr="00B85CE5">
        <w:rPr>
          <w:rFonts w:eastAsia="Times New Roman"/>
          <w:b/>
          <w:iCs/>
          <w:noProof/>
          <w:sz w:val="22"/>
        </w:rPr>
        <w:fldChar w:fldCharType="begin"/>
      </w:r>
      <w:r w:rsidR="00B85CE5" w:rsidRPr="00B85CE5">
        <w:rPr>
          <w:rFonts w:eastAsia="Times New Roman"/>
          <w:b/>
          <w:iCs/>
          <w:noProof/>
          <w:sz w:val="22"/>
        </w:rPr>
        <w:instrText xml:space="preserve"> SEQ Tabulka \* ARABIC </w:instrText>
      </w:r>
      <w:r w:rsidR="00B85CE5" w:rsidRPr="00B85CE5">
        <w:rPr>
          <w:rFonts w:eastAsia="Times New Roman"/>
          <w:b/>
          <w:iCs/>
          <w:noProof/>
          <w:sz w:val="22"/>
        </w:rPr>
        <w:fldChar w:fldCharType="separate"/>
      </w:r>
      <w:r w:rsidR="00262D11">
        <w:rPr>
          <w:rFonts w:eastAsia="Times New Roman"/>
          <w:b/>
          <w:iCs/>
          <w:noProof/>
          <w:sz w:val="22"/>
        </w:rPr>
        <w:t>54</w:t>
      </w:r>
      <w:r w:rsidR="00B85CE5" w:rsidRPr="00B85CE5">
        <w:rPr>
          <w:rFonts w:eastAsia="Times New Roman"/>
          <w:b/>
          <w:iCs/>
          <w:noProof/>
          <w:sz w:val="22"/>
        </w:rPr>
        <w:fldChar w:fldCharType="end"/>
      </w:r>
      <w:r w:rsidR="00B85CE5" w:rsidRPr="00B85CE5">
        <w:rPr>
          <w:rFonts w:eastAsia="Times New Roman"/>
          <w:b/>
          <w:iCs/>
          <w:noProof/>
          <w:sz w:val="22"/>
        </w:rPr>
        <w:t>:</w:t>
      </w:r>
      <w:r w:rsidRPr="00B85CE5">
        <w:rPr>
          <w:rFonts w:eastAsia="Times New Roman"/>
          <w:b/>
          <w:sz w:val="22"/>
        </w:rPr>
        <w:t xml:space="preserve"> </w:t>
      </w:r>
      <w:bookmarkEnd w:id="306"/>
      <w:r w:rsidRPr="00B85CE5">
        <w:rPr>
          <w:rFonts w:eastAsia="Times New Roman"/>
          <w:b/>
          <w:sz w:val="22"/>
        </w:rPr>
        <w:t>Využití příspěvku Unie založeného na jednotkových nákladech, jednorázových platbách, paušálních sazbách a financování nesouvisejícího s náklady</w:t>
      </w:r>
    </w:p>
    <w:tbl>
      <w:tblPr>
        <w:tblStyle w:val="Tabulkasmkou4zvraznn1"/>
        <w:tblW w:w="9322" w:type="dxa"/>
        <w:tblLook w:val="04A0" w:firstRow="1" w:lastRow="0" w:firstColumn="1" w:lastColumn="0" w:noHBand="0" w:noVBand="1"/>
      </w:tblPr>
      <w:tblGrid>
        <w:gridCol w:w="6941"/>
        <w:gridCol w:w="1134"/>
        <w:gridCol w:w="1247"/>
      </w:tblGrid>
      <w:tr w:rsidR="00114426" w:rsidRPr="00B175FB" w:rsidTr="008554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shd w:val="clear" w:color="auto" w:fill="002060"/>
            <w:hideMark/>
          </w:tcPr>
          <w:p w:rsidR="00114426" w:rsidRPr="00F6239D" w:rsidRDefault="00B31035">
            <w:pPr>
              <w:pStyle w:val="Text3"/>
              <w:spacing w:before="0" w:after="0"/>
              <w:ind w:left="0"/>
              <w:rPr>
                <w:rFonts w:eastAsia="Times New Roman"/>
                <w:sz w:val="20"/>
              </w:rPr>
            </w:pPr>
            <w:bookmarkStart w:id="307" w:name="_Hlk66692781"/>
            <w:r w:rsidRPr="00F6239D">
              <w:rPr>
                <w:rFonts w:eastAsia="Times New Roman"/>
                <w:sz w:val="20"/>
              </w:rPr>
              <w:t xml:space="preserve">Plánované využití článků 88 a </w:t>
            </w:r>
            <w:r w:rsidR="00114426" w:rsidRPr="00F6239D" w:rsidDel="00B31035">
              <w:rPr>
                <w:rFonts w:eastAsia="Times New Roman"/>
                <w:sz w:val="20"/>
              </w:rPr>
              <w:t>89</w:t>
            </w:r>
          </w:p>
        </w:tc>
        <w:tc>
          <w:tcPr>
            <w:tcW w:w="1134" w:type="dxa"/>
            <w:shd w:val="clear" w:color="auto" w:fill="002060"/>
            <w:hideMark/>
          </w:tcPr>
          <w:p w:rsidR="00114426" w:rsidRPr="00B175FB" w:rsidRDefault="00B31035">
            <w:pPr>
              <w:pStyle w:val="Text3"/>
              <w:spacing w:before="0" w:after="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ANO</w:t>
            </w:r>
          </w:p>
        </w:tc>
        <w:tc>
          <w:tcPr>
            <w:tcW w:w="1247" w:type="dxa"/>
            <w:shd w:val="clear" w:color="auto" w:fill="002060"/>
            <w:hideMark/>
          </w:tcPr>
          <w:p w:rsidR="00114426" w:rsidRPr="00B175FB" w:rsidRDefault="00114426">
            <w:pPr>
              <w:pStyle w:val="Text3"/>
              <w:spacing w:before="0" w:after="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noProof/>
                <w:sz w:val="20"/>
                <w:szCs w:val="20"/>
              </w:rPr>
            </w:pPr>
            <w:r w:rsidRPr="00B175FB">
              <w:rPr>
                <w:noProof/>
                <w:sz w:val="20"/>
                <w:szCs w:val="20"/>
              </w:rPr>
              <w:t>N</w:t>
            </w:r>
            <w:r w:rsidR="00B31035">
              <w:rPr>
                <w:noProof/>
                <w:sz w:val="20"/>
                <w:szCs w:val="20"/>
              </w:rPr>
              <w:t>E</w:t>
            </w:r>
          </w:p>
        </w:tc>
      </w:tr>
      <w:tr w:rsidR="00114426" w:rsidRPr="00B175FB" w:rsidTr="008554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hideMark/>
          </w:tcPr>
          <w:p w:rsidR="00114426" w:rsidRPr="00B175FB" w:rsidRDefault="00B31035" w:rsidP="00F6239D">
            <w:pPr>
              <w:pStyle w:val="Text3"/>
              <w:spacing w:before="0" w:after="0" w:line="276" w:lineRule="auto"/>
              <w:ind w:left="0"/>
              <w:rPr>
                <w:b w:val="0"/>
                <w:noProof/>
                <w:sz w:val="20"/>
                <w:szCs w:val="20"/>
              </w:rPr>
            </w:pPr>
            <w:r w:rsidRPr="00F6239D">
              <w:rPr>
                <w:sz w:val="22"/>
              </w:rPr>
              <w:t xml:space="preserve">Od schválení bude v programu využito proplácení </w:t>
            </w:r>
            <w:r>
              <w:rPr>
                <w:sz w:val="22"/>
              </w:rPr>
              <w:t>příspěvku Unie</w:t>
            </w:r>
            <w:r w:rsidRPr="00F6239D">
              <w:rPr>
                <w:sz w:val="22"/>
              </w:rPr>
              <w:t xml:space="preserve"> na základě jednotkových nákladů, jednorázových částek a paušálních sazeb v rámci priority podle článku 88 nařízení o společných ustanoveních.</w:t>
            </w:r>
          </w:p>
        </w:tc>
        <w:tc>
          <w:tcPr>
            <w:tcW w:w="1134" w:type="dxa"/>
            <w:hideMark/>
          </w:tcPr>
          <w:p w:rsidR="00114426" w:rsidRPr="00B175FB" w:rsidRDefault="00A8781C">
            <w:pPr>
              <w:pStyle w:val="Text3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sz w:val="20"/>
                <w:szCs w:val="20"/>
              </w:rPr>
            </w:pPr>
            <w:r w:rsidRPr="00B175FB">
              <w:rPr>
                <w:b/>
                <w:noProof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08" w:name="Check2"/>
            <w:r w:rsidRPr="00B175FB">
              <w:rPr>
                <w:b/>
                <w:noProof/>
                <w:sz w:val="20"/>
                <w:szCs w:val="20"/>
              </w:rPr>
              <w:instrText xml:space="preserve"> FORMCHECKBOX </w:instrText>
            </w:r>
            <w:r w:rsidR="00D05954">
              <w:rPr>
                <w:b/>
                <w:sz w:val="20"/>
                <w:szCs w:val="20"/>
              </w:rPr>
            </w:r>
            <w:r w:rsidR="00D05954">
              <w:rPr>
                <w:b/>
                <w:sz w:val="20"/>
                <w:szCs w:val="20"/>
              </w:rPr>
              <w:fldChar w:fldCharType="separate"/>
            </w:r>
            <w:r w:rsidRPr="00B175FB">
              <w:rPr>
                <w:b/>
                <w:noProof/>
                <w:sz w:val="20"/>
                <w:szCs w:val="20"/>
              </w:rPr>
              <w:fldChar w:fldCharType="end"/>
            </w:r>
            <w:bookmarkEnd w:id="308"/>
          </w:p>
        </w:tc>
        <w:tc>
          <w:tcPr>
            <w:tcW w:w="1247" w:type="dxa"/>
            <w:hideMark/>
          </w:tcPr>
          <w:p w:rsidR="00114426" w:rsidRPr="00B175FB" w:rsidRDefault="00114426">
            <w:pPr>
              <w:pStyle w:val="Text3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sz w:val="20"/>
                <w:szCs w:val="20"/>
              </w:rPr>
            </w:pPr>
            <w:r w:rsidRPr="00B175FB">
              <w:rPr>
                <w:b/>
                <w:noProof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75FB">
              <w:rPr>
                <w:b/>
                <w:noProof/>
                <w:sz w:val="20"/>
                <w:szCs w:val="20"/>
              </w:rPr>
              <w:instrText xml:space="preserve"> FORMCHECKBOX </w:instrText>
            </w:r>
            <w:r w:rsidR="00D05954">
              <w:rPr>
                <w:b/>
                <w:sz w:val="20"/>
                <w:szCs w:val="20"/>
              </w:rPr>
            </w:r>
            <w:r w:rsidR="00D05954">
              <w:rPr>
                <w:b/>
                <w:sz w:val="20"/>
                <w:szCs w:val="20"/>
              </w:rPr>
              <w:fldChar w:fldCharType="separate"/>
            </w:r>
            <w:r w:rsidRPr="00B175FB">
              <w:rPr>
                <w:b/>
                <w:noProof/>
                <w:sz w:val="20"/>
                <w:szCs w:val="20"/>
              </w:rPr>
              <w:fldChar w:fldCharType="end"/>
            </w:r>
          </w:p>
        </w:tc>
      </w:tr>
      <w:tr w:rsidR="00114426" w:rsidRPr="00B175FB" w:rsidTr="008554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hideMark/>
          </w:tcPr>
          <w:p w:rsidR="00114426" w:rsidRPr="00B175FB" w:rsidRDefault="00B31035" w:rsidP="00F6239D">
            <w:pPr>
              <w:pStyle w:val="Text3"/>
              <w:spacing w:before="0" w:after="0" w:line="276" w:lineRule="auto"/>
              <w:ind w:left="0"/>
              <w:rPr>
                <w:rFonts w:eastAsia="Times New Roman"/>
                <w:b w:val="0"/>
                <w:i/>
                <w:noProof/>
                <w:sz w:val="20"/>
              </w:rPr>
            </w:pPr>
            <w:r w:rsidRPr="00F6239D">
              <w:rPr>
                <w:sz w:val="22"/>
              </w:rPr>
              <w:t xml:space="preserve">Od schválení bude v programu využito proplácení </w:t>
            </w:r>
            <w:r>
              <w:rPr>
                <w:sz w:val="22"/>
              </w:rPr>
              <w:t>příspěvku Unie</w:t>
            </w:r>
            <w:r w:rsidRPr="00F6239D">
              <w:rPr>
                <w:sz w:val="22"/>
              </w:rPr>
              <w:t xml:space="preserve"> na základě jednotkových nákladů, jednorázových částek a paušálních sazeb v rámci priority podle článku 8</w:t>
            </w:r>
            <w:r w:rsidR="00D408B0">
              <w:rPr>
                <w:sz w:val="22"/>
              </w:rPr>
              <w:t>9</w:t>
            </w:r>
            <w:r w:rsidRPr="00F6239D">
              <w:rPr>
                <w:sz w:val="22"/>
              </w:rPr>
              <w:t xml:space="preserve"> nařízení o společných ustanoveních.</w:t>
            </w:r>
          </w:p>
        </w:tc>
        <w:tc>
          <w:tcPr>
            <w:tcW w:w="1134" w:type="dxa"/>
            <w:hideMark/>
          </w:tcPr>
          <w:p w:rsidR="00114426" w:rsidRPr="00B175FB" w:rsidRDefault="00114426">
            <w:pPr>
              <w:pStyle w:val="Text3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 w:val="20"/>
                <w:szCs w:val="20"/>
              </w:rPr>
            </w:pPr>
            <w:r w:rsidRPr="00B175FB">
              <w:rPr>
                <w:b/>
                <w:noProof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75FB">
              <w:rPr>
                <w:b/>
                <w:noProof/>
                <w:sz w:val="20"/>
                <w:szCs w:val="20"/>
              </w:rPr>
              <w:instrText xml:space="preserve"> FORMCHECKBOX </w:instrText>
            </w:r>
            <w:r w:rsidR="00D05954">
              <w:rPr>
                <w:b/>
                <w:sz w:val="20"/>
                <w:szCs w:val="20"/>
              </w:rPr>
            </w:r>
            <w:r w:rsidR="00D05954">
              <w:rPr>
                <w:b/>
                <w:sz w:val="20"/>
                <w:szCs w:val="20"/>
              </w:rPr>
              <w:fldChar w:fldCharType="separate"/>
            </w:r>
            <w:r w:rsidRPr="00B175FB">
              <w:rPr>
                <w:b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1247" w:type="dxa"/>
            <w:hideMark/>
          </w:tcPr>
          <w:p w:rsidR="00114426" w:rsidRPr="00B175FB" w:rsidRDefault="00B31035">
            <w:pPr>
              <w:pStyle w:val="Text3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  <w:noProof/>
                <w:sz w:val="20"/>
                <w:szCs w:val="20"/>
              </w:rPr>
              <w:instrText xml:space="preserve"> FORMCHECKBOX </w:instrText>
            </w:r>
            <w:r w:rsidR="00D05954">
              <w:rPr>
                <w:b/>
                <w:noProof/>
                <w:sz w:val="20"/>
                <w:szCs w:val="20"/>
              </w:rPr>
            </w:r>
            <w:r w:rsidR="00D05954">
              <w:rPr>
                <w:b/>
                <w:noProof/>
                <w:sz w:val="20"/>
                <w:szCs w:val="20"/>
              </w:rPr>
              <w:fldChar w:fldCharType="separate"/>
            </w:r>
            <w:r>
              <w:rPr>
                <w:b/>
                <w:noProof/>
                <w:sz w:val="20"/>
                <w:szCs w:val="20"/>
              </w:rPr>
              <w:fldChar w:fldCharType="end"/>
            </w:r>
          </w:p>
        </w:tc>
      </w:tr>
    </w:tbl>
    <w:p w:rsidR="00E22EF8" w:rsidRPr="00A6213B" w:rsidRDefault="00E22EF8" w:rsidP="00A6213B">
      <w:pPr>
        <w:spacing w:after="240"/>
        <w:rPr>
          <w:rStyle w:val="Nadpis1Char"/>
          <w:color w:val="1F4E79" w:themeColor="accent5" w:themeShade="80"/>
          <w:lang w:val="cs-CZ"/>
        </w:rPr>
      </w:pPr>
      <w:bookmarkStart w:id="309" w:name="_Toc66476085"/>
      <w:bookmarkStart w:id="310" w:name="_Toc68611043"/>
      <w:bookmarkEnd w:id="307"/>
    </w:p>
    <w:p w:rsidR="00E22EF8" w:rsidRDefault="00E22EF8">
      <w:pPr>
        <w:spacing w:before="0" w:after="160" w:line="259" w:lineRule="auto"/>
        <w:rPr>
          <w:rStyle w:val="Nadpis1Char"/>
          <w:color w:val="1F4E79" w:themeColor="accent5" w:themeShade="80"/>
          <w:lang w:val="cs-CZ"/>
        </w:rPr>
      </w:pPr>
      <w:r>
        <w:rPr>
          <w:rStyle w:val="Nadpis1Char"/>
          <w:color w:val="1F4E79" w:themeColor="accent5" w:themeShade="80"/>
          <w:lang w:val="cs-CZ"/>
        </w:rPr>
        <w:br w:type="page"/>
      </w:r>
    </w:p>
    <w:p w:rsidR="00B175FB" w:rsidRPr="00B175FB" w:rsidRDefault="004F52BC" w:rsidP="00B175FB">
      <w:pPr>
        <w:pStyle w:val="Odstavecseseznamem"/>
        <w:numPr>
          <w:ilvl w:val="0"/>
          <w:numId w:val="78"/>
        </w:numPr>
        <w:spacing w:after="240"/>
        <w:rPr>
          <w:rStyle w:val="Nadpis1Char"/>
          <w:color w:val="1F4E79" w:themeColor="accent5" w:themeShade="80"/>
          <w:lang w:val="cs-CZ"/>
        </w:rPr>
      </w:pPr>
      <w:r w:rsidRPr="00B175FB">
        <w:rPr>
          <w:rStyle w:val="Nadpis1Char"/>
          <w:color w:val="1F4E79" w:themeColor="accent5" w:themeShade="80"/>
          <w:lang w:val="cs-CZ"/>
        </w:rPr>
        <w:t>Seznam zkratek</w:t>
      </w:r>
      <w:bookmarkEnd w:id="309"/>
      <w:bookmarkEnd w:id="310"/>
    </w:p>
    <w:tbl>
      <w:tblPr>
        <w:tblStyle w:val="Mkatabulky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2263"/>
        <w:gridCol w:w="7366"/>
      </w:tblGrid>
      <w:tr w:rsidR="00B175FB" w:rsidRPr="00B175FB" w:rsidTr="00855499">
        <w:trPr>
          <w:trHeight w:val="280"/>
        </w:trPr>
        <w:tc>
          <w:tcPr>
            <w:tcW w:w="2263" w:type="dxa"/>
          </w:tcPr>
          <w:p w:rsidR="00B175FB" w:rsidRPr="00B175FB" w:rsidRDefault="00BF33E3" w:rsidP="00B75C8B">
            <w:pPr>
              <w:spacing w:before="0" w:after="0"/>
              <w:rPr>
                <w:rFonts w:eastAsia="Times New Roman"/>
                <w:iCs/>
                <w:noProof/>
                <w:sz w:val="22"/>
              </w:rPr>
            </w:pPr>
            <w:r>
              <w:rPr>
                <w:rFonts w:eastAsia="Times New Roman"/>
                <w:iCs/>
                <w:noProof/>
                <w:sz w:val="22"/>
              </w:rPr>
              <w:t>CF</w:t>
            </w:r>
          </w:p>
        </w:tc>
        <w:tc>
          <w:tcPr>
            <w:tcW w:w="7366" w:type="dxa"/>
          </w:tcPr>
          <w:p w:rsidR="00B175FB" w:rsidRPr="00B175FB" w:rsidRDefault="00BF33E3" w:rsidP="00F77840">
            <w:pPr>
              <w:spacing w:before="0" w:after="0"/>
              <w:jc w:val="both"/>
              <w:rPr>
                <w:rFonts w:eastAsia="Times New Roman"/>
                <w:iCs/>
                <w:noProof/>
                <w:sz w:val="22"/>
              </w:rPr>
            </w:pPr>
            <w:r>
              <w:rPr>
                <w:rFonts w:eastAsia="Times New Roman"/>
                <w:iCs/>
                <w:noProof/>
                <w:sz w:val="22"/>
              </w:rPr>
              <w:t>Kohezní fond</w:t>
            </w:r>
          </w:p>
        </w:tc>
      </w:tr>
      <w:tr w:rsidR="00BF33E3" w:rsidRPr="00B175FB" w:rsidTr="00855499">
        <w:trPr>
          <w:trHeight w:val="280"/>
        </w:trPr>
        <w:tc>
          <w:tcPr>
            <w:tcW w:w="2263" w:type="dxa"/>
          </w:tcPr>
          <w:p w:rsidR="00BF33E3" w:rsidRDefault="00BF33E3" w:rsidP="00BF33E3">
            <w:pPr>
              <w:spacing w:before="0" w:after="0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CŽV</w:t>
            </w:r>
          </w:p>
        </w:tc>
        <w:tc>
          <w:tcPr>
            <w:tcW w:w="7366" w:type="dxa"/>
          </w:tcPr>
          <w:p w:rsidR="00BF33E3" w:rsidRDefault="00BF33E3" w:rsidP="00BF33E3">
            <w:pPr>
              <w:spacing w:before="0" w:after="0"/>
              <w:jc w:val="both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Celoživotní vzdělávání</w:t>
            </w:r>
          </w:p>
        </w:tc>
      </w:tr>
      <w:tr w:rsidR="00BF33E3" w:rsidRPr="00B175FB" w:rsidTr="00855499">
        <w:trPr>
          <w:trHeight w:val="280"/>
        </w:trPr>
        <w:tc>
          <w:tcPr>
            <w:tcW w:w="2263" w:type="dxa"/>
          </w:tcPr>
          <w:p w:rsidR="00BF33E3" w:rsidRPr="00B175FB" w:rsidRDefault="00BF33E3" w:rsidP="00BF33E3">
            <w:pPr>
              <w:spacing w:before="0" w:after="0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ČR</w:t>
            </w:r>
          </w:p>
        </w:tc>
        <w:tc>
          <w:tcPr>
            <w:tcW w:w="7366" w:type="dxa"/>
          </w:tcPr>
          <w:p w:rsidR="00BF33E3" w:rsidRPr="00B175FB" w:rsidRDefault="00BF33E3" w:rsidP="00BF33E3">
            <w:pPr>
              <w:spacing w:before="0" w:after="0"/>
              <w:jc w:val="both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Česká republika</w:t>
            </w:r>
          </w:p>
        </w:tc>
      </w:tr>
      <w:tr w:rsidR="00BF33E3" w:rsidRPr="00B175FB" w:rsidTr="00855499">
        <w:trPr>
          <w:trHeight w:val="280"/>
        </w:trPr>
        <w:tc>
          <w:tcPr>
            <w:tcW w:w="2263" w:type="dxa"/>
          </w:tcPr>
          <w:p w:rsidR="00BF33E3" w:rsidRPr="00B175FB" w:rsidRDefault="00BF33E3" w:rsidP="00BF33E3">
            <w:pPr>
              <w:spacing w:before="0" w:after="0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ČŠI</w:t>
            </w:r>
          </w:p>
        </w:tc>
        <w:tc>
          <w:tcPr>
            <w:tcW w:w="7366" w:type="dxa"/>
          </w:tcPr>
          <w:p w:rsidR="00BF33E3" w:rsidRPr="00B175FB" w:rsidRDefault="00BF33E3" w:rsidP="00BF33E3">
            <w:pPr>
              <w:spacing w:before="0" w:after="0"/>
              <w:jc w:val="both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Česká školní inspekce</w:t>
            </w:r>
          </w:p>
        </w:tc>
      </w:tr>
      <w:tr w:rsidR="00BF33E3" w:rsidRPr="00B175FB" w:rsidTr="00855499">
        <w:trPr>
          <w:trHeight w:val="280"/>
        </w:trPr>
        <w:tc>
          <w:tcPr>
            <w:tcW w:w="2263" w:type="dxa"/>
          </w:tcPr>
          <w:p w:rsidR="00BF33E3" w:rsidRPr="00B175FB" w:rsidRDefault="00BF33E3" w:rsidP="00BF33E3">
            <w:pPr>
              <w:spacing w:before="0" w:after="0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DIK</w:t>
            </w:r>
            <w:r>
              <w:rPr>
                <w:rFonts w:eastAsia="Times New Roman"/>
                <w:iCs/>
                <w:noProof/>
                <w:sz w:val="22"/>
              </w:rPr>
              <w:t>o</w:t>
            </w:r>
            <w:r w:rsidRPr="00B175FB">
              <w:rPr>
                <w:rFonts w:eastAsia="Times New Roman"/>
                <w:iCs/>
                <w:noProof/>
                <w:sz w:val="22"/>
              </w:rPr>
              <w:t>P</w:t>
            </w:r>
          </w:p>
        </w:tc>
        <w:tc>
          <w:tcPr>
            <w:tcW w:w="7366" w:type="dxa"/>
          </w:tcPr>
          <w:p w:rsidR="00BF33E3" w:rsidRPr="00B175FB" w:rsidRDefault="00BF33E3" w:rsidP="00BF33E3">
            <w:pPr>
              <w:spacing w:before="0" w:after="0"/>
              <w:jc w:val="both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Dlouhodobý interní komunikační plán</w:t>
            </w:r>
          </w:p>
        </w:tc>
      </w:tr>
      <w:tr w:rsidR="005A4715" w:rsidRPr="00B175FB" w:rsidTr="00855499">
        <w:trPr>
          <w:trHeight w:val="280"/>
        </w:trPr>
        <w:tc>
          <w:tcPr>
            <w:tcW w:w="2263" w:type="dxa"/>
          </w:tcPr>
          <w:p w:rsidR="005A4715" w:rsidRPr="00B175FB" w:rsidRDefault="005A4715" w:rsidP="00BF33E3">
            <w:pPr>
              <w:spacing w:before="0" w:after="0"/>
              <w:rPr>
                <w:rFonts w:eastAsia="Times New Roman"/>
                <w:iCs/>
                <w:noProof/>
                <w:sz w:val="22"/>
              </w:rPr>
            </w:pPr>
            <w:r>
              <w:rPr>
                <w:rFonts w:eastAsia="Times New Roman"/>
                <w:iCs/>
                <w:noProof/>
                <w:sz w:val="22"/>
              </w:rPr>
              <w:t>EK</w:t>
            </w:r>
          </w:p>
        </w:tc>
        <w:tc>
          <w:tcPr>
            <w:tcW w:w="7366" w:type="dxa"/>
          </w:tcPr>
          <w:p w:rsidR="005A4715" w:rsidRPr="00B175FB" w:rsidRDefault="000F475B" w:rsidP="00BF33E3">
            <w:pPr>
              <w:spacing w:before="0" w:after="0"/>
              <w:jc w:val="both"/>
              <w:rPr>
                <w:rFonts w:eastAsia="Times New Roman"/>
                <w:iCs/>
                <w:noProof/>
                <w:sz w:val="22"/>
              </w:rPr>
            </w:pPr>
            <w:r>
              <w:rPr>
                <w:rFonts w:eastAsia="Times New Roman"/>
                <w:iCs/>
                <w:noProof/>
                <w:sz w:val="22"/>
              </w:rPr>
              <w:t>Evropská komise</w:t>
            </w:r>
          </w:p>
        </w:tc>
      </w:tr>
      <w:tr w:rsidR="00BF33E3" w:rsidRPr="00B175FB" w:rsidTr="00855499">
        <w:trPr>
          <w:trHeight w:val="280"/>
        </w:trPr>
        <w:tc>
          <w:tcPr>
            <w:tcW w:w="2263" w:type="dxa"/>
          </w:tcPr>
          <w:p w:rsidR="00BF33E3" w:rsidRPr="00B175FB" w:rsidRDefault="00BF33E3" w:rsidP="00BF33E3">
            <w:pPr>
              <w:spacing w:before="0" w:after="0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EOSC</w:t>
            </w:r>
          </w:p>
        </w:tc>
        <w:tc>
          <w:tcPr>
            <w:tcW w:w="7366" w:type="dxa"/>
          </w:tcPr>
          <w:p w:rsidR="00BF33E3" w:rsidRPr="00B175FB" w:rsidRDefault="00BF33E3" w:rsidP="00BF33E3">
            <w:pPr>
              <w:spacing w:before="0" w:after="0"/>
              <w:jc w:val="both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European Open Science Cloud</w:t>
            </w:r>
          </w:p>
        </w:tc>
      </w:tr>
      <w:tr w:rsidR="00BF33E3" w:rsidRPr="00B175FB" w:rsidTr="00855499">
        <w:trPr>
          <w:trHeight w:val="280"/>
        </w:trPr>
        <w:tc>
          <w:tcPr>
            <w:tcW w:w="2263" w:type="dxa"/>
          </w:tcPr>
          <w:p w:rsidR="00BF33E3" w:rsidRPr="00B175FB" w:rsidRDefault="00BF33E3" w:rsidP="00BF33E3">
            <w:pPr>
              <w:spacing w:before="0" w:after="0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ERDF</w:t>
            </w:r>
          </w:p>
        </w:tc>
        <w:tc>
          <w:tcPr>
            <w:tcW w:w="7366" w:type="dxa"/>
          </w:tcPr>
          <w:p w:rsidR="00BF33E3" w:rsidRPr="00B175FB" w:rsidRDefault="00BF33E3" w:rsidP="00BF33E3">
            <w:pPr>
              <w:spacing w:before="0" w:after="0"/>
              <w:jc w:val="both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Evropský fond pro regionální rozvoj</w:t>
            </w:r>
          </w:p>
        </w:tc>
      </w:tr>
      <w:tr w:rsidR="00BF33E3" w:rsidRPr="00B175FB" w:rsidTr="00855499">
        <w:trPr>
          <w:trHeight w:val="280"/>
        </w:trPr>
        <w:tc>
          <w:tcPr>
            <w:tcW w:w="2263" w:type="dxa"/>
          </w:tcPr>
          <w:p w:rsidR="00BF33E3" w:rsidRPr="00B175FB" w:rsidRDefault="00BF33E3" w:rsidP="00BF33E3">
            <w:pPr>
              <w:spacing w:before="0" w:after="0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ESF+</w:t>
            </w:r>
          </w:p>
        </w:tc>
        <w:tc>
          <w:tcPr>
            <w:tcW w:w="7366" w:type="dxa"/>
          </w:tcPr>
          <w:p w:rsidR="00BF33E3" w:rsidRPr="00B175FB" w:rsidRDefault="00BF33E3" w:rsidP="00BF33E3">
            <w:pPr>
              <w:spacing w:before="0" w:after="0"/>
              <w:jc w:val="both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Evropský sociální fond plus</w:t>
            </w:r>
          </w:p>
        </w:tc>
      </w:tr>
      <w:tr w:rsidR="00BF33E3" w:rsidRPr="00B175FB" w:rsidTr="00855499">
        <w:trPr>
          <w:trHeight w:val="280"/>
        </w:trPr>
        <w:tc>
          <w:tcPr>
            <w:tcW w:w="2263" w:type="dxa"/>
          </w:tcPr>
          <w:p w:rsidR="00BF33E3" w:rsidRPr="00B175FB" w:rsidRDefault="00BF33E3" w:rsidP="00BF33E3">
            <w:pPr>
              <w:spacing w:before="0" w:after="0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EU</w:t>
            </w:r>
          </w:p>
        </w:tc>
        <w:tc>
          <w:tcPr>
            <w:tcW w:w="7366" w:type="dxa"/>
          </w:tcPr>
          <w:p w:rsidR="00BF33E3" w:rsidRPr="00B175FB" w:rsidRDefault="00BF33E3" w:rsidP="00BF33E3">
            <w:pPr>
              <w:spacing w:before="0" w:after="0"/>
              <w:jc w:val="both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Evropská unie</w:t>
            </w:r>
          </w:p>
        </w:tc>
      </w:tr>
      <w:tr w:rsidR="00BF33E3" w:rsidRPr="00B175FB" w:rsidTr="00855499">
        <w:trPr>
          <w:trHeight w:val="280"/>
        </w:trPr>
        <w:tc>
          <w:tcPr>
            <w:tcW w:w="2263" w:type="dxa"/>
          </w:tcPr>
          <w:p w:rsidR="00BF33E3" w:rsidRPr="00B175FB" w:rsidRDefault="00BF33E3" w:rsidP="00BF33E3">
            <w:pPr>
              <w:spacing w:before="0" w:after="0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FN</w:t>
            </w:r>
          </w:p>
        </w:tc>
        <w:tc>
          <w:tcPr>
            <w:tcW w:w="7366" w:type="dxa"/>
          </w:tcPr>
          <w:p w:rsidR="00BF33E3" w:rsidRPr="00B175FB" w:rsidRDefault="00BF33E3" w:rsidP="00BF33E3">
            <w:pPr>
              <w:spacing w:before="0" w:after="0"/>
              <w:jc w:val="both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Finanční nástroj</w:t>
            </w:r>
          </w:p>
        </w:tc>
      </w:tr>
      <w:tr w:rsidR="00BF33E3" w:rsidRPr="00B175FB" w:rsidTr="00855499">
        <w:trPr>
          <w:trHeight w:val="280"/>
        </w:trPr>
        <w:tc>
          <w:tcPr>
            <w:tcW w:w="2263" w:type="dxa"/>
          </w:tcPr>
          <w:p w:rsidR="00BF33E3" w:rsidRPr="00B175FB" w:rsidRDefault="00BF33E3" w:rsidP="00BF33E3">
            <w:pPr>
              <w:spacing w:before="0" w:after="0"/>
              <w:rPr>
                <w:rFonts w:eastAsia="Times New Roman"/>
                <w:iCs/>
                <w:noProof/>
                <w:sz w:val="22"/>
              </w:rPr>
            </w:pPr>
            <w:r>
              <w:rPr>
                <w:rFonts w:eastAsia="Times New Roman"/>
                <w:iCs/>
                <w:noProof/>
                <w:sz w:val="22"/>
              </w:rPr>
              <w:t>JTF</w:t>
            </w:r>
          </w:p>
        </w:tc>
        <w:tc>
          <w:tcPr>
            <w:tcW w:w="7366" w:type="dxa"/>
          </w:tcPr>
          <w:p w:rsidR="00BF33E3" w:rsidRPr="00B175FB" w:rsidRDefault="00BF33E3" w:rsidP="00BF33E3">
            <w:pPr>
              <w:spacing w:before="0" w:after="0"/>
              <w:jc w:val="both"/>
              <w:rPr>
                <w:rFonts w:eastAsia="Times New Roman"/>
                <w:iCs/>
                <w:noProof/>
                <w:sz w:val="22"/>
              </w:rPr>
            </w:pPr>
            <w:r>
              <w:rPr>
                <w:rFonts w:eastAsia="Times New Roman"/>
                <w:iCs/>
                <w:noProof/>
                <w:sz w:val="22"/>
              </w:rPr>
              <w:t>Fond pro spravedlivou transformaci</w:t>
            </w:r>
          </w:p>
        </w:tc>
      </w:tr>
      <w:tr w:rsidR="00BF33E3" w:rsidRPr="00B175FB" w:rsidTr="00855499">
        <w:trPr>
          <w:trHeight w:val="280"/>
        </w:trPr>
        <w:tc>
          <w:tcPr>
            <w:tcW w:w="2263" w:type="dxa"/>
          </w:tcPr>
          <w:p w:rsidR="00BF33E3" w:rsidRPr="00B175FB" w:rsidRDefault="00BF33E3" w:rsidP="00BF33E3">
            <w:pPr>
              <w:spacing w:before="0" w:after="0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MMR</w:t>
            </w:r>
          </w:p>
        </w:tc>
        <w:tc>
          <w:tcPr>
            <w:tcW w:w="7366" w:type="dxa"/>
          </w:tcPr>
          <w:p w:rsidR="00BF33E3" w:rsidRPr="00B175FB" w:rsidRDefault="00BF33E3" w:rsidP="00BF33E3">
            <w:pPr>
              <w:spacing w:before="0" w:after="0"/>
              <w:jc w:val="both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Ministerstvo pro místní rozvoj</w:t>
            </w:r>
          </w:p>
        </w:tc>
      </w:tr>
      <w:tr w:rsidR="00BF33E3" w:rsidRPr="00B175FB" w:rsidTr="00855499">
        <w:trPr>
          <w:trHeight w:val="280"/>
        </w:trPr>
        <w:tc>
          <w:tcPr>
            <w:tcW w:w="2263" w:type="dxa"/>
          </w:tcPr>
          <w:p w:rsidR="00BF33E3" w:rsidRPr="00B175FB" w:rsidRDefault="00BF33E3" w:rsidP="00BF33E3">
            <w:pPr>
              <w:spacing w:before="0" w:after="0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MMR – NOK</w:t>
            </w:r>
          </w:p>
        </w:tc>
        <w:tc>
          <w:tcPr>
            <w:tcW w:w="7366" w:type="dxa"/>
          </w:tcPr>
          <w:p w:rsidR="00BF33E3" w:rsidRPr="00B175FB" w:rsidRDefault="00BF33E3" w:rsidP="00BF33E3">
            <w:pPr>
              <w:spacing w:before="0" w:after="0"/>
              <w:jc w:val="both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Ministerstvo pro místní rozvoj – Národní orgán pro koordinaci</w:t>
            </w:r>
          </w:p>
        </w:tc>
      </w:tr>
      <w:tr w:rsidR="00BF33E3" w:rsidRPr="00B175FB" w:rsidTr="00855499">
        <w:trPr>
          <w:trHeight w:val="280"/>
        </w:trPr>
        <w:tc>
          <w:tcPr>
            <w:tcW w:w="2263" w:type="dxa"/>
          </w:tcPr>
          <w:p w:rsidR="00BF33E3" w:rsidRPr="00B175FB" w:rsidRDefault="00BF33E3" w:rsidP="00BF33E3">
            <w:pPr>
              <w:spacing w:before="0" w:after="0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 xml:space="preserve">MŠ </w:t>
            </w:r>
          </w:p>
        </w:tc>
        <w:tc>
          <w:tcPr>
            <w:tcW w:w="7366" w:type="dxa"/>
          </w:tcPr>
          <w:p w:rsidR="00BF33E3" w:rsidRPr="00B175FB" w:rsidRDefault="00BF33E3" w:rsidP="00BF33E3">
            <w:pPr>
              <w:spacing w:before="0" w:after="0"/>
              <w:jc w:val="both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Mateřská škola</w:t>
            </w:r>
          </w:p>
        </w:tc>
      </w:tr>
      <w:tr w:rsidR="00BF33E3" w:rsidRPr="00B175FB" w:rsidTr="00855499">
        <w:trPr>
          <w:trHeight w:val="280"/>
        </w:trPr>
        <w:tc>
          <w:tcPr>
            <w:tcW w:w="2263" w:type="dxa"/>
          </w:tcPr>
          <w:p w:rsidR="00BF33E3" w:rsidRPr="00B175FB" w:rsidRDefault="00BF33E3" w:rsidP="00BF33E3">
            <w:pPr>
              <w:spacing w:before="0" w:after="0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MV</w:t>
            </w:r>
          </w:p>
        </w:tc>
        <w:tc>
          <w:tcPr>
            <w:tcW w:w="7366" w:type="dxa"/>
          </w:tcPr>
          <w:p w:rsidR="00BF33E3" w:rsidRPr="00B175FB" w:rsidRDefault="00BF33E3" w:rsidP="00BF33E3">
            <w:pPr>
              <w:spacing w:before="0" w:after="0"/>
              <w:jc w:val="both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Monitorovací výbor</w:t>
            </w:r>
          </w:p>
        </w:tc>
      </w:tr>
      <w:tr w:rsidR="00BF33E3" w:rsidRPr="00B175FB" w:rsidTr="00855499">
        <w:trPr>
          <w:trHeight w:val="280"/>
        </w:trPr>
        <w:tc>
          <w:tcPr>
            <w:tcW w:w="2263" w:type="dxa"/>
          </w:tcPr>
          <w:p w:rsidR="00BF33E3" w:rsidRPr="00B175FB" w:rsidRDefault="00BF33E3" w:rsidP="00BF33E3">
            <w:pPr>
              <w:spacing w:before="0" w:after="0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Národní RIS3 strategie</w:t>
            </w:r>
          </w:p>
        </w:tc>
        <w:tc>
          <w:tcPr>
            <w:tcW w:w="7366" w:type="dxa"/>
          </w:tcPr>
          <w:p w:rsidR="00BF33E3" w:rsidRPr="00B175FB" w:rsidRDefault="00BF33E3" w:rsidP="00BF33E3">
            <w:pPr>
              <w:spacing w:before="0" w:after="0" w:line="240" w:lineRule="auto"/>
              <w:jc w:val="both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Národní výzkumná a inovační strategie pro inteligentní specializaci České republiky</w:t>
            </w:r>
          </w:p>
        </w:tc>
      </w:tr>
      <w:tr w:rsidR="00BF33E3" w:rsidRPr="00B175FB" w:rsidTr="00855499">
        <w:trPr>
          <w:trHeight w:val="280"/>
        </w:trPr>
        <w:tc>
          <w:tcPr>
            <w:tcW w:w="2263" w:type="dxa"/>
          </w:tcPr>
          <w:p w:rsidR="00BF33E3" w:rsidRPr="00B175FB" w:rsidRDefault="00BF33E3" w:rsidP="00BF33E3">
            <w:pPr>
              <w:spacing w:before="0" w:after="0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OECD</w:t>
            </w:r>
          </w:p>
        </w:tc>
        <w:tc>
          <w:tcPr>
            <w:tcW w:w="7366" w:type="dxa"/>
          </w:tcPr>
          <w:p w:rsidR="00BF33E3" w:rsidRPr="00B175FB" w:rsidRDefault="00BF33E3" w:rsidP="00BF33E3">
            <w:pPr>
              <w:spacing w:before="0" w:after="0"/>
              <w:jc w:val="both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sz w:val="22"/>
              </w:rPr>
              <w:t>Organizace pro hospodářskou spolupráci a rozvoj</w:t>
            </w:r>
          </w:p>
        </w:tc>
      </w:tr>
      <w:tr w:rsidR="00BF33E3" w:rsidRPr="00B175FB" w:rsidTr="00855499">
        <w:trPr>
          <w:trHeight w:val="280"/>
        </w:trPr>
        <w:tc>
          <w:tcPr>
            <w:tcW w:w="2263" w:type="dxa"/>
          </w:tcPr>
          <w:p w:rsidR="00BF33E3" w:rsidRPr="00B175FB" w:rsidRDefault="00BF33E3" w:rsidP="00BF33E3">
            <w:pPr>
              <w:spacing w:before="0" w:after="0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OP JAK</w:t>
            </w:r>
          </w:p>
        </w:tc>
        <w:tc>
          <w:tcPr>
            <w:tcW w:w="7366" w:type="dxa"/>
          </w:tcPr>
          <w:p w:rsidR="00BF33E3" w:rsidRPr="00B175FB" w:rsidRDefault="00BF33E3" w:rsidP="00BF33E3">
            <w:pPr>
              <w:spacing w:before="0" w:after="0"/>
              <w:jc w:val="both"/>
              <w:rPr>
                <w:rFonts w:eastAsia="Times New Roman"/>
                <w:smallCap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Operační program Jan Amos Komenský</w:t>
            </w:r>
          </w:p>
        </w:tc>
      </w:tr>
      <w:tr w:rsidR="00BF33E3" w:rsidRPr="00B175FB" w:rsidTr="00855499">
        <w:trPr>
          <w:trHeight w:val="280"/>
        </w:trPr>
        <w:tc>
          <w:tcPr>
            <w:tcW w:w="2263" w:type="dxa"/>
          </w:tcPr>
          <w:p w:rsidR="00BF33E3" w:rsidRPr="00B175FB" w:rsidRDefault="00BF33E3" w:rsidP="00BF33E3">
            <w:pPr>
              <w:spacing w:before="0" w:after="0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OP VVV</w:t>
            </w:r>
          </w:p>
        </w:tc>
        <w:tc>
          <w:tcPr>
            <w:tcW w:w="7366" w:type="dxa"/>
          </w:tcPr>
          <w:p w:rsidR="00BF33E3" w:rsidRPr="00B175FB" w:rsidRDefault="00BF33E3" w:rsidP="00BF33E3">
            <w:pPr>
              <w:spacing w:before="0" w:after="0"/>
              <w:jc w:val="both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Operační program Výzkum, vývoj a vzdělávání</w:t>
            </w:r>
          </w:p>
        </w:tc>
      </w:tr>
      <w:tr w:rsidR="00BF33E3" w:rsidRPr="00B175FB" w:rsidTr="00855499">
        <w:trPr>
          <w:trHeight w:val="280"/>
        </w:trPr>
        <w:tc>
          <w:tcPr>
            <w:tcW w:w="2263" w:type="dxa"/>
          </w:tcPr>
          <w:p w:rsidR="00BF33E3" w:rsidRPr="00B175FB" w:rsidRDefault="00BF33E3" w:rsidP="00BF33E3">
            <w:pPr>
              <w:spacing w:before="0" w:after="0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PS Publicita</w:t>
            </w:r>
          </w:p>
        </w:tc>
        <w:tc>
          <w:tcPr>
            <w:tcW w:w="7366" w:type="dxa"/>
          </w:tcPr>
          <w:p w:rsidR="00BF33E3" w:rsidRPr="00B175FB" w:rsidRDefault="00BF33E3" w:rsidP="00BF33E3">
            <w:pPr>
              <w:spacing w:before="0" w:after="0"/>
              <w:jc w:val="both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Pracovní skupina pro publicitu</w:t>
            </w:r>
          </w:p>
        </w:tc>
      </w:tr>
      <w:tr w:rsidR="00BF33E3" w:rsidRPr="00B175FB" w:rsidTr="00855499">
        <w:trPr>
          <w:trHeight w:val="280"/>
        </w:trPr>
        <w:tc>
          <w:tcPr>
            <w:tcW w:w="2263" w:type="dxa"/>
          </w:tcPr>
          <w:p w:rsidR="00BF33E3" w:rsidRPr="00B175FB" w:rsidRDefault="00BF33E3" w:rsidP="00BF33E3">
            <w:pPr>
              <w:spacing w:before="0" w:after="0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RK</w:t>
            </w:r>
            <w:r>
              <w:rPr>
                <w:rFonts w:eastAsia="Times New Roman"/>
                <w:iCs/>
                <w:noProof/>
                <w:sz w:val="22"/>
              </w:rPr>
              <w:t>o</w:t>
            </w:r>
            <w:r w:rsidRPr="00B175FB">
              <w:rPr>
                <w:rFonts w:eastAsia="Times New Roman"/>
                <w:iCs/>
                <w:noProof/>
                <w:sz w:val="22"/>
              </w:rPr>
              <w:t>P</w:t>
            </w:r>
          </w:p>
        </w:tc>
        <w:tc>
          <w:tcPr>
            <w:tcW w:w="7366" w:type="dxa"/>
          </w:tcPr>
          <w:p w:rsidR="00BF33E3" w:rsidRPr="00B175FB" w:rsidRDefault="00BF33E3" w:rsidP="00BF33E3">
            <w:pPr>
              <w:spacing w:before="0" w:after="0"/>
              <w:jc w:val="both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Roční komunikační plán</w:t>
            </w:r>
          </w:p>
        </w:tc>
      </w:tr>
      <w:tr w:rsidR="00BF33E3" w:rsidRPr="00B175FB" w:rsidTr="00855499">
        <w:trPr>
          <w:trHeight w:val="280"/>
        </w:trPr>
        <w:tc>
          <w:tcPr>
            <w:tcW w:w="2263" w:type="dxa"/>
          </w:tcPr>
          <w:p w:rsidR="00BF33E3" w:rsidRPr="00B175FB" w:rsidRDefault="00BF33E3" w:rsidP="00BF33E3">
            <w:pPr>
              <w:spacing w:before="0" w:after="0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ŘO</w:t>
            </w:r>
          </w:p>
        </w:tc>
        <w:tc>
          <w:tcPr>
            <w:tcW w:w="7366" w:type="dxa"/>
          </w:tcPr>
          <w:p w:rsidR="00BF33E3" w:rsidRPr="00B175FB" w:rsidRDefault="00BF33E3" w:rsidP="00BF33E3">
            <w:pPr>
              <w:spacing w:before="0" w:after="0"/>
              <w:jc w:val="both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Řídicí orgán</w:t>
            </w:r>
          </w:p>
        </w:tc>
      </w:tr>
      <w:tr w:rsidR="00BF33E3" w:rsidRPr="00B175FB" w:rsidTr="00855499">
        <w:trPr>
          <w:trHeight w:val="280"/>
        </w:trPr>
        <w:tc>
          <w:tcPr>
            <w:tcW w:w="2263" w:type="dxa"/>
          </w:tcPr>
          <w:p w:rsidR="00BF33E3" w:rsidRPr="00B175FB" w:rsidRDefault="00BF33E3" w:rsidP="00BF33E3">
            <w:pPr>
              <w:spacing w:before="0" w:after="0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SKS</w:t>
            </w:r>
          </w:p>
        </w:tc>
        <w:tc>
          <w:tcPr>
            <w:tcW w:w="7366" w:type="dxa"/>
          </w:tcPr>
          <w:p w:rsidR="00BF33E3" w:rsidRPr="00B175FB" w:rsidRDefault="00BF33E3" w:rsidP="00BF33E3">
            <w:pPr>
              <w:spacing w:before="0" w:after="0"/>
              <w:jc w:val="both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Společná komunikační strategie</w:t>
            </w:r>
          </w:p>
        </w:tc>
      </w:tr>
      <w:tr w:rsidR="00BF33E3" w:rsidRPr="00B175FB" w:rsidTr="00855499">
        <w:trPr>
          <w:trHeight w:val="280"/>
        </w:trPr>
        <w:tc>
          <w:tcPr>
            <w:tcW w:w="2263" w:type="dxa"/>
          </w:tcPr>
          <w:p w:rsidR="00BF33E3" w:rsidRPr="00B175FB" w:rsidRDefault="00BF33E3" w:rsidP="00BF33E3">
            <w:pPr>
              <w:spacing w:before="0" w:after="0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SP</w:t>
            </w:r>
          </w:p>
        </w:tc>
        <w:tc>
          <w:tcPr>
            <w:tcW w:w="7366" w:type="dxa"/>
          </w:tcPr>
          <w:p w:rsidR="00BF33E3" w:rsidRPr="00B175FB" w:rsidRDefault="00BF33E3" w:rsidP="00BF33E3">
            <w:pPr>
              <w:spacing w:before="0" w:after="0"/>
              <w:jc w:val="both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Specifické potřeby</w:t>
            </w:r>
          </w:p>
        </w:tc>
      </w:tr>
      <w:tr w:rsidR="00BF33E3" w:rsidRPr="00B175FB" w:rsidTr="00855499">
        <w:trPr>
          <w:trHeight w:val="280"/>
        </w:trPr>
        <w:tc>
          <w:tcPr>
            <w:tcW w:w="2263" w:type="dxa"/>
          </w:tcPr>
          <w:p w:rsidR="00BF33E3" w:rsidRPr="00B175FB" w:rsidRDefault="00BF33E3" w:rsidP="00BF33E3">
            <w:pPr>
              <w:spacing w:before="0" w:after="0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SŠ</w:t>
            </w:r>
          </w:p>
        </w:tc>
        <w:tc>
          <w:tcPr>
            <w:tcW w:w="7366" w:type="dxa"/>
          </w:tcPr>
          <w:p w:rsidR="00BF33E3" w:rsidRPr="00B175FB" w:rsidRDefault="00BF33E3" w:rsidP="00BF33E3">
            <w:pPr>
              <w:spacing w:before="0" w:after="0"/>
              <w:jc w:val="both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Střední škola</w:t>
            </w:r>
          </w:p>
        </w:tc>
      </w:tr>
      <w:tr w:rsidR="00BF33E3" w:rsidRPr="00B175FB" w:rsidTr="00855499">
        <w:trPr>
          <w:trHeight w:val="280"/>
        </w:trPr>
        <w:tc>
          <w:tcPr>
            <w:tcW w:w="2263" w:type="dxa"/>
          </w:tcPr>
          <w:p w:rsidR="00BF33E3" w:rsidRPr="00B175FB" w:rsidRDefault="00BF33E3" w:rsidP="00BF33E3">
            <w:pPr>
              <w:spacing w:before="0" w:after="0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STEM</w:t>
            </w:r>
          </w:p>
        </w:tc>
        <w:tc>
          <w:tcPr>
            <w:tcW w:w="7366" w:type="dxa"/>
          </w:tcPr>
          <w:p w:rsidR="00BF33E3" w:rsidRPr="00B175FB" w:rsidRDefault="00BF33E3" w:rsidP="00BF33E3">
            <w:pPr>
              <w:spacing w:before="0" w:after="0" w:line="240" w:lineRule="auto"/>
              <w:jc w:val="both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Science (přírodní vědy), Technology (technika), Engineering (technologie) a</w:t>
            </w:r>
            <w:r>
              <w:rPr>
                <w:rFonts w:eastAsia="Times New Roman"/>
                <w:iCs/>
                <w:noProof/>
                <w:sz w:val="22"/>
              </w:rPr>
              <w:t> </w:t>
            </w:r>
            <w:r w:rsidRPr="00B175FB">
              <w:rPr>
                <w:rFonts w:eastAsia="Times New Roman"/>
                <w:iCs/>
                <w:noProof/>
                <w:sz w:val="22"/>
              </w:rPr>
              <w:t>Mathematics (matematika)</w:t>
            </w:r>
          </w:p>
        </w:tc>
      </w:tr>
      <w:tr w:rsidR="00BF33E3" w:rsidRPr="00B175FB" w:rsidTr="00855499">
        <w:trPr>
          <w:trHeight w:val="280"/>
        </w:trPr>
        <w:tc>
          <w:tcPr>
            <w:tcW w:w="2263" w:type="dxa"/>
          </w:tcPr>
          <w:p w:rsidR="00BF33E3" w:rsidRPr="00B175FB" w:rsidRDefault="00BF33E3" w:rsidP="00BF33E3">
            <w:pPr>
              <w:spacing w:before="0" w:after="0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TP</w:t>
            </w:r>
          </w:p>
        </w:tc>
        <w:tc>
          <w:tcPr>
            <w:tcW w:w="7366" w:type="dxa"/>
          </w:tcPr>
          <w:p w:rsidR="00BF33E3" w:rsidRPr="00B175FB" w:rsidRDefault="00BF33E3" w:rsidP="00BF33E3">
            <w:pPr>
              <w:spacing w:before="0" w:after="0"/>
              <w:jc w:val="both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Technická pomoc</w:t>
            </w:r>
          </w:p>
        </w:tc>
      </w:tr>
      <w:tr w:rsidR="00BF33E3" w:rsidRPr="00B175FB" w:rsidTr="00855499">
        <w:trPr>
          <w:trHeight w:val="280"/>
        </w:trPr>
        <w:tc>
          <w:tcPr>
            <w:tcW w:w="2263" w:type="dxa"/>
          </w:tcPr>
          <w:p w:rsidR="00BF33E3" w:rsidRPr="00B175FB" w:rsidRDefault="00BF33E3" w:rsidP="00BF33E3">
            <w:pPr>
              <w:spacing w:before="0" w:after="0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VaV</w:t>
            </w:r>
          </w:p>
        </w:tc>
        <w:tc>
          <w:tcPr>
            <w:tcW w:w="7366" w:type="dxa"/>
          </w:tcPr>
          <w:p w:rsidR="00BF33E3" w:rsidRPr="00B175FB" w:rsidRDefault="00BF33E3" w:rsidP="00BF33E3">
            <w:pPr>
              <w:spacing w:before="0" w:after="0"/>
              <w:jc w:val="both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Výzkum  a vývoj</w:t>
            </w:r>
          </w:p>
        </w:tc>
      </w:tr>
      <w:tr w:rsidR="00BF33E3" w:rsidRPr="00B175FB" w:rsidTr="00855499">
        <w:trPr>
          <w:trHeight w:val="280"/>
        </w:trPr>
        <w:tc>
          <w:tcPr>
            <w:tcW w:w="2263" w:type="dxa"/>
          </w:tcPr>
          <w:p w:rsidR="00BF33E3" w:rsidRPr="00B175FB" w:rsidRDefault="00BF33E3" w:rsidP="00BF33E3">
            <w:pPr>
              <w:spacing w:before="0" w:after="0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VaVaI</w:t>
            </w:r>
          </w:p>
        </w:tc>
        <w:tc>
          <w:tcPr>
            <w:tcW w:w="7366" w:type="dxa"/>
          </w:tcPr>
          <w:p w:rsidR="00BF33E3" w:rsidRPr="00B175FB" w:rsidRDefault="00BF33E3" w:rsidP="00BF33E3">
            <w:pPr>
              <w:spacing w:before="0" w:after="0"/>
              <w:jc w:val="both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Výzkum, vývoj a inovace</w:t>
            </w:r>
          </w:p>
        </w:tc>
      </w:tr>
      <w:tr w:rsidR="00BF33E3" w:rsidRPr="00B175FB" w:rsidTr="00855499">
        <w:trPr>
          <w:trHeight w:val="280"/>
        </w:trPr>
        <w:tc>
          <w:tcPr>
            <w:tcW w:w="2263" w:type="dxa"/>
          </w:tcPr>
          <w:p w:rsidR="00BF33E3" w:rsidRPr="00B175FB" w:rsidRDefault="00BF33E3" w:rsidP="00BF33E3">
            <w:pPr>
              <w:spacing w:before="0" w:after="0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VO</w:t>
            </w:r>
          </w:p>
        </w:tc>
        <w:tc>
          <w:tcPr>
            <w:tcW w:w="7366" w:type="dxa"/>
          </w:tcPr>
          <w:p w:rsidR="00BF33E3" w:rsidRPr="00B175FB" w:rsidRDefault="00BF33E3" w:rsidP="00BF33E3">
            <w:pPr>
              <w:spacing w:before="0" w:after="0"/>
              <w:jc w:val="both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Výzkumná organizace</w:t>
            </w:r>
          </w:p>
        </w:tc>
      </w:tr>
      <w:tr w:rsidR="00BF33E3" w:rsidRPr="00B175FB" w:rsidTr="00855499">
        <w:trPr>
          <w:trHeight w:val="280"/>
        </w:trPr>
        <w:tc>
          <w:tcPr>
            <w:tcW w:w="2263" w:type="dxa"/>
          </w:tcPr>
          <w:p w:rsidR="00BF33E3" w:rsidRPr="00B175FB" w:rsidRDefault="00BF33E3" w:rsidP="00BF33E3">
            <w:pPr>
              <w:spacing w:before="0" w:after="0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VOŠ</w:t>
            </w:r>
          </w:p>
        </w:tc>
        <w:tc>
          <w:tcPr>
            <w:tcW w:w="7366" w:type="dxa"/>
          </w:tcPr>
          <w:p w:rsidR="00BF33E3" w:rsidRPr="00B175FB" w:rsidRDefault="00BF33E3" w:rsidP="00BF33E3">
            <w:pPr>
              <w:spacing w:before="0" w:after="0"/>
              <w:jc w:val="both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Vyšší odborná škola</w:t>
            </w:r>
          </w:p>
        </w:tc>
      </w:tr>
      <w:tr w:rsidR="00BF33E3" w:rsidRPr="00B175FB" w:rsidTr="00855499">
        <w:trPr>
          <w:trHeight w:val="280"/>
        </w:trPr>
        <w:tc>
          <w:tcPr>
            <w:tcW w:w="2263" w:type="dxa"/>
          </w:tcPr>
          <w:p w:rsidR="00BF33E3" w:rsidRPr="00B175FB" w:rsidRDefault="00BF33E3" w:rsidP="00BF33E3">
            <w:pPr>
              <w:spacing w:before="0" w:after="0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VŠ</w:t>
            </w:r>
          </w:p>
        </w:tc>
        <w:tc>
          <w:tcPr>
            <w:tcW w:w="7366" w:type="dxa"/>
          </w:tcPr>
          <w:p w:rsidR="00BF33E3" w:rsidRPr="00B175FB" w:rsidRDefault="00BF33E3" w:rsidP="00BF33E3">
            <w:pPr>
              <w:spacing w:before="0" w:after="0"/>
              <w:jc w:val="both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Vysoká škola</w:t>
            </w:r>
          </w:p>
        </w:tc>
      </w:tr>
      <w:tr w:rsidR="00BF33E3" w:rsidRPr="00B175FB" w:rsidTr="00855499">
        <w:trPr>
          <w:trHeight w:val="280"/>
        </w:trPr>
        <w:tc>
          <w:tcPr>
            <w:tcW w:w="2263" w:type="dxa"/>
          </w:tcPr>
          <w:p w:rsidR="00BF33E3" w:rsidRPr="00B175FB" w:rsidRDefault="00BF33E3" w:rsidP="00BF33E3">
            <w:pPr>
              <w:spacing w:before="0" w:after="0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ZŠ</w:t>
            </w:r>
          </w:p>
        </w:tc>
        <w:tc>
          <w:tcPr>
            <w:tcW w:w="7366" w:type="dxa"/>
          </w:tcPr>
          <w:p w:rsidR="00BF33E3" w:rsidRPr="00B175FB" w:rsidRDefault="00BF33E3" w:rsidP="00BF33E3">
            <w:pPr>
              <w:spacing w:before="0" w:after="0"/>
              <w:jc w:val="both"/>
              <w:rPr>
                <w:rFonts w:eastAsia="Times New Roman"/>
                <w:iCs/>
                <w:noProof/>
                <w:sz w:val="22"/>
              </w:rPr>
            </w:pPr>
            <w:r w:rsidRPr="00B175FB">
              <w:rPr>
                <w:rFonts w:eastAsia="Times New Roman"/>
                <w:iCs/>
                <w:noProof/>
                <w:sz w:val="22"/>
              </w:rPr>
              <w:t>Základní škola</w:t>
            </w:r>
          </w:p>
        </w:tc>
      </w:tr>
    </w:tbl>
    <w:p w:rsidR="00934904" w:rsidRPr="009F2CF4" w:rsidRDefault="00934904" w:rsidP="009F2CF4">
      <w:pPr>
        <w:spacing w:before="0" w:after="160" w:line="259" w:lineRule="auto"/>
        <w:rPr>
          <w:rFonts w:eastAsia="Calibri" w:cs="Arial"/>
          <w:b/>
          <w:smallCaps/>
          <w:color w:val="1F4E79" w:themeColor="accent5" w:themeShade="80"/>
        </w:rPr>
      </w:pPr>
    </w:p>
    <w:sectPr w:rsidR="00934904" w:rsidRPr="009F2CF4" w:rsidSect="00921D13">
      <w:pgSz w:w="11907" w:h="16839"/>
      <w:pgMar w:top="624" w:right="1134" w:bottom="1134" w:left="1134" w:header="51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5954" w:rsidRDefault="00D05954" w:rsidP="00114426">
      <w:pPr>
        <w:spacing w:before="0" w:after="0" w:line="240" w:lineRule="auto"/>
      </w:pPr>
      <w:r>
        <w:separator/>
      </w:r>
    </w:p>
  </w:endnote>
  <w:endnote w:type="continuationSeparator" w:id="0">
    <w:p w:rsidR="00D05954" w:rsidRDefault="00D05954" w:rsidP="00114426">
      <w:pPr>
        <w:spacing w:before="0" w:after="0" w:line="240" w:lineRule="auto"/>
      </w:pPr>
      <w:r>
        <w:continuationSeparator/>
      </w:r>
    </w:p>
  </w:endnote>
  <w:endnote w:type="continuationNotice" w:id="1">
    <w:p w:rsidR="00D05954" w:rsidRDefault="00D05954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Bold">
    <w:altName w:val="Times New Roman"/>
    <w:charset w:val="00"/>
    <w:family w:val="roman"/>
    <w:pitch w:val="variable"/>
    <w:sig w:usb0="00000000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 Neue">
    <w:altName w:val="Sylfaen"/>
    <w:charset w:val="00"/>
    <w:family w:val="roman"/>
    <w:pitch w:val="default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21002A87" w:usb1="090F0000" w:usb2="00000010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eastAsiaTheme="minorEastAsia" w:hAnsiTheme="minorHAnsi"/>
        <w:sz w:val="22"/>
      </w:rPr>
      <w:id w:val="-1603956207"/>
      <w:docPartObj>
        <w:docPartGallery w:val="Page Numbers (Bottom of Page)"/>
        <w:docPartUnique/>
      </w:docPartObj>
    </w:sdtPr>
    <w:sdtEndPr>
      <w:rPr>
        <w:rFonts w:ascii="Times New Roman" w:eastAsiaTheme="majorEastAsia" w:hAnsi="Times New Roman"/>
        <w:sz w:val="16"/>
        <w:szCs w:val="16"/>
      </w:rPr>
    </w:sdtEndPr>
    <w:sdtContent>
      <w:p w:rsidR="00E505FC" w:rsidRPr="007B1346" w:rsidRDefault="00E505FC">
        <w:pPr>
          <w:pStyle w:val="Zpat"/>
          <w:jc w:val="right"/>
          <w:rPr>
            <w:rFonts w:eastAsiaTheme="majorEastAsia"/>
            <w:sz w:val="16"/>
            <w:szCs w:val="16"/>
          </w:rPr>
        </w:pPr>
        <w:r w:rsidRPr="003E5669">
          <w:rPr>
            <w:noProof/>
            <w:lang w:eastAsia="cs-CZ"/>
          </w:rPr>
          <w:drawing>
            <wp:anchor distT="0" distB="0" distL="114300" distR="114300" simplePos="0" relativeHeight="251658240" behindDoc="1" locked="0" layoutInCell="1" allowOverlap="1" wp14:anchorId="7D0A6143" wp14:editId="49DC3E73">
              <wp:simplePos x="0" y="0"/>
              <wp:positionH relativeFrom="margin">
                <wp:align>center</wp:align>
              </wp:positionH>
              <wp:positionV relativeFrom="paragraph">
                <wp:posOffset>-48202</wp:posOffset>
              </wp:positionV>
              <wp:extent cx="4610100" cy="813955"/>
              <wp:effectExtent l="0" t="0" r="0" b="5715"/>
              <wp:wrapNone/>
              <wp:docPr id="10" name="Obráze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AlogolinkOPVVV.jpg"/>
                      <pic:cNvPicPr/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20875"/>
                      <a:stretch/>
                    </pic:blipFill>
                    <pic:spPr bwMode="auto">
                      <a:xfrm>
                        <a:off x="0" y="0"/>
                        <a:ext cx="4610100" cy="813955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7B1346">
          <w:rPr>
            <w:rFonts w:eastAsiaTheme="minorEastAsia"/>
            <w:sz w:val="16"/>
            <w:szCs w:val="16"/>
          </w:rPr>
          <w:fldChar w:fldCharType="begin"/>
        </w:r>
        <w:r w:rsidRPr="007B1346">
          <w:rPr>
            <w:sz w:val="16"/>
            <w:szCs w:val="16"/>
          </w:rPr>
          <w:instrText>PAGE   \* MERGEFORMAT</w:instrText>
        </w:r>
        <w:r w:rsidRPr="007B1346">
          <w:rPr>
            <w:rFonts w:eastAsiaTheme="minorEastAsia"/>
            <w:sz w:val="16"/>
            <w:szCs w:val="16"/>
          </w:rPr>
          <w:fldChar w:fldCharType="separate"/>
        </w:r>
        <w:r w:rsidRPr="00ED7ABD">
          <w:rPr>
            <w:rFonts w:eastAsiaTheme="majorEastAsia"/>
            <w:noProof/>
            <w:sz w:val="16"/>
            <w:szCs w:val="16"/>
          </w:rPr>
          <w:t>32</w:t>
        </w:r>
        <w:r w:rsidRPr="007B1346">
          <w:rPr>
            <w:rFonts w:eastAsiaTheme="majorEastAsia"/>
            <w:sz w:val="16"/>
            <w:szCs w:val="16"/>
          </w:rPr>
          <w:fldChar w:fldCharType="end"/>
        </w:r>
      </w:p>
    </w:sdtContent>
  </w:sdt>
  <w:p w:rsidR="00E505FC" w:rsidRDefault="00E505FC" w:rsidP="007B1346">
    <w:pPr>
      <w:pStyle w:val="Zpat"/>
      <w:tabs>
        <w:tab w:val="clear" w:pos="4819"/>
        <w:tab w:val="clear" w:pos="7370"/>
        <w:tab w:val="clear" w:pos="9638"/>
        <w:tab w:val="left" w:pos="5607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5954" w:rsidRDefault="00D05954" w:rsidP="00114426">
      <w:pPr>
        <w:spacing w:before="0" w:after="0" w:line="240" w:lineRule="auto"/>
      </w:pPr>
      <w:r>
        <w:separator/>
      </w:r>
    </w:p>
  </w:footnote>
  <w:footnote w:type="continuationSeparator" w:id="0">
    <w:p w:rsidR="00D05954" w:rsidRDefault="00D05954" w:rsidP="00114426">
      <w:pPr>
        <w:spacing w:before="0" w:after="0" w:line="240" w:lineRule="auto"/>
      </w:pPr>
      <w:r>
        <w:continuationSeparator/>
      </w:r>
    </w:p>
  </w:footnote>
  <w:footnote w:type="continuationNotice" w:id="1">
    <w:p w:rsidR="00D05954" w:rsidRDefault="00D05954">
      <w:pPr>
        <w:spacing w:before="0" w:after="0" w:line="240" w:lineRule="auto"/>
      </w:pPr>
    </w:p>
  </w:footnote>
  <w:footnote w:id="2">
    <w:p w:rsidR="00E505FC" w:rsidRPr="00904462" w:rsidRDefault="00E505FC" w:rsidP="00904462">
      <w:pPr>
        <w:spacing w:before="0" w:after="60" w:line="240" w:lineRule="auto"/>
        <w:jc w:val="both"/>
        <w:rPr>
          <w:rFonts w:eastAsia="Times New Roman"/>
          <w:noProof/>
          <w:sz w:val="18"/>
          <w:szCs w:val="18"/>
        </w:rPr>
      </w:pPr>
      <w:r w:rsidRPr="00904462">
        <w:rPr>
          <w:rStyle w:val="Znakapoznpodarou"/>
          <w:b w:val="0"/>
          <w:sz w:val="18"/>
          <w:szCs w:val="18"/>
        </w:rPr>
        <w:footnoteRef/>
      </w:r>
      <w:r w:rsidRPr="00904462">
        <w:rPr>
          <w:sz w:val="18"/>
          <w:szCs w:val="18"/>
        </w:rPr>
        <w:t xml:space="preserve"> </w:t>
      </w:r>
      <w:r w:rsidRPr="00904462">
        <w:rPr>
          <w:rFonts w:eastAsia="Times New Roman"/>
          <w:noProof/>
          <w:sz w:val="18"/>
          <w:szCs w:val="18"/>
        </w:rPr>
        <w:t>Text operačního programu je vytvořen v souladu s aktuálním návrhem Nařízení Evropského partlamentu a Rady o společných ustanoveních o Evropském fondu pro regionální rozvoj, Evropském sociálním fondu, Fondu soudržnosti, Evropském námořním a</w:t>
      </w:r>
      <w:r>
        <w:rPr>
          <w:rFonts w:eastAsia="Times New Roman"/>
          <w:noProof/>
          <w:sz w:val="18"/>
          <w:szCs w:val="18"/>
        </w:rPr>
        <w:t> </w:t>
      </w:r>
      <w:r w:rsidRPr="00904462">
        <w:rPr>
          <w:rFonts w:eastAsia="Times New Roman"/>
          <w:noProof/>
          <w:sz w:val="18"/>
          <w:szCs w:val="18"/>
        </w:rPr>
        <w:t>rybářském fondu a o finančních pravidlech pro tyto fondy a pro Azylový a migrační fond, Fond pro vnitřní bezpečnost a Nástroj pro správu hranic a víza, konkrétně Přílohou V. Šablona pro programy podporované z E</w:t>
      </w:r>
      <w:r>
        <w:rPr>
          <w:rFonts w:eastAsia="Times New Roman"/>
          <w:noProof/>
          <w:sz w:val="18"/>
          <w:szCs w:val="18"/>
        </w:rPr>
        <w:t>RDF</w:t>
      </w:r>
      <w:r w:rsidRPr="00904462">
        <w:rPr>
          <w:rFonts w:eastAsia="Times New Roman"/>
          <w:noProof/>
          <w:sz w:val="18"/>
          <w:szCs w:val="18"/>
        </w:rPr>
        <w:t xml:space="preserve"> (Cíl </w:t>
      </w:r>
      <w:bookmarkStart w:id="6" w:name="_Hlk25832672"/>
      <w:r w:rsidRPr="00904462">
        <w:rPr>
          <w:rFonts w:eastAsia="Times New Roman"/>
          <w:noProof/>
          <w:sz w:val="18"/>
          <w:szCs w:val="18"/>
        </w:rPr>
        <w:t>Investice pro zaměstnanost a růst</w:t>
      </w:r>
      <w:bookmarkEnd w:id="6"/>
      <w:r w:rsidRPr="00904462">
        <w:rPr>
          <w:rFonts w:eastAsia="Times New Roman"/>
          <w:noProof/>
          <w:sz w:val="18"/>
          <w:szCs w:val="18"/>
        </w:rPr>
        <w:t xml:space="preserve">), ESF+, Fondu soudržnosti a ENFR – čl. 16 odst. 3. </w:t>
      </w:r>
    </w:p>
    <w:p w:rsidR="00E505FC" w:rsidRPr="00904462" w:rsidRDefault="00E505FC" w:rsidP="00904462">
      <w:pPr>
        <w:spacing w:before="0" w:after="60" w:line="240" w:lineRule="auto"/>
        <w:jc w:val="both"/>
        <w:rPr>
          <w:rFonts w:eastAsia="Times New Roman"/>
          <w:noProof/>
          <w:sz w:val="18"/>
          <w:szCs w:val="18"/>
        </w:rPr>
      </w:pPr>
      <w:r w:rsidRPr="00904462">
        <w:rPr>
          <w:rFonts w:eastAsia="Times New Roman"/>
          <w:noProof/>
          <w:sz w:val="18"/>
          <w:szCs w:val="18"/>
        </w:rPr>
        <w:t>Příloha V vymezuje strukturu textu, řazení a číslování jednotlivých kapitol a tabulek, dále jsou touto Přílohou regulovány obsahy jednotlivých kapitol a podkapitol, a to včetně omezení počtu znaků. Po finálním schválení návrhu Nařízení bude text operačního programu upraven tak, aby byl v souladu s konečným zněním.</w:t>
      </w:r>
    </w:p>
  </w:footnote>
  <w:footnote w:id="3">
    <w:p w:rsidR="00E505FC" w:rsidRPr="00904462" w:rsidRDefault="00E505FC" w:rsidP="00904462">
      <w:pPr>
        <w:pStyle w:val="Textpoznpodarou"/>
        <w:spacing w:after="60"/>
        <w:ind w:left="0" w:firstLine="0"/>
        <w:jc w:val="both"/>
        <w:rPr>
          <w:sz w:val="18"/>
          <w:szCs w:val="18"/>
        </w:rPr>
      </w:pPr>
      <w:r w:rsidRPr="00904462">
        <w:rPr>
          <w:rStyle w:val="Znakapoznpodarou"/>
          <w:b w:val="0"/>
          <w:sz w:val="18"/>
          <w:szCs w:val="18"/>
        </w:rPr>
        <w:footnoteRef/>
      </w:r>
      <w:r w:rsidRPr="00904462">
        <w:rPr>
          <w:rStyle w:val="Znakapoznpodarou"/>
          <w:b w:val="0"/>
          <w:sz w:val="18"/>
          <w:szCs w:val="18"/>
        </w:rPr>
        <w:t xml:space="preserve"> </w:t>
      </w:r>
      <w:r w:rsidRPr="00885892">
        <w:rPr>
          <w:sz w:val="18"/>
          <w:szCs w:val="18"/>
        </w:rPr>
        <w:t>Maastricht Economic and Social Research Institute on Innovation and Technology – MERIT</w:t>
      </w:r>
      <w:r>
        <w:rPr>
          <w:sz w:val="18"/>
          <w:szCs w:val="18"/>
        </w:rPr>
        <w:t xml:space="preserve"> for European Commission</w:t>
      </w:r>
      <w:r w:rsidRPr="00904462">
        <w:rPr>
          <w:sz w:val="18"/>
          <w:szCs w:val="18"/>
        </w:rPr>
        <w:t xml:space="preserve">: </w:t>
      </w:r>
      <w:r>
        <w:rPr>
          <w:i/>
          <w:sz w:val="18"/>
          <w:szCs w:val="18"/>
        </w:rPr>
        <w:t>European Innovation Scoreboard 2020</w:t>
      </w:r>
      <w:r w:rsidRPr="00904462">
        <w:rPr>
          <w:sz w:val="18"/>
          <w:szCs w:val="18"/>
        </w:rPr>
        <w:t>.</w:t>
      </w:r>
    </w:p>
  </w:footnote>
  <w:footnote w:id="4">
    <w:p w:rsidR="00E505FC" w:rsidRPr="00904462" w:rsidRDefault="00E505FC" w:rsidP="00904462">
      <w:pPr>
        <w:pStyle w:val="Textpoznpodarou"/>
        <w:spacing w:after="60"/>
        <w:ind w:left="0" w:firstLine="0"/>
        <w:jc w:val="both"/>
        <w:rPr>
          <w:rFonts w:eastAsia="Times New Roman"/>
          <w:noProof/>
          <w:sz w:val="18"/>
          <w:szCs w:val="18"/>
        </w:rPr>
      </w:pPr>
      <w:r w:rsidRPr="00904462">
        <w:rPr>
          <w:rStyle w:val="Znakapoznpodarou"/>
          <w:b w:val="0"/>
          <w:sz w:val="18"/>
          <w:szCs w:val="18"/>
        </w:rPr>
        <w:footnoteRef/>
      </w:r>
      <w:r w:rsidRPr="00904462">
        <w:rPr>
          <w:sz w:val="18"/>
          <w:szCs w:val="18"/>
        </w:rPr>
        <w:t xml:space="preserve"> </w:t>
      </w:r>
      <w:r w:rsidRPr="00904462">
        <w:rPr>
          <w:rFonts w:eastAsia="Times New Roman"/>
          <w:noProof/>
          <w:sz w:val="18"/>
          <w:szCs w:val="18"/>
        </w:rPr>
        <w:t xml:space="preserve">PROKOP, D. - DVOŘÁK, T.: </w:t>
      </w:r>
      <w:r w:rsidRPr="00904462">
        <w:rPr>
          <w:rFonts w:eastAsia="Times New Roman"/>
          <w:i/>
          <w:noProof/>
          <w:sz w:val="18"/>
          <w:szCs w:val="18"/>
        </w:rPr>
        <w:t>Analýza výzev vzdělávání v České republice</w:t>
      </w:r>
      <w:r w:rsidRPr="00904462">
        <w:rPr>
          <w:rFonts w:eastAsia="Times New Roman"/>
          <w:noProof/>
          <w:sz w:val="18"/>
          <w:szCs w:val="18"/>
        </w:rPr>
        <w:t xml:space="preserve">. Praha: Eduzměna, 2019, srov. také kol.: </w:t>
      </w:r>
      <w:r>
        <w:rPr>
          <w:rFonts w:eastAsia="Times New Roman"/>
          <w:i/>
          <w:noProof/>
          <w:sz w:val="18"/>
          <w:szCs w:val="18"/>
        </w:rPr>
        <w:t>Kvalita a </w:t>
      </w:r>
      <w:r w:rsidRPr="00904462">
        <w:rPr>
          <w:rFonts w:eastAsia="Times New Roman"/>
          <w:i/>
          <w:noProof/>
          <w:sz w:val="18"/>
          <w:szCs w:val="18"/>
        </w:rPr>
        <w:t>efektivita vzdělávání a vzdělávací soustavy ve školním roce 2017/2018</w:t>
      </w:r>
      <w:r w:rsidRPr="00904462">
        <w:rPr>
          <w:rFonts w:eastAsia="Times New Roman"/>
          <w:noProof/>
          <w:sz w:val="18"/>
          <w:szCs w:val="18"/>
        </w:rPr>
        <w:t>. Praha: ČŠI, 2018.</w:t>
      </w:r>
    </w:p>
  </w:footnote>
  <w:footnote w:id="5">
    <w:p w:rsidR="00E505FC" w:rsidRPr="00904462" w:rsidRDefault="00E505FC" w:rsidP="00904462">
      <w:pPr>
        <w:pStyle w:val="Textpoznpodarou"/>
        <w:spacing w:after="60"/>
        <w:ind w:left="0" w:firstLine="0"/>
        <w:jc w:val="both"/>
        <w:rPr>
          <w:sz w:val="18"/>
          <w:szCs w:val="18"/>
        </w:rPr>
      </w:pPr>
      <w:r w:rsidRPr="00904462">
        <w:rPr>
          <w:rStyle w:val="Znakapoznpodarou"/>
          <w:b w:val="0"/>
          <w:sz w:val="18"/>
          <w:szCs w:val="18"/>
        </w:rPr>
        <w:footnoteRef/>
      </w:r>
      <w:r w:rsidRPr="00904462">
        <w:rPr>
          <w:sz w:val="18"/>
          <w:szCs w:val="18"/>
        </w:rPr>
        <w:t xml:space="preserve"> </w:t>
      </w:r>
      <w:r w:rsidRPr="00904462">
        <w:rPr>
          <w:rFonts w:eastAsia="Times New Roman"/>
          <w:sz w:val="18"/>
          <w:szCs w:val="18"/>
        </w:rPr>
        <w:t>https://www.eurostudent.eu/download_files/documents/EUROSTUDENT_VI_Synopsis_of_Indicators.pdf</w:t>
      </w:r>
      <w:r>
        <w:rPr>
          <w:rFonts w:eastAsia="Times New Roman"/>
          <w:sz w:val="18"/>
          <w:szCs w:val="18"/>
        </w:rPr>
        <w:t xml:space="preserve">, Figure B7.5, s. 159, </w:t>
      </w:r>
      <w:r w:rsidRPr="00904462">
        <w:rPr>
          <w:rFonts w:eastAsia="Times New Roman"/>
          <w:sz w:val="18"/>
          <w:szCs w:val="18"/>
        </w:rPr>
        <w:t>Figure B7.8, s. 163 [2020-01-07].</w:t>
      </w:r>
    </w:p>
  </w:footnote>
  <w:footnote w:id="6">
    <w:p w:rsidR="00E505FC" w:rsidRPr="00904462" w:rsidRDefault="00E505FC" w:rsidP="00904462">
      <w:pPr>
        <w:pStyle w:val="Textpoznpodarou"/>
        <w:spacing w:after="60"/>
        <w:ind w:left="0" w:firstLine="0"/>
        <w:jc w:val="both"/>
        <w:rPr>
          <w:rFonts w:eastAsia="Times New Roman"/>
          <w:noProof/>
          <w:sz w:val="18"/>
          <w:szCs w:val="18"/>
        </w:rPr>
      </w:pPr>
      <w:r w:rsidRPr="00904462">
        <w:rPr>
          <w:rStyle w:val="Znakapoznpodarou"/>
          <w:b w:val="0"/>
          <w:sz w:val="18"/>
          <w:szCs w:val="18"/>
        </w:rPr>
        <w:footnoteRef/>
      </w:r>
      <w:r w:rsidRPr="00904462">
        <w:rPr>
          <w:sz w:val="18"/>
          <w:szCs w:val="18"/>
        </w:rPr>
        <w:t xml:space="preserve"> </w:t>
      </w:r>
      <w:r w:rsidRPr="00904462">
        <w:rPr>
          <w:rFonts w:eastAsia="Times New Roman"/>
          <w:noProof/>
          <w:sz w:val="18"/>
          <w:szCs w:val="18"/>
        </w:rPr>
        <w:t xml:space="preserve">CHMOUTOVÁ, D. a kol.: </w:t>
      </w:r>
      <w:r w:rsidRPr="00904462">
        <w:rPr>
          <w:rFonts w:eastAsia="Times New Roman"/>
          <w:i/>
          <w:noProof/>
          <w:sz w:val="18"/>
          <w:szCs w:val="18"/>
        </w:rPr>
        <w:t>Uplatnění absolventů škol na trhu práce – 2018</w:t>
      </w:r>
      <w:r w:rsidRPr="00904462">
        <w:rPr>
          <w:rFonts w:eastAsia="Times New Roman"/>
          <w:noProof/>
          <w:sz w:val="18"/>
          <w:szCs w:val="18"/>
        </w:rPr>
        <w:t>. Praha: NÚV, 2019.</w:t>
      </w:r>
    </w:p>
  </w:footnote>
  <w:footnote w:id="7">
    <w:p w:rsidR="00E505FC" w:rsidRPr="00904462" w:rsidRDefault="00E505FC" w:rsidP="00904462">
      <w:pPr>
        <w:pStyle w:val="Textpoznpodarou"/>
        <w:spacing w:after="60"/>
        <w:ind w:left="0" w:firstLine="0"/>
        <w:jc w:val="both"/>
        <w:rPr>
          <w:sz w:val="18"/>
          <w:szCs w:val="18"/>
        </w:rPr>
      </w:pPr>
      <w:r w:rsidRPr="00904462">
        <w:rPr>
          <w:rStyle w:val="Znakapoznpodarou"/>
          <w:b w:val="0"/>
          <w:sz w:val="18"/>
          <w:szCs w:val="18"/>
        </w:rPr>
        <w:footnoteRef/>
      </w:r>
      <w:r w:rsidRPr="00904462">
        <w:rPr>
          <w:rFonts w:eastAsia="Times New Roman"/>
          <w:noProof/>
          <w:sz w:val="18"/>
          <w:szCs w:val="18"/>
        </w:rPr>
        <w:t xml:space="preserve"> Kol.: </w:t>
      </w:r>
      <w:r w:rsidRPr="00904462">
        <w:rPr>
          <w:rFonts w:eastAsia="Times New Roman"/>
          <w:i/>
          <w:noProof/>
          <w:sz w:val="18"/>
          <w:szCs w:val="18"/>
        </w:rPr>
        <w:t>Hlavní výstupy z Mimořádného šetření ke stavu zajištění výuky učiteli v MŠ, ZŠ, SŠ a VOŠ</w:t>
      </w:r>
      <w:r w:rsidRPr="00904462">
        <w:rPr>
          <w:rFonts w:eastAsia="Times New Roman"/>
          <w:noProof/>
          <w:sz w:val="18"/>
          <w:szCs w:val="18"/>
        </w:rPr>
        <w:t>. Praha: MŠMT, 2019.</w:t>
      </w:r>
    </w:p>
  </w:footnote>
  <w:footnote w:id="8">
    <w:p w:rsidR="00E505FC" w:rsidRPr="00904462" w:rsidRDefault="00E505FC" w:rsidP="00904462">
      <w:pPr>
        <w:spacing w:before="0" w:after="60" w:line="240" w:lineRule="auto"/>
        <w:jc w:val="both"/>
        <w:rPr>
          <w:sz w:val="18"/>
          <w:szCs w:val="18"/>
        </w:rPr>
      </w:pPr>
      <w:r w:rsidRPr="00904462">
        <w:rPr>
          <w:rStyle w:val="Znakapoznpodarou"/>
          <w:b w:val="0"/>
          <w:sz w:val="18"/>
          <w:szCs w:val="18"/>
        </w:rPr>
        <w:footnoteRef/>
      </w:r>
      <w:r w:rsidRPr="00904462">
        <w:rPr>
          <w:rFonts w:eastAsia="Times New Roman"/>
          <w:noProof/>
          <w:sz w:val="18"/>
          <w:szCs w:val="18"/>
        </w:rPr>
        <w:t xml:space="preserve"> </w:t>
      </w:r>
      <w:r w:rsidRPr="00904462">
        <w:rPr>
          <w:rFonts w:eastAsia="Times New Roman"/>
          <w:i/>
          <w:noProof/>
          <w:sz w:val="18"/>
          <w:szCs w:val="18"/>
        </w:rPr>
        <w:t>Early leavers from education and training</w:t>
      </w:r>
      <w:r w:rsidRPr="00904462">
        <w:rPr>
          <w:rFonts w:eastAsia="Times New Roman"/>
          <w:noProof/>
          <w:sz w:val="18"/>
          <w:szCs w:val="18"/>
        </w:rPr>
        <w:t>. Duben 2019. EUROSTAT, online: https://ec.europa.eu/eurostat/statistics-explained/index.php/Early_leavers_from_education_and_training [2020-01-07].</w:t>
      </w:r>
    </w:p>
  </w:footnote>
  <w:footnote w:id="9">
    <w:p w:rsidR="00E505FC" w:rsidRPr="00904462" w:rsidRDefault="00E505FC" w:rsidP="00904462">
      <w:pPr>
        <w:pStyle w:val="Textpoznpodarou"/>
        <w:spacing w:after="60"/>
        <w:ind w:left="0" w:firstLine="0"/>
        <w:jc w:val="both"/>
        <w:rPr>
          <w:sz w:val="18"/>
          <w:szCs w:val="18"/>
        </w:rPr>
      </w:pPr>
      <w:r w:rsidRPr="00904462">
        <w:rPr>
          <w:rStyle w:val="Znakapoznpodarou"/>
          <w:b w:val="0"/>
          <w:sz w:val="18"/>
          <w:szCs w:val="18"/>
        </w:rPr>
        <w:footnoteRef/>
      </w:r>
      <w:r w:rsidRPr="00904462">
        <w:rPr>
          <w:sz w:val="18"/>
          <w:szCs w:val="18"/>
        </w:rPr>
        <w:t xml:space="preserve"> Kol.: </w:t>
      </w:r>
      <w:r w:rsidRPr="00904462">
        <w:rPr>
          <w:rFonts w:eastAsia="Times New Roman"/>
          <w:i/>
          <w:noProof/>
          <w:sz w:val="18"/>
          <w:szCs w:val="18"/>
        </w:rPr>
        <w:t>Kvalita a efektivita vzdělávání a vzdělávací soustavy ve školním roce 2017/2018</w:t>
      </w:r>
      <w:r w:rsidRPr="00904462">
        <w:rPr>
          <w:rFonts w:eastAsia="Times New Roman"/>
          <w:noProof/>
          <w:sz w:val="18"/>
          <w:szCs w:val="18"/>
        </w:rPr>
        <w:t>. Praha: ČŠI, 2018.</w:t>
      </w:r>
    </w:p>
  </w:footnote>
  <w:footnote w:id="10">
    <w:p w:rsidR="00E505FC" w:rsidRPr="00904462" w:rsidRDefault="00E505FC" w:rsidP="00904462">
      <w:pPr>
        <w:pStyle w:val="Textpoznpodarou"/>
        <w:spacing w:after="60"/>
        <w:ind w:left="0" w:firstLine="0"/>
        <w:jc w:val="both"/>
        <w:rPr>
          <w:rFonts w:eastAsia="Times New Roman"/>
          <w:noProof/>
          <w:sz w:val="18"/>
          <w:szCs w:val="18"/>
        </w:rPr>
      </w:pPr>
      <w:r w:rsidRPr="00904462">
        <w:rPr>
          <w:rStyle w:val="Znakapoznpodarou"/>
          <w:b w:val="0"/>
          <w:sz w:val="18"/>
          <w:szCs w:val="18"/>
        </w:rPr>
        <w:footnoteRef/>
      </w:r>
      <w:r w:rsidRPr="00904462">
        <w:rPr>
          <w:sz w:val="18"/>
          <w:szCs w:val="18"/>
        </w:rPr>
        <w:t xml:space="preserve"> </w:t>
      </w:r>
      <w:r w:rsidRPr="00904462">
        <w:rPr>
          <w:rFonts w:eastAsia="Times New Roman"/>
          <w:noProof/>
          <w:sz w:val="18"/>
          <w:szCs w:val="18"/>
        </w:rPr>
        <w:t xml:space="preserve">PROKOP, D. - DVOŘÁK, T.: </w:t>
      </w:r>
      <w:r w:rsidRPr="00904462">
        <w:rPr>
          <w:rFonts w:eastAsia="Times New Roman"/>
          <w:i/>
          <w:noProof/>
          <w:sz w:val="18"/>
          <w:szCs w:val="18"/>
        </w:rPr>
        <w:t>Analýza výzev vzdělávání v České republice</w:t>
      </w:r>
      <w:r w:rsidRPr="00904462">
        <w:rPr>
          <w:rFonts w:eastAsia="Times New Roman"/>
          <w:noProof/>
          <w:sz w:val="18"/>
          <w:szCs w:val="18"/>
        </w:rPr>
        <w:t xml:space="preserve">. Praha: Eduzměna, 2019; </w:t>
      </w:r>
      <w:r w:rsidRPr="00904462">
        <w:rPr>
          <w:sz w:val="18"/>
          <w:szCs w:val="18"/>
        </w:rPr>
        <w:t xml:space="preserve">kol.: </w:t>
      </w:r>
      <w:r w:rsidRPr="00904462">
        <w:rPr>
          <w:rFonts w:eastAsia="Times New Roman"/>
          <w:i/>
          <w:noProof/>
          <w:sz w:val="18"/>
          <w:szCs w:val="18"/>
        </w:rPr>
        <w:t>Kvalita a efektivita vzdělávání a vzdělávací soustavy ve školním roce 2017/2018</w:t>
      </w:r>
      <w:r w:rsidRPr="00904462">
        <w:rPr>
          <w:rFonts w:eastAsia="Times New Roman"/>
          <w:noProof/>
          <w:sz w:val="18"/>
          <w:szCs w:val="18"/>
        </w:rPr>
        <w:t>. Praha: ČŠI, 2018.</w:t>
      </w:r>
    </w:p>
  </w:footnote>
  <w:footnote w:id="11">
    <w:p w:rsidR="00E505FC" w:rsidRPr="00904462" w:rsidRDefault="00E505FC" w:rsidP="00904462">
      <w:pPr>
        <w:pStyle w:val="Textpoznpodarou"/>
        <w:spacing w:after="60"/>
        <w:ind w:left="0" w:firstLine="0"/>
        <w:jc w:val="both"/>
        <w:rPr>
          <w:sz w:val="18"/>
          <w:szCs w:val="18"/>
        </w:rPr>
      </w:pPr>
      <w:r w:rsidRPr="00904462">
        <w:rPr>
          <w:rStyle w:val="Znakapoznpodarou"/>
          <w:b w:val="0"/>
          <w:sz w:val="18"/>
          <w:szCs w:val="18"/>
        </w:rPr>
        <w:footnoteRef/>
      </w:r>
      <w:r w:rsidRPr="00904462">
        <w:rPr>
          <w:sz w:val="18"/>
          <w:szCs w:val="18"/>
        </w:rPr>
        <w:t xml:space="preserve"> STEM je zkratkou pro čtyři obory: Science (přírodní vědy), Technology (technika), Engineering (technologie) a Mathematics (matematika).</w:t>
      </w:r>
    </w:p>
  </w:footnote>
  <w:footnote w:id="12">
    <w:p w:rsidR="00E505FC" w:rsidRPr="00904462" w:rsidRDefault="00E505FC" w:rsidP="00904462">
      <w:pPr>
        <w:pStyle w:val="Textpoznpodarou"/>
        <w:spacing w:after="60"/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 w:rsidRPr="00904462">
        <w:rPr>
          <w:rStyle w:val="Znakapoznpodarou"/>
          <w:b w:val="0"/>
          <w:sz w:val="18"/>
          <w:szCs w:val="18"/>
        </w:rPr>
        <w:footnoteRef/>
      </w:r>
      <w:r w:rsidRPr="00904462">
        <w:rPr>
          <w:sz w:val="18"/>
          <w:szCs w:val="18"/>
        </w:rPr>
        <w:t xml:space="preserve"> </w:t>
      </w:r>
      <w:r w:rsidRPr="00904462">
        <w:rPr>
          <w:rFonts w:eastAsia="Times New Roman"/>
          <w:noProof/>
          <w:sz w:val="18"/>
          <w:szCs w:val="18"/>
        </w:rPr>
        <w:t xml:space="preserve">VLK, A. a kol.: </w:t>
      </w:r>
      <w:r w:rsidRPr="00904462">
        <w:rPr>
          <w:rFonts w:eastAsia="Times New Roman"/>
          <w:i/>
          <w:noProof/>
          <w:sz w:val="18"/>
          <w:szCs w:val="18"/>
        </w:rPr>
        <w:t>Studijní neúspěšnost na vysokých školách: teoretická východiska, empirické poznatky a doporučení</w:t>
      </w:r>
      <w:r w:rsidRPr="00904462">
        <w:rPr>
          <w:rFonts w:eastAsia="Times New Roman"/>
          <w:noProof/>
          <w:sz w:val="18"/>
          <w:szCs w:val="18"/>
        </w:rPr>
        <w:t>. Praha: Sociologické nakladatelství SLON, 2017.</w:t>
      </w:r>
    </w:p>
  </w:footnote>
  <w:footnote w:id="13">
    <w:p w:rsidR="00E505FC" w:rsidRPr="00904462" w:rsidRDefault="00E505FC" w:rsidP="00904462">
      <w:pPr>
        <w:pStyle w:val="Textpoznpodarou"/>
        <w:spacing w:after="60"/>
        <w:ind w:left="0" w:firstLine="0"/>
        <w:jc w:val="both"/>
        <w:rPr>
          <w:sz w:val="18"/>
          <w:szCs w:val="18"/>
        </w:rPr>
      </w:pPr>
      <w:r w:rsidRPr="00904462">
        <w:rPr>
          <w:rStyle w:val="Znakapoznpodarou"/>
          <w:b w:val="0"/>
          <w:sz w:val="18"/>
          <w:szCs w:val="18"/>
        </w:rPr>
        <w:footnoteRef/>
      </w:r>
      <w:r w:rsidRPr="00904462">
        <w:rPr>
          <w:sz w:val="18"/>
          <w:szCs w:val="18"/>
        </w:rPr>
        <w:t xml:space="preserve"> </w:t>
      </w:r>
      <w:r w:rsidRPr="00904462">
        <w:rPr>
          <w:rFonts w:eastAsia="Times New Roman"/>
          <w:noProof/>
          <w:sz w:val="18"/>
          <w:szCs w:val="18"/>
        </w:rPr>
        <w:t xml:space="preserve">Např. </w:t>
      </w:r>
      <w:r w:rsidRPr="00904462">
        <w:rPr>
          <w:rFonts w:eastAsia="Times New Roman"/>
          <w:i/>
          <w:noProof/>
          <w:sz w:val="18"/>
          <w:szCs w:val="18"/>
        </w:rPr>
        <w:t>Tematická zpráva – Využívání digitálních technologií v mateřských, základních, středních a vyšších odborných školách</w:t>
      </w:r>
      <w:r w:rsidRPr="00904462">
        <w:rPr>
          <w:rFonts w:eastAsia="Times New Roman"/>
          <w:noProof/>
          <w:sz w:val="18"/>
          <w:szCs w:val="18"/>
        </w:rPr>
        <w:t>. Praha: ČŠI, 2017</w:t>
      </w:r>
      <w:r>
        <w:rPr>
          <w:rFonts w:eastAsia="Times New Roman"/>
          <w:noProof/>
          <w:sz w:val="18"/>
          <w:szCs w:val="18"/>
        </w:rPr>
        <w:t xml:space="preserve">, nebo také </w:t>
      </w:r>
      <w:r w:rsidRPr="00D14FD9">
        <w:rPr>
          <w:rFonts w:eastAsia="Times New Roman"/>
          <w:i/>
          <w:noProof/>
          <w:sz w:val="18"/>
          <w:szCs w:val="18"/>
        </w:rPr>
        <w:t>Sekundární analýza - Podmínky pro distanční výuku českých žáků v mezinárodním srovnání</w:t>
      </w:r>
      <w:r>
        <w:rPr>
          <w:rFonts w:eastAsia="Times New Roman"/>
          <w:noProof/>
          <w:sz w:val="18"/>
          <w:szCs w:val="18"/>
        </w:rPr>
        <w:t>. Praha: ČŠI, 2021.</w:t>
      </w:r>
    </w:p>
  </w:footnote>
  <w:footnote w:id="14">
    <w:p w:rsidR="00E505FC" w:rsidRPr="00904462" w:rsidRDefault="00E505FC" w:rsidP="00904462">
      <w:pPr>
        <w:pStyle w:val="Textpoznpodarou"/>
        <w:spacing w:after="60"/>
        <w:ind w:left="0" w:firstLine="0"/>
        <w:jc w:val="both"/>
        <w:rPr>
          <w:sz w:val="18"/>
          <w:szCs w:val="18"/>
        </w:rPr>
      </w:pPr>
      <w:r w:rsidRPr="00904462">
        <w:rPr>
          <w:rStyle w:val="Znakapoznpodarou"/>
          <w:b w:val="0"/>
          <w:sz w:val="18"/>
          <w:szCs w:val="18"/>
        </w:rPr>
        <w:footnoteRef/>
      </w:r>
      <w:r w:rsidRPr="00904462">
        <w:rPr>
          <w:sz w:val="18"/>
          <w:szCs w:val="18"/>
        </w:rPr>
        <w:t xml:space="preserve"> BRYNJOLFSSON, E.: </w:t>
      </w:r>
      <w:r w:rsidRPr="00904462">
        <w:rPr>
          <w:i/>
          <w:sz w:val="18"/>
          <w:szCs w:val="18"/>
        </w:rPr>
        <w:t>Druhý věk stroj: práce, pokrok a prosperita v éře špičkových technologií</w:t>
      </w:r>
      <w:r w:rsidRPr="00904462">
        <w:rPr>
          <w:sz w:val="18"/>
          <w:szCs w:val="18"/>
        </w:rPr>
        <w:t xml:space="preserve">. Brno: Jan Melvil Publishing, 2015. </w:t>
      </w:r>
    </w:p>
  </w:footnote>
  <w:footnote w:id="15">
    <w:p w:rsidR="00E505FC" w:rsidRPr="00904462" w:rsidRDefault="00E505FC" w:rsidP="00904462">
      <w:pPr>
        <w:pStyle w:val="Textpoznpodarou"/>
        <w:spacing w:after="60"/>
        <w:ind w:left="0" w:firstLine="0"/>
        <w:jc w:val="both"/>
        <w:rPr>
          <w:sz w:val="18"/>
          <w:szCs w:val="18"/>
        </w:rPr>
      </w:pPr>
      <w:r w:rsidRPr="00904462">
        <w:rPr>
          <w:rStyle w:val="Znakapoznpodarou"/>
          <w:b w:val="0"/>
          <w:sz w:val="18"/>
          <w:szCs w:val="18"/>
        </w:rPr>
        <w:footnoteRef/>
      </w:r>
      <w:r w:rsidRPr="00904462">
        <w:rPr>
          <w:sz w:val="18"/>
          <w:szCs w:val="18"/>
        </w:rPr>
        <w:t xml:space="preserve"> Kol.: </w:t>
      </w:r>
      <w:r w:rsidRPr="00904462">
        <w:rPr>
          <w:i/>
          <w:sz w:val="18"/>
          <w:szCs w:val="18"/>
        </w:rPr>
        <w:t>The future of education and skills. Education 2030</w:t>
      </w:r>
      <w:r w:rsidRPr="00904462">
        <w:rPr>
          <w:sz w:val="18"/>
          <w:szCs w:val="18"/>
        </w:rPr>
        <w:t xml:space="preserve">. Paris: OECD, 2018. </w:t>
      </w:r>
    </w:p>
  </w:footnote>
  <w:footnote w:id="16">
    <w:p w:rsidR="00E505FC" w:rsidRPr="00904462" w:rsidRDefault="00E505FC" w:rsidP="00904462">
      <w:pPr>
        <w:pStyle w:val="Textpoznpodarou"/>
        <w:spacing w:after="60"/>
        <w:ind w:left="0" w:firstLine="0"/>
        <w:jc w:val="both"/>
        <w:rPr>
          <w:rFonts w:eastAsia="Times New Roman"/>
          <w:noProof/>
          <w:sz w:val="18"/>
          <w:szCs w:val="18"/>
        </w:rPr>
      </w:pPr>
      <w:r w:rsidRPr="00E92FE3">
        <w:rPr>
          <w:rFonts w:eastAsia="Times New Roman"/>
          <w:noProof/>
          <w:sz w:val="18"/>
          <w:szCs w:val="18"/>
          <w:vertAlign w:val="superscript"/>
        </w:rPr>
        <w:footnoteRef/>
      </w:r>
      <w:r w:rsidRPr="00904462">
        <w:rPr>
          <w:rFonts w:eastAsia="Times New Roman"/>
          <w:noProof/>
          <w:sz w:val="18"/>
          <w:szCs w:val="18"/>
        </w:rPr>
        <w:t xml:space="preserve"> WEF: </w:t>
      </w:r>
      <w:r w:rsidRPr="00904462">
        <w:rPr>
          <w:rFonts w:eastAsia="Times New Roman"/>
          <w:i/>
          <w:noProof/>
          <w:sz w:val="18"/>
          <w:szCs w:val="18"/>
        </w:rPr>
        <w:t>The Future of Jobs Report 2018</w:t>
      </w:r>
      <w:r w:rsidRPr="00904462">
        <w:rPr>
          <w:rFonts w:eastAsia="Times New Roman"/>
          <w:noProof/>
          <w:sz w:val="18"/>
          <w:szCs w:val="18"/>
        </w:rPr>
        <w:t>, https://www.vlada.cz/assets/evropske-zalezitosti/umela-inteligence/NAIS_kveten_2019.pdf; https://www.weforum.org/reports/the-future-of-jobs-report-2018 [2020-01-07].</w:t>
      </w:r>
    </w:p>
  </w:footnote>
  <w:footnote w:id="17">
    <w:p w:rsidR="00E505FC" w:rsidRPr="00904462" w:rsidRDefault="00E505FC" w:rsidP="00904462">
      <w:pPr>
        <w:pStyle w:val="Textpoznpodarou"/>
        <w:spacing w:after="60"/>
        <w:ind w:left="0" w:firstLine="0"/>
        <w:jc w:val="both"/>
        <w:rPr>
          <w:rFonts w:eastAsia="Times New Roman"/>
          <w:noProof/>
          <w:sz w:val="18"/>
          <w:szCs w:val="18"/>
        </w:rPr>
      </w:pPr>
      <w:r w:rsidRPr="00E92FE3">
        <w:rPr>
          <w:rFonts w:eastAsia="Times New Roman"/>
          <w:noProof/>
          <w:sz w:val="18"/>
          <w:szCs w:val="18"/>
          <w:vertAlign w:val="superscript"/>
        </w:rPr>
        <w:footnoteRef/>
      </w:r>
      <w:r w:rsidRPr="00904462">
        <w:rPr>
          <w:rFonts w:eastAsia="Times New Roman"/>
          <w:noProof/>
          <w:sz w:val="18"/>
          <w:szCs w:val="18"/>
        </w:rPr>
        <w:t xml:space="preserve"> VESELÝ, A.: Od samozřejmosti ke spoluodpovědnosti: proměny ve vnímání veřejných služeb. In: HLAVÁČEK, P. (ed.): </w:t>
      </w:r>
      <w:r w:rsidRPr="00904462">
        <w:rPr>
          <w:rFonts w:eastAsia="Times New Roman"/>
          <w:i/>
          <w:noProof/>
          <w:sz w:val="18"/>
          <w:szCs w:val="18"/>
        </w:rPr>
        <w:t xml:space="preserve">Nesamozřejmý národ? </w:t>
      </w:r>
      <w:r w:rsidRPr="00904462">
        <w:rPr>
          <w:rFonts w:eastAsia="Times New Roman"/>
          <w:noProof/>
          <w:sz w:val="18"/>
          <w:szCs w:val="18"/>
        </w:rPr>
        <w:t xml:space="preserve">Praha: Academia, 2019. </w:t>
      </w:r>
    </w:p>
  </w:footnote>
  <w:footnote w:id="18">
    <w:p w:rsidR="00E505FC" w:rsidRPr="00904462" w:rsidRDefault="00E505FC" w:rsidP="00904462">
      <w:pPr>
        <w:pStyle w:val="Textpoznpodarou"/>
        <w:spacing w:after="60"/>
        <w:ind w:left="0" w:firstLine="0"/>
        <w:jc w:val="both"/>
        <w:rPr>
          <w:rFonts w:eastAsia="Times New Roman"/>
          <w:noProof/>
          <w:sz w:val="18"/>
          <w:szCs w:val="18"/>
        </w:rPr>
      </w:pPr>
      <w:r w:rsidRPr="00E92FE3">
        <w:rPr>
          <w:rFonts w:eastAsia="Times New Roman"/>
          <w:noProof/>
          <w:sz w:val="18"/>
          <w:szCs w:val="18"/>
          <w:vertAlign w:val="superscript"/>
        </w:rPr>
        <w:footnoteRef/>
      </w:r>
      <w:r w:rsidRPr="00904462">
        <w:rPr>
          <w:rFonts w:eastAsia="Times New Roman"/>
          <w:noProof/>
          <w:sz w:val="18"/>
          <w:szCs w:val="18"/>
        </w:rPr>
        <w:t xml:space="preserve"> PÎNZARU, F. a kol.: Millennials at work: Investigating the specificity of generation Y versus other generations. </w:t>
      </w:r>
      <w:r w:rsidRPr="00904462">
        <w:rPr>
          <w:rFonts w:eastAsia="Times New Roman"/>
          <w:i/>
          <w:noProof/>
          <w:sz w:val="18"/>
          <w:szCs w:val="18"/>
        </w:rPr>
        <w:t>Management Dynamics in the Knowledge Economy</w:t>
      </w:r>
      <w:r w:rsidRPr="00904462">
        <w:rPr>
          <w:rFonts w:eastAsia="Times New Roman"/>
          <w:noProof/>
          <w:sz w:val="18"/>
          <w:szCs w:val="18"/>
        </w:rPr>
        <w:t>, 4(2), 2016, s. 173–192.</w:t>
      </w:r>
    </w:p>
  </w:footnote>
  <w:footnote w:id="19">
    <w:p w:rsidR="00E505FC" w:rsidRPr="00762AB1" w:rsidRDefault="00E505FC" w:rsidP="00904462">
      <w:pPr>
        <w:pStyle w:val="Textpoznpodarou"/>
        <w:spacing w:after="60"/>
        <w:ind w:left="0" w:firstLine="0"/>
        <w:jc w:val="both"/>
        <w:rPr>
          <w:rFonts w:asciiTheme="minorHAnsi" w:eastAsia="Times New Roman" w:hAnsiTheme="minorHAnsi" w:cstheme="minorHAnsi"/>
          <w:noProof/>
          <w:sz w:val="18"/>
          <w:szCs w:val="18"/>
        </w:rPr>
      </w:pPr>
      <w:r w:rsidRPr="00E92FE3">
        <w:rPr>
          <w:rFonts w:eastAsia="Times New Roman"/>
          <w:noProof/>
          <w:sz w:val="18"/>
          <w:szCs w:val="18"/>
          <w:vertAlign w:val="superscript"/>
        </w:rPr>
        <w:footnoteRef/>
      </w:r>
      <w:r w:rsidRPr="00904462">
        <w:rPr>
          <w:rFonts w:eastAsia="Times New Roman"/>
          <w:noProof/>
          <w:sz w:val="18"/>
          <w:szCs w:val="18"/>
        </w:rPr>
        <w:t xml:space="preserve"> Kol.: </w:t>
      </w:r>
      <w:r w:rsidRPr="00904462">
        <w:rPr>
          <w:rFonts w:eastAsia="Times New Roman"/>
          <w:i/>
          <w:noProof/>
          <w:sz w:val="18"/>
          <w:szCs w:val="18"/>
        </w:rPr>
        <w:t>Trends Shaping Education 2019</w:t>
      </w:r>
      <w:r w:rsidRPr="00904462">
        <w:rPr>
          <w:rFonts w:eastAsia="Times New Roman"/>
          <w:noProof/>
          <w:sz w:val="18"/>
          <w:szCs w:val="18"/>
        </w:rPr>
        <w:t xml:space="preserve">. Paris: OECD, </w:t>
      </w:r>
      <w:r w:rsidRPr="00762AB1">
        <w:rPr>
          <w:rFonts w:eastAsia="Times New Roman"/>
          <w:noProof/>
          <w:sz w:val="18"/>
          <w:szCs w:val="18"/>
        </w:rPr>
        <w:t>2019.</w:t>
      </w:r>
    </w:p>
  </w:footnote>
  <w:footnote w:id="20">
    <w:p w:rsidR="00E505FC" w:rsidRPr="00D071E1" w:rsidRDefault="00E505FC" w:rsidP="00A51D13">
      <w:pPr>
        <w:pStyle w:val="Textpoznpodarou"/>
        <w:ind w:left="0" w:firstLine="0"/>
        <w:jc w:val="both"/>
        <w:rPr>
          <w:rFonts w:eastAsia="Times New Roman"/>
          <w:noProof/>
          <w:sz w:val="18"/>
          <w:szCs w:val="18"/>
        </w:rPr>
      </w:pPr>
      <w:r w:rsidRPr="00D071E1">
        <w:rPr>
          <w:rStyle w:val="Znakapoznpodarou"/>
          <w:b w:val="0"/>
          <w:sz w:val="18"/>
          <w:szCs w:val="18"/>
        </w:rPr>
        <w:footnoteRef/>
      </w:r>
      <w:r w:rsidRPr="00D071E1">
        <w:rPr>
          <w:b/>
          <w:sz w:val="18"/>
          <w:szCs w:val="18"/>
        </w:rPr>
        <w:t xml:space="preserve"> </w:t>
      </w:r>
      <w:r w:rsidRPr="00D071E1">
        <w:rPr>
          <w:sz w:val="18"/>
          <w:szCs w:val="18"/>
        </w:rPr>
        <w:t xml:space="preserve">Kol.: Doporučení Rady o klíčových kompetencích pro celoživotní učení, </w:t>
      </w:r>
      <w:r w:rsidRPr="00E36404">
        <w:rPr>
          <w:rStyle w:val="Hypertextovodkaz"/>
          <w:color w:val="auto"/>
          <w:sz w:val="18"/>
          <w:szCs w:val="18"/>
          <w:u w:val="none"/>
        </w:rPr>
        <w:t>https://eur-lex.europa.eu/legal-content/CS/</w:t>
      </w:r>
      <w:r>
        <w:rPr>
          <w:rStyle w:val="Hypertextovodkaz"/>
          <w:color w:val="auto"/>
          <w:sz w:val="18"/>
          <w:szCs w:val="18"/>
          <w:u w:val="none"/>
        </w:rPr>
        <w:t xml:space="preserve"> </w:t>
      </w:r>
      <w:r w:rsidRPr="00E36404">
        <w:rPr>
          <w:rStyle w:val="Hypertextovodkaz"/>
          <w:color w:val="auto"/>
          <w:sz w:val="18"/>
          <w:szCs w:val="18"/>
          <w:u w:val="none"/>
        </w:rPr>
        <w:t>TXT/PDF/</w:t>
      </w:r>
      <w:r>
        <w:rPr>
          <w:rStyle w:val="Hypertextovodkaz"/>
          <w:color w:val="auto"/>
          <w:sz w:val="18"/>
          <w:szCs w:val="18"/>
          <w:u w:val="none"/>
        </w:rPr>
        <w:t xml:space="preserve"> </w:t>
      </w:r>
      <w:r w:rsidRPr="00E36404">
        <w:rPr>
          <w:rStyle w:val="Hypertextovodkaz"/>
          <w:color w:val="auto"/>
          <w:sz w:val="18"/>
          <w:szCs w:val="18"/>
          <w:u w:val="none"/>
        </w:rPr>
        <w:t>?uri=CELEX:32018H0604(01)&amp;from=EN</w:t>
      </w:r>
      <w:r w:rsidRPr="00D071E1">
        <w:rPr>
          <w:sz w:val="18"/>
          <w:szCs w:val="18"/>
        </w:rPr>
        <w:t xml:space="preserve"> </w:t>
      </w:r>
      <w:r w:rsidRPr="00D071E1">
        <w:rPr>
          <w:rFonts w:eastAsia="Times New Roman"/>
          <w:noProof/>
          <w:sz w:val="18"/>
          <w:szCs w:val="18"/>
        </w:rPr>
        <w:t>[2020-02-24]</w:t>
      </w:r>
      <w:r w:rsidRPr="00D071E1">
        <w:rPr>
          <w:sz w:val="18"/>
          <w:szCs w:val="18"/>
        </w:rPr>
        <w:t xml:space="preserve">. </w:t>
      </w:r>
    </w:p>
  </w:footnote>
  <w:footnote w:id="21">
    <w:p w:rsidR="00E505FC" w:rsidRPr="00904462" w:rsidRDefault="00E505FC" w:rsidP="00904462">
      <w:pPr>
        <w:pStyle w:val="Textpoznpodarou"/>
        <w:spacing w:after="60"/>
        <w:ind w:left="0" w:firstLine="0"/>
        <w:jc w:val="both"/>
        <w:rPr>
          <w:rFonts w:eastAsia="Times New Roman"/>
          <w:noProof/>
          <w:sz w:val="18"/>
          <w:szCs w:val="18"/>
        </w:rPr>
      </w:pPr>
      <w:r w:rsidRPr="00904462">
        <w:rPr>
          <w:rFonts w:eastAsia="Times New Roman"/>
          <w:noProof/>
          <w:sz w:val="18"/>
          <w:szCs w:val="18"/>
          <w:vertAlign w:val="superscript"/>
        </w:rPr>
        <w:footnoteRef/>
      </w:r>
      <w:r w:rsidRPr="00904462">
        <w:rPr>
          <w:rFonts w:eastAsia="Times New Roman"/>
          <w:noProof/>
          <w:sz w:val="18"/>
          <w:szCs w:val="18"/>
        </w:rPr>
        <w:t xml:space="preserve"> Kol.: </w:t>
      </w:r>
      <w:r w:rsidRPr="00904462">
        <w:rPr>
          <w:rFonts w:eastAsia="Times New Roman"/>
          <w:i/>
          <w:noProof/>
          <w:sz w:val="18"/>
          <w:szCs w:val="18"/>
        </w:rPr>
        <w:t>Kvalita a efektivita vzdělávání a vzdělávací soustavy ve školním roce 2017/2018</w:t>
      </w:r>
      <w:r w:rsidRPr="00904462">
        <w:rPr>
          <w:rFonts w:eastAsia="Times New Roman"/>
          <w:noProof/>
          <w:sz w:val="18"/>
          <w:szCs w:val="18"/>
        </w:rPr>
        <w:t>. Praha: ČŠI, 2018</w:t>
      </w:r>
      <w:r>
        <w:rPr>
          <w:rFonts w:eastAsia="Times New Roman"/>
          <w:noProof/>
          <w:sz w:val="18"/>
          <w:szCs w:val="18"/>
        </w:rPr>
        <w:t xml:space="preserve">; </w:t>
      </w:r>
      <w:r w:rsidRPr="00904462">
        <w:rPr>
          <w:rFonts w:eastAsia="Times New Roman"/>
          <w:noProof/>
          <w:sz w:val="18"/>
          <w:szCs w:val="18"/>
        </w:rPr>
        <w:t xml:space="preserve">Kol.: </w:t>
      </w:r>
      <w:r w:rsidRPr="00904462">
        <w:rPr>
          <w:rFonts w:eastAsia="Times New Roman"/>
          <w:i/>
          <w:noProof/>
          <w:sz w:val="18"/>
          <w:szCs w:val="18"/>
        </w:rPr>
        <w:t>Kvalita a efektivita vzdělávání a vzdělávací soustavy ve školním roce 201</w:t>
      </w:r>
      <w:r>
        <w:rPr>
          <w:rFonts w:eastAsia="Times New Roman"/>
          <w:i/>
          <w:noProof/>
          <w:sz w:val="18"/>
          <w:szCs w:val="18"/>
        </w:rPr>
        <w:t>8</w:t>
      </w:r>
      <w:r w:rsidRPr="00904462">
        <w:rPr>
          <w:rFonts w:eastAsia="Times New Roman"/>
          <w:i/>
          <w:noProof/>
          <w:sz w:val="18"/>
          <w:szCs w:val="18"/>
        </w:rPr>
        <w:t>/201</w:t>
      </w:r>
      <w:r>
        <w:rPr>
          <w:rFonts w:eastAsia="Times New Roman"/>
          <w:i/>
          <w:noProof/>
          <w:sz w:val="18"/>
          <w:szCs w:val="18"/>
        </w:rPr>
        <w:t>9</w:t>
      </w:r>
      <w:r w:rsidRPr="00904462">
        <w:rPr>
          <w:rFonts w:eastAsia="Times New Roman"/>
          <w:noProof/>
          <w:sz w:val="18"/>
          <w:szCs w:val="18"/>
        </w:rPr>
        <w:t>. Praha: ČŠI, 201</w:t>
      </w:r>
      <w:r>
        <w:rPr>
          <w:rFonts w:eastAsia="Times New Roman"/>
          <w:noProof/>
          <w:sz w:val="18"/>
          <w:szCs w:val="18"/>
        </w:rPr>
        <w:t xml:space="preserve">9; </w:t>
      </w:r>
      <w:r w:rsidRPr="00904462">
        <w:rPr>
          <w:rFonts w:eastAsia="Times New Roman"/>
          <w:noProof/>
          <w:sz w:val="18"/>
          <w:szCs w:val="18"/>
        </w:rPr>
        <w:t xml:space="preserve">Kol.: </w:t>
      </w:r>
      <w:r w:rsidRPr="00904462">
        <w:rPr>
          <w:rFonts w:eastAsia="Times New Roman"/>
          <w:i/>
          <w:noProof/>
          <w:sz w:val="18"/>
          <w:szCs w:val="18"/>
        </w:rPr>
        <w:t>Kvalita a efektivita vzdělávání a vzdělávací soustavy ve školním roce 201</w:t>
      </w:r>
      <w:r>
        <w:rPr>
          <w:rFonts w:eastAsia="Times New Roman"/>
          <w:i/>
          <w:noProof/>
          <w:sz w:val="18"/>
          <w:szCs w:val="18"/>
        </w:rPr>
        <w:t>9</w:t>
      </w:r>
      <w:r w:rsidRPr="00904462">
        <w:rPr>
          <w:rFonts w:eastAsia="Times New Roman"/>
          <w:i/>
          <w:noProof/>
          <w:sz w:val="18"/>
          <w:szCs w:val="18"/>
        </w:rPr>
        <w:t>/20</w:t>
      </w:r>
      <w:r>
        <w:rPr>
          <w:rFonts w:eastAsia="Times New Roman"/>
          <w:i/>
          <w:noProof/>
          <w:sz w:val="18"/>
          <w:szCs w:val="18"/>
        </w:rPr>
        <w:t>20</w:t>
      </w:r>
      <w:r w:rsidRPr="00904462">
        <w:rPr>
          <w:rFonts w:eastAsia="Times New Roman"/>
          <w:noProof/>
          <w:sz w:val="18"/>
          <w:szCs w:val="18"/>
        </w:rPr>
        <w:t>. Praha: ČŠI, 20</w:t>
      </w:r>
      <w:r>
        <w:rPr>
          <w:rFonts w:eastAsia="Times New Roman"/>
          <w:noProof/>
          <w:sz w:val="18"/>
          <w:szCs w:val="18"/>
        </w:rPr>
        <w:t>20.</w:t>
      </w:r>
    </w:p>
  </w:footnote>
  <w:footnote w:id="22">
    <w:p w:rsidR="00E505FC" w:rsidRPr="00904462" w:rsidRDefault="00E505FC" w:rsidP="00904462">
      <w:pPr>
        <w:pStyle w:val="Textpoznpodarou"/>
        <w:spacing w:after="60"/>
        <w:ind w:left="0" w:firstLine="0"/>
        <w:jc w:val="both"/>
        <w:rPr>
          <w:rFonts w:eastAsia="Times New Roman"/>
          <w:noProof/>
          <w:sz w:val="18"/>
          <w:szCs w:val="18"/>
        </w:rPr>
      </w:pPr>
      <w:r w:rsidRPr="00904462">
        <w:rPr>
          <w:rFonts w:eastAsia="Times New Roman"/>
          <w:noProof/>
          <w:sz w:val="18"/>
          <w:szCs w:val="18"/>
          <w:vertAlign w:val="superscript"/>
        </w:rPr>
        <w:footnoteRef/>
      </w:r>
      <w:r w:rsidRPr="00904462">
        <w:rPr>
          <w:rFonts w:eastAsia="Times New Roman"/>
          <w:noProof/>
          <w:sz w:val="18"/>
          <w:szCs w:val="18"/>
        </w:rPr>
        <w:t xml:space="preserve"> </w:t>
      </w:r>
      <w:bookmarkStart w:id="30" w:name="_Hlk20466385"/>
      <w:r w:rsidRPr="00904462">
        <w:rPr>
          <w:rFonts w:eastAsia="Times New Roman"/>
          <w:noProof/>
          <w:sz w:val="18"/>
          <w:szCs w:val="18"/>
        </w:rPr>
        <w:t xml:space="preserve">Kol.: </w:t>
      </w:r>
      <w:r w:rsidRPr="00904462">
        <w:rPr>
          <w:rFonts w:eastAsia="Times New Roman"/>
          <w:i/>
          <w:noProof/>
          <w:sz w:val="18"/>
          <w:szCs w:val="18"/>
        </w:rPr>
        <w:t>Výsledky mezinárodního šetření Talis 2018</w:t>
      </w:r>
      <w:r w:rsidRPr="00904462">
        <w:rPr>
          <w:rFonts w:eastAsia="Times New Roman"/>
          <w:noProof/>
          <w:sz w:val="18"/>
          <w:szCs w:val="18"/>
        </w:rPr>
        <w:t xml:space="preserve">. Praha: ČŠI, 2019. </w:t>
      </w:r>
    </w:p>
    <w:bookmarkEnd w:id="30"/>
  </w:footnote>
  <w:footnote w:id="23">
    <w:p w:rsidR="00E505FC" w:rsidRPr="00904462" w:rsidRDefault="00E505FC" w:rsidP="00904462">
      <w:pPr>
        <w:pStyle w:val="Textpoznpodarou"/>
        <w:spacing w:after="60"/>
        <w:ind w:left="0" w:firstLine="0"/>
        <w:jc w:val="both"/>
        <w:rPr>
          <w:sz w:val="18"/>
          <w:szCs w:val="18"/>
        </w:rPr>
      </w:pPr>
      <w:r w:rsidRPr="00904462">
        <w:rPr>
          <w:rFonts w:eastAsia="Times New Roman"/>
          <w:noProof/>
          <w:sz w:val="18"/>
          <w:szCs w:val="18"/>
          <w:vertAlign w:val="superscript"/>
        </w:rPr>
        <w:footnoteRef/>
      </w:r>
      <w:r w:rsidRPr="00904462">
        <w:rPr>
          <w:rFonts w:eastAsia="Times New Roman"/>
          <w:noProof/>
          <w:sz w:val="18"/>
          <w:szCs w:val="18"/>
        </w:rPr>
        <w:t xml:space="preserve"> STUCHLÍKOVÁ, I. (ed.): </w:t>
      </w:r>
      <w:r w:rsidRPr="00904462">
        <w:rPr>
          <w:rFonts w:eastAsia="Times New Roman"/>
          <w:i/>
          <w:noProof/>
          <w:sz w:val="18"/>
          <w:szCs w:val="18"/>
        </w:rPr>
        <w:t>Hodnocení naplňování Strategie vzdělávací politiky ČR do roku 2020</w:t>
      </w:r>
      <w:r w:rsidRPr="00904462">
        <w:rPr>
          <w:rFonts w:eastAsia="Times New Roman"/>
          <w:noProof/>
          <w:sz w:val="18"/>
          <w:szCs w:val="18"/>
        </w:rPr>
        <w:t>. Praha: MŠMT, 2018.</w:t>
      </w:r>
    </w:p>
  </w:footnote>
  <w:footnote w:id="24">
    <w:p w:rsidR="00E505FC" w:rsidRPr="00904462" w:rsidRDefault="00E505FC" w:rsidP="00904462">
      <w:pPr>
        <w:pStyle w:val="Textpoznpodarou"/>
        <w:spacing w:after="60"/>
        <w:ind w:left="0" w:firstLine="0"/>
        <w:jc w:val="both"/>
        <w:rPr>
          <w:sz w:val="18"/>
          <w:szCs w:val="18"/>
        </w:rPr>
      </w:pPr>
      <w:r w:rsidRPr="00904462">
        <w:rPr>
          <w:rFonts w:eastAsia="Times New Roman"/>
          <w:noProof/>
          <w:sz w:val="18"/>
          <w:szCs w:val="18"/>
          <w:vertAlign w:val="superscript"/>
        </w:rPr>
        <w:footnoteRef/>
      </w:r>
      <w:r w:rsidRPr="00904462">
        <w:rPr>
          <w:rFonts w:eastAsia="Times New Roman"/>
          <w:noProof/>
          <w:sz w:val="18"/>
          <w:szCs w:val="18"/>
          <w:vertAlign w:val="superscript"/>
        </w:rPr>
        <w:t xml:space="preserve"> </w:t>
      </w:r>
      <w:r w:rsidRPr="00904462">
        <w:rPr>
          <w:rFonts w:eastAsia="Times New Roman"/>
          <w:noProof/>
          <w:sz w:val="18"/>
          <w:szCs w:val="18"/>
        </w:rPr>
        <w:t xml:space="preserve">Kol.: </w:t>
      </w:r>
      <w:r w:rsidRPr="00904462">
        <w:rPr>
          <w:rFonts w:eastAsia="Times New Roman"/>
          <w:i/>
          <w:noProof/>
          <w:sz w:val="18"/>
          <w:szCs w:val="18"/>
        </w:rPr>
        <w:t>Hlavní směry vzdělávací politiky ČR 2030+</w:t>
      </w:r>
      <w:r w:rsidRPr="00904462">
        <w:rPr>
          <w:rFonts w:eastAsia="Times New Roman"/>
          <w:noProof/>
          <w:sz w:val="18"/>
          <w:szCs w:val="18"/>
        </w:rPr>
        <w:t>, http://www.msmt.cz/file/51582/ [2020-01-07].</w:t>
      </w:r>
      <w:r>
        <w:rPr>
          <w:rFonts w:eastAsia="Times New Roman"/>
          <w:noProof/>
          <w:sz w:val="18"/>
          <w:szCs w:val="18"/>
        </w:rPr>
        <w:t xml:space="preserve"> Revidovaný RVP ZV v oblasti informatiky a digitální gramotnosti: </w:t>
      </w:r>
      <w:r w:rsidRPr="00C321D1">
        <w:rPr>
          <w:rFonts w:eastAsia="Times New Roman"/>
          <w:noProof/>
          <w:sz w:val="18"/>
          <w:szCs w:val="18"/>
        </w:rPr>
        <w:t>http://www.nuv.cz/t/rvp-pro-zakladni-vzdelavani</w:t>
      </w:r>
      <w:r>
        <w:rPr>
          <w:rFonts w:eastAsia="Times New Roman"/>
          <w:noProof/>
          <w:sz w:val="18"/>
          <w:szCs w:val="18"/>
        </w:rPr>
        <w:t>.</w:t>
      </w:r>
    </w:p>
  </w:footnote>
  <w:footnote w:id="25">
    <w:p w:rsidR="00E505FC" w:rsidRDefault="00E505FC" w:rsidP="005955B9">
      <w:pPr>
        <w:pStyle w:val="Textpoznpodarou"/>
        <w:ind w:left="0" w:firstLine="0"/>
        <w:jc w:val="both"/>
      </w:pPr>
      <w:r w:rsidRPr="00D5789D">
        <w:rPr>
          <w:rFonts w:eastAsia="Times New Roman"/>
          <w:sz w:val="18"/>
          <w:szCs w:val="18"/>
          <w:vertAlign w:val="superscript"/>
        </w:rPr>
        <w:footnoteRef/>
      </w:r>
      <w:r w:rsidRPr="005955B9">
        <w:rPr>
          <w:rFonts w:eastAsia="Times New Roman"/>
          <w:sz w:val="18"/>
          <w:szCs w:val="18"/>
          <w:vertAlign w:val="superscript"/>
        </w:rPr>
        <w:t xml:space="preserve"> </w:t>
      </w:r>
      <w:r>
        <w:rPr>
          <w:rFonts w:eastAsia="Times New Roman"/>
          <w:noProof/>
          <w:sz w:val="18"/>
          <w:szCs w:val="18"/>
        </w:rPr>
        <w:t xml:space="preserve">Kol.: </w:t>
      </w:r>
      <w:r w:rsidRPr="005955B9">
        <w:rPr>
          <w:rFonts w:eastAsia="Times New Roman"/>
          <w:i/>
          <w:sz w:val="18"/>
          <w:szCs w:val="18"/>
        </w:rPr>
        <w:t>OECD Economic Surveys: Czech Republic 2020</w:t>
      </w:r>
      <w:r>
        <w:rPr>
          <w:rFonts w:eastAsia="Times New Roman"/>
          <w:noProof/>
          <w:sz w:val="18"/>
          <w:szCs w:val="18"/>
        </w:rPr>
        <w:t>. Paris: OECD, 2020</w:t>
      </w:r>
      <w:r w:rsidRPr="005955B9">
        <w:rPr>
          <w:rFonts w:eastAsia="Times New Roman"/>
          <w:sz w:val="18"/>
          <w:szCs w:val="18"/>
        </w:rPr>
        <w:t xml:space="preserve">, </w:t>
      </w:r>
      <w:r>
        <w:rPr>
          <w:rFonts w:eastAsia="Times New Roman"/>
          <w:noProof/>
          <w:sz w:val="18"/>
          <w:szCs w:val="18"/>
        </w:rPr>
        <w:t>s. 63,</w:t>
      </w:r>
      <w:r w:rsidRPr="005955B9">
        <w:rPr>
          <w:rFonts w:eastAsia="Times New Roman"/>
          <w:sz w:val="18"/>
          <w:szCs w:val="18"/>
        </w:rPr>
        <w:t xml:space="preserve"> https://doi.org/10.1787/1b180a5a-en.</w:t>
      </w:r>
    </w:p>
  </w:footnote>
  <w:footnote w:id="26">
    <w:p w:rsidR="00E505FC" w:rsidRPr="00904462" w:rsidRDefault="00E505FC" w:rsidP="00904462">
      <w:pPr>
        <w:pStyle w:val="Textpoznpodarou"/>
        <w:spacing w:after="60"/>
        <w:ind w:left="0" w:firstLine="0"/>
        <w:jc w:val="both"/>
        <w:rPr>
          <w:rFonts w:eastAsia="Times New Roman"/>
          <w:sz w:val="18"/>
          <w:szCs w:val="18"/>
        </w:rPr>
      </w:pPr>
      <w:r w:rsidRPr="00904462">
        <w:rPr>
          <w:rFonts w:eastAsia="Times New Roman"/>
          <w:sz w:val="18"/>
          <w:szCs w:val="18"/>
          <w:vertAlign w:val="superscript"/>
        </w:rPr>
        <w:footnoteRef/>
      </w:r>
      <w:r w:rsidRPr="00904462">
        <w:rPr>
          <w:rFonts w:eastAsia="Times New Roman"/>
          <w:sz w:val="18"/>
          <w:szCs w:val="18"/>
        </w:rPr>
        <w:t xml:space="preserve"> Kol.: </w:t>
      </w:r>
      <w:r w:rsidRPr="00904462">
        <w:rPr>
          <w:rFonts w:eastAsia="Times New Roman"/>
          <w:i/>
          <w:sz w:val="18"/>
          <w:szCs w:val="18"/>
        </w:rPr>
        <w:t>Teachers Matter: Attracting, Developing and Retaining Effective Teachers</w:t>
      </w:r>
      <w:r w:rsidRPr="00904462">
        <w:rPr>
          <w:rFonts w:eastAsia="Times New Roman"/>
          <w:sz w:val="18"/>
          <w:szCs w:val="18"/>
        </w:rPr>
        <w:t xml:space="preserve">. Paris: OECD, 2005; HATTIE, J.: The applicability of Visible Learning to higher education. </w:t>
      </w:r>
      <w:r w:rsidRPr="00904462">
        <w:rPr>
          <w:rFonts w:eastAsia="Times New Roman"/>
          <w:i/>
          <w:sz w:val="18"/>
          <w:szCs w:val="18"/>
        </w:rPr>
        <w:t>Scholarship of Teaching and Learning in Psychology</w:t>
      </w:r>
      <w:r w:rsidRPr="00904462">
        <w:rPr>
          <w:rFonts w:eastAsia="Times New Roman"/>
          <w:sz w:val="18"/>
          <w:szCs w:val="18"/>
        </w:rPr>
        <w:t>, 2015, s. 79–91.</w:t>
      </w:r>
    </w:p>
  </w:footnote>
  <w:footnote w:id="27">
    <w:p w:rsidR="00E505FC" w:rsidRPr="00904462" w:rsidRDefault="00E505FC" w:rsidP="00904462">
      <w:pPr>
        <w:pStyle w:val="Textpoznpodarou"/>
        <w:spacing w:after="60"/>
        <w:ind w:left="0" w:firstLine="0"/>
        <w:jc w:val="both"/>
        <w:rPr>
          <w:rFonts w:eastAsia="Times New Roman"/>
          <w:noProof/>
          <w:sz w:val="18"/>
          <w:szCs w:val="18"/>
        </w:rPr>
      </w:pPr>
      <w:r w:rsidRPr="00904462">
        <w:rPr>
          <w:rFonts w:eastAsia="Times New Roman"/>
          <w:sz w:val="18"/>
          <w:szCs w:val="18"/>
          <w:vertAlign w:val="superscript"/>
        </w:rPr>
        <w:footnoteRef/>
      </w:r>
      <w:r w:rsidRPr="00904462">
        <w:rPr>
          <w:rFonts w:eastAsia="Times New Roman"/>
          <w:sz w:val="18"/>
          <w:szCs w:val="18"/>
        </w:rPr>
        <w:t xml:space="preserve"> </w:t>
      </w:r>
      <w:r w:rsidRPr="00904462">
        <w:rPr>
          <w:rFonts w:eastAsia="Times New Roman"/>
          <w:noProof/>
          <w:sz w:val="18"/>
          <w:szCs w:val="18"/>
        </w:rPr>
        <w:t xml:space="preserve">STUCHLÍKOVÁ, I. (ed.): </w:t>
      </w:r>
      <w:r w:rsidRPr="00904462">
        <w:rPr>
          <w:rFonts w:eastAsia="Times New Roman"/>
          <w:i/>
          <w:noProof/>
          <w:sz w:val="18"/>
          <w:szCs w:val="18"/>
        </w:rPr>
        <w:t>Hodnocení naplňování Strategie vzdělávací politiky ČR do roku 2020</w:t>
      </w:r>
      <w:r w:rsidRPr="00904462">
        <w:rPr>
          <w:rFonts w:eastAsia="Times New Roman"/>
          <w:noProof/>
          <w:sz w:val="18"/>
          <w:szCs w:val="18"/>
        </w:rPr>
        <w:t>. Praha: MŠMT, 2018.</w:t>
      </w:r>
    </w:p>
  </w:footnote>
  <w:footnote w:id="28">
    <w:p w:rsidR="00E505FC" w:rsidRPr="00904462" w:rsidRDefault="00E505FC" w:rsidP="00904462">
      <w:pPr>
        <w:pStyle w:val="Textpoznpodarou"/>
        <w:spacing w:after="60"/>
        <w:ind w:left="0" w:firstLine="0"/>
        <w:jc w:val="both"/>
        <w:rPr>
          <w:rFonts w:eastAsia="Times New Roman"/>
          <w:noProof/>
          <w:sz w:val="18"/>
          <w:szCs w:val="18"/>
        </w:rPr>
      </w:pPr>
      <w:r w:rsidRPr="00904462">
        <w:rPr>
          <w:rFonts w:eastAsia="Times New Roman"/>
          <w:noProof/>
          <w:sz w:val="18"/>
          <w:szCs w:val="18"/>
          <w:vertAlign w:val="superscript"/>
        </w:rPr>
        <w:footnoteRef/>
      </w:r>
      <w:r w:rsidRPr="00904462">
        <w:rPr>
          <w:rFonts w:eastAsia="Times New Roman"/>
          <w:noProof/>
          <w:sz w:val="18"/>
          <w:szCs w:val="18"/>
        </w:rPr>
        <w:t xml:space="preserve"> Kol.: </w:t>
      </w:r>
      <w:r w:rsidRPr="00904462">
        <w:rPr>
          <w:rFonts w:eastAsia="Times New Roman"/>
          <w:i/>
          <w:noProof/>
          <w:sz w:val="18"/>
          <w:szCs w:val="18"/>
        </w:rPr>
        <w:t>Trends Shaping Education 2019</w:t>
      </w:r>
      <w:r w:rsidRPr="00904462">
        <w:rPr>
          <w:rFonts w:eastAsia="Times New Roman"/>
          <w:noProof/>
          <w:sz w:val="18"/>
          <w:szCs w:val="18"/>
        </w:rPr>
        <w:t>. Paris: OECD, 2019.</w:t>
      </w:r>
    </w:p>
  </w:footnote>
  <w:footnote w:id="29">
    <w:p w:rsidR="00E505FC" w:rsidRPr="00904462" w:rsidRDefault="00E505FC" w:rsidP="00904462">
      <w:pPr>
        <w:pStyle w:val="Textpoznpodarou"/>
        <w:spacing w:after="60"/>
        <w:ind w:left="0" w:firstLine="0"/>
        <w:jc w:val="both"/>
        <w:rPr>
          <w:rFonts w:eastAsia="Times New Roman"/>
          <w:sz w:val="18"/>
          <w:szCs w:val="18"/>
        </w:rPr>
      </w:pPr>
      <w:r w:rsidRPr="00904462">
        <w:rPr>
          <w:rFonts w:eastAsia="Times New Roman"/>
          <w:sz w:val="18"/>
          <w:szCs w:val="18"/>
          <w:vertAlign w:val="superscript"/>
        </w:rPr>
        <w:footnoteRef/>
      </w:r>
      <w:r w:rsidRPr="00904462">
        <w:rPr>
          <w:rFonts w:eastAsia="Times New Roman"/>
          <w:sz w:val="18"/>
          <w:szCs w:val="18"/>
        </w:rPr>
        <w:t xml:space="preserve"> Kol.: </w:t>
      </w:r>
      <w:r w:rsidRPr="00904462">
        <w:rPr>
          <w:rFonts w:eastAsia="Times New Roman"/>
          <w:i/>
          <w:sz w:val="18"/>
          <w:szCs w:val="18"/>
        </w:rPr>
        <w:t>Hlavní výstupy z Mimořádného šetření ke stavu zajištění výuky učiteli v MŠ, ZŠ, SŠ a VOŠ</w:t>
      </w:r>
      <w:r w:rsidRPr="00904462">
        <w:rPr>
          <w:rFonts w:eastAsia="Times New Roman"/>
          <w:sz w:val="18"/>
          <w:szCs w:val="18"/>
        </w:rPr>
        <w:t>. Praha: MŠMT, 2019.</w:t>
      </w:r>
    </w:p>
  </w:footnote>
  <w:footnote w:id="30">
    <w:p w:rsidR="00E505FC" w:rsidRPr="00904462" w:rsidRDefault="00E505FC" w:rsidP="00904462">
      <w:pPr>
        <w:pStyle w:val="Textpoznpodarou"/>
        <w:spacing w:after="60"/>
        <w:ind w:left="0" w:firstLine="0"/>
        <w:jc w:val="both"/>
        <w:rPr>
          <w:rFonts w:eastAsia="Times New Roman"/>
          <w:noProof/>
          <w:sz w:val="18"/>
          <w:szCs w:val="18"/>
        </w:rPr>
      </w:pPr>
      <w:r w:rsidRPr="00904462">
        <w:rPr>
          <w:rFonts w:eastAsia="Times New Roman"/>
          <w:noProof/>
          <w:sz w:val="18"/>
          <w:szCs w:val="18"/>
          <w:vertAlign w:val="superscript"/>
        </w:rPr>
        <w:footnoteRef/>
      </w:r>
      <w:r w:rsidRPr="00904462">
        <w:rPr>
          <w:rFonts w:eastAsia="Times New Roman"/>
          <w:noProof/>
          <w:sz w:val="18"/>
          <w:szCs w:val="18"/>
          <w:vertAlign w:val="superscript"/>
        </w:rPr>
        <w:t xml:space="preserve"> </w:t>
      </w:r>
      <w:r w:rsidRPr="00904462">
        <w:rPr>
          <w:rFonts w:eastAsia="Times New Roman"/>
          <w:noProof/>
          <w:sz w:val="18"/>
          <w:szCs w:val="18"/>
        </w:rPr>
        <w:t xml:space="preserve">HANUŠOVÁ, S. a kol.: </w:t>
      </w:r>
      <w:r w:rsidRPr="00904462">
        <w:rPr>
          <w:rFonts w:eastAsia="Times New Roman"/>
          <w:i/>
          <w:noProof/>
          <w:sz w:val="18"/>
          <w:szCs w:val="18"/>
        </w:rPr>
        <w:t>Chtějí zůstat nebo odejít? Začínající učitelé v českých základních školách</w:t>
      </w:r>
      <w:r w:rsidRPr="00904462">
        <w:rPr>
          <w:rFonts w:eastAsia="Times New Roman"/>
          <w:noProof/>
          <w:sz w:val="18"/>
          <w:szCs w:val="18"/>
        </w:rPr>
        <w:t>. Brno: Masarykova univerzita, 2017.</w:t>
      </w:r>
    </w:p>
  </w:footnote>
  <w:footnote w:id="31">
    <w:p w:rsidR="00E505FC" w:rsidRPr="00904462" w:rsidRDefault="00E505FC" w:rsidP="00904462">
      <w:pPr>
        <w:pStyle w:val="Textpoznpodarou"/>
        <w:spacing w:after="60"/>
        <w:ind w:left="0" w:firstLine="0"/>
        <w:jc w:val="both"/>
        <w:rPr>
          <w:rFonts w:eastAsia="Times New Roman"/>
          <w:noProof/>
          <w:sz w:val="18"/>
          <w:szCs w:val="18"/>
        </w:rPr>
      </w:pPr>
      <w:r w:rsidRPr="00904462">
        <w:rPr>
          <w:rFonts w:eastAsia="Times New Roman"/>
          <w:noProof/>
          <w:sz w:val="18"/>
          <w:szCs w:val="18"/>
          <w:vertAlign w:val="superscript"/>
        </w:rPr>
        <w:footnoteRef/>
      </w:r>
      <w:r w:rsidRPr="00904462">
        <w:rPr>
          <w:rFonts w:eastAsia="Times New Roman"/>
          <w:noProof/>
          <w:sz w:val="18"/>
          <w:szCs w:val="18"/>
        </w:rPr>
        <w:t xml:space="preserve"> Kol.: </w:t>
      </w:r>
      <w:r w:rsidRPr="00904462">
        <w:rPr>
          <w:rFonts w:eastAsia="Times New Roman"/>
          <w:i/>
          <w:noProof/>
          <w:sz w:val="18"/>
          <w:szCs w:val="18"/>
        </w:rPr>
        <w:t>Vstupní analýza DVPP v rámci předprojektové přípravy projektu IMKA</w:t>
      </w:r>
      <w:r w:rsidRPr="00904462">
        <w:rPr>
          <w:rFonts w:eastAsia="Times New Roman"/>
          <w:noProof/>
          <w:sz w:val="18"/>
          <w:szCs w:val="18"/>
        </w:rPr>
        <w:t>. Praha: NIDV, 2017.</w:t>
      </w:r>
    </w:p>
  </w:footnote>
  <w:footnote w:id="32">
    <w:p w:rsidR="00E505FC" w:rsidRPr="00904462" w:rsidRDefault="00E505FC" w:rsidP="00904462">
      <w:pPr>
        <w:pStyle w:val="Textpoznpodarou"/>
        <w:spacing w:after="60"/>
        <w:ind w:left="0" w:firstLine="0"/>
        <w:jc w:val="both"/>
        <w:rPr>
          <w:rFonts w:asciiTheme="minorHAnsi" w:eastAsia="Times New Roman" w:hAnsiTheme="minorHAnsi" w:cstheme="minorHAnsi"/>
          <w:noProof/>
          <w:sz w:val="18"/>
          <w:szCs w:val="18"/>
        </w:rPr>
      </w:pPr>
      <w:r w:rsidRPr="00904462">
        <w:rPr>
          <w:rFonts w:eastAsia="Times New Roman"/>
          <w:noProof/>
          <w:sz w:val="18"/>
          <w:szCs w:val="18"/>
          <w:vertAlign w:val="superscript"/>
        </w:rPr>
        <w:footnoteRef/>
      </w:r>
      <w:r w:rsidRPr="00904462">
        <w:rPr>
          <w:rFonts w:eastAsia="Times New Roman"/>
          <w:noProof/>
          <w:sz w:val="18"/>
          <w:szCs w:val="18"/>
          <w:vertAlign w:val="superscript"/>
        </w:rPr>
        <w:t xml:space="preserve"> </w:t>
      </w:r>
      <w:r w:rsidRPr="00904462">
        <w:rPr>
          <w:rFonts w:eastAsia="Times New Roman"/>
          <w:noProof/>
          <w:sz w:val="18"/>
          <w:szCs w:val="18"/>
        </w:rPr>
        <w:t xml:space="preserve">Kol.: </w:t>
      </w:r>
      <w:r w:rsidRPr="005955B9">
        <w:rPr>
          <w:rFonts w:eastAsia="Times New Roman"/>
          <w:i/>
          <w:sz w:val="18"/>
          <w:szCs w:val="18"/>
        </w:rPr>
        <w:t>Mezinárodní šetření</w:t>
      </w:r>
      <w:r>
        <w:rPr>
          <w:rFonts w:eastAsia="Times New Roman"/>
          <w:noProof/>
          <w:sz w:val="18"/>
          <w:szCs w:val="18"/>
        </w:rPr>
        <w:t xml:space="preserve"> </w:t>
      </w:r>
      <w:r w:rsidRPr="00904462">
        <w:rPr>
          <w:rFonts w:eastAsia="Times New Roman"/>
          <w:i/>
          <w:noProof/>
          <w:sz w:val="18"/>
          <w:szCs w:val="18"/>
        </w:rPr>
        <w:t>TALIS 201</w:t>
      </w:r>
      <w:r>
        <w:rPr>
          <w:rFonts w:eastAsia="Times New Roman"/>
          <w:i/>
          <w:noProof/>
          <w:sz w:val="18"/>
          <w:szCs w:val="18"/>
        </w:rPr>
        <w:t>8</w:t>
      </w:r>
      <w:r w:rsidRPr="00904462">
        <w:rPr>
          <w:rFonts w:eastAsia="Times New Roman"/>
          <w:i/>
          <w:noProof/>
          <w:sz w:val="18"/>
          <w:szCs w:val="18"/>
        </w:rPr>
        <w:t xml:space="preserve"> </w:t>
      </w:r>
      <w:r>
        <w:rPr>
          <w:rFonts w:eastAsia="Times New Roman"/>
          <w:i/>
          <w:noProof/>
          <w:sz w:val="18"/>
          <w:szCs w:val="18"/>
        </w:rPr>
        <w:t>–</w:t>
      </w:r>
      <w:r w:rsidRPr="00904462">
        <w:rPr>
          <w:rFonts w:eastAsia="Times New Roman"/>
          <w:i/>
          <w:noProof/>
          <w:sz w:val="18"/>
          <w:szCs w:val="18"/>
        </w:rPr>
        <w:t xml:space="preserve"> </w:t>
      </w:r>
      <w:r>
        <w:rPr>
          <w:rFonts w:eastAsia="Times New Roman"/>
          <w:i/>
          <w:noProof/>
          <w:sz w:val="18"/>
          <w:szCs w:val="18"/>
        </w:rPr>
        <w:t>Zkušenosti, názory a postoje učitelů a ředitelů škol</w:t>
      </w:r>
      <w:r w:rsidRPr="00904462">
        <w:rPr>
          <w:rFonts w:eastAsia="Times New Roman"/>
          <w:noProof/>
          <w:sz w:val="18"/>
          <w:szCs w:val="18"/>
        </w:rPr>
        <w:t>. Praha: ČŠI, 20</w:t>
      </w:r>
      <w:r>
        <w:rPr>
          <w:rFonts w:eastAsia="Times New Roman"/>
          <w:noProof/>
          <w:sz w:val="18"/>
          <w:szCs w:val="18"/>
        </w:rPr>
        <w:t>20</w:t>
      </w:r>
      <w:r w:rsidRPr="00904462">
        <w:rPr>
          <w:rFonts w:eastAsia="Times New Roman"/>
          <w:noProof/>
          <w:sz w:val="18"/>
          <w:szCs w:val="18"/>
        </w:rPr>
        <w:t xml:space="preserve">. Blíže srov. LIKOWSKI, K. a kol.: Expert views on the implementation of teacher professional development in European countries. </w:t>
      </w:r>
      <w:r w:rsidRPr="00904462">
        <w:rPr>
          <w:rFonts w:eastAsia="Times New Roman"/>
          <w:i/>
          <w:noProof/>
          <w:sz w:val="18"/>
          <w:szCs w:val="18"/>
        </w:rPr>
        <w:t>Professional Development in Education</w:t>
      </w:r>
      <w:r w:rsidRPr="00904462">
        <w:rPr>
          <w:rFonts w:eastAsia="Times New Roman"/>
          <w:noProof/>
          <w:sz w:val="18"/>
          <w:szCs w:val="18"/>
        </w:rPr>
        <w:t>, 37, 2011, s. 685-700.</w:t>
      </w:r>
    </w:p>
  </w:footnote>
  <w:footnote w:id="33">
    <w:p w:rsidR="00E505FC" w:rsidRPr="00904462" w:rsidRDefault="00E505FC" w:rsidP="00904462">
      <w:pPr>
        <w:pStyle w:val="Textpoznpodarou"/>
        <w:spacing w:after="60"/>
        <w:ind w:left="0" w:firstLine="0"/>
        <w:jc w:val="both"/>
        <w:rPr>
          <w:sz w:val="18"/>
          <w:szCs w:val="18"/>
        </w:rPr>
      </w:pPr>
      <w:r w:rsidRPr="00904462">
        <w:rPr>
          <w:rStyle w:val="Znakapoznpodarou"/>
          <w:b w:val="0"/>
          <w:sz w:val="18"/>
          <w:szCs w:val="18"/>
        </w:rPr>
        <w:footnoteRef/>
      </w:r>
      <w:r w:rsidRPr="00904462">
        <w:rPr>
          <w:sz w:val="18"/>
          <w:szCs w:val="18"/>
        </w:rPr>
        <w:t xml:space="preserve"> </w:t>
      </w:r>
      <w:r w:rsidRPr="00904462">
        <w:rPr>
          <w:rFonts w:eastAsia="Times New Roman"/>
          <w:sz w:val="18"/>
          <w:szCs w:val="18"/>
        </w:rPr>
        <w:t xml:space="preserve">Kol.: </w:t>
      </w:r>
      <w:r w:rsidRPr="00904462">
        <w:rPr>
          <w:rStyle w:val="A10"/>
          <w:i/>
          <w:iCs/>
          <w:sz w:val="18"/>
          <w:szCs w:val="18"/>
        </w:rPr>
        <w:t>How decentralised are education systems, and what does it mean for schools?</w:t>
      </w:r>
      <w:r w:rsidRPr="00904462">
        <w:rPr>
          <w:rStyle w:val="A10"/>
          <w:iCs/>
          <w:sz w:val="18"/>
          <w:szCs w:val="18"/>
        </w:rPr>
        <w:t xml:space="preserve"> Paris: OECD,</w:t>
      </w:r>
      <w:r w:rsidRPr="00904462">
        <w:rPr>
          <w:rStyle w:val="A10"/>
          <w:i/>
          <w:iCs/>
          <w:sz w:val="18"/>
          <w:szCs w:val="18"/>
        </w:rPr>
        <w:t xml:space="preserve"> </w:t>
      </w:r>
      <w:r w:rsidRPr="00904462">
        <w:rPr>
          <w:rStyle w:val="A10"/>
          <w:sz w:val="18"/>
          <w:szCs w:val="18"/>
        </w:rPr>
        <w:t>2018.</w:t>
      </w:r>
    </w:p>
  </w:footnote>
  <w:footnote w:id="34">
    <w:p w:rsidR="00E505FC" w:rsidRPr="00904462" w:rsidRDefault="00E505FC" w:rsidP="00904462">
      <w:pPr>
        <w:pStyle w:val="Textpoznpodarou"/>
        <w:spacing w:after="60"/>
        <w:ind w:left="0" w:firstLine="0"/>
        <w:jc w:val="both"/>
        <w:rPr>
          <w:sz w:val="18"/>
          <w:szCs w:val="18"/>
        </w:rPr>
      </w:pPr>
      <w:r w:rsidRPr="00904462">
        <w:rPr>
          <w:rStyle w:val="Znakapoznpodarou"/>
          <w:b w:val="0"/>
          <w:sz w:val="18"/>
          <w:szCs w:val="18"/>
        </w:rPr>
        <w:footnoteRef/>
      </w:r>
      <w:r w:rsidRPr="00904462">
        <w:rPr>
          <w:sz w:val="18"/>
          <w:szCs w:val="18"/>
        </w:rPr>
        <w:t xml:space="preserve"> Kol.: </w:t>
      </w:r>
      <w:r w:rsidRPr="00904462">
        <w:rPr>
          <w:i/>
          <w:sz w:val="18"/>
          <w:szCs w:val="18"/>
        </w:rPr>
        <w:t>Inovační strategie České republiky 2019–2030</w:t>
      </w:r>
      <w:r w:rsidRPr="00904462">
        <w:rPr>
          <w:sz w:val="18"/>
          <w:szCs w:val="18"/>
        </w:rPr>
        <w:t>. Praha: ÚV ČR – RVVI, 2019.</w:t>
      </w:r>
    </w:p>
  </w:footnote>
  <w:footnote w:id="35">
    <w:p w:rsidR="00E505FC" w:rsidRPr="00904462" w:rsidRDefault="00E505FC" w:rsidP="00904462">
      <w:pPr>
        <w:pStyle w:val="Textpoznpodarou"/>
        <w:spacing w:after="60"/>
        <w:ind w:left="0" w:firstLine="0"/>
        <w:jc w:val="both"/>
        <w:rPr>
          <w:sz w:val="18"/>
          <w:szCs w:val="18"/>
        </w:rPr>
      </w:pPr>
      <w:r w:rsidRPr="00904462">
        <w:rPr>
          <w:rStyle w:val="Znakapoznpodarou"/>
          <w:b w:val="0"/>
          <w:sz w:val="18"/>
          <w:szCs w:val="18"/>
        </w:rPr>
        <w:footnoteRef/>
      </w:r>
      <w:r w:rsidRPr="00904462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Kol.: </w:t>
      </w:r>
      <w:r w:rsidRPr="00270365">
        <w:rPr>
          <w:i/>
          <w:sz w:val="18"/>
          <w:szCs w:val="18"/>
        </w:rPr>
        <w:t>Národní výzkumná a inovační strategie pro</w:t>
      </w:r>
      <w:r>
        <w:rPr>
          <w:i/>
          <w:sz w:val="18"/>
          <w:szCs w:val="18"/>
        </w:rPr>
        <w:t xml:space="preserve"> inteligentní specializaci České republiky 2021-2027. </w:t>
      </w:r>
      <w:r w:rsidRPr="00270365">
        <w:rPr>
          <w:sz w:val="18"/>
          <w:szCs w:val="18"/>
        </w:rPr>
        <w:t>Praha: MPO, 202</w:t>
      </w:r>
      <w:r>
        <w:rPr>
          <w:sz w:val="18"/>
          <w:szCs w:val="18"/>
        </w:rPr>
        <w:t>1</w:t>
      </w:r>
      <w:r w:rsidRPr="00270365">
        <w:rPr>
          <w:sz w:val="18"/>
          <w:szCs w:val="18"/>
        </w:rPr>
        <w:t>.</w:t>
      </w:r>
      <w:r>
        <w:rPr>
          <w:sz w:val="18"/>
          <w:szCs w:val="18"/>
        </w:rPr>
        <w:t xml:space="preserve"> </w:t>
      </w:r>
    </w:p>
  </w:footnote>
  <w:footnote w:id="36">
    <w:p w:rsidR="00E505FC" w:rsidRPr="00904462" w:rsidRDefault="00E505FC" w:rsidP="00904462">
      <w:pPr>
        <w:pStyle w:val="Textpoznpodarou"/>
        <w:spacing w:after="60"/>
        <w:ind w:left="0" w:firstLine="0"/>
        <w:jc w:val="both"/>
        <w:rPr>
          <w:sz w:val="18"/>
          <w:szCs w:val="18"/>
        </w:rPr>
      </w:pPr>
      <w:r w:rsidRPr="00904462">
        <w:rPr>
          <w:rStyle w:val="Znakapoznpodarou"/>
          <w:b w:val="0"/>
          <w:sz w:val="18"/>
          <w:szCs w:val="18"/>
        </w:rPr>
        <w:footnoteRef/>
      </w:r>
      <w:r w:rsidRPr="00904462">
        <w:rPr>
          <w:sz w:val="18"/>
          <w:szCs w:val="18"/>
        </w:rPr>
        <w:t xml:space="preserve"> Kol.: </w:t>
      </w:r>
      <w:r w:rsidRPr="00904462">
        <w:rPr>
          <w:i/>
          <w:sz w:val="18"/>
          <w:szCs w:val="18"/>
        </w:rPr>
        <w:t>Country specific recommendations 2019</w:t>
      </w:r>
      <w:r w:rsidRPr="00904462">
        <w:rPr>
          <w:sz w:val="18"/>
          <w:szCs w:val="18"/>
        </w:rPr>
        <w:t>. Brusel: Evropská komise, 2019.</w:t>
      </w:r>
    </w:p>
  </w:footnote>
  <w:footnote w:id="37">
    <w:p w:rsidR="00E505FC" w:rsidRDefault="00E505FC" w:rsidP="001F1EBB">
      <w:pPr>
        <w:pStyle w:val="Textpoznpodarou"/>
        <w:ind w:left="0" w:firstLine="0"/>
        <w:jc w:val="both"/>
      </w:pPr>
      <w:r w:rsidRPr="0041536C">
        <w:rPr>
          <w:rStyle w:val="Znakapoznpodarou"/>
          <w:b w:val="0"/>
          <w:sz w:val="18"/>
          <w:szCs w:val="18"/>
        </w:rPr>
        <w:footnoteRef/>
      </w:r>
      <w:r>
        <w:t xml:space="preserve"> </w:t>
      </w:r>
      <w:r>
        <w:rPr>
          <w:rFonts w:eastAsia="Times New Roman"/>
          <w:noProof/>
          <w:sz w:val="18"/>
          <w:szCs w:val="18"/>
        </w:rPr>
        <w:t>Kol.:</w:t>
      </w:r>
      <w:r w:rsidRPr="00261144">
        <w:rPr>
          <w:rFonts w:eastAsia="Times New Roman"/>
          <w:noProof/>
          <w:sz w:val="18"/>
          <w:szCs w:val="18"/>
        </w:rPr>
        <w:t xml:space="preserve"> </w:t>
      </w:r>
      <w:r w:rsidRPr="0041536C">
        <w:rPr>
          <w:rFonts w:eastAsia="Times New Roman"/>
          <w:i/>
          <w:sz w:val="18"/>
          <w:szCs w:val="18"/>
        </w:rPr>
        <w:t>OECD Economic Surveys: Czech Republic 2020</w:t>
      </w:r>
      <w:r>
        <w:rPr>
          <w:rFonts w:eastAsia="Times New Roman"/>
          <w:noProof/>
          <w:sz w:val="18"/>
          <w:szCs w:val="18"/>
        </w:rPr>
        <w:t>. Paris: OECD, 2020</w:t>
      </w:r>
      <w:r w:rsidRPr="00261144">
        <w:rPr>
          <w:rFonts w:eastAsia="Times New Roman"/>
          <w:noProof/>
          <w:sz w:val="18"/>
          <w:szCs w:val="18"/>
        </w:rPr>
        <w:t xml:space="preserve"> </w:t>
      </w:r>
      <w:r>
        <w:rPr>
          <w:rFonts w:eastAsia="Times New Roman"/>
          <w:noProof/>
          <w:sz w:val="18"/>
          <w:szCs w:val="18"/>
        </w:rPr>
        <w:t xml:space="preserve">s. 49, </w:t>
      </w:r>
      <w:r w:rsidRPr="00261144">
        <w:rPr>
          <w:rFonts w:eastAsia="Times New Roman"/>
          <w:noProof/>
          <w:sz w:val="18"/>
          <w:szCs w:val="18"/>
        </w:rPr>
        <w:t>https://doi.org/10.1787/1b180a5a-en.</w:t>
      </w:r>
    </w:p>
  </w:footnote>
  <w:footnote w:id="38">
    <w:p w:rsidR="00E505FC" w:rsidRDefault="00E505FC" w:rsidP="00391B1D">
      <w:pPr>
        <w:pStyle w:val="Textpoznpodarou"/>
        <w:spacing w:after="60"/>
        <w:ind w:left="0" w:firstLine="0"/>
        <w:jc w:val="both"/>
      </w:pPr>
      <w:r w:rsidRPr="00391B1D">
        <w:rPr>
          <w:rStyle w:val="Znakapoznpodarou"/>
          <w:b w:val="0"/>
          <w:sz w:val="18"/>
          <w:szCs w:val="18"/>
        </w:rPr>
        <w:footnoteRef/>
      </w:r>
      <w:r w:rsidRPr="00391B1D">
        <w:rPr>
          <w:rStyle w:val="Znakapoznpodarou"/>
          <w:b w:val="0"/>
          <w:sz w:val="18"/>
          <w:szCs w:val="18"/>
        </w:rPr>
        <w:t xml:space="preserve"> </w:t>
      </w:r>
      <w:r>
        <w:rPr>
          <w:sz w:val="18"/>
          <w:szCs w:val="18"/>
        </w:rPr>
        <w:t xml:space="preserve">Kol.: </w:t>
      </w:r>
      <w:r w:rsidRPr="00270365">
        <w:rPr>
          <w:i/>
          <w:sz w:val="18"/>
          <w:szCs w:val="18"/>
        </w:rPr>
        <w:t>Národní výzkumná a inovační strategie pro</w:t>
      </w:r>
      <w:r>
        <w:rPr>
          <w:i/>
          <w:sz w:val="18"/>
          <w:szCs w:val="18"/>
        </w:rPr>
        <w:t xml:space="preserve"> inteligentní specializaci České republiky 2021-2027. </w:t>
      </w:r>
      <w:r w:rsidRPr="00270365">
        <w:rPr>
          <w:sz w:val="18"/>
          <w:szCs w:val="18"/>
        </w:rPr>
        <w:t>Praha: MPO, 202</w:t>
      </w:r>
      <w:r>
        <w:rPr>
          <w:sz w:val="18"/>
          <w:szCs w:val="18"/>
        </w:rPr>
        <w:t>1.</w:t>
      </w:r>
    </w:p>
  </w:footnote>
  <w:footnote w:id="39">
    <w:p w:rsidR="00E505FC" w:rsidRPr="00904462" w:rsidRDefault="00E505FC" w:rsidP="00904462">
      <w:pPr>
        <w:pStyle w:val="Textpoznpodarou"/>
        <w:spacing w:after="60"/>
        <w:ind w:left="0" w:firstLine="0"/>
        <w:jc w:val="both"/>
        <w:rPr>
          <w:sz w:val="18"/>
          <w:szCs w:val="18"/>
        </w:rPr>
      </w:pPr>
      <w:r w:rsidRPr="00904462">
        <w:rPr>
          <w:rStyle w:val="Znakapoznpodarou"/>
          <w:b w:val="0"/>
          <w:sz w:val="18"/>
          <w:szCs w:val="18"/>
        </w:rPr>
        <w:footnoteRef/>
      </w:r>
      <w:r w:rsidRPr="00904462">
        <w:rPr>
          <w:sz w:val="18"/>
          <w:szCs w:val="18"/>
        </w:rPr>
        <w:t xml:space="preserve"> Kol.: </w:t>
      </w:r>
      <w:r w:rsidRPr="00904462">
        <w:rPr>
          <w:i/>
          <w:sz w:val="18"/>
          <w:szCs w:val="18"/>
        </w:rPr>
        <w:t>Národní strategie otevřeného přístupu ČR k vědeckým informacím na léta 2017-2020</w:t>
      </w:r>
      <w:r w:rsidRPr="00904462">
        <w:rPr>
          <w:sz w:val="18"/>
          <w:szCs w:val="18"/>
        </w:rPr>
        <w:t xml:space="preserve">. Praha: ÚV ČR – RVVI, 2017; kol.: </w:t>
      </w:r>
      <w:r w:rsidRPr="00904462">
        <w:rPr>
          <w:i/>
          <w:sz w:val="18"/>
          <w:szCs w:val="18"/>
        </w:rPr>
        <w:t>Akční plán pro implementaci Národní strategie otevřeného přístupu ČR k vědeckým informacím na léta 2017–2020</w:t>
      </w:r>
      <w:r w:rsidRPr="00904462">
        <w:rPr>
          <w:sz w:val="18"/>
          <w:szCs w:val="18"/>
        </w:rPr>
        <w:t>. Praha: ÚV ČR – RVVI, 2019.</w:t>
      </w:r>
      <w:r>
        <w:rPr>
          <w:sz w:val="18"/>
          <w:szCs w:val="18"/>
        </w:rPr>
        <w:t xml:space="preserve"> Kol.: </w:t>
      </w:r>
      <w:r w:rsidRPr="00270365">
        <w:rPr>
          <w:i/>
          <w:sz w:val="18"/>
          <w:szCs w:val="18"/>
        </w:rPr>
        <w:t>Národní výzkumná a inovační strategie pro</w:t>
      </w:r>
      <w:r>
        <w:rPr>
          <w:i/>
          <w:sz w:val="18"/>
          <w:szCs w:val="18"/>
        </w:rPr>
        <w:t xml:space="preserve"> inteligentní specializaci České republiky 2021-2027. </w:t>
      </w:r>
      <w:r w:rsidRPr="00270365">
        <w:rPr>
          <w:sz w:val="18"/>
          <w:szCs w:val="18"/>
        </w:rPr>
        <w:t>Praha: MPO, 202</w:t>
      </w:r>
      <w:r>
        <w:rPr>
          <w:sz w:val="18"/>
          <w:szCs w:val="18"/>
        </w:rPr>
        <w:t>1.</w:t>
      </w:r>
    </w:p>
  </w:footnote>
  <w:footnote w:id="40">
    <w:p w:rsidR="00E505FC" w:rsidRDefault="00E505FC">
      <w:pPr>
        <w:pStyle w:val="Textpoznpodarou"/>
      </w:pPr>
      <w:r w:rsidRPr="00BE7A94">
        <w:rPr>
          <w:rStyle w:val="Znakapoznpodarou"/>
          <w:b w:val="0"/>
          <w:sz w:val="18"/>
          <w:szCs w:val="18"/>
        </w:rPr>
        <w:footnoteRef/>
      </w:r>
      <w:r>
        <w:t xml:space="preserve"> </w:t>
      </w:r>
      <w:r>
        <w:rPr>
          <w:sz w:val="18"/>
          <w:szCs w:val="18"/>
        </w:rPr>
        <w:t xml:space="preserve">Kol.: </w:t>
      </w:r>
      <w:r w:rsidRPr="00270365">
        <w:rPr>
          <w:i/>
          <w:sz w:val="18"/>
          <w:szCs w:val="18"/>
        </w:rPr>
        <w:t>Národní výzkumná a inovační strategie pro</w:t>
      </w:r>
      <w:r>
        <w:rPr>
          <w:i/>
          <w:sz w:val="18"/>
          <w:szCs w:val="18"/>
        </w:rPr>
        <w:t xml:space="preserve"> inteligentní specializaci České republiky 2021-2027. </w:t>
      </w:r>
      <w:r w:rsidRPr="00270365">
        <w:rPr>
          <w:sz w:val="18"/>
          <w:szCs w:val="18"/>
        </w:rPr>
        <w:t>Praha: MPO, 202</w:t>
      </w:r>
      <w:r>
        <w:rPr>
          <w:sz w:val="18"/>
          <w:szCs w:val="18"/>
        </w:rPr>
        <w:t>1.</w:t>
      </w:r>
    </w:p>
  </w:footnote>
  <w:footnote w:id="41">
    <w:p w:rsidR="00E505FC" w:rsidRDefault="00E505FC" w:rsidP="00E41A1F">
      <w:pPr>
        <w:pStyle w:val="Textpoznpodarou"/>
        <w:spacing w:after="60"/>
        <w:ind w:left="0" w:firstLine="0"/>
        <w:jc w:val="both"/>
      </w:pPr>
      <w:r w:rsidRPr="00A40F97">
        <w:rPr>
          <w:rStyle w:val="Znakapoznpodarou"/>
          <w:b w:val="0"/>
          <w:sz w:val="18"/>
          <w:szCs w:val="18"/>
        </w:rPr>
        <w:footnoteRef/>
      </w:r>
      <w:r>
        <w:t xml:space="preserve"> </w:t>
      </w:r>
      <w:r>
        <w:rPr>
          <w:sz w:val="18"/>
          <w:szCs w:val="18"/>
        </w:rPr>
        <w:t xml:space="preserve">Kol.: </w:t>
      </w:r>
      <w:r w:rsidRPr="00270365">
        <w:rPr>
          <w:i/>
          <w:sz w:val="18"/>
          <w:szCs w:val="18"/>
        </w:rPr>
        <w:t>Národní výzkumná a inovační strategie pro</w:t>
      </w:r>
      <w:r>
        <w:rPr>
          <w:i/>
          <w:sz w:val="18"/>
          <w:szCs w:val="18"/>
        </w:rPr>
        <w:t xml:space="preserve"> inteligentní specializaci České republiky 2021-2027. </w:t>
      </w:r>
      <w:r w:rsidRPr="00270365">
        <w:rPr>
          <w:sz w:val="18"/>
          <w:szCs w:val="18"/>
        </w:rPr>
        <w:t>Praha: MPO, 202</w:t>
      </w:r>
      <w:r>
        <w:rPr>
          <w:sz w:val="18"/>
          <w:szCs w:val="18"/>
        </w:rPr>
        <w:t>1.</w:t>
      </w:r>
    </w:p>
  </w:footnote>
  <w:footnote w:id="42">
    <w:p w:rsidR="00E505FC" w:rsidRPr="00904462" w:rsidRDefault="00E505FC" w:rsidP="00904462">
      <w:pPr>
        <w:pStyle w:val="Textpoznpodarou"/>
        <w:spacing w:after="60"/>
        <w:ind w:left="0" w:firstLine="0"/>
        <w:jc w:val="both"/>
        <w:rPr>
          <w:rFonts w:asciiTheme="minorHAnsi" w:hAnsiTheme="minorHAnsi"/>
          <w:sz w:val="18"/>
          <w:szCs w:val="18"/>
        </w:rPr>
      </w:pPr>
      <w:r w:rsidRPr="00904462">
        <w:rPr>
          <w:rStyle w:val="Znakapoznpodarou"/>
          <w:b w:val="0"/>
          <w:sz w:val="18"/>
          <w:szCs w:val="18"/>
        </w:rPr>
        <w:footnoteRef/>
      </w:r>
      <w:r w:rsidRPr="00904462">
        <w:rPr>
          <w:sz w:val="18"/>
          <w:szCs w:val="18"/>
        </w:rPr>
        <w:t xml:space="preserve"> Kol.: </w:t>
      </w:r>
      <w:r w:rsidRPr="00904462">
        <w:rPr>
          <w:i/>
          <w:sz w:val="18"/>
          <w:szCs w:val="18"/>
        </w:rPr>
        <w:t>Mapování inovační kapacity ČR – INKA</w:t>
      </w:r>
      <w:r w:rsidRPr="00904462">
        <w:rPr>
          <w:sz w:val="18"/>
          <w:szCs w:val="18"/>
        </w:rPr>
        <w:t>. Praha: TAČR, 2016.</w:t>
      </w:r>
    </w:p>
  </w:footnote>
  <w:footnote w:id="43">
    <w:p w:rsidR="00E505FC" w:rsidRDefault="00E505FC">
      <w:pPr>
        <w:pStyle w:val="Textpoznpodarou"/>
      </w:pPr>
      <w:r w:rsidRPr="00A0255A">
        <w:rPr>
          <w:rStyle w:val="Znakapoznpodarou"/>
          <w:b w:val="0"/>
          <w:sz w:val="18"/>
          <w:szCs w:val="18"/>
        </w:rPr>
        <w:footnoteRef/>
      </w:r>
      <w:r>
        <w:t xml:space="preserve"> </w:t>
      </w:r>
      <w:r>
        <w:rPr>
          <w:sz w:val="18"/>
          <w:szCs w:val="18"/>
        </w:rPr>
        <w:t xml:space="preserve">Kol.: </w:t>
      </w:r>
      <w:r w:rsidRPr="00270365">
        <w:rPr>
          <w:i/>
          <w:sz w:val="18"/>
          <w:szCs w:val="18"/>
        </w:rPr>
        <w:t>Národní výzkumná a inovační strategie pro</w:t>
      </w:r>
      <w:r>
        <w:rPr>
          <w:i/>
          <w:sz w:val="18"/>
          <w:szCs w:val="18"/>
        </w:rPr>
        <w:t xml:space="preserve"> inteligentní specializaci České republiky 2021-2027. </w:t>
      </w:r>
      <w:r w:rsidRPr="00270365">
        <w:rPr>
          <w:sz w:val="18"/>
          <w:szCs w:val="18"/>
        </w:rPr>
        <w:t>Praha: MPO, 202</w:t>
      </w:r>
      <w:r>
        <w:rPr>
          <w:sz w:val="18"/>
          <w:szCs w:val="18"/>
        </w:rPr>
        <w:t>1.</w:t>
      </w:r>
    </w:p>
  </w:footnote>
  <w:footnote w:id="44">
    <w:p w:rsidR="00E505FC" w:rsidRPr="00904462" w:rsidRDefault="00E505FC" w:rsidP="00904462">
      <w:pPr>
        <w:pStyle w:val="Textpoznpodarou"/>
        <w:spacing w:after="60"/>
        <w:ind w:left="0" w:firstLine="0"/>
        <w:jc w:val="both"/>
        <w:rPr>
          <w:sz w:val="18"/>
          <w:szCs w:val="18"/>
        </w:rPr>
      </w:pPr>
      <w:r w:rsidRPr="00904462">
        <w:rPr>
          <w:rStyle w:val="Znakapoznpodarou"/>
          <w:b w:val="0"/>
          <w:sz w:val="18"/>
          <w:szCs w:val="18"/>
        </w:rPr>
        <w:footnoteRef/>
      </w:r>
      <w:r w:rsidRPr="00904462">
        <w:rPr>
          <w:sz w:val="18"/>
          <w:szCs w:val="18"/>
        </w:rPr>
        <w:t xml:space="preserve"> Kol.: </w:t>
      </w:r>
      <w:r w:rsidRPr="00904462">
        <w:rPr>
          <w:i/>
          <w:sz w:val="18"/>
          <w:szCs w:val="18"/>
        </w:rPr>
        <w:t>Vyhodnocení výzvy Smart Akcelerátor</w:t>
      </w:r>
      <w:r w:rsidRPr="00904462">
        <w:rPr>
          <w:sz w:val="18"/>
          <w:szCs w:val="18"/>
        </w:rPr>
        <w:t xml:space="preserve">. Praha: ŘO OP VVV, 2018; </w:t>
      </w:r>
      <w:r w:rsidRPr="00904462">
        <w:rPr>
          <w:i/>
          <w:sz w:val="18"/>
          <w:szCs w:val="18"/>
        </w:rPr>
        <w:t>Vyhodnocení celkových přínosů Regionální inovační strategie Jihomoravského kraje</w:t>
      </w:r>
      <w:r w:rsidRPr="00904462">
        <w:rPr>
          <w:sz w:val="18"/>
          <w:szCs w:val="18"/>
        </w:rPr>
        <w:t>. Praha: Technologické centrum AV</w:t>
      </w:r>
      <w:r>
        <w:rPr>
          <w:sz w:val="18"/>
          <w:szCs w:val="18"/>
        </w:rPr>
        <w:t xml:space="preserve"> </w:t>
      </w:r>
      <w:r w:rsidRPr="00904462">
        <w:rPr>
          <w:sz w:val="18"/>
          <w:szCs w:val="18"/>
        </w:rPr>
        <w:t>ČR, Technopolis Group, IREAS centrum, 2018.</w:t>
      </w:r>
    </w:p>
  </w:footnote>
  <w:footnote w:id="45">
    <w:p w:rsidR="00E505FC" w:rsidRDefault="00E505FC" w:rsidP="002C3DFA">
      <w:pPr>
        <w:pStyle w:val="Textpoznpodarou"/>
      </w:pPr>
      <w:r w:rsidRPr="002C3DFA">
        <w:rPr>
          <w:rStyle w:val="Znakapoznpodarou"/>
          <w:b w:val="0"/>
          <w:sz w:val="18"/>
          <w:szCs w:val="18"/>
        </w:rPr>
        <w:footnoteRef/>
      </w:r>
      <w:r w:rsidRPr="002C3DFA">
        <w:rPr>
          <w:rStyle w:val="Znakapoznpodarou"/>
          <w:sz w:val="18"/>
          <w:szCs w:val="18"/>
        </w:rPr>
        <w:t xml:space="preserve"> </w:t>
      </w:r>
      <w:r>
        <w:rPr>
          <w:sz w:val="18"/>
          <w:szCs w:val="18"/>
        </w:rPr>
        <w:t xml:space="preserve">Kol.: </w:t>
      </w:r>
      <w:r w:rsidRPr="00270365">
        <w:rPr>
          <w:i/>
          <w:sz w:val="18"/>
          <w:szCs w:val="18"/>
        </w:rPr>
        <w:t>Národní výzkumná a inovační strategie pro</w:t>
      </w:r>
      <w:r>
        <w:rPr>
          <w:i/>
          <w:sz w:val="18"/>
          <w:szCs w:val="18"/>
        </w:rPr>
        <w:t xml:space="preserve"> inteligentní specializaci České republiky 2021-2027. </w:t>
      </w:r>
      <w:r w:rsidRPr="00270365">
        <w:rPr>
          <w:sz w:val="18"/>
          <w:szCs w:val="18"/>
        </w:rPr>
        <w:t>Praha: MPO, 202</w:t>
      </w:r>
      <w:r>
        <w:rPr>
          <w:sz w:val="18"/>
          <w:szCs w:val="18"/>
        </w:rPr>
        <w:t>1.</w:t>
      </w:r>
    </w:p>
  </w:footnote>
  <w:footnote w:id="46">
    <w:p w:rsidR="00E505FC" w:rsidRDefault="00E505FC" w:rsidP="00802DC1">
      <w:pPr>
        <w:pStyle w:val="Textpoznpodarou"/>
        <w:ind w:left="0" w:firstLine="0"/>
        <w:jc w:val="both"/>
      </w:pPr>
      <w:r w:rsidRPr="00802DC1">
        <w:rPr>
          <w:rStyle w:val="Znakapoznpodarou"/>
          <w:b w:val="0"/>
          <w:sz w:val="18"/>
          <w:szCs w:val="18"/>
        </w:rPr>
        <w:footnoteRef/>
      </w:r>
      <w:r w:rsidRPr="00802DC1">
        <w:rPr>
          <w:sz w:val="18"/>
          <w:szCs w:val="18"/>
        </w:rPr>
        <w:t xml:space="preserve"> </w:t>
      </w:r>
      <w:r w:rsidRPr="00261144">
        <w:rPr>
          <w:rFonts w:eastAsia="Times New Roman"/>
          <w:noProof/>
          <w:sz w:val="18"/>
          <w:szCs w:val="18"/>
        </w:rPr>
        <w:t xml:space="preserve">OECD (2020), OECD Economic Surveys: Czech Republic 2020, </w:t>
      </w:r>
      <w:r>
        <w:rPr>
          <w:rFonts w:eastAsia="Times New Roman"/>
          <w:noProof/>
          <w:sz w:val="18"/>
          <w:szCs w:val="18"/>
        </w:rPr>
        <w:t xml:space="preserve">s. 48, </w:t>
      </w:r>
      <w:r w:rsidRPr="00261144">
        <w:rPr>
          <w:rFonts w:eastAsia="Times New Roman"/>
          <w:noProof/>
          <w:sz w:val="18"/>
          <w:szCs w:val="18"/>
        </w:rPr>
        <w:t>OECD Publishing, Paris,</w:t>
      </w:r>
      <w:r>
        <w:rPr>
          <w:rFonts w:eastAsia="Times New Roman"/>
          <w:noProof/>
          <w:sz w:val="18"/>
          <w:szCs w:val="18"/>
        </w:rPr>
        <w:t xml:space="preserve"> </w:t>
      </w:r>
      <w:r w:rsidRPr="00261144">
        <w:rPr>
          <w:rFonts w:eastAsia="Times New Roman"/>
          <w:noProof/>
          <w:sz w:val="18"/>
          <w:szCs w:val="18"/>
        </w:rPr>
        <w:t>https://doi.org/10.1787/1b180a5a-en.</w:t>
      </w:r>
    </w:p>
  </w:footnote>
  <w:footnote w:id="47">
    <w:p w:rsidR="00E505FC" w:rsidRDefault="00E505FC" w:rsidP="00E41A1F">
      <w:pPr>
        <w:pStyle w:val="Textpoznpodarou"/>
      </w:pPr>
      <w:r w:rsidRPr="002C3DFA">
        <w:rPr>
          <w:rStyle w:val="Znakapoznpodarou"/>
          <w:b w:val="0"/>
          <w:sz w:val="18"/>
          <w:szCs w:val="18"/>
        </w:rPr>
        <w:footnoteRef/>
      </w:r>
      <w:r>
        <w:t xml:space="preserve"> </w:t>
      </w:r>
      <w:r>
        <w:rPr>
          <w:sz w:val="18"/>
          <w:szCs w:val="18"/>
        </w:rPr>
        <w:t xml:space="preserve">Kol.: </w:t>
      </w:r>
      <w:r w:rsidRPr="00270365">
        <w:rPr>
          <w:i/>
          <w:sz w:val="18"/>
          <w:szCs w:val="18"/>
        </w:rPr>
        <w:t>Národní výzkumná a inovační strategie pro</w:t>
      </w:r>
      <w:r>
        <w:rPr>
          <w:i/>
          <w:sz w:val="18"/>
          <w:szCs w:val="18"/>
        </w:rPr>
        <w:t xml:space="preserve"> inteligentní specializaci České republiky 2021-2027. </w:t>
      </w:r>
      <w:r w:rsidRPr="00270365">
        <w:rPr>
          <w:sz w:val="18"/>
          <w:szCs w:val="18"/>
        </w:rPr>
        <w:t>Praha: MPO, 202</w:t>
      </w:r>
      <w:r>
        <w:rPr>
          <w:sz w:val="18"/>
          <w:szCs w:val="18"/>
        </w:rPr>
        <w:t>1.</w:t>
      </w:r>
    </w:p>
  </w:footnote>
  <w:footnote w:id="48">
    <w:p w:rsidR="00E505FC" w:rsidRPr="00904462" w:rsidRDefault="00E505FC" w:rsidP="00904462">
      <w:pPr>
        <w:pStyle w:val="Textpoznpodarou"/>
        <w:spacing w:after="60"/>
        <w:ind w:left="0" w:firstLine="0"/>
        <w:jc w:val="both"/>
        <w:rPr>
          <w:sz w:val="18"/>
          <w:szCs w:val="18"/>
        </w:rPr>
      </w:pPr>
      <w:r w:rsidRPr="00904462">
        <w:rPr>
          <w:rStyle w:val="Znakapoznpodarou"/>
          <w:b w:val="0"/>
          <w:sz w:val="18"/>
          <w:szCs w:val="18"/>
        </w:rPr>
        <w:footnoteRef/>
      </w:r>
      <w:r w:rsidRPr="00904462">
        <w:rPr>
          <w:rStyle w:val="Znakapoznpodarou"/>
          <w:b w:val="0"/>
          <w:sz w:val="18"/>
          <w:szCs w:val="18"/>
        </w:rPr>
        <w:t xml:space="preserve"> </w:t>
      </w:r>
      <w:r w:rsidRPr="00904462">
        <w:rPr>
          <w:sz w:val="18"/>
          <w:szCs w:val="18"/>
        </w:rPr>
        <w:t xml:space="preserve">Kol.: </w:t>
      </w:r>
      <w:r w:rsidRPr="00904462">
        <w:rPr>
          <w:i/>
          <w:sz w:val="18"/>
          <w:szCs w:val="18"/>
        </w:rPr>
        <w:t>Národní politik</w:t>
      </w:r>
      <w:r>
        <w:rPr>
          <w:i/>
          <w:sz w:val="18"/>
          <w:szCs w:val="18"/>
        </w:rPr>
        <w:t>a</w:t>
      </w:r>
      <w:r w:rsidRPr="00904462">
        <w:rPr>
          <w:i/>
          <w:sz w:val="18"/>
          <w:szCs w:val="18"/>
        </w:rPr>
        <w:t xml:space="preserve"> výzkumu, vývoje a inovací Č</w:t>
      </w:r>
      <w:r>
        <w:rPr>
          <w:i/>
          <w:sz w:val="18"/>
          <w:szCs w:val="18"/>
        </w:rPr>
        <w:t>eské republiky</w:t>
      </w:r>
      <w:r w:rsidRPr="00904462">
        <w:rPr>
          <w:i/>
          <w:sz w:val="18"/>
          <w:szCs w:val="18"/>
        </w:rPr>
        <w:t xml:space="preserve"> 202</w:t>
      </w:r>
      <w:r>
        <w:rPr>
          <w:i/>
          <w:sz w:val="18"/>
          <w:szCs w:val="18"/>
        </w:rPr>
        <w:t>1+</w:t>
      </w:r>
      <w:r w:rsidRPr="00904462">
        <w:rPr>
          <w:sz w:val="18"/>
          <w:szCs w:val="18"/>
        </w:rPr>
        <w:t>. Praha: ÚV ČR – RVVI, 20</w:t>
      </w:r>
      <w:r>
        <w:rPr>
          <w:sz w:val="18"/>
          <w:szCs w:val="18"/>
        </w:rPr>
        <w:t>20</w:t>
      </w:r>
      <w:r w:rsidRPr="00904462">
        <w:rPr>
          <w:sz w:val="18"/>
          <w:szCs w:val="18"/>
        </w:rPr>
        <w:t>.</w:t>
      </w:r>
      <w:r>
        <w:rPr>
          <w:sz w:val="18"/>
          <w:szCs w:val="18"/>
        </w:rPr>
        <w:t xml:space="preserve">; Kol.: </w:t>
      </w:r>
      <w:r w:rsidRPr="00270365">
        <w:rPr>
          <w:i/>
          <w:sz w:val="18"/>
          <w:szCs w:val="18"/>
        </w:rPr>
        <w:t>Národní výzkumná a</w:t>
      </w:r>
      <w:r>
        <w:rPr>
          <w:i/>
          <w:sz w:val="18"/>
          <w:szCs w:val="18"/>
        </w:rPr>
        <w:t> </w:t>
      </w:r>
      <w:r w:rsidRPr="00270365">
        <w:rPr>
          <w:i/>
          <w:sz w:val="18"/>
          <w:szCs w:val="18"/>
        </w:rPr>
        <w:t>inovační strategie pro</w:t>
      </w:r>
      <w:r>
        <w:rPr>
          <w:i/>
          <w:sz w:val="18"/>
          <w:szCs w:val="18"/>
        </w:rPr>
        <w:t xml:space="preserve"> inteligentní specializaci České republiky 2021-2027. </w:t>
      </w:r>
      <w:r w:rsidRPr="00270365">
        <w:rPr>
          <w:sz w:val="18"/>
          <w:szCs w:val="18"/>
        </w:rPr>
        <w:t>Praha: MPO, 202</w:t>
      </w:r>
      <w:r>
        <w:rPr>
          <w:sz w:val="18"/>
          <w:szCs w:val="18"/>
        </w:rPr>
        <w:t>1.</w:t>
      </w:r>
    </w:p>
  </w:footnote>
  <w:footnote w:id="49">
    <w:p w:rsidR="00E505FC" w:rsidRPr="00904462" w:rsidRDefault="00E505FC" w:rsidP="00904462">
      <w:pPr>
        <w:pStyle w:val="Textpoznpodarou"/>
        <w:spacing w:after="60"/>
        <w:ind w:left="0" w:firstLine="0"/>
        <w:jc w:val="both"/>
        <w:rPr>
          <w:sz w:val="18"/>
          <w:szCs w:val="18"/>
        </w:rPr>
      </w:pPr>
      <w:r w:rsidRPr="00904462">
        <w:rPr>
          <w:rStyle w:val="Znakapoznpodarou"/>
          <w:b w:val="0"/>
          <w:sz w:val="18"/>
          <w:szCs w:val="18"/>
        </w:rPr>
        <w:footnoteRef/>
      </w:r>
      <w:r w:rsidRPr="00904462">
        <w:rPr>
          <w:sz w:val="18"/>
          <w:szCs w:val="18"/>
        </w:rPr>
        <w:t xml:space="preserve"> Kol.: </w:t>
      </w:r>
      <w:r w:rsidRPr="00904462">
        <w:rPr>
          <w:i/>
          <w:sz w:val="18"/>
          <w:szCs w:val="18"/>
        </w:rPr>
        <w:t>Ukazatele výzkumu a vývoje za rok 201</w:t>
      </w:r>
      <w:r>
        <w:rPr>
          <w:i/>
          <w:sz w:val="18"/>
          <w:szCs w:val="18"/>
        </w:rPr>
        <w:t>9</w:t>
      </w:r>
      <w:r w:rsidRPr="00904462">
        <w:rPr>
          <w:sz w:val="18"/>
          <w:szCs w:val="18"/>
        </w:rPr>
        <w:t xml:space="preserve">. </w:t>
      </w:r>
      <w:r w:rsidRPr="00914C84">
        <w:rPr>
          <w:sz w:val="18"/>
          <w:szCs w:val="18"/>
        </w:rPr>
        <w:t>Praha: Český statistický úřad, 20</w:t>
      </w:r>
      <w:r w:rsidRPr="0041536C">
        <w:rPr>
          <w:sz w:val="18"/>
          <w:szCs w:val="18"/>
        </w:rPr>
        <w:t>20</w:t>
      </w:r>
      <w:r w:rsidRPr="00914C84">
        <w:rPr>
          <w:sz w:val="18"/>
          <w:szCs w:val="18"/>
        </w:rPr>
        <w:t>.</w:t>
      </w:r>
    </w:p>
  </w:footnote>
  <w:footnote w:id="50">
    <w:p w:rsidR="00E505FC" w:rsidRPr="00904462" w:rsidRDefault="00E505FC" w:rsidP="00904462">
      <w:pPr>
        <w:pStyle w:val="Textpoznpodarou"/>
        <w:spacing w:after="60"/>
        <w:ind w:left="0" w:firstLine="0"/>
        <w:jc w:val="both"/>
        <w:rPr>
          <w:sz w:val="18"/>
          <w:szCs w:val="18"/>
        </w:rPr>
      </w:pPr>
      <w:r w:rsidRPr="00904462">
        <w:rPr>
          <w:rStyle w:val="Znakapoznpodarou"/>
          <w:b w:val="0"/>
          <w:sz w:val="18"/>
          <w:szCs w:val="18"/>
        </w:rPr>
        <w:footnoteRef/>
      </w:r>
      <w:r w:rsidRPr="00904462">
        <w:rPr>
          <w:rStyle w:val="Znakapoznpodarou"/>
          <w:b w:val="0"/>
          <w:sz w:val="18"/>
          <w:szCs w:val="18"/>
        </w:rPr>
        <w:t xml:space="preserve"> </w:t>
      </w:r>
      <w:r w:rsidRPr="00904462">
        <w:rPr>
          <w:sz w:val="18"/>
          <w:szCs w:val="18"/>
        </w:rPr>
        <w:t xml:space="preserve">Kol.: </w:t>
      </w:r>
      <w:r w:rsidRPr="00904462">
        <w:rPr>
          <w:i/>
          <w:sz w:val="18"/>
          <w:szCs w:val="18"/>
        </w:rPr>
        <w:t>From Horizon 2020 to Horizon Europe</w:t>
      </w:r>
      <w:r w:rsidRPr="00904462">
        <w:rPr>
          <w:sz w:val="18"/>
          <w:szCs w:val="18"/>
        </w:rPr>
        <w:t>. Brusel: Evropská komise, 2018</w:t>
      </w:r>
      <w:r>
        <w:rPr>
          <w:sz w:val="18"/>
          <w:szCs w:val="18"/>
        </w:rPr>
        <w:t xml:space="preserve"> + </w:t>
      </w:r>
      <w:r w:rsidRPr="00BA237B">
        <w:rPr>
          <w:i/>
          <w:sz w:val="18"/>
          <w:szCs w:val="18"/>
        </w:rPr>
        <w:t>Exploring the performance gap in EU Framework Programmes between EU-13 and EU-15 Member States</w:t>
      </w:r>
      <w:r>
        <w:rPr>
          <w:sz w:val="18"/>
          <w:szCs w:val="18"/>
        </w:rPr>
        <w:t>, Brusel: Evropský parlament, 2020</w:t>
      </w:r>
      <w:r w:rsidRPr="00904462">
        <w:rPr>
          <w:sz w:val="18"/>
          <w:szCs w:val="18"/>
        </w:rPr>
        <w:t>.</w:t>
      </w:r>
    </w:p>
  </w:footnote>
  <w:footnote w:id="51">
    <w:p w:rsidR="00E505FC" w:rsidRPr="00904462" w:rsidRDefault="00E505FC" w:rsidP="00904462">
      <w:pPr>
        <w:pStyle w:val="Textpoznpodarou"/>
        <w:spacing w:after="60"/>
        <w:ind w:left="0" w:firstLine="0"/>
        <w:jc w:val="both"/>
        <w:rPr>
          <w:sz w:val="18"/>
          <w:szCs w:val="18"/>
        </w:rPr>
      </w:pPr>
      <w:r w:rsidRPr="00904462">
        <w:rPr>
          <w:rStyle w:val="Znakapoznpodarou"/>
          <w:b w:val="0"/>
          <w:sz w:val="18"/>
          <w:szCs w:val="18"/>
        </w:rPr>
        <w:footnoteRef/>
      </w:r>
      <w:r w:rsidRPr="00904462">
        <w:rPr>
          <w:sz w:val="18"/>
          <w:szCs w:val="18"/>
        </w:rPr>
        <w:t xml:space="preserve"> Kol.: </w:t>
      </w:r>
      <w:r w:rsidRPr="00904462">
        <w:rPr>
          <w:i/>
          <w:sz w:val="18"/>
          <w:szCs w:val="18"/>
        </w:rPr>
        <w:t>Makroekonomická a sektorová analýza ČR</w:t>
      </w:r>
      <w:r w:rsidRPr="00904462">
        <w:rPr>
          <w:sz w:val="18"/>
          <w:szCs w:val="18"/>
        </w:rPr>
        <w:t>. Praha: MMR – NOK, 2019.</w:t>
      </w:r>
    </w:p>
  </w:footnote>
  <w:footnote w:id="52">
    <w:p w:rsidR="00E505FC" w:rsidRPr="00904462" w:rsidRDefault="00E505FC" w:rsidP="00904462">
      <w:pPr>
        <w:pStyle w:val="Textpoznpodarou"/>
        <w:spacing w:after="60"/>
        <w:ind w:left="0" w:firstLine="0"/>
        <w:jc w:val="both"/>
        <w:rPr>
          <w:sz w:val="18"/>
          <w:szCs w:val="18"/>
        </w:rPr>
      </w:pPr>
      <w:r w:rsidRPr="00904462">
        <w:rPr>
          <w:rStyle w:val="Znakapoznpodarou"/>
          <w:b w:val="0"/>
          <w:sz w:val="18"/>
          <w:szCs w:val="18"/>
        </w:rPr>
        <w:footnoteRef/>
      </w:r>
      <w:r w:rsidRPr="00904462">
        <w:rPr>
          <w:sz w:val="18"/>
          <w:szCs w:val="18"/>
        </w:rPr>
        <w:t xml:space="preserve"> Kol.: </w:t>
      </w:r>
      <w:r w:rsidRPr="00904462">
        <w:rPr>
          <w:i/>
          <w:sz w:val="18"/>
          <w:szCs w:val="18"/>
        </w:rPr>
        <w:t>Perspectives of Czech Science 2018, View of Researchers and Science Managers on the Czech Research Area in International Context</w:t>
      </w:r>
      <w:r w:rsidRPr="00904462">
        <w:rPr>
          <w:sz w:val="18"/>
          <w:szCs w:val="18"/>
        </w:rPr>
        <w:t>. České Budějovice: Biologické centrum AV ČR – Jihočeská univerzita v Českých Budějovicích, 2018.</w:t>
      </w:r>
      <w:r>
        <w:rPr>
          <w:sz w:val="18"/>
          <w:szCs w:val="18"/>
        </w:rPr>
        <w:t xml:space="preserve">; Kol.: </w:t>
      </w:r>
      <w:r w:rsidRPr="00270365">
        <w:rPr>
          <w:i/>
          <w:sz w:val="18"/>
          <w:szCs w:val="18"/>
        </w:rPr>
        <w:t xml:space="preserve">Národní výzkumná a inovační strategie pro inteligentní specializaci </w:t>
      </w:r>
      <w:r>
        <w:rPr>
          <w:i/>
          <w:sz w:val="18"/>
          <w:szCs w:val="18"/>
        </w:rPr>
        <w:t xml:space="preserve">České republiky 2021-2027. </w:t>
      </w:r>
      <w:r w:rsidRPr="00270365">
        <w:rPr>
          <w:sz w:val="18"/>
          <w:szCs w:val="18"/>
        </w:rPr>
        <w:t>Praha: MPO, 202</w:t>
      </w:r>
      <w:r>
        <w:rPr>
          <w:sz w:val="18"/>
          <w:szCs w:val="18"/>
        </w:rPr>
        <w:t>1.</w:t>
      </w:r>
    </w:p>
  </w:footnote>
  <w:footnote w:id="53">
    <w:p w:rsidR="00E505FC" w:rsidRPr="00904462" w:rsidRDefault="00E505FC" w:rsidP="00904462">
      <w:pPr>
        <w:pStyle w:val="Textpoznpodarou"/>
        <w:spacing w:after="60"/>
        <w:ind w:left="0" w:firstLine="0"/>
        <w:jc w:val="both"/>
        <w:rPr>
          <w:sz w:val="18"/>
          <w:szCs w:val="18"/>
        </w:rPr>
      </w:pPr>
      <w:r w:rsidRPr="00904462">
        <w:rPr>
          <w:rStyle w:val="Znakapoznpodarou"/>
          <w:b w:val="0"/>
          <w:sz w:val="18"/>
          <w:szCs w:val="18"/>
        </w:rPr>
        <w:footnoteRef/>
      </w:r>
      <w:r w:rsidRPr="00904462">
        <w:rPr>
          <w:sz w:val="18"/>
          <w:szCs w:val="18"/>
        </w:rPr>
        <w:t xml:space="preserve"> </w:t>
      </w:r>
      <w:r w:rsidRPr="002847B9">
        <w:rPr>
          <w:sz w:val="18"/>
          <w:szCs w:val="18"/>
        </w:rPr>
        <w:t>Maastricht Economic and Social Research Institute on Innovation and Technology – MERIT</w:t>
      </w:r>
      <w:r>
        <w:rPr>
          <w:sz w:val="18"/>
          <w:szCs w:val="18"/>
        </w:rPr>
        <w:t xml:space="preserve"> for European Commission</w:t>
      </w:r>
      <w:r w:rsidRPr="00904462">
        <w:rPr>
          <w:sz w:val="18"/>
          <w:szCs w:val="18"/>
        </w:rPr>
        <w:t xml:space="preserve">: </w:t>
      </w:r>
      <w:r>
        <w:rPr>
          <w:i/>
          <w:sz w:val="18"/>
          <w:szCs w:val="18"/>
        </w:rPr>
        <w:t>European Innovation Scoreboard 2020</w:t>
      </w:r>
      <w:r w:rsidRPr="00904462">
        <w:rPr>
          <w:sz w:val="18"/>
          <w:szCs w:val="18"/>
        </w:rPr>
        <w:t>.</w:t>
      </w:r>
    </w:p>
  </w:footnote>
  <w:footnote w:id="54">
    <w:p w:rsidR="00E505FC" w:rsidRPr="00B62031" w:rsidRDefault="00E505FC" w:rsidP="00904462">
      <w:pPr>
        <w:pStyle w:val="Textpoznpodarou"/>
        <w:spacing w:after="60"/>
        <w:ind w:left="0" w:firstLine="0"/>
        <w:jc w:val="both"/>
        <w:rPr>
          <w:i/>
          <w:sz w:val="18"/>
          <w:szCs w:val="18"/>
        </w:rPr>
      </w:pPr>
      <w:r w:rsidRPr="00904462">
        <w:rPr>
          <w:rStyle w:val="Znakapoznpodarou"/>
          <w:b w:val="0"/>
          <w:sz w:val="18"/>
          <w:szCs w:val="18"/>
        </w:rPr>
        <w:footnoteRef/>
      </w:r>
      <w:r w:rsidRPr="00904462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Kol.: </w:t>
      </w:r>
      <w:r w:rsidRPr="00270365">
        <w:rPr>
          <w:i/>
          <w:sz w:val="18"/>
          <w:szCs w:val="18"/>
        </w:rPr>
        <w:t xml:space="preserve">Národní výzkumná a inovační strategie pro inteligentní specializaci </w:t>
      </w:r>
      <w:r>
        <w:rPr>
          <w:i/>
          <w:sz w:val="18"/>
          <w:szCs w:val="18"/>
        </w:rPr>
        <w:t xml:space="preserve">České republiky 2021-2027. </w:t>
      </w:r>
      <w:r w:rsidRPr="00270365">
        <w:rPr>
          <w:sz w:val="18"/>
          <w:szCs w:val="18"/>
        </w:rPr>
        <w:t>Praha: MPO, 202</w:t>
      </w:r>
      <w:r>
        <w:rPr>
          <w:sz w:val="18"/>
          <w:szCs w:val="18"/>
        </w:rPr>
        <w:t>1;</w:t>
      </w:r>
    </w:p>
    <w:p w:rsidR="00E505FC" w:rsidRPr="00904462" w:rsidRDefault="00E505FC" w:rsidP="00904462">
      <w:pPr>
        <w:pStyle w:val="Textpoznpodarou"/>
        <w:spacing w:after="60"/>
        <w:ind w:left="0" w:firstLine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Pr="00904462">
        <w:rPr>
          <w:sz w:val="18"/>
          <w:szCs w:val="18"/>
        </w:rPr>
        <w:t xml:space="preserve">Kol.: </w:t>
      </w:r>
      <w:r w:rsidRPr="00904462">
        <w:rPr>
          <w:i/>
          <w:sz w:val="18"/>
          <w:szCs w:val="18"/>
        </w:rPr>
        <w:t>Národní politik</w:t>
      </w:r>
      <w:r>
        <w:rPr>
          <w:i/>
          <w:sz w:val="18"/>
          <w:szCs w:val="18"/>
        </w:rPr>
        <w:t>a</w:t>
      </w:r>
      <w:r w:rsidRPr="00904462">
        <w:rPr>
          <w:i/>
          <w:sz w:val="18"/>
          <w:szCs w:val="18"/>
        </w:rPr>
        <w:t xml:space="preserve"> výzkumu, vývoje a inovací Č</w:t>
      </w:r>
      <w:r>
        <w:rPr>
          <w:i/>
          <w:sz w:val="18"/>
          <w:szCs w:val="18"/>
        </w:rPr>
        <w:t>eské republiky</w:t>
      </w:r>
      <w:r w:rsidRPr="00904462">
        <w:rPr>
          <w:i/>
          <w:sz w:val="18"/>
          <w:szCs w:val="18"/>
        </w:rPr>
        <w:t>202</w:t>
      </w:r>
      <w:r>
        <w:rPr>
          <w:i/>
          <w:sz w:val="18"/>
          <w:szCs w:val="18"/>
        </w:rPr>
        <w:t>1+</w:t>
      </w:r>
      <w:r w:rsidRPr="00904462">
        <w:rPr>
          <w:sz w:val="18"/>
          <w:szCs w:val="18"/>
        </w:rPr>
        <w:t>. Praha: ÚV ČR – RVVI, 20</w:t>
      </w:r>
      <w:r>
        <w:rPr>
          <w:sz w:val="18"/>
          <w:szCs w:val="18"/>
        </w:rPr>
        <w:t>20</w:t>
      </w:r>
      <w:r w:rsidRPr="00904462">
        <w:rPr>
          <w:sz w:val="18"/>
          <w:szCs w:val="18"/>
        </w:rPr>
        <w:t>.</w:t>
      </w:r>
    </w:p>
  </w:footnote>
  <w:footnote w:id="55">
    <w:p w:rsidR="00E505FC" w:rsidRDefault="00E505FC" w:rsidP="00270365">
      <w:pPr>
        <w:pStyle w:val="Textpoznpodarou"/>
        <w:spacing w:after="60"/>
        <w:ind w:left="0" w:firstLine="0"/>
        <w:jc w:val="both"/>
        <w:rPr>
          <w:i/>
          <w:sz w:val="18"/>
          <w:szCs w:val="18"/>
        </w:rPr>
      </w:pPr>
      <w:r w:rsidRPr="00904462">
        <w:rPr>
          <w:rStyle w:val="Znakapoznpodarou"/>
          <w:b w:val="0"/>
          <w:sz w:val="18"/>
          <w:szCs w:val="18"/>
        </w:rPr>
        <w:footnoteRef/>
      </w:r>
      <w:r w:rsidRPr="00904462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Kol.: </w:t>
      </w:r>
      <w:r w:rsidRPr="00270365">
        <w:rPr>
          <w:i/>
          <w:sz w:val="18"/>
          <w:szCs w:val="18"/>
        </w:rPr>
        <w:t xml:space="preserve">Národní výzkumná a inovační strategie pro inteligentní specializaci </w:t>
      </w:r>
      <w:r>
        <w:rPr>
          <w:i/>
          <w:sz w:val="18"/>
          <w:szCs w:val="18"/>
        </w:rPr>
        <w:t xml:space="preserve">České republiky 2021-2027. </w:t>
      </w:r>
      <w:r w:rsidRPr="00270365">
        <w:rPr>
          <w:sz w:val="18"/>
          <w:szCs w:val="18"/>
        </w:rPr>
        <w:t>Praha: MPO, 202</w:t>
      </w:r>
      <w:r>
        <w:rPr>
          <w:sz w:val="18"/>
          <w:szCs w:val="18"/>
        </w:rPr>
        <w:t>1;</w:t>
      </w:r>
    </w:p>
    <w:p w:rsidR="00E505FC" w:rsidRPr="00904462" w:rsidRDefault="00E505FC" w:rsidP="00904462">
      <w:pPr>
        <w:pStyle w:val="Textpoznpodarou"/>
        <w:spacing w:after="60"/>
        <w:ind w:left="0" w:firstLine="0"/>
        <w:jc w:val="both"/>
        <w:rPr>
          <w:sz w:val="18"/>
          <w:szCs w:val="18"/>
        </w:rPr>
      </w:pPr>
      <w:r w:rsidRPr="00904462">
        <w:rPr>
          <w:sz w:val="18"/>
          <w:szCs w:val="18"/>
        </w:rPr>
        <w:t xml:space="preserve">Kol.: </w:t>
      </w:r>
      <w:r w:rsidRPr="00904462">
        <w:rPr>
          <w:i/>
          <w:sz w:val="18"/>
          <w:szCs w:val="18"/>
        </w:rPr>
        <w:t>Národní politik</w:t>
      </w:r>
      <w:r>
        <w:rPr>
          <w:i/>
          <w:sz w:val="18"/>
          <w:szCs w:val="18"/>
        </w:rPr>
        <w:t>a</w:t>
      </w:r>
      <w:r w:rsidRPr="00904462">
        <w:rPr>
          <w:i/>
          <w:sz w:val="18"/>
          <w:szCs w:val="18"/>
        </w:rPr>
        <w:t xml:space="preserve"> výzkumu, vývoje a inovací Č</w:t>
      </w:r>
      <w:r>
        <w:rPr>
          <w:i/>
          <w:sz w:val="18"/>
          <w:szCs w:val="18"/>
        </w:rPr>
        <w:t>eské republiky</w:t>
      </w:r>
      <w:r w:rsidRPr="00904462">
        <w:rPr>
          <w:i/>
          <w:sz w:val="18"/>
          <w:szCs w:val="18"/>
        </w:rPr>
        <w:t>202</w:t>
      </w:r>
      <w:r>
        <w:rPr>
          <w:i/>
          <w:sz w:val="18"/>
          <w:szCs w:val="18"/>
        </w:rPr>
        <w:t>1+</w:t>
      </w:r>
      <w:r w:rsidRPr="00904462">
        <w:rPr>
          <w:sz w:val="18"/>
          <w:szCs w:val="18"/>
        </w:rPr>
        <w:t>. Praha: ÚV ČR – RVVI, 20</w:t>
      </w:r>
      <w:r>
        <w:rPr>
          <w:sz w:val="18"/>
          <w:szCs w:val="18"/>
        </w:rPr>
        <w:t>20</w:t>
      </w:r>
      <w:r w:rsidRPr="00904462">
        <w:rPr>
          <w:sz w:val="18"/>
          <w:szCs w:val="18"/>
        </w:rPr>
        <w:t>.</w:t>
      </w:r>
    </w:p>
  </w:footnote>
  <w:footnote w:id="56">
    <w:p w:rsidR="00E505FC" w:rsidRDefault="00E505FC" w:rsidP="00412998">
      <w:pPr>
        <w:pStyle w:val="Textpoznpodarou"/>
        <w:ind w:left="0" w:hanging="11"/>
      </w:pPr>
      <w:r w:rsidRPr="002F008B">
        <w:rPr>
          <w:rStyle w:val="Znakapoznpodarou"/>
          <w:b w:val="0"/>
          <w:sz w:val="18"/>
        </w:rPr>
        <w:footnoteRef/>
      </w:r>
      <w:r w:rsidRPr="00914C84">
        <w:rPr>
          <w:sz w:val="18"/>
        </w:rPr>
        <w:t xml:space="preserve"> </w:t>
      </w:r>
      <w:r w:rsidRPr="00914C84">
        <w:rPr>
          <w:sz w:val="18"/>
          <w:szCs w:val="18"/>
        </w:rPr>
        <w:t>MANA</w:t>
      </w:r>
      <w:r w:rsidRPr="00904462">
        <w:rPr>
          <w:sz w:val="18"/>
          <w:szCs w:val="18"/>
        </w:rPr>
        <w:t xml:space="preserve">, M. – ŠTAMPACH, M.: </w:t>
      </w:r>
      <w:r w:rsidRPr="001A5705">
        <w:rPr>
          <w:i/>
          <w:sz w:val="18"/>
          <w:szCs w:val="18"/>
        </w:rPr>
        <w:t>Ukazatele výzkumu a vývoje 2019</w:t>
      </w:r>
      <w:r w:rsidRPr="00904462">
        <w:rPr>
          <w:sz w:val="18"/>
          <w:szCs w:val="18"/>
        </w:rPr>
        <w:t>. Pra</w:t>
      </w:r>
      <w:r>
        <w:rPr>
          <w:sz w:val="18"/>
          <w:szCs w:val="18"/>
        </w:rPr>
        <w:t>ha: Český statistický úřad, 2020.</w:t>
      </w:r>
      <w:r>
        <w:rPr>
          <w:sz w:val="18"/>
        </w:rPr>
        <w:t xml:space="preserve"> </w:t>
      </w:r>
    </w:p>
  </w:footnote>
  <w:footnote w:id="57">
    <w:p w:rsidR="00E505FC" w:rsidRPr="00904462" w:rsidRDefault="00E505FC" w:rsidP="00904462">
      <w:pPr>
        <w:pStyle w:val="Textpoznpodarou"/>
        <w:spacing w:after="60"/>
        <w:ind w:left="0" w:firstLine="0"/>
        <w:jc w:val="both"/>
        <w:rPr>
          <w:sz w:val="18"/>
          <w:szCs w:val="18"/>
        </w:rPr>
      </w:pPr>
      <w:r w:rsidRPr="00904462">
        <w:rPr>
          <w:rStyle w:val="Znakapoznpodarou"/>
          <w:b w:val="0"/>
          <w:sz w:val="18"/>
          <w:szCs w:val="18"/>
        </w:rPr>
        <w:footnoteRef/>
      </w:r>
      <w:r w:rsidRPr="00904462">
        <w:rPr>
          <w:sz w:val="18"/>
          <w:szCs w:val="18"/>
        </w:rPr>
        <w:t xml:space="preserve"> </w:t>
      </w:r>
      <w:r w:rsidRPr="00885892">
        <w:rPr>
          <w:sz w:val="18"/>
          <w:szCs w:val="18"/>
        </w:rPr>
        <w:t>Maastricht Economic and Social Research Institute on Innovation and Technology – MERIT</w:t>
      </w:r>
      <w:r>
        <w:rPr>
          <w:sz w:val="18"/>
          <w:szCs w:val="18"/>
        </w:rPr>
        <w:t xml:space="preserve"> for European Commission</w:t>
      </w:r>
      <w:r w:rsidRPr="00904462">
        <w:rPr>
          <w:sz w:val="18"/>
          <w:szCs w:val="18"/>
        </w:rPr>
        <w:t xml:space="preserve">: </w:t>
      </w:r>
      <w:r>
        <w:rPr>
          <w:i/>
          <w:sz w:val="18"/>
          <w:szCs w:val="18"/>
        </w:rPr>
        <w:t>European Innovation Scoreboard 2020.</w:t>
      </w:r>
    </w:p>
  </w:footnote>
  <w:footnote w:id="58">
    <w:p w:rsidR="00E505FC" w:rsidRPr="00904462" w:rsidRDefault="00E505FC" w:rsidP="00904462">
      <w:pPr>
        <w:pStyle w:val="Textpoznpodarou"/>
        <w:spacing w:after="60"/>
        <w:ind w:left="0" w:firstLine="0"/>
        <w:jc w:val="both"/>
        <w:rPr>
          <w:sz w:val="18"/>
          <w:szCs w:val="18"/>
        </w:rPr>
      </w:pPr>
      <w:r w:rsidRPr="00103A8B">
        <w:rPr>
          <w:rStyle w:val="Znakapoznpodarou"/>
          <w:b w:val="0"/>
          <w:sz w:val="18"/>
          <w:szCs w:val="18"/>
        </w:rPr>
        <w:footnoteRef/>
      </w:r>
      <w:r w:rsidRPr="00103A8B">
        <w:rPr>
          <w:sz w:val="18"/>
          <w:szCs w:val="18"/>
        </w:rPr>
        <w:t xml:space="preserve"> MANA, M. – ŠTAMPACH, M.: </w:t>
      </w:r>
      <w:r w:rsidRPr="00103A8B">
        <w:rPr>
          <w:i/>
          <w:sz w:val="18"/>
          <w:szCs w:val="18"/>
        </w:rPr>
        <w:t>Výzkum a vývoj v České republice</w:t>
      </w:r>
      <w:r w:rsidRPr="00103A8B">
        <w:rPr>
          <w:sz w:val="18"/>
          <w:szCs w:val="18"/>
        </w:rPr>
        <w:t>. Praha: Český statistický úřad, 2018.</w:t>
      </w:r>
      <w:r w:rsidRPr="00904462">
        <w:rPr>
          <w:sz w:val="18"/>
          <w:szCs w:val="18"/>
        </w:rPr>
        <w:t xml:space="preserve">  </w:t>
      </w:r>
    </w:p>
  </w:footnote>
  <w:footnote w:id="59">
    <w:p w:rsidR="00E505FC" w:rsidRPr="00904462" w:rsidRDefault="00E505FC" w:rsidP="00904462">
      <w:pPr>
        <w:pStyle w:val="Textpoznpodarou"/>
        <w:spacing w:after="60"/>
        <w:ind w:left="0" w:firstLine="0"/>
        <w:jc w:val="both"/>
        <w:rPr>
          <w:sz w:val="18"/>
          <w:szCs w:val="18"/>
        </w:rPr>
      </w:pPr>
      <w:r w:rsidRPr="00904462">
        <w:rPr>
          <w:rStyle w:val="Znakapoznpodarou"/>
          <w:b w:val="0"/>
          <w:sz w:val="18"/>
          <w:szCs w:val="18"/>
        </w:rPr>
        <w:footnoteRef/>
      </w:r>
      <w:r w:rsidRPr="00904462">
        <w:rPr>
          <w:sz w:val="18"/>
          <w:szCs w:val="18"/>
        </w:rPr>
        <w:t xml:space="preserve"> Kol.: </w:t>
      </w:r>
      <w:r w:rsidRPr="00904462">
        <w:rPr>
          <w:i/>
          <w:sz w:val="18"/>
          <w:szCs w:val="18"/>
        </w:rPr>
        <w:t>Inovační strategie České republiky 2019–2030</w:t>
      </w:r>
      <w:r w:rsidRPr="00904462">
        <w:rPr>
          <w:sz w:val="18"/>
          <w:szCs w:val="18"/>
        </w:rPr>
        <w:t>. Praha: ÚV ČR – RVVI, 2019.</w:t>
      </w:r>
    </w:p>
  </w:footnote>
  <w:footnote w:id="60">
    <w:p w:rsidR="00E505FC" w:rsidRDefault="00E505FC" w:rsidP="002A413E">
      <w:pPr>
        <w:pStyle w:val="Textpoznpodarou"/>
        <w:spacing w:after="60"/>
        <w:ind w:left="0" w:firstLine="0"/>
        <w:jc w:val="both"/>
      </w:pPr>
      <w:r w:rsidRPr="001656B6">
        <w:rPr>
          <w:rStyle w:val="Znakapoznpodarou"/>
          <w:b w:val="0"/>
          <w:sz w:val="18"/>
          <w:szCs w:val="18"/>
        </w:rPr>
        <w:footnoteRef/>
      </w:r>
      <w:r>
        <w:t xml:space="preserve"> </w:t>
      </w:r>
      <w:r>
        <w:rPr>
          <w:sz w:val="18"/>
          <w:szCs w:val="18"/>
        </w:rPr>
        <w:t xml:space="preserve">Kol.: </w:t>
      </w:r>
      <w:r w:rsidRPr="00270365">
        <w:rPr>
          <w:i/>
          <w:sz w:val="18"/>
          <w:szCs w:val="18"/>
        </w:rPr>
        <w:t>Národní výzkumná a inovační strategie pro</w:t>
      </w:r>
      <w:r>
        <w:rPr>
          <w:i/>
          <w:sz w:val="18"/>
          <w:szCs w:val="18"/>
        </w:rPr>
        <w:t xml:space="preserve"> inteligentní specializaci České republiky 2021-2027. </w:t>
      </w:r>
      <w:r w:rsidRPr="00270365">
        <w:rPr>
          <w:sz w:val="18"/>
          <w:szCs w:val="18"/>
        </w:rPr>
        <w:t>Praha: MPO, 202</w:t>
      </w:r>
      <w:r>
        <w:rPr>
          <w:sz w:val="18"/>
          <w:szCs w:val="18"/>
        </w:rPr>
        <w:t>1.</w:t>
      </w:r>
    </w:p>
  </w:footnote>
  <w:footnote w:id="61">
    <w:p w:rsidR="00E505FC" w:rsidRPr="00904462" w:rsidRDefault="00E505FC" w:rsidP="00904462">
      <w:pPr>
        <w:pStyle w:val="Textpoznpodarou"/>
        <w:spacing w:after="60"/>
        <w:ind w:left="0" w:firstLine="0"/>
        <w:jc w:val="both"/>
        <w:rPr>
          <w:sz w:val="18"/>
          <w:szCs w:val="18"/>
        </w:rPr>
      </w:pPr>
      <w:r w:rsidRPr="00904462">
        <w:rPr>
          <w:rStyle w:val="Znakapoznpodarou"/>
          <w:b w:val="0"/>
          <w:sz w:val="18"/>
          <w:szCs w:val="18"/>
        </w:rPr>
        <w:footnoteRef/>
      </w:r>
      <w:r w:rsidRPr="00904462">
        <w:rPr>
          <w:sz w:val="18"/>
          <w:szCs w:val="18"/>
        </w:rPr>
        <w:t xml:space="preserve"> Kol.: </w:t>
      </w:r>
      <w:r w:rsidRPr="00904462">
        <w:rPr>
          <w:i/>
          <w:sz w:val="18"/>
          <w:szCs w:val="18"/>
        </w:rPr>
        <w:t>Národní politik</w:t>
      </w:r>
      <w:r>
        <w:rPr>
          <w:i/>
          <w:sz w:val="18"/>
          <w:szCs w:val="18"/>
        </w:rPr>
        <w:t>a</w:t>
      </w:r>
      <w:r w:rsidRPr="00904462">
        <w:rPr>
          <w:i/>
          <w:sz w:val="18"/>
          <w:szCs w:val="18"/>
        </w:rPr>
        <w:t xml:space="preserve"> výzkumu, vývoje a inovací </w:t>
      </w:r>
      <w:r>
        <w:rPr>
          <w:i/>
          <w:sz w:val="18"/>
          <w:szCs w:val="18"/>
        </w:rPr>
        <w:t>České republiky</w:t>
      </w:r>
      <w:r w:rsidRPr="00904462">
        <w:rPr>
          <w:i/>
          <w:sz w:val="18"/>
          <w:szCs w:val="18"/>
        </w:rPr>
        <w:t xml:space="preserve"> 202</w:t>
      </w:r>
      <w:r>
        <w:rPr>
          <w:i/>
          <w:sz w:val="18"/>
          <w:szCs w:val="18"/>
        </w:rPr>
        <w:t>1+</w:t>
      </w:r>
      <w:r w:rsidRPr="00904462">
        <w:rPr>
          <w:sz w:val="18"/>
          <w:szCs w:val="18"/>
        </w:rPr>
        <w:t>. Praha: ÚV ČR – RVVI, 20</w:t>
      </w:r>
      <w:r>
        <w:rPr>
          <w:sz w:val="18"/>
          <w:szCs w:val="18"/>
        </w:rPr>
        <w:t xml:space="preserve">20; Kol: </w:t>
      </w:r>
      <w:r w:rsidRPr="002E04ED">
        <w:rPr>
          <w:i/>
          <w:sz w:val="18"/>
          <w:szCs w:val="18"/>
        </w:rPr>
        <w:t>ESFRI White Paper 2020: Making Science Happen – A New Ambition for Research Infrastructures in the European Research Area</w:t>
      </w:r>
      <w:r>
        <w:rPr>
          <w:sz w:val="18"/>
          <w:szCs w:val="18"/>
        </w:rPr>
        <w:t>. Milano: ESFRI, 2020.</w:t>
      </w:r>
    </w:p>
  </w:footnote>
  <w:footnote w:id="62">
    <w:p w:rsidR="00E505FC" w:rsidRDefault="00E505FC" w:rsidP="001656B6">
      <w:pPr>
        <w:pStyle w:val="Textpoznpodarou"/>
        <w:spacing w:after="60"/>
        <w:ind w:left="0" w:firstLine="0"/>
        <w:jc w:val="both"/>
      </w:pPr>
      <w:r w:rsidRPr="001656B6">
        <w:rPr>
          <w:rStyle w:val="Znakapoznpodarou"/>
          <w:b w:val="0"/>
          <w:sz w:val="18"/>
          <w:szCs w:val="18"/>
        </w:rPr>
        <w:footnoteRef/>
      </w:r>
      <w:r>
        <w:t xml:space="preserve"> </w:t>
      </w:r>
      <w:r>
        <w:rPr>
          <w:sz w:val="18"/>
          <w:szCs w:val="18"/>
        </w:rPr>
        <w:t xml:space="preserve">Kol.: </w:t>
      </w:r>
      <w:r w:rsidRPr="00270365">
        <w:rPr>
          <w:i/>
          <w:sz w:val="18"/>
          <w:szCs w:val="18"/>
        </w:rPr>
        <w:t>Národní výzkumná a inovační strategie pro</w:t>
      </w:r>
      <w:r>
        <w:rPr>
          <w:i/>
          <w:sz w:val="18"/>
          <w:szCs w:val="18"/>
        </w:rPr>
        <w:t xml:space="preserve"> inteligentní specializaci České republiky 2021-2027. </w:t>
      </w:r>
      <w:r w:rsidRPr="00270365">
        <w:rPr>
          <w:sz w:val="18"/>
          <w:szCs w:val="18"/>
        </w:rPr>
        <w:t>Praha: MPO, 202</w:t>
      </w:r>
      <w:r>
        <w:rPr>
          <w:sz w:val="18"/>
          <w:szCs w:val="18"/>
        </w:rPr>
        <w:t xml:space="preserve">1; </w:t>
      </w:r>
      <w:r w:rsidRPr="00D5789D">
        <w:rPr>
          <w:rFonts w:eastAsia="Times New Roman"/>
          <w:color w:val="000000"/>
          <w:sz w:val="18"/>
          <w:szCs w:val="18"/>
          <w:lang w:eastAsia="cs-CZ"/>
        </w:rPr>
        <w:t>Linková, M. a spol.</w:t>
      </w:r>
      <w:r>
        <w:rPr>
          <w:rFonts w:eastAsia="Times New Roman"/>
          <w:color w:val="000000"/>
          <w:sz w:val="18"/>
          <w:szCs w:val="18"/>
          <w:lang w:eastAsia="cs-CZ"/>
        </w:rPr>
        <w:t>:</w:t>
      </w:r>
      <w:r w:rsidRPr="00D5789D">
        <w:rPr>
          <w:rFonts w:eastAsia="Times New Roman"/>
          <w:color w:val="000000"/>
          <w:sz w:val="18"/>
          <w:szCs w:val="18"/>
          <w:lang w:eastAsia="cs-CZ"/>
        </w:rPr>
        <w:t xml:space="preserve"> </w:t>
      </w:r>
      <w:r w:rsidRPr="00D5789D">
        <w:rPr>
          <w:rFonts w:eastAsia="Times New Roman"/>
          <w:i/>
          <w:iCs/>
          <w:color w:val="000000"/>
          <w:sz w:val="18"/>
          <w:szCs w:val="18"/>
          <w:lang w:eastAsia="cs-CZ"/>
        </w:rPr>
        <w:t>Akademici a akademičky 2018: Návrhy opatření na podporu rovnosti ve výzkumném a vysokoškolském prostředí</w:t>
      </w:r>
      <w:r w:rsidRPr="00D5789D">
        <w:rPr>
          <w:rFonts w:eastAsia="Times New Roman"/>
          <w:color w:val="000000"/>
          <w:sz w:val="18"/>
          <w:szCs w:val="18"/>
          <w:lang w:eastAsia="cs-CZ"/>
        </w:rPr>
        <w:t>. Praha: SOÚ AV ČR, 2018</w:t>
      </w:r>
      <w:r>
        <w:rPr>
          <w:rFonts w:eastAsia="Times New Roman"/>
          <w:color w:val="000000"/>
          <w:sz w:val="18"/>
          <w:szCs w:val="18"/>
          <w:lang w:eastAsia="cs-CZ"/>
        </w:rPr>
        <w:t>.</w:t>
      </w:r>
    </w:p>
  </w:footnote>
  <w:footnote w:id="63">
    <w:p w:rsidR="00E505FC" w:rsidRPr="00904462" w:rsidRDefault="00E505FC" w:rsidP="00904462">
      <w:pPr>
        <w:pStyle w:val="Textpoznpodarou"/>
        <w:spacing w:after="60"/>
        <w:ind w:left="0" w:firstLine="0"/>
        <w:jc w:val="both"/>
        <w:rPr>
          <w:sz w:val="18"/>
          <w:szCs w:val="18"/>
        </w:rPr>
      </w:pPr>
      <w:r w:rsidRPr="00904462">
        <w:rPr>
          <w:rStyle w:val="Znakapoznpodarou"/>
          <w:b w:val="0"/>
          <w:sz w:val="18"/>
          <w:szCs w:val="18"/>
        </w:rPr>
        <w:footnoteRef/>
      </w:r>
      <w:r w:rsidRPr="00904462">
        <w:rPr>
          <w:sz w:val="18"/>
          <w:szCs w:val="18"/>
        </w:rPr>
        <w:t xml:space="preserve"> Ke dni </w:t>
      </w:r>
      <w:r>
        <w:rPr>
          <w:sz w:val="18"/>
          <w:szCs w:val="18"/>
        </w:rPr>
        <w:t>11</w:t>
      </w:r>
      <w:r w:rsidRPr="00904462">
        <w:rPr>
          <w:sz w:val="18"/>
          <w:szCs w:val="18"/>
        </w:rPr>
        <w:t xml:space="preserve">. </w:t>
      </w:r>
      <w:r>
        <w:rPr>
          <w:sz w:val="18"/>
          <w:szCs w:val="18"/>
        </w:rPr>
        <w:t>2</w:t>
      </w:r>
      <w:r w:rsidRPr="00904462">
        <w:rPr>
          <w:sz w:val="18"/>
          <w:szCs w:val="18"/>
        </w:rPr>
        <w:t>. 20</w:t>
      </w:r>
      <w:r>
        <w:rPr>
          <w:sz w:val="18"/>
          <w:szCs w:val="18"/>
        </w:rPr>
        <w:t>21</w:t>
      </w:r>
      <w:r w:rsidRPr="00904462">
        <w:rPr>
          <w:sz w:val="18"/>
          <w:szCs w:val="18"/>
        </w:rPr>
        <w:t xml:space="preserve"> získalo HR Award </w:t>
      </w:r>
      <w:r>
        <w:rPr>
          <w:sz w:val="18"/>
          <w:szCs w:val="18"/>
        </w:rPr>
        <w:t>25</w:t>
      </w:r>
      <w:r w:rsidRPr="00904462">
        <w:rPr>
          <w:sz w:val="18"/>
          <w:szCs w:val="18"/>
        </w:rPr>
        <w:t xml:space="preserve"> českých výzkumných organizací či jejich součástí. </w:t>
      </w:r>
      <w:r>
        <w:rPr>
          <w:sz w:val="18"/>
          <w:szCs w:val="18"/>
        </w:rPr>
        <w:t>P</w:t>
      </w:r>
      <w:r w:rsidRPr="00904462">
        <w:rPr>
          <w:sz w:val="18"/>
          <w:szCs w:val="18"/>
        </w:rPr>
        <w:t>rvní instituce získala toto ocenění v listopadu 2018</w:t>
      </w:r>
      <w:r>
        <w:rPr>
          <w:sz w:val="18"/>
          <w:szCs w:val="18"/>
        </w:rPr>
        <w:t xml:space="preserve"> – Euraxesss Czech Republic.</w:t>
      </w:r>
    </w:p>
  </w:footnote>
  <w:footnote w:id="64">
    <w:p w:rsidR="00E505FC" w:rsidRPr="00904462" w:rsidRDefault="00E505FC" w:rsidP="00904462">
      <w:pPr>
        <w:pStyle w:val="Textpoznpodarou"/>
        <w:spacing w:after="60"/>
        <w:ind w:left="0" w:firstLine="0"/>
        <w:jc w:val="both"/>
        <w:rPr>
          <w:rFonts w:asciiTheme="minorHAnsi" w:hAnsiTheme="minorHAnsi"/>
          <w:sz w:val="18"/>
          <w:szCs w:val="18"/>
        </w:rPr>
      </w:pPr>
      <w:r w:rsidRPr="00904462">
        <w:rPr>
          <w:rStyle w:val="Znakapoznpodarou"/>
          <w:b w:val="0"/>
          <w:sz w:val="18"/>
          <w:szCs w:val="18"/>
        </w:rPr>
        <w:footnoteRef/>
      </w:r>
      <w:r w:rsidRPr="00904462">
        <w:rPr>
          <w:sz w:val="18"/>
          <w:szCs w:val="18"/>
        </w:rPr>
        <w:t xml:space="preserve"> Kol.: </w:t>
      </w:r>
      <w:r w:rsidRPr="00904462">
        <w:rPr>
          <w:i/>
          <w:sz w:val="18"/>
          <w:szCs w:val="18"/>
        </w:rPr>
        <w:t>Makroekonomická a sektorová analýza ČR</w:t>
      </w:r>
      <w:r w:rsidRPr="00904462">
        <w:rPr>
          <w:sz w:val="18"/>
          <w:szCs w:val="18"/>
        </w:rPr>
        <w:t xml:space="preserve">. Praha: MMR – NOK, 2019; Kol.: </w:t>
      </w:r>
      <w:r w:rsidRPr="00904462">
        <w:rPr>
          <w:i/>
          <w:sz w:val="18"/>
          <w:szCs w:val="18"/>
        </w:rPr>
        <w:t>Perspectives of Czech Science 2018, View of</w:t>
      </w:r>
      <w:r>
        <w:rPr>
          <w:i/>
          <w:sz w:val="18"/>
          <w:szCs w:val="18"/>
        </w:rPr>
        <w:t> </w:t>
      </w:r>
      <w:r w:rsidRPr="00904462">
        <w:rPr>
          <w:i/>
          <w:sz w:val="18"/>
          <w:szCs w:val="18"/>
        </w:rPr>
        <w:t>Researchers and Science Managers on the Czech Research Area in International Context</w:t>
      </w:r>
      <w:r w:rsidRPr="00904462">
        <w:rPr>
          <w:sz w:val="18"/>
          <w:szCs w:val="18"/>
        </w:rPr>
        <w:t>. České Budějovice: Biologické centrum AV ČR – Jihočeská univerzita v Českých Budějovicích, 2018.</w:t>
      </w:r>
      <w:r>
        <w:rPr>
          <w:sz w:val="18"/>
          <w:szCs w:val="18"/>
        </w:rPr>
        <w:t xml:space="preserve">; Kol.: </w:t>
      </w:r>
      <w:r w:rsidRPr="00270365">
        <w:rPr>
          <w:i/>
          <w:sz w:val="18"/>
          <w:szCs w:val="18"/>
        </w:rPr>
        <w:t>Národní výzkumná a inovační strategie pro</w:t>
      </w:r>
      <w:r>
        <w:rPr>
          <w:i/>
          <w:sz w:val="18"/>
          <w:szCs w:val="18"/>
        </w:rPr>
        <w:t xml:space="preserve"> inteligentní specializaci České republiky 2021-2027. </w:t>
      </w:r>
      <w:r w:rsidRPr="00270365">
        <w:rPr>
          <w:sz w:val="18"/>
          <w:szCs w:val="18"/>
        </w:rPr>
        <w:t>Praha: MPO, 202</w:t>
      </w:r>
      <w:r>
        <w:rPr>
          <w:sz w:val="18"/>
          <w:szCs w:val="18"/>
        </w:rPr>
        <w:t>1.</w:t>
      </w:r>
    </w:p>
  </w:footnote>
  <w:footnote w:id="65">
    <w:p w:rsidR="00E505FC" w:rsidRPr="00904462" w:rsidRDefault="00E505FC" w:rsidP="00904462">
      <w:pPr>
        <w:pStyle w:val="Textpoznpodarou"/>
        <w:spacing w:after="60"/>
        <w:ind w:left="0" w:firstLine="0"/>
        <w:jc w:val="both"/>
        <w:rPr>
          <w:sz w:val="18"/>
          <w:szCs w:val="18"/>
        </w:rPr>
      </w:pPr>
      <w:r w:rsidRPr="00904462">
        <w:rPr>
          <w:rStyle w:val="Znakapoznpodarou"/>
          <w:b w:val="0"/>
          <w:sz w:val="18"/>
          <w:szCs w:val="18"/>
        </w:rPr>
        <w:footnoteRef/>
      </w:r>
      <w:r w:rsidRPr="00904462">
        <w:rPr>
          <w:sz w:val="18"/>
          <w:szCs w:val="18"/>
        </w:rPr>
        <w:t xml:space="preserve"> Kol.: </w:t>
      </w:r>
      <w:r w:rsidRPr="00904462">
        <w:rPr>
          <w:i/>
          <w:sz w:val="18"/>
          <w:szCs w:val="18"/>
        </w:rPr>
        <w:t>Národní politik</w:t>
      </w:r>
      <w:r>
        <w:rPr>
          <w:i/>
          <w:sz w:val="18"/>
          <w:szCs w:val="18"/>
        </w:rPr>
        <w:t>a</w:t>
      </w:r>
      <w:r w:rsidRPr="00904462">
        <w:rPr>
          <w:i/>
          <w:sz w:val="18"/>
          <w:szCs w:val="18"/>
        </w:rPr>
        <w:t xml:space="preserve"> výzkumu, vývoje a inovací </w:t>
      </w:r>
      <w:r>
        <w:rPr>
          <w:i/>
          <w:sz w:val="18"/>
          <w:szCs w:val="18"/>
        </w:rPr>
        <w:t xml:space="preserve">České republiky </w:t>
      </w:r>
      <w:r w:rsidRPr="00904462">
        <w:rPr>
          <w:i/>
          <w:sz w:val="18"/>
          <w:szCs w:val="18"/>
        </w:rPr>
        <w:t>202</w:t>
      </w:r>
      <w:r>
        <w:rPr>
          <w:i/>
          <w:sz w:val="18"/>
          <w:szCs w:val="18"/>
        </w:rPr>
        <w:t>1+</w:t>
      </w:r>
      <w:r w:rsidRPr="00904462">
        <w:rPr>
          <w:sz w:val="18"/>
          <w:szCs w:val="18"/>
        </w:rPr>
        <w:t>. Praha: ÚV ČR – RVVI, 20</w:t>
      </w:r>
      <w:r>
        <w:rPr>
          <w:sz w:val="18"/>
          <w:szCs w:val="18"/>
        </w:rPr>
        <w:t>20</w:t>
      </w:r>
      <w:r w:rsidRPr="00904462">
        <w:rPr>
          <w:sz w:val="18"/>
          <w:szCs w:val="18"/>
        </w:rPr>
        <w:t>.</w:t>
      </w:r>
      <w:r>
        <w:rPr>
          <w:sz w:val="18"/>
          <w:szCs w:val="18"/>
        </w:rPr>
        <w:t xml:space="preserve">; Kol.: </w:t>
      </w:r>
      <w:r w:rsidRPr="00270365">
        <w:rPr>
          <w:i/>
          <w:sz w:val="18"/>
          <w:szCs w:val="18"/>
        </w:rPr>
        <w:t>Národní výzkumná a</w:t>
      </w:r>
      <w:r>
        <w:rPr>
          <w:i/>
          <w:sz w:val="18"/>
          <w:szCs w:val="18"/>
        </w:rPr>
        <w:t> </w:t>
      </w:r>
      <w:r w:rsidRPr="00270365">
        <w:rPr>
          <w:i/>
          <w:sz w:val="18"/>
          <w:szCs w:val="18"/>
        </w:rPr>
        <w:t>inovační strategie pro</w:t>
      </w:r>
      <w:r>
        <w:rPr>
          <w:i/>
          <w:sz w:val="18"/>
          <w:szCs w:val="18"/>
        </w:rPr>
        <w:t xml:space="preserve"> inteligentní specializaci České republiky 2021-2027. </w:t>
      </w:r>
      <w:r w:rsidRPr="00270365">
        <w:rPr>
          <w:sz w:val="18"/>
          <w:szCs w:val="18"/>
        </w:rPr>
        <w:t>Praha: MPO, 202</w:t>
      </w:r>
      <w:r>
        <w:rPr>
          <w:sz w:val="18"/>
          <w:szCs w:val="18"/>
        </w:rPr>
        <w:t xml:space="preserve">1; </w:t>
      </w:r>
      <w:r w:rsidRPr="00261144">
        <w:rPr>
          <w:rFonts w:eastAsia="Times New Roman"/>
          <w:noProof/>
          <w:sz w:val="18"/>
          <w:szCs w:val="18"/>
        </w:rPr>
        <w:t xml:space="preserve">OECD (2020), OECD Economic Surveys: Czech Republic 2020, </w:t>
      </w:r>
      <w:r>
        <w:rPr>
          <w:rFonts w:eastAsia="Times New Roman"/>
          <w:noProof/>
          <w:sz w:val="18"/>
          <w:szCs w:val="18"/>
        </w:rPr>
        <w:t xml:space="preserve">s. 54, </w:t>
      </w:r>
      <w:r w:rsidRPr="00261144">
        <w:rPr>
          <w:rFonts w:eastAsia="Times New Roman"/>
          <w:noProof/>
          <w:sz w:val="18"/>
          <w:szCs w:val="18"/>
        </w:rPr>
        <w:t>OECD Publishing, Paris, https://doi.org/10.1787/1b180a5a-en.</w:t>
      </w:r>
    </w:p>
  </w:footnote>
  <w:footnote w:id="66">
    <w:p w:rsidR="00E505FC" w:rsidRPr="00904462" w:rsidRDefault="00E505FC" w:rsidP="00904462">
      <w:pPr>
        <w:pStyle w:val="Textpoznpodarou"/>
        <w:spacing w:after="60"/>
        <w:ind w:left="0" w:firstLine="0"/>
        <w:jc w:val="both"/>
        <w:rPr>
          <w:sz w:val="18"/>
          <w:szCs w:val="18"/>
        </w:rPr>
      </w:pPr>
      <w:r w:rsidRPr="00904462">
        <w:rPr>
          <w:rStyle w:val="Znakapoznpodarou"/>
          <w:b w:val="0"/>
          <w:sz w:val="18"/>
          <w:szCs w:val="18"/>
        </w:rPr>
        <w:footnoteRef/>
      </w:r>
      <w:r w:rsidRPr="00904462">
        <w:rPr>
          <w:sz w:val="18"/>
          <w:szCs w:val="18"/>
        </w:rPr>
        <w:t xml:space="preserve"> Kol.: </w:t>
      </w:r>
      <w:r w:rsidRPr="00904462">
        <w:rPr>
          <w:i/>
          <w:sz w:val="18"/>
          <w:szCs w:val="18"/>
        </w:rPr>
        <w:t>Národní politik</w:t>
      </w:r>
      <w:r>
        <w:rPr>
          <w:i/>
          <w:sz w:val="18"/>
          <w:szCs w:val="18"/>
        </w:rPr>
        <w:t>a</w:t>
      </w:r>
      <w:r w:rsidRPr="00904462">
        <w:rPr>
          <w:i/>
          <w:sz w:val="18"/>
          <w:szCs w:val="18"/>
        </w:rPr>
        <w:t xml:space="preserve"> výzkumu, vývoje a inovací </w:t>
      </w:r>
      <w:r>
        <w:rPr>
          <w:i/>
          <w:sz w:val="18"/>
          <w:szCs w:val="18"/>
        </w:rPr>
        <w:t xml:space="preserve">České republiky </w:t>
      </w:r>
      <w:r w:rsidRPr="00904462">
        <w:rPr>
          <w:i/>
          <w:sz w:val="18"/>
          <w:szCs w:val="18"/>
        </w:rPr>
        <w:t>202</w:t>
      </w:r>
      <w:r>
        <w:rPr>
          <w:i/>
          <w:sz w:val="18"/>
          <w:szCs w:val="18"/>
        </w:rPr>
        <w:t>1+</w:t>
      </w:r>
      <w:r w:rsidRPr="00904462">
        <w:rPr>
          <w:sz w:val="18"/>
          <w:szCs w:val="18"/>
        </w:rPr>
        <w:t>. Praha: ÚV ČR – RVVI, 20</w:t>
      </w:r>
      <w:r>
        <w:rPr>
          <w:sz w:val="18"/>
          <w:szCs w:val="18"/>
        </w:rPr>
        <w:t>20</w:t>
      </w:r>
      <w:r w:rsidRPr="00904462">
        <w:rPr>
          <w:sz w:val="18"/>
          <w:szCs w:val="18"/>
        </w:rPr>
        <w:t>.</w:t>
      </w:r>
      <w:r>
        <w:rPr>
          <w:sz w:val="18"/>
          <w:szCs w:val="18"/>
        </w:rPr>
        <w:t xml:space="preserve">; Kol.: </w:t>
      </w:r>
      <w:r w:rsidRPr="00270365">
        <w:rPr>
          <w:i/>
          <w:sz w:val="18"/>
          <w:szCs w:val="18"/>
        </w:rPr>
        <w:t>Národní výzkumná a</w:t>
      </w:r>
      <w:r>
        <w:rPr>
          <w:i/>
          <w:sz w:val="18"/>
          <w:szCs w:val="18"/>
        </w:rPr>
        <w:t> </w:t>
      </w:r>
      <w:r w:rsidRPr="00270365">
        <w:rPr>
          <w:i/>
          <w:sz w:val="18"/>
          <w:szCs w:val="18"/>
        </w:rPr>
        <w:t>inovační strategie pro</w:t>
      </w:r>
      <w:r>
        <w:rPr>
          <w:i/>
          <w:sz w:val="18"/>
          <w:szCs w:val="18"/>
        </w:rPr>
        <w:t xml:space="preserve"> inteligentní specializaci České republiky 2021-2027. </w:t>
      </w:r>
      <w:r w:rsidRPr="00270365">
        <w:rPr>
          <w:sz w:val="18"/>
          <w:szCs w:val="18"/>
        </w:rPr>
        <w:t>Praha: MPO, 202</w:t>
      </w:r>
      <w:r>
        <w:rPr>
          <w:sz w:val="18"/>
          <w:szCs w:val="18"/>
        </w:rPr>
        <w:t>1.</w:t>
      </w:r>
    </w:p>
  </w:footnote>
  <w:footnote w:id="67">
    <w:p w:rsidR="00E505FC" w:rsidRPr="008625D6" w:rsidRDefault="00E505FC" w:rsidP="00904462">
      <w:pPr>
        <w:pStyle w:val="Textpoznpodarou"/>
        <w:spacing w:after="60"/>
        <w:ind w:left="0" w:firstLine="0"/>
        <w:jc w:val="both"/>
        <w:rPr>
          <w:sz w:val="18"/>
          <w:szCs w:val="18"/>
        </w:rPr>
      </w:pPr>
      <w:r w:rsidRPr="008625D6">
        <w:rPr>
          <w:rStyle w:val="Znakapoznpodarou"/>
          <w:b w:val="0"/>
          <w:sz w:val="18"/>
          <w:szCs w:val="18"/>
        </w:rPr>
        <w:footnoteRef/>
      </w:r>
      <w:r w:rsidRPr="008625D6">
        <w:rPr>
          <w:sz w:val="18"/>
          <w:szCs w:val="18"/>
        </w:rPr>
        <w:t xml:space="preserve"> Kol.: </w:t>
      </w:r>
      <w:r w:rsidRPr="008625D6">
        <w:rPr>
          <w:i/>
          <w:sz w:val="18"/>
          <w:szCs w:val="18"/>
        </w:rPr>
        <w:t>Inovační strategie České republiky 2019–2030</w:t>
      </w:r>
      <w:r w:rsidRPr="008625D6">
        <w:rPr>
          <w:sz w:val="18"/>
          <w:szCs w:val="18"/>
        </w:rPr>
        <w:t>. Praha: ÚV ČR – RVVI, 2019.</w:t>
      </w:r>
    </w:p>
  </w:footnote>
  <w:footnote w:id="68">
    <w:p w:rsidR="00E505FC" w:rsidRDefault="00E505FC" w:rsidP="00391B1D">
      <w:pPr>
        <w:pStyle w:val="Textpoznpodarou"/>
        <w:spacing w:after="60"/>
        <w:ind w:left="0" w:firstLine="0"/>
        <w:jc w:val="both"/>
      </w:pPr>
      <w:r w:rsidRPr="00E808B6">
        <w:rPr>
          <w:rStyle w:val="Znakapoznpodarou"/>
          <w:b w:val="0"/>
          <w:sz w:val="18"/>
          <w:szCs w:val="18"/>
        </w:rPr>
        <w:footnoteRef/>
      </w:r>
      <w:r>
        <w:t xml:space="preserve"> </w:t>
      </w:r>
      <w:r>
        <w:rPr>
          <w:sz w:val="18"/>
          <w:szCs w:val="18"/>
        </w:rPr>
        <w:t xml:space="preserve">Kol.: </w:t>
      </w:r>
      <w:r w:rsidRPr="00270365">
        <w:rPr>
          <w:i/>
          <w:sz w:val="18"/>
          <w:szCs w:val="18"/>
        </w:rPr>
        <w:t>Národní výzkumná a inovační strategie pro</w:t>
      </w:r>
      <w:r>
        <w:rPr>
          <w:i/>
          <w:sz w:val="18"/>
          <w:szCs w:val="18"/>
        </w:rPr>
        <w:t xml:space="preserve"> inteligentní specializaci České republiky 2021-2027. </w:t>
      </w:r>
      <w:r w:rsidRPr="00270365">
        <w:rPr>
          <w:sz w:val="18"/>
          <w:szCs w:val="18"/>
        </w:rPr>
        <w:t>Praha: MPO, 202</w:t>
      </w:r>
      <w:r>
        <w:rPr>
          <w:sz w:val="18"/>
          <w:szCs w:val="18"/>
        </w:rPr>
        <w:t>1.</w:t>
      </w:r>
    </w:p>
  </w:footnote>
  <w:footnote w:id="69">
    <w:p w:rsidR="00E505FC" w:rsidRPr="008625D6" w:rsidRDefault="00E505FC" w:rsidP="008625D6">
      <w:pPr>
        <w:pStyle w:val="Textpoznpodarou"/>
        <w:ind w:left="0" w:firstLine="0"/>
        <w:rPr>
          <w:sz w:val="18"/>
          <w:szCs w:val="18"/>
        </w:rPr>
      </w:pPr>
      <w:r w:rsidRPr="00CD569A">
        <w:rPr>
          <w:rStyle w:val="Znakapoznpodarou"/>
          <w:b w:val="0"/>
          <w:sz w:val="18"/>
          <w:szCs w:val="18"/>
        </w:rPr>
        <w:footnoteRef/>
      </w:r>
      <w:r w:rsidRPr="008625D6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Kol: </w:t>
      </w:r>
      <w:r w:rsidRPr="00620207">
        <w:rPr>
          <w:i/>
          <w:sz w:val="18"/>
          <w:szCs w:val="18"/>
        </w:rPr>
        <w:t>ESFRI White Paper 2020: Making Science Happen - A New Ambition for Research Infrastructures in the European Research Area</w:t>
      </w:r>
      <w:r>
        <w:rPr>
          <w:sz w:val="18"/>
          <w:szCs w:val="18"/>
        </w:rPr>
        <w:t xml:space="preserve">. Milano: ESFRI, 2020. </w:t>
      </w:r>
    </w:p>
  </w:footnote>
  <w:footnote w:id="70">
    <w:p w:rsidR="00E505FC" w:rsidRDefault="00E505FC" w:rsidP="00E41A1F">
      <w:pPr>
        <w:pStyle w:val="Textpoznpodarou"/>
        <w:spacing w:after="60"/>
        <w:ind w:left="0" w:firstLine="0"/>
        <w:jc w:val="both"/>
        <w:rPr>
          <w:i/>
          <w:sz w:val="18"/>
          <w:szCs w:val="18"/>
        </w:rPr>
      </w:pPr>
      <w:r w:rsidRPr="00620207">
        <w:rPr>
          <w:rStyle w:val="Znakapoznpodarou"/>
          <w:b w:val="0"/>
          <w:sz w:val="18"/>
          <w:szCs w:val="18"/>
        </w:rPr>
        <w:footnoteRef/>
      </w:r>
      <w:r w:rsidRPr="00620207">
        <w:rPr>
          <w:rStyle w:val="Znakapoznpodarou"/>
          <w:sz w:val="18"/>
          <w:szCs w:val="18"/>
        </w:rPr>
        <w:t xml:space="preserve"> </w:t>
      </w:r>
      <w:r>
        <w:rPr>
          <w:sz w:val="18"/>
          <w:szCs w:val="18"/>
        </w:rPr>
        <w:t xml:space="preserve">Kol.: </w:t>
      </w:r>
      <w:r w:rsidRPr="00270365">
        <w:rPr>
          <w:i/>
          <w:sz w:val="18"/>
          <w:szCs w:val="18"/>
        </w:rPr>
        <w:t>Národní výzkumná a inovační strategie pro</w:t>
      </w:r>
      <w:r>
        <w:rPr>
          <w:i/>
          <w:sz w:val="18"/>
          <w:szCs w:val="18"/>
        </w:rPr>
        <w:t xml:space="preserve"> inteligentní specializaci České republiky 2021-2027. </w:t>
      </w:r>
      <w:r w:rsidRPr="00270365">
        <w:rPr>
          <w:sz w:val="18"/>
          <w:szCs w:val="18"/>
        </w:rPr>
        <w:t>Praha: MPO, 202</w:t>
      </w:r>
      <w:r>
        <w:rPr>
          <w:sz w:val="18"/>
          <w:szCs w:val="18"/>
        </w:rPr>
        <w:t>1.</w:t>
      </w:r>
    </w:p>
    <w:p w:rsidR="00E505FC" w:rsidRDefault="00E505FC" w:rsidP="00E41A1F">
      <w:pPr>
        <w:pStyle w:val="Textpoznpodarou"/>
      </w:pPr>
    </w:p>
  </w:footnote>
  <w:footnote w:id="71">
    <w:p w:rsidR="00E505FC" w:rsidRPr="00904462" w:rsidRDefault="00E505FC" w:rsidP="00904462">
      <w:pPr>
        <w:pStyle w:val="Textpoznpodarou"/>
        <w:spacing w:after="60"/>
        <w:ind w:left="0" w:firstLine="0"/>
        <w:jc w:val="both"/>
        <w:rPr>
          <w:sz w:val="18"/>
          <w:szCs w:val="18"/>
        </w:rPr>
      </w:pPr>
      <w:r w:rsidRPr="00904462">
        <w:rPr>
          <w:rStyle w:val="Znakapoznpodarou"/>
          <w:b w:val="0"/>
          <w:sz w:val="18"/>
          <w:szCs w:val="18"/>
        </w:rPr>
        <w:footnoteRef/>
      </w:r>
      <w:r w:rsidRPr="00904462">
        <w:rPr>
          <w:sz w:val="18"/>
          <w:szCs w:val="18"/>
        </w:rPr>
        <w:t xml:space="preserve"> Kol.: </w:t>
      </w:r>
      <w:r w:rsidRPr="00904462">
        <w:rPr>
          <w:rFonts w:eastAsia="Times New Roman"/>
          <w:i/>
          <w:sz w:val="18"/>
          <w:szCs w:val="18"/>
        </w:rPr>
        <w:t>Předběžné posouzení pilotního využití finančních nástrojů v Operačním programu Výzkum, vývoj a vzdělávání 2014</w:t>
      </w:r>
      <w:r>
        <w:rPr>
          <w:rFonts w:eastAsia="Times New Roman"/>
          <w:i/>
          <w:sz w:val="18"/>
          <w:szCs w:val="18"/>
        </w:rPr>
        <w:t>-</w:t>
      </w:r>
      <w:r w:rsidRPr="00904462">
        <w:rPr>
          <w:rFonts w:eastAsia="Times New Roman"/>
          <w:i/>
          <w:sz w:val="18"/>
          <w:szCs w:val="18"/>
        </w:rPr>
        <w:t>–2020</w:t>
      </w:r>
      <w:r w:rsidRPr="00904462">
        <w:rPr>
          <w:rFonts w:eastAsia="Times New Roman"/>
          <w:sz w:val="18"/>
          <w:szCs w:val="18"/>
        </w:rPr>
        <w:t xml:space="preserve">. Praha: Deloitte, 2019, </w:t>
      </w:r>
      <w:hyperlink r:id="rId1" w:history="1">
        <w:r w:rsidRPr="00904462">
          <w:rPr>
            <w:rFonts w:eastAsia="Times New Roman"/>
            <w:sz w:val="18"/>
            <w:szCs w:val="18"/>
          </w:rPr>
          <w:t>https://opvvv.msmt.cz/download/file2625.pdf</w:t>
        </w:r>
      </w:hyperlink>
      <w:r w:rsidRPr="00904462">
        <w:rPr>
          <w:rFonts w:eastAsia="Times New Roman"/>
          <w:sz w:val="18"/>
          <w:szCs w:val="18"/>
        </w:rPr>
        <w:t xml:space="preserve"> [2020-01-01].</w:t>
      </w:r>
    </w:p>
  </w:footnote>
  <w:footnote w:id="72">
    <w:p w:rsidR="00E505FC" w:rsidRPr="00904462" w:rsidRDefault="00E505FC" w:rsidP="00904462">
      <w:pPr>
        <w:pStyle w:val="Textpoznpodarou"/>
        <w:spacing w:after="60"/>
        <w:ind w:left="0" w:firstLine="0"/>
        <w:jc w:val="both"/>
        <w:rPr>
          <w:sz w:val="18"/>
          <w:szCs w:val="18"/>
        </w:rPr>
      </w:pPr>
      <w:r w:rsidRPr="00904462">
        <w:rPr>
          <w:rStyle w:val="Znakapoznpodarou"/>
          <w:b w:val="0"/>
          <w:sz w:val="18"/>
          <w:szCs w:val="18"/>
        </w:rPr>
        <w:footnoteRef/>
      </w:r>
      <w:r w:rsidRPr="00904462">
        <w:rPr>
          <w:sz w:val="18"/>
          <w:szCs w:val="18"/>
        </w:rPr>
        <w:t xml:space="preserve"> Kol.: </w:t>
      </w:r>
      <w:r w:rsidRPr="00904462">
        <w:rPr>
          <w:rFonts w:eastAsia="Times New Roman"/>
          <w:i/>
          <w:sz w:val="18"/>
          <w:szCs w:val="18"/>
        </w:rPr>
        <w:t>Předběžné posouzení pilotního využití finančních nástrojů v Operačním programu Výzkum, vývoj a vzdělávání 2014</w:t>
      </w:r>
      <w:r>
        <w:rPr>
          <w:rFonts w:eastAsia="Times New Roman"/>
          <w:i/>
          <w:sz w:val="18"/>
          <w:szCs w:val="18"/>
        </w:rPr>
        <w:t>-</w:t>
      </w:r>
      <w:r w:rsidRPr="00904462">
        <w:rPr>
          <w:rFonts w:eastAsia="Times New Roman"/>
          <w:i/>
          <w:sz w:val="18"/>
          <w:szCs w:val="18"/>
        </w:rPr>
        <w:t>–2020</w:t>
      </w:r>
      <w:r w:rsidRPr="00904462">
        <w:rPr>
          <w:rFonts w:eastAsia="Times New Roman"/>
          <w:sz w:val="18"/>
          <w:szCs w:val="18"/>
        </w:rPr>
        <w:t xml:space="preserve">. Praha: Deloitte, 2019, </w:t>
      </w:r>
      <w:hyperlink r:id="rId2" w:history="1">
        <w:r w:rsidRPr="00904462">
          <w:rPr>
            <w:rFonts w:eastAsia="Times New Roman"/>
            <w:sz w:val="18"/>
            <w:szCs w:val="18"/>
          </w:rPr>
          <w:t>https://opvvv.msmt.cz/download/file2625.pdf</w:t>
        </w:r>
      </w:hyperlink>
      <w:r w:rsidRPr="00904462">
        <w:rPr>
          <w:rFonts w:eastAsia="Times New Roman"/>
          <w:sz w:val="18"/>
          <w:szCs w:val="18"/>
        </w:rPr>
        <w:t xml:space="preserve"> [2020-01-01].</w:t>
      </w:r>
    </w:p>
  </w:footnote>
  <w:footnote w:id="73">
    <w:p w:rsidR="00E505FC" w:rsidRPr="00904462" w:rsidRDefault="00E505FC" w:rsidP="00904462">
      <w:pPr>
        <w:pStyle w:val="Textpoznpodarou"/>
        <w:spacing w:after="60"/>
        <w:ind w:left="0" w:firstLine="0"/>
        <w:jc w:val="both"/>
        <w:rPr>
          <w:sz w:val="18"/>
          <w:szCs w:val="18"/>
        </w:rPr>
      </w:pPr>
      <w:r w:rsidRPr="00904462">
        <w:rPr>
          <w:rStyle w:val="Znakapoznpodarou"/>
          <w:b w:val="0"/>
          <w:sz w:val="18"/>
          <w:szCs w:val="18"/>
        </w:rPr>
        <w:footnoteRef/>
      </w:r>
      <w:r w:rsidRPr="00904462">
        <w:rPr>
          <w:sz w:val="18"/>
          <w:szCs w:val="18"/>
        </w:rPr>
        <w:t xml:space="preserve"> Kol.: </w:t>
      </w:r>
      <w:r w:rsidRPr="00904462">
        <w:rPr>
          <w:rFonts w:eastAsia="Times New Roman"/>
          <w:i/>
          <w:sz w:val="18"/>
          <w:szCs w:val="18"/>
        </w:rPr>
        <w:t>Předběžné posouzení pilotního využití finančních nástrojů v Operačním programu Výzkum, vývoj a vzdělávání 2014</w:t>
      </w:r>
      <w:r>
        <w:rPr>
          <w:rFonts w:eastAsia="Times New Roman"/>
          <w:i/>
          <w:sz w:val="18"/>
          <w:szCs w:val="18"/>
        </w:rPr>
        <w:t>-</w:t>
      </w:r>
      <w:r w:rsidRPr="00904462">
        <w:rPr>
          <w:rFonts w:eastAsia="Times New Roman"/>
          <w:i/>
          <w:sz w:val="18"/>
          <w:szCs w:val="18"/>
        </w:rPr>
        <w:t>–2020</w:t>
      </w:r>
      <w:r w:rsidRPr="00904462">
        <w:rPr>
          <w:rFonts w:eastAsia="Times New Roman"/>
          <w:sz w:val="18"/>
          <w:szCs w:val="18"/>
        </w:rPr>
        <w:t xml:space="preserve">. Praha: Deloitte, 2019, </w:t>
      </w:r>
      <w:hyperlink r:id="rId3" w:history="1">
        <w:r w:rsidRPr="00904462">
          <w:rPr>
            <w:rFonts w:eastAsia="Times New Roman"/>
            <w:sz w:val="18"/>
            <w:szCs w:val="18"/>
          </w:rPr>
          <w:t>https://opvvv.msmt.cz/download/file2625.pdf</w:t>
        </w:r>
      </w:hyperlink>
      <w:r w:rsidRPr="00904462">
        <w:rPr>
          <w:rFonts w:eastAsia="Times New Roman"/>
          <w:sz w:val="18"/>
          <w:szCs w:val="18"/>
        </w:rPr>
        <w:t xml:space="preserve"> [2020-01-01].</w:t>
      </w:r>
    </w:p>
  </w:footnote>
  <w:footnote w:id="74">
    <w:p w:rsidR="00E505FC" w:rsidRPr="000C0DDB" w:rsidRDefault="00E505FC" w:rsidP="000C0DDB">
      <w:pPr>
        <w:pStyle w:val="Textpoznpodarou"/>
        <w:ind w:left="0" w:firstLine="0"/>
        <w:jc w:val="both"/>
        <w:rPr>
          <w:sz w:val="18"/>
          <w:szCs w:val="18"/>
        </w:rPr>
      </w:pPr>
      <w:r w:rsidRPr="000C0DDB">
        <w:rPr>
          <w:rStyle w:val="Znakapoznpodarou"/>
          <w:b w:val="0"/>
          <w:sz w:val="18"/>
          <w:szCs w:val="18"/>
        </w:rPr>
        <w:footnoteRef/>
      </w:r>
      <w:r w:rsidRPr="000C0DDB">
        <w:rPr>
          <w:bCs/>
          <w:sz w:val="18"/>
          <w:szCs w:val="18"/>
        </w:rPr>
        <w:t xml:space="preserve"> OECD</w:t>
      </w:r>
      <w:r w:rsidRPr="000C0DDB">
        <w:rPr>
          <w:sz w:val="18"/>
          <w:szCs w:val="18"/>
        </w:rPr>
        <w:t xml:space="preserve"> (2020), OECD Economic Surveys: Czech Republic 2020, </w:t>
      </w:r>
      <w:r>
        <w:rPr>
          <w:sz w:val="18"/>
          <w:szCs w:val="18"/>
        </w:rPr>
        <w:t xml:space="preserve">s. 61, </w:t>
      </w:r>
      <w:r w:rsidRPr="000C0DDB">
        <w:rPr>
          <w:sz w:val="18"/>
          <w:szCs w:val="18"/>
        </w:rPr>
        <w:t>OECD Publishing, Paris, </w:t>
      </w:r>
      <w:hyperlink r:id="rId4" w:history="1">
        <w:r w:rsidRPr="000C0DDB">
          <w:rPr>
            <w:sz w:val="18"/>
            <w:szCs w:val="18"/>
          </w:rPr>
          <w:t>https://doi.org/10.1787/1b180a5a-en</w:t>
        </w:r>
      </w:hyperlink>
      <w:r w:rsidRPr="000C0DDB">
        <w:rPr>
          <w:sz w:val="18"/>
          <w:szCs w:val="18"/>
        </w:rPr>
        <w:t>.</w:t>
      </w:r>
    </w:p>
  </w:footnote>
  <w:footnote w:id="75">
    <w:p w:rsidR="00E505FC" w:rsidRPr="00904462" w:rsidRDefault="00E505FC" w:rsidP="00904462">
      <w:pPr>
        <w:pStyle w:val="Textpoznpodarou"/>
        <w:spacing w:after="60"/>
        <w:ind w:left="0" w:firstLine="0"/>
        <w:jc w:val="both"/>
        <w:rPr>
          <w:sz w:val="18"/>
          <w:szCs w:val="18"/>
        </w:rPr>
      </w:pPr>
      <w:r w:rsidRPr="00904462">
        <w:rPr>
          <w:rStyle w:val="Znakapoznpodarou"/>
          <w:b w:val="0"/>
          <w:sz w:val="18"/>
          <w:szCs w:val="18"/>
        </w:rPr>
        <w:footnoteRef/>
      </w:r>
      <w:r w:rsidRPr="00904462">
        <w:rPr>
          <w:sz w:val="18"/>
          <w:szCs w:val="18"/>
        </w:rPr>
        <w:t xml:space="preserve"> Bude umožněna doplňkovost s programem Erasmus+.</w:t>
      </w:r>
    </w:p>
  </w:footnote>
  <w:footnote w:id="76">
    <w:p w:rsidR="00E505FC" w:rsidRPr="000C0DDB" w:rsidRDefault="00E505FC" w:rsidP="000C0DDB">
      <w:pPr>
        <w:pStyle w:val="Textpoznpodarou"/>
        <w:ind w:left="0" w:firstLine="0"/>
        <w:jc w:val="both"/>
        <w:rPr>
          <w:b/>
          <w:bCs/>
        </w:rPr>
      </w:pPr>
      <w:r w:rsidRPr="000C0DDB">
        <w:rPr>
          <w:rStyle w:val="Znakapoznpodarou"/>
          <w:b w:val="0"/>
          <w:sz w:val="18"/>
          <w:szCs w:val="18"/>
        </w:rPr>
        <w:footnoteRef/>
      </w:r>
      <w:r w:rsidRPr="000C0DDB">
        <w:rPr>
          <w:b/>
          <w:bCs/>
        </w:rPr>
        <w:t xml:space="preserve"> </w:t>
      </w:r>
      <w:r w:rsidRPr="006A46A8">
        <w:rPr>
          <w:bCs/>
          <w:sz w:val="18"/>
          <w:szCs w:val="18"/>
        </w:rPr>
        <w:t>OECD</w:t>
      </w:r>
      <w:r w:rsidRPr="006A46A8">
        <w:rPr>
          <w:sz w:val="18"/>
          <w:szCs w:val="18"/>
        </w:rPr>
        <w:t xml:space="preserve"> (2020), OECD Economic Surveys: Czech Republic 2020, </w:t>
      </w:r>
      <w:r>
        <w:rPr>
          <w:sz w:val="18"/>
          <w:szCs w:val="18"/>
        </w:rPr>
        <w:t xml:space="preserve">s. 63, </w:t>
      </w:r>
      <w:r w:rsidRPr="006A46A8">
        <w:rPr>
          <w:sz w:val="18"/>
          <w:szCs w:val="18"/>
        </w:rPr>
        <w:t>OECD Publishing, Paris, </w:t>
      </w:r>
      <w:hyperlink r:id="rId5" w:history="1">
        <w:r w:rsidRPr="006A46A8">
          <w:rPr>
            <w:sz w:val="18"/>
            <w:szCs w:val="18"/>
          </w:rPr>
          <w:t>https://doi.org/10.1787/1b180a5a-en</w:t>
        </w:r>
      </w:hyperlink>
      <w:r w:rsidRPr="006A46A8">
        <w:rPr>
          <w:sz w:val="18"/>
          <w:szCs w:val="18"/>
        </w:rPr>
        <w:t>.</w:t>
      </w:r>
    </w:p>
  </w:footnote>
  <w:footnote w:id="77">
    <w:p w:rsidR="00E505FC" w:rsidRPr="00904462" w:rsidRDefault="00E505FC" w:rsidP="00904462">
      <w:pPr>
        <w:pStyle w:val="Textpoznpodarou"/>
        <w:spacing w:after="60"/>
        <w:ind w:left="0" w:firstLine="0"/>
        <w:jc w:val="both"/>
        <w:rPr>
          <w:sz w:val="18"/>
          <w:szCs w:val="18"/>
        </w:rPr>
      </w:pPr>
      <w:r w:rsidRPr="00904462">
        <w:rPr>
          <w:rStyle w:val="Znakapoznpodarou"/>
          <w:b w:val="0"/>
          <w:sz w:val="18"/>
          <w:szCs w:val="18"/>
        </w:rPr>
        <w:footnoteRef/>
      </w:r>
      <w:r w:rsidRPr="00904462">
        <w:rPr>
          <w:sz w:val="18"/>
          <w:szCs w:val="18"/>
        </w:rPr>
        <w:t xml:space="preserve"> ADORNO, T.: Teorie polovzdělanosti. </w:t>
      </w:r>
      <w:r w:rsidRPr="00904462">
        <w:rPr>
          <w:i/>
          <w:sz w:val="18"/>
          <w:szCs w:val="18"/>
        </w:rPr>
        <w:t>Orientace</w:t>
      </w:r>
      <w:r w:rsidRPr="00904462">
        <w:rPr>
          <w:sz w:val="18"/>
          <w:szCs w:val="18"/>
        </w:rPr>
        <w:t xml:space="preserve">, 1966, s. 62–75; BRÁZDIL, J.: Krize klasického vzdělání. </w:t>
      </w:r>
      <w:r w:rsidRPr="00904462">
        <w:rPr>
          <w:i/>
          <w:sz w:val="18"/>
          <w:szCs w:val="18"/>
        </w:rPr>
        <w:t>Antropowebzin</w:t>
      </w:r>
      <w:r w:rsidRPr="00904462">
        <w:rPr>
          <w:sz w:val="18"/>
          <w:szCs w:val="18"/>
        </w:rPr>
        <w:t>, 2016, s. 31–34.</w:t>
      </w:r>
    </w:p>
  </w:footnote>
  <w:footnote w:id="78">
    <w:p w:rsidR="00E505FC" w:rsidRPr="00904462" w:rsidRDefault="00E505FC" w:rsidP="00904462">
      <w:pPr>
        <w:pStyle w:val="Textpoznpodarou"/>
        <w:spacing w:after="60"/>
        <w:ind w:left="0" w:firstLine="0"/>
        <w:jc w:val="both"/>
        <w:rPr>
          <w:sz w:val="18"/>
          <w:szCs w:val="18"/>
        </w:rPr>
      </w:pPr>
      <w:r w:rsidRPr="00904462">
        <w:rPr>
          <w:rStyle w:val="Znakapoznpodarou"/>
          <w:b w:val="0"/>
          <w:sz w:val="18"/>
          <w:szCs w:val="18"/>
        </w:rPr>
        <w:footnoteRef/>
      </w:r>
      <w:r w:rsidRPr="00904462">
        <w:rPr>
          <w:sz w:val="18"/>
          <w:szCs w:val="18"/>
        </w:rPr>
        <w:t xml:space="preserve"> Kol.: </w:t>
      </w:r>
      <w:r w:rsidRPr="00904462">
        <w:rPr>
          <w:rFonts w:eastAsia="Times New Roman"/>
          <w:i/>
          <w:sz w:val="18"/>
          <w:szCs w:val="18"/>
        </w:rPr>
        <w:t>Předběžné posouzení pilotního využití finančních nástrojů v Operačním programu Výzkum, vývoj a vzdělávání 2014</w:t>
      </w:r>
      <w:r>
        <w:rPr>
          <w:rFonts w:eastAsia="Times New Roman"/>
          <w:i/>
          <w:sz w:val="18"/>
          <w:szCs w:val="18"/>
        </w:rPr>
        <w:t>-</w:t>
      </w:r>
      <w:r w:rsidRPr="00904462">
        <w:rPr>
          <w:rFonts w:eastAsia="Times New Roman"/>
          <w:i/>
          <w:sz w:val="18"/>
          <w:szCs w:val="18"/>
        </w:rPr>
        <w:t>–2020</w:t>
      </w:r>
      <w:r w:rsidRPr="00904462">
        <w:rPr>
          <w:rFonts w:eastAsia="Times New Roman"/>
          <w:sz w:val="18"/>
          <w:szCs w:val="18"/>
        </w:rPr>
        <w:t xml:space="preserve">. Praha: Deloitte, 2019, </w:t>
      </w:r>
      <w:hyperlink r:id="rId6" w:history="1">
        <w:r w:rsidRPr="00904462">
          <w:rPr>
            <w:rFonts w:eastAsia="Times New Roman"/>
            <w:sz w:val="18"/>
            <w:szCs w:val="18"/>
          </w:rPr>
          <w:t>https://opvvv.msmt.cz/download/file2625.pdf</w:t>
        </w:r>
      </w:hyperlink>
      <w:r w:rsidRPr="00904462">
        <w:rPr>
          <w:rFonts w:eastAsia="Times New Roman"/>
          <w:sz w:val="18"/>
          <w:szCs w:val="18"/>
        </w:rPr>
        <w:t xml:space="preserve"> [2020-01-01].</w:t>
      </w:r>
    </w:p>
  </w:footnote>
  <w:footnote w:id="79">
    <w:p w:rsidR="00E505FC" w:rsidRPr="00904462" w:rsidRDefault="00E505FC" w:rsidP="00904462">
      <w:pPr>
        <w:pStyle w:val="Textpoznpodarou"/>
        <w:spacing w:after="60"/>
        <w:ind w:left="0" w:firstLine="0"/>
        <w:jc w:val="both"/>
        <w:rPr>
          <w:sz w:val="18"/>
          <w:szCs w:val="18"/>
        </w:rPr>
      </w:pPr>
      <w:r w:rsidRPr="00904462">
        <w:rPr>
          <w:rStyle w:val="Znakapoznpodarou"/>
          <w:b w:val="0"/>
          <w:sz w:val="18"/>
          <w:szCs w:val="18"/>
        </w:rPr>
        <w:footnoteRef/>
      </w:r>
      <w:r w:rsidRPr="00904462">
        <w:rPr>
          <w:sz w:val="18"/>
          <w:szCs w:val="18"/>
        </w:rPr>
        <w:t xml:space="preserve"> Tj. vytvoření rámce, který </w:t>
      </w:r>
      <w:r w:rsidRPr="00904462">
        <w:rPr>
          <w:i/>
          <w:sz w:val="18"/>
          <w:szCs w:val="18"/>
        </w:rPr>
        <w:t>a priori</w:t>
      </w:r>
      <w:r w:rsidRPr="00904462">
        <w:rPr>
          <w:sz w:val="18"/>
          <w:szCs w:val="18"/>
        </w:rPr>
        <w:t xml:space="preserve"> nevyčleňuje žádnou skupinu.</w:t>
      </w:r>
    </w:p>
  </w:footnote>
  <w:footnote w:id="80">
    <w:p w:rsidR="00E505FC" w:rsidRPr="00904462" w:rsidRDefault="00E505FC" w:rsidP="00904462">
      <w:pPr>
        <w:pStyle w:val="Textpoznpodarou"/>
        <w:spacing w:after="60"/>
        <w:ind w:left="0" w:firstLine="0"/>
        <w:jc w:val="both"/>
        <w:rPr>
          <w:sz w:val="18"/>
          <w:szCs w:val="18"/>
        </w:rPr>
      </w:pPr>
      <w:r w:rsidRPr="00904462">
        <w:rPr>
          <w:rStyle w:val="Znakapoznpodarou"/>
          <w:b w:val="0"/>
          <w:sz w:val="18"/>
          <w:szCs w:val="18"/>
        </w:rPr>
        <w:footnoteRef/>
      </w:r>
      <w:r w:rsidRPr="00904462">
        <w:rPr>
          <w:sz w:val="18"/>
          <w:szCs w:val="18"/>
        </w:rPr>
        <w:t xml:space="preserve"> Kol.: </w:t>
      </w:r>
      <w:r w:rsidRPr="00904462">
        <w:rPr>
          <w:rFonts w:eastAsia="Times New Roman"/>
          <w:i/>
          <w:sz w:val="18"/>
          <w:szCs w:val="18"/>
        </w:rPr>
        <w:t>Předběžné posouzení pilotního využití finančních nástrojů v Operačním programu Výzkum, vývoj a vzdělávání 2014</w:t>
      </w:r>
      <w:r>
        <w:rPr>
          <w:rFonts w:eastAsia="Times New Roman"/>
          <w:i/>
          <w:sz w:val="18"/>
          <w:szCs w:val="18"/>
        </w:rPr>
        <w:t>-</w:t>
      </w:r>
      <w:r w:rsidRPr="00904462">
        <w:rPr>
          <w:rFonts w:eastAsia="Times New Roman"/>
          <w:i/>
          <w:sz w:val="18"/>
          <w:szCs w:val="18"/>
        </w:rPr>
        <w:t>–2020</w:t>
      </w:r>
      <w:r w:rsidRPr="00904462">
        <w:rPr>
          <w:rFonts w:eastAsia="Times New Roman"/>
          <w:sz w:val="18"/>
          <w:szCs w:val="18"/>
        </w:rPr>
        <w:t xml:space="preserve">. Praha: Deloitte, 2019, </w:t>
      </w:r>
      <w:hyperlink r:id="rId7" w:history="1">
        <w:r w:rsidRPr="00904462">
          <w:rPr>
            <w:rFonts w:eastAsia="Times New Roman"/>
            <w:sz w:val="18"/>
            <w:szCs w:val="18"/>
          </w:rPr>
          <w:t>https://opvvv.msmt.cz/download/file2625.pdf</w:t>
        </w:r>
      </w:hyperlink>
      <w:r w:rsidRPr="00904462">
        <w:rPr>
          <w:rFonts w:eastAsia="Times New Roman"/>
          <w:sz w:val="18"/>
          <w:szCs w:val="18"/>
        </w:rPr>
        <w:t xml:space="preserve"> [2020-01-01].</w:t>
      </w:r>
    </w:p>
  </w:footnote>
  <w:footnote w:id="81">
    <w:p w:rsidR="00E505FC" w:rsidRPr="00A65B44" w:rsidRDefault="00E505FC" w:rsidP="009273BA">
      <w:pPr>
        <w:pStyle w:val="Textpoznpodarou"/>
        <w:ind w:left="0" w:firstLine="0"/>
        <w:jc w:val="both"/>
        <w:rPr>
          <w:bCs/>
        </w:rPr>
      </w:pPr>
      <w:r w:rsidRPr="009273BA">
        <w:rPr>
          <w:rStyle w:val="Znakapoznpodarou"/>
          <w:b w:val="0"/>
          <w:sz w:val="22"/>
          <w:szCs w:val="22"/>
        </w:rPr>
        <w:footnoteRef/>
      </w:r>
      <w:r w:rsidRPr="009273BA">
        <w:rPr>
          <w:sz w:val="22"/>
          <w:szCs w:val="22"/>
        </w:rPr>
        <w:t xml:space="preserve"> </w:t>
      </w:r>
      <w:r w:rsidRPr="00A65B44">
        <w:rPr>
          <w:rFonts w:eastAsia="Times New Roman"/>
          <w:sz w:val="18"/>
          <w:szCs w:val="18"/>
        </w:rPr>
        <w:t xml:space="preserve">OECD (2020), OECD Economic Surveys: Czech Republic 2020, </w:t>
      </w:r>
      <w:r>
        <w:rPr>
          <w:rFonts w:eastAsia="Times New Roman"/>
          <w:sz w:val="18"/>
          <w:szCs w:val="18"/>
        </w:rPr>
        <w:t xml:space="preserve">s. 63, </w:t>
      </w:r>
      <w:r w:rsidRPr="00A65B44">
        <w:rPr>
          <w:rFonts w:eastAsia="Times New Roman"/>
          <w:sz w:val="18"/>
          <w:szCs w:val="18"/>
        </w:rPr>
        <w:t>OECD Publishing, Paris</w:t>
      </w:r>
      <w:r w:rsidRPr="00A65B44">
        <w:rPr>
          <w:bCs/>
        </w:rPr>
        <w:t xml:space="preserve">, </w:t>
      </w:r>
      <w:r w:rsidRPr="00A65B44">
        <w:rPr>
          <w:rFonts w:eastAsia="Times New Roman"/>
          <w:sz w:val="18"/>
          <w:szCs w:val="18"/>
        </w:rPr>
        <w:t>https://doi.org/10.1787/1b180a5a-en.</w:t>
      </w:r>
    </w:p>
  </w:footnote>
  <w:footnote w:id="82">
    <w:p w:rsidR="00E505FC" w:rsidRPr="00904462" w:rsidRDefault="00E505FC" w:rsidP="00904462">
      <w:pPr>
        <w:pStyle w:val="Textpoznpodarou"/>
        <w:spacing w:after="60"/>
        <w:ind w:left="0" w:firstLine="0"/>
        <w:jc w:val="both"/>
        <w:rPr>
          <w:sz w:val="18"/>
          <w:szCs w:val="18"/>
        </w:rPr>
      </w:pPr>
      <w:r w:rsidRPr="00904462">
        <w:rPr>
          <w:rStyle w:val="Znakapoznpodarou"/>
          <w:b w:val="0"/>
          <w:sz w:val="18"/>
          <w:szCs w:val="18"/>
        </w:rPr>
        <w:footnoteRef/>
      </w:r>
      <w:r w:rsidRPr="00904462">
        <w:rPr>
          <w:sz w:val="18"/>
          <w:szCs w:val="18"/>
        </w:rPr>
        <w:t xml:space="preserve"> Kol.: </w:t>
      </w:r>
      <w:r w:rsidRPr="00904462">
        <w:rPr>
          <w:rFonts w:eastAsia="Times New Roman"/>
          <w:i/>
          <w:sz w:val="18"/>
          <w:szCs w:val="18"/>
        </w:rPr>
        <w:t>Předběžné posouzení pilotního využití finančních nástrojů v Operačním programu Výzkum, vývoj a vzdělávání 2014</w:t>
      </w:r>
      <w:r>
        <w:rPr>
          <w:rFonts w:eastAsia="Times New Roman"/>
          <w:i/>
          <w:sz w:val="18"/>
          <w:szCs w:val="18"/>
        </w:rPr>
        <w:t>-</w:t>
      </w:r>
      <w:r w:rsidRPr="00904462">
        <w:rPr>
          <w:rFonts w:eastAsia="Times New Roman"/>
          <w:i/>
          <w:sz w:val="18"/>
          <w:szCs w:val="18"/>
        </w:rPr>
        <w:t>–2020</w:t>
      </w:r>
      <w:r w:rsidRPr="00904462">
        <w:rPr>
          <w:rFonts w:eastAsia="Times New Roman"/>
          <w:sz w:val="18"/>
          <w:szCs w:val="18"/>
        </w:rPr>
        <w:t xml:space="preserve">. Praha: Deloitte, 2019, </w:t>
      </w:r>
      <w:hyperlink r:id="rId8" w:history="1">
        <w:r w:rsidRPr="00904462">
          <w:rPr>
            <w:rFonts w:eastAsia="Times New Roman"/>
            <w:sz w:val="18"/>
            <w:szCs w:val="18"/>
          </w:rPr>
          <w:t>https://opvvv.msmt.cz/download/file2625.pdf</w:t>
        </w:r>
      </w:hyperlink>
      <w:r w:rsidRPr="00904462">
        <w:rPr>
          <w:rFonts w:eastAsia="Times New Roman"/>
          <w:sz w:val="18"/>
          <w:szCs w:val="18"/>
        </w:rPr>
        <w:t xml:space="preserve"> [2020-01-01].</w:t>
      </w:r>
    </w:p>
  </w:footnote>
  <w:footnote w:id="83">
    <w:p w:rsidR="00E505FC" w:rsidRPr="00290FF5" w:rsidRDefault="00E505FC" w:rsidP="0071632F">
      <w:pPr>
        <w:pStyle w:val="Textpoznpodarou"/>
        <w:ind w:left="0" w:firstLine="0"/>
        <w:jc w:val="both"/>
        <w:rPr>
          <w:sz w:val="18"/>
          <w:szCs w:val="18"/>
        </w:rPr>
      </w:pPr>
      <w:r w:rsidRPr="00290FF5">
        <w:rPr>
          <w:rStyle w:val="Znakapoznpodarou"/>
          <w:sz w:val="18"/>
          <w:szCs w:val="18"/>
        </w:rPr>
        <w:footnoteRef/>
      </w:r>
      <w:r w:rsidRPr="00290FF5">
        <w:rPr>
          <w:sz w:val="18"/>
          <w:szCs w:val="18"/>
        </w:rPr>
        <w:t xml:space="preserve"> </w:t>
      </w:r>
      <w:r w:rsidRPr="002F0B24">
        <w:rPr>
          <w:sz w:val="18"/>
          <w:szCs w:val="18"/>
        </w:rPr>
        <w:t xml:space="preserve">Technická pomoc </w:t>
      </w:r>
      <w:r>
        <w:rPr>
          <w:sz w:val="18"/>
          <w:szCs w:val="18"/>
        </w:rPr>
        <w:t xml:space="preserve">je z rozhodnutí Ministerstva pro místní rozvoj rozdělena na Prioritu 3 –  </w:t>
      </w:r>
      <w:r w:rsidRPr="00757DFC">
        <w:rPr>
          <w:sz w:val="18"/>
          <w:szCs w:val="18"/>
        </w:rPr>
        <w:t>Technická pomoc (P</w:t>
      </w:r>
      <w:r>
        <w:rPr>
          <w:sz w:val="18"/>
          <w:szCs w:val="18"/>
        </w:rPr>
        <w:t>3</w:t>
      </w:r>
      <w:r w:rsidRPr="00757DFC">
        <w:rPr>
          <w:sz w:val="18"/>
          <w:szCs w:val="18"/>
        </w:rPr>
        <w:t>) –</w:t>
      </w:r>
      <w:r>
        <w:rPr>
          <w:sz w:val="18"/>
          <w:szCs w:val="18"/>
        </w:rPr>
        <w:t xml:space="preserve"> ERDF </w:t>
      </w:r>
      <w:r>
        <w:rPr>
          <w:sz w:val="18"/>
          <w:szCs w:val="18"/>
        </w:rPr>
        <w:br/>
        <w:t xml:space="preserve">a Prioritu 4 – </w:t>
      </w:r>
      <w:r w:rsidRPr="00757DFC">
        <w:rPr>
          <w:sz w:val="18"/>
          <w:szCs w:val="18"/>
        </w:rPr>
        <w:t>Technická pomoc (P</w:t>
      </w:r>
      <w:r>
        <w:rPr>
          <w:sz w:val="18"/>
          <w:szCs w:val="18"/>
        </w:rPr>
        <w:t>4</w:t>
      </w:r>
      <w:r w:rsidRPr="00757DFC">
        <w:rPr>
          <w:sz w:val="18"/>
          <w:szCs w:val="18"/>
        </w:rPr>
        <w:t>) –</w:t>
      </w:r>
      <w:r>
        <w:rPr>
          <w:sz w:val="18"/>
          <w:szCs w:val="18"/>
        </w:rPr>
        <w:t xml:space="preserve"> </w:t>
      </w:r>
      <w:r w:rsidRPr="00757DFC">
        <w:rPr>
          <w:sz w:val="18"/>
          <w:szCs w:val="18"/>
        </w:rPr>
        <w:t>ESF+</w:t>
      </w:r>
      <w:r>
        <w:rPr>
          <w:sz w:val="18"/>
          <w:szCs w:val="18"/>
        </w:rPr>
        <w:t>. Obě priority obsahují shodný text.</w:t>
      </w:r>
    </w:p>
  </w:footnote>
  <w:footnote w:id="84">
    <w:p w:rsidR="00E505FC" w:rsidRPr="00AF78A9" w:rsidRDefault="00E505FC" w:rsidP="009273BA">
      <w:pPr>
        <w:pStyle w:val="Textpoznpodarou"/>
        <w:ind w:left="170" w:right="-142" w:hanging="170"/>
        <w:jc w:val="both"/>
        <w:rPr>
          <w:sz w:val="18"/>
          <w:szCs w:val="18"/>
        </w:rPr>
      </w:pPr>
      <w:r w:rsidRPr="00AF78A9">
        <w:rPr>
          <w:rStyle w:val="Znakapoznpodarou"/>
          <w:sz w:val="18"/>
          <w:szCs w:val="18"/>
        </w:rPr>
        <w:footnoteRef/>
      </w:r>
      <w:r w:rsidRPr="00AF78A9">
        <w:rPr>
          <w:sz w:val="18"/>
          <w:szCs w:val="18"/>
        </w:rPr>
        <w:t xml:space="preserve"> Zaměstnanci MŠMT pracující v rámci dohod o pracích konaných mimo pracovní poměr se za administrativní kapacitu považují v</w:t>
      </w:r>
      <w:r>
        <w:rPr>
          <w:sz w:val="18"/>
          <w:szCs w:val="18"/>
        </w:rPr>
        <w:t> </w:t>
      </w:r>
      <w:r w:rsidRPr="00AF78A9">
        <w:rPr>
          <w:sz w:val="18"/>
          <w:szCs w:val="18"/>
        </w:rPr>
        <w:t>případech</w:t>
      </w:r>
      <w:r>
        <w:rPr>
          <w:sz w:val="18"/>
          <w:szCs w:val="18"/>
        </w:rPr>
        <w:t xml:space="preserve"> </w:t>
      </w:r>
      <w:r w:rsidRPr="00AF78A9">
        <w:rPr>
          <w:sz w:val="18"/>
          <w:szCs w:val="18"/>
        </w:rPr>
        <w:t>explicitně určených návaznou dokumentací. Za administrativní kapacitu nejsou považováni zaměstnanci</w:t>
      </w:r>
      <w:r>
        <w:rPr>
          <w:sz w:val="18"/>
          <w:szCs w:val="18"/>
        </w:rPr>
        <w:t xml:space="preserve"> MŠMT pracující v rámci dohod o </w:t>
      </w:r>
      <w:r w:rsidRPr="00AF78A9">
        <w:rPr>
          <w:sz w:val="18"/>
          <w:szCs w:val="18"/>
        </w:rPr>
        <w:t xml:space="preserve">pracích konaných mimo pracovní poměr uzavřených v rámci hodnotitelské činnosti. </w:t>
      </w:r>
    </w:p>
  </w:footnote>
  <w:footnote w:id="85">
    <w:p w:rsidR="00E505FC" w:rsidRPr="00AF78A9" w:rsidRDefault="00E505FC" w:rsidP="00DA17B4">
      <w:pPr>
        <w:pStyle w:val="Textpoznpodarou"/>
        <w:ind w:left="170" w:right="-142" w:hanging="170"/>
        <w:jc w:val="both"/>
        <w:rPr>
          <w:sz w:val="18"/>
          <w:szCs w:val="18"/>
        </w:rPr>
      </w:pPr>
      <w:r w:rsidRPr="00AF78A9">
        <w:rPr>
          <w:rStyle w:val="Znakapoznpodarou"/>
          <w:sz w:val="18"/>
          <w:szCs w:val="18"/>
        </w:rPr>
        <w:footnoteRef/>
      </w:r>
      <w:r w:rsidRPr="00AF78A9">
        <w:rPr>
          <w:sz w:val="18"/>
          <w:szCs w:val="18"/>
        </w:rPr>
        <w:t xml:space="preserve"> Zaměstnanci MŠMT pracující v rámci dohod o pracích konaných mimo pracovní poměr se za administrativní kapacitu považují v</w:t>
      </w:r>
      <w:r>
        <w:rPr>
          <w:sz w:val="18"/>
          <w:szCs w:val="18"/>
        </w:rPr>
        <w:t> </w:t>
      </w:r>
      <w:r w:rsidRPr="00AF78A9">
        <w:rPr>
          <w:sz w:val="18"/>
          <w:szCs w:val="18"/>
        </w:rPr>
        <w:t>případech</w:t>
      </w:r>
      <w:r>
        <w:rPr>
          <w:sz w:val="18"/>
          <w:szCs w:val="18"/>
        </w:rPr>
        <w:t xml:space="preserve"> </w:t>
      </w:r>
      <w:r w:rsidRPr="00AF78A9">
        <w:rPr>
          <w:sz w:val="18"/>
          <w:szCs w:val="18"/>
        </w:rPr>
        <w:t>explicitně určených návaznou dokumentací. Za administrativní kapacitu nejsou považováni zaměstnanci</w:t>
      </w:r>
      <w:r>
        <w:rPr>
          <w:sz w:val="18"/>
          <w:szCs w:val="18"/>
        </w:rPr>
        <w:t xml:space="preserve"> MŠMT pracující v rámci dohod o </w:t>
      </w:r>
      <w:r w:rsidRPr="00AF78A9">
        <w:rPr>
          <w:sz w:val="18"/>
          <w:szCs w:val="18"/>
        </w:rPr>
        <w:t xml:space="preserve">pracích konaných mimo pracovní poměr uzavřených v rámci hodnotitelské činnosti. </w:t>
      </w:r>
    </w:p>
  </w:footnote>
  <w:footnote w:id="86">
    <w:p w:rsidR="00E505FC" w:rsidRPr="00904462" w:rsidRDefault="00E505FC" w:rsidP="00AE6176">
      <w:pPr>
        <w:pStyle w:val="Textpoznpodarou"/>
        <w:spacing w:after="60"/>
        <w:ind w:left="0" w:firstLine="0"/>
        <w:jc w:val="both"/>
        <w:rPr>
          <w:sz w:val="18"/>
          <w:szCs w:val="18"/>
        </w:rPr>
      </w:pPr>
      <w:r w:rsidRPr="00904462">
        <w:rPr>
          <w:rStyle w:val="Znakapoznpodarou"/>
          <w:b w:val="0"/>
          <w:sz w:val="18"/>
          <w:szCs w:val="18"/>
        </w:rPr>
        <w:footnoteRef/>
      </w:r>
      <w:r w:rsidRPr="00904462">
        <w:rPr>
          <w:sz w:val="18"/>
          <w:szCs w:val="18"/>
        </w:rPr>
        <w:t xml:space="preserve"> </w:t>
      </w:r>
      <w:r w:rsidRPr="001234A0">
        <w:rPr>
          <w:sz w:val="18"/>
          <w:szCs w:val="18"/>
        </w:rPr>
        <w:t xml:space="preserve">Platí pouze pro změny programu v souladu s články 10 a 21 </w:t>
      </w:r>
      <w:r>
        <w:rPr>
          <w:sz w:val="18"/>
          <w:szCs w:val="18"/>
        </w:rPr>
        <w:t>obecného nařízení.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05FC" w:rsidRDefault="00E505F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652B5"/>
    <w:multiLevelType w:val="multilevel"/>
    <w:tmpl w:val="B10A6748"/>
    <w:lvl w:ilvl="0">
      <w:start w:val="1"/>
      <w:numFmt w:val="decimal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6495604"/>
    <w:multiLevelType w:val="multilevel"/>
    <w:tmpl w:val="9F60CF46"/>
    <w:name w:val="Points"/>
    <w:lvl w:ilvl="0">
      <w:start w:val="1"/>
      <w:numFmt w:val="decimal"/>
      <w:pStyle w:val="Point12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pStyle w:val="Pointabc"/>
      <w:lvlText w:val="%2)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Point1231"/>
      <w:lvlText w:val="%3."/>
      <w:lvlJc w:val="left"/>
      <w:pPr>
        <w:tabs>
          <w:tab w:val="num" w:pos="1134"/>
        </w:tabs>
        <w:ind w:left="1134" w:hanging="567"/>
      </w:pPr>
    </w:lvl>
    <w:lvl w:ilvl="3">
      <w:start w:val="1"/>
      <w:numFmt w:val="lowerLetter"/>
      <w:pStyle w:val="Pointabc1"/>
      <w:lvlText w:val="%4)"/>
      <w:lvlJc w:val="left"/>
      <w:pPr>
        <w:tabs>
          <w:tab w:val="num" w:pos="1134"/>
        </w:tabs>
        <w:ind w:left="1134" w:hanging="567"/>
      </w:pPr>
    </w:lvl>
    <w:lvl w:ilvl="4">
      <w:start w:val="1"/>
      <w:numFmt w:val="decimal"/>
      <w:pStyle w:val="Point1232"/>
      <w:lvlText w:val="%5."/>
      <w:lvlJc w:val="left"/>
      <w:pPr>
        <w:tabs>
          <w:tab w:val="num" w:pos="1701"/>
        </w:tabs>
        <w:ind w:left="1701" w:hanging="567"/>
      </w:pPr>
    </w:lvl>
    <w:lvl w:ilvl="5">
      <w:start w:val="1"/>
      <w:numFmt w:val="lowerLetter"/>
      <w:pStyle w:val="Pointabc2"/>
      <w:lvlText w:val="%6)"/>
      <w:lvlJc w:val="left"/>
      <w:pPr>
        <w:tabs>
          <w:tab w:val="num" w:pos="1701"/>
        </w:tabs>
        <w:ind w:left="1701" w:hanging="567"/>
      </w:pPr>
    </w:lvl>
    <w:lvl w:ilvl="6">
      <w:start w:val="1"/>
      <w:numFmt w:val="decimal"/>
      <w:pStyle w:val="Point1233"/>
      <w:lvlText w:val="%7."/>
      <w:lvlJc w:val="left"/>
      <w:pPr>
        <w:tabs>
          <w:tab w:val="num" w:pos="2268"/>
        </w:tabs>
        <w:ind w:left="2268" w:hanging="567"/>
      </w:pPr>
    </w:lvl>
    <w:lvl w:ilvl="7">
      <w:start w:val="1"/>
      <w:numFmt w:val="lowerLetter"/>
      <w:pStyle w:val="Pointabc3"/>
      <w:lvlText w:val="%8)"/>
      <w:lvlJc w:val="left"/>
      <w:pPr>
        <w:tabs>
          <w:tab w:val="num" w:pos="2268"/>
        </w:tabs>
        <w:ind w:left="2268" w:hanging="567"/>
      </w:pPr>
    </w:lvl>
    <w:lvl w:ilvl="8">
      <w:start w:val="1"/>
      <w:numFmt w:val="lowerLetter"/>
      <w:pStyle w:val="Pointabc4"/>
      <w:lvlText w:val="%9)"/>
      <w:lvlJc w:val="left"/>
      <w:pPr>
        <w:tabs>
          <w:tab w:val="num" w:pos="2835"/>
        </w:tabs>
        <w:ind w:left="2835" w:hanging="567"/>
      </w:pPr>
    </w:lvl>
  </w:abstractNum>
  <w:abstractNum w:abstractNumId="2" w15:restartNumberingAfterBreak="0">
    <w:nsid w:val="066B5A68"/>
    <w:multiLevelType w:val="singleLevel"/>
    <w:tmpl w:val="8B0853B0"/>
    <w:name w:val="Dash 1"/>
    <w:lvl w:ilvl="0">
      <w:start w:val="1"/>
      <w:numFmt w:val="bullet"/>
      <w:pStyle w:val="Dash1"/>
      <w:lvlText w:val="–"/>
      <w:lvlJc w:val="left"/>
      <w:pPr>
        <w:tabs>
          <w:tab w:val="num" w:pos="1134"/>
        </w:tabs>
        <w:ind w:left="1134" w:hanging="567"/>
      </w:pPr>
    </w:lvl>
  </w:abstractNum>
  <w:abstractNum w:abstractNumId="3" w15:restartNumberingAfterBreak="0">
    <w:nsid w:val="06F52136"/>
    <w:multiLevelType w:val="hybridMultilevel"/>
    <w:tmpl w:val="26A603B2"/>
    <w:lvl w:ilvl="0" w:tplc="34E48E46">
      <w:start w:val="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E48E46">
      <w:start w:val="1"/>
      <w:numFmt w:val="bullet"/>
      <w:lvlText w:val="-"/>
      <w:lvlJc w:val="left"/>
      <w:pPr>
        <w:ind w:left="2520" w:hanging="360"/>
      </w:pPr>
      <w:rPr>
        <w:rFonts w:ascii="Arial" w:eastAsiaTheme="minorHAnsi" w:hAnsi="Arial" w:cs="Aria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031CC4"/>
    <w:multiLevelType w:val="hybridMultilevel"/>
    <w:tmpl w:val="9A52E00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E30F0A"/>
    <w:multiLevelType w:val="hybridMultilevel"/>
    <w:tmpl w:val="70F62400"/>
    <w:lvl w:ilvl="0" w:tplc="70167DAC">
      <w:start w:val="1"/>
      <w:numFmt w:val="decimal"/>
      <w:lvlText w:val="%1."/>
      <w:lvlJc w:val="left"/>
      <w:pPr>
        <w:ind w:left="720" w:hanging="360"/>
      </w:pPr>
      <w:rPr>
        <w:b/>
        <w:color w:val="1F3864" w:themeColor="accent1" w:themeShade="8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C20093"/>
    <w:multiLevelType w:val="singleLevel"/>
    <w:tmpl w:val="05F6137C"/>
    <w:name w:val="Dash 4"/>
    <w:lvl w:ilvl="0">
      <w:start w:val="1"/>
      <w:numFmt w:val="bullet"/>
      <w:pStyle w:val="Dash4"/>
      <w:lvlText w:val="–"/>
      <w:lvlJc w:val="left"/>
      <w:pPr>
        <w:tabs>
          <w:tab w:val="num" w:pos="2835"/>
        </w:tabs>
        <w:ind w:left="2835" w:hanging="567"/>
      </w:pPr>
    </w:lvl>
  </w:abstractNum>
  <w:abstractNum w:abstractNumId="7" w15:restartNumberingAfterBreak="0">
    <w:nsid w:val="0B7F4273"/>
    <w:multiLevelType w:val="singleLevel"/>
    <w:tmpl w:val="6276CDDE"/>
    <w:lvl w:ilvl="0">
      <w:start w:val="1"/>
      <w:numFmt w:val="upperRoman"/>
      <w:pStyle w:val="Par-numberI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8" w15:restartNumberingAfterBreak="0">
    <w:nsid w:val="0B822274"/>
    <w:multiLevelType w:val="hybridMultilevel"/>
    <w:tmpl w:val="0AF008B8"/>
    <w:lvl w:ilvl="0" w:tplc="DD9E98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DD0E9B"/>
    <w:multiLevelType w:val="hybridMultilevel"/>
    <w:tmpl w:val="6EB22546"/>
    <w:lvl w:ilvl="0" w:tplc="90A45862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0413672"/>
    <w:multiLevelType w:val="hybridMultilevel"/>
    <w:tmpl w:val="82EC22FC"/>
    <w:lvl w:ilvl="0" w:tplc="0E60EF50">
      <w:start w:val="1"/>
      <w:numFmt w:val="decimal"/>
      <w:pStyle w:val="StyleHeading1Left0cm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640866"/>
    <w:multiLevelType w:val="hybridMultilevel"/>
    <w:tmpl w:val="DD92B3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8747C3"/>
    <w:multiLevelType w:val="hybridMultilevel"/>
    <w:tmpl w:val="4C54BDF2"/>
    <w:lvl w:ilvl="0" w:tplc="34E48E4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8458F9"/>
    <w:multiLevelType w:val="hybridMultilevel"/>
    <w:tmpl w:val="F9722D1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151B7152"/>
    <w:multiLevelType w:val="hybridMultilevel"/>
    <w:tmpl w:val="B1E2C1B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E6AE391C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2B0495"/>
    <w:multiLevelType w:val="multilevel"/>
    <w:tmpl w:val="FED03EAA"/>
    <w:name w:val="Heading ABC"/>
    <w:lvl w:ilvl="0">
      <w:start w:val="1"/>
      <w:numFmt w:val="upperLetter"/>
      <w:pStyle w:val="HeadingABC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176C37B8"/>
    <w:multiLevelType w:val="singleLevel"/>
    <w:tmpl w:val="E17861E4"/>
    <w:name w:val="Bullet (2)"/>
    <w:lvl w:ilvl="0">
      <w:start w:val="1"/>
      <w:numFmt w:val="bullet"/>
      <w:pStyle w:val="Bullet2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</w:abstractNum>
  <w:abstractNum w:abstractNumId="17" w15:restartNumberingAfterBreak="0">
    <w:nsid w:val="19021A77"/>
    <w:multiLevelType w:val="hybridMultilevel"/>
    <w:tmpl w:val="EEBAF33A"/>
    <w:lvl w:ilvl="0" w:tplc="D206B57A">
      <w:start w:val="2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9F04A61"/>
    <w:multiLevelType w:val="hybridMultilevel"/>
    <w:tmpl w:val="53380BDA"/>
    <w:lvl w:ilvl="0" w:tplc="DD9E98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B3C78B8"/>
    <w:multiLevelType w:val="multilevel"/>
    <w:tmpl w:val="ADB23302"/>
    <w:name w:val="Point"/>
    <w:lvl w:ilvl="0">
      <w:start w:val="1"/>
      <w:numFmt w:val="decimal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lvlText w:val="(%4)"/>
      <w:lvlJc w:val="left"/>
      <w:pPr>
        <w:tabs>
          <w:tab w:val="num" w:pos="1417"/>
        </w:tabs>
        <w:ind w:left="1417" w:hanging="567"/>
      </w:pPr>
      <w:rPr>
        <w:strike w:val="0"/>
        <w:dstrike w:val="0"/>
        <w:u w:val="none"/>
        <w:effect w:val="none"/>
      </w:r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20" w15:restartNumberingAfterBreak="0">
    <w:nsid w:val="1F372775"/>
    <w:multiLevelType w:val="hybridMultilevel"/>
    <w:tmpl w:val="BC269D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FC73EED"/>
    <w:multiLevelType w:val="singleLevel"/>
    <w:tmpl w:val="109A6A02"/>
    <w:name w:val="Bullet (1)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22" w15:restartNumberingAfterBreak="0">
    <w:nsid w:val="22CA659A"/>
    <w:multiLevelType w:val="singleLevel"/>
    <w:tmpl w:val="7B9C897A"/>
    <w:lvl w:ilvl="0">
      <w:start w:val="1"/>
      <w:numFmt w:val="bullet"/>
      <w:pStyle w:val="Par-dash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23" w15:restartNumberingAfterBreak="0">
    <w:nsid w:val="22D918D1"/>
    <w:multiLevelType w:val="multilevel"/>
    <w:tmpl w:val="85B6FC86"/>
    <w:lvl w:ilvl="0">
      <w:start w:val="1"/>
      <w:numFmt w:val="decimal"/>
      <w:pStyle w:val="Nadpis1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851"/>
        </w:tabs>
        <w:ind w:left="851" w:hanging="851"/>
      </w:pPr>
      <w:rPr>
        <w:b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851"/>
        </w:tabs>
        <w:ind w:left="851" w:hanging="851"/>
      </w:pPr>
      <w:rPr>
        <w:i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851"/>
        </w:tabs>
        <w:ind w:left="851" w:hanging="851"/>
      </w:pPr>
      <w:rPr>
        <w:color w:val="1F3864" w:themeColor="accent1" w:themeShade="80"/>
      </w:r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25" w15:restartNumberingAfterBreak="0">
    <w:nsid w:val="26596D70"/>
    <w:multiLevelType w:val="multilevel"/>
    <w:tmpl w:val="0ABAD01C"/>
    <w:name w:val="Points roman"/>
    <w:lvl w:ilvl="0">
      <w:start w:val="1"/>
      <w:numFmt w:val="lowerRoman"/>
      <w:pStyle w:val="Pointivx"/>
      <w:lvlText w:val="%1)"/>
      <w:lvlJc w:val="left"/>
      <w:pPr>
        <w:tabs>
          <w:tab w:val="num" w:pos="567"/>
        </w:tabs>
        <w:ind w:left="567" w:hanging="567"/>
      </w:pPr>
    </w:lvl>
    <w:lvl w:ilvl="1">
      <w:start w:val="1"/>
      <w:numFmt w:val="lowerRoman"/>
      <w:pStyle w:val="Pointivx1"/>
      <w:lvlText w:val="%2)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Pointivx2"/>
      <w:lvlText w:val="%3)"/>
      <w:lvlJc w:val="left"/>
      <w:pPr>
        <w:tabs>
          <w:tab w:val="num" w:pos="1701"/>
        </w:tabs>
        <w:ind w:left="1701" w:hanging="567"/>
      </w:pPr>
    </w:lvl>
    <w:lvl w:ilvl="3">
      <w:start w:val="1"/>
      <w:numFmt w:val="lowerRoman"/>
      <w:pStyle w:val="Pointivx3"/>
      <w:lvlText w:val="%4)"/>
      <w:lvlJc w:val="left"/>
      <w:pPr>
        <w:tabs>
          <w:tab w:val="num" w:pos="2268"/>
        </w:tabs>
        <w:ind w:left="2268" w:hanging="567"/>
      </w:pPr>
    </w:lvl>
    <w:lvl w:ilvl="4">
      <w:start w:val="1"/>
      <w:numFmt w:val="lowerRoman"/>
      <w:pStyle w:val="Pointivx4"/>
      <w:lvlText w:val="%5)"/>
      <w:lvlJc w:val="left"/>
      <w:pPr>
        <w:tabs>
          <w:tab w:val="num" w:pos="2835"/>
        </w:tabs>
        <w:ind w:left="2835" w:hanging="567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27A94842"/>
    <w:multiLevelType w:val="multilevel"/>
    <w:tmpl w:val="AF12CA62"/>
    <w:name w:val="Heading 123"/>
    <w:lvl w:ilvl="0">
      <w:start w:val="1"/>
      <w:numFmt w:val="decimal"/>
      <w:pStyle w:val="Heading12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29EC7DB9"/>
    <w:multiLevelType w:val="hybridMultilevel"/>
    <w:tmpl w:val="6D921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9FF5A85"/>
    <w:multiLevelType w:val="hybridMultilevel"/>
    <w:tmpl w:val="8280ED2C"/>
    <w:lvl w:ilvl="0" w:tplc="9536D086">
      <w:start w:val="1"/>
      <w:numFmt w:val="decimal"/>
      <w:pStyle w:val="Considerant"/>
      <w:lvlText w:val="%1)"/>
      <w:lvlJc w:val="left"/>
      <w:pPr>
        <w:ind w:left="928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CC40528"/>
    <w:multiLevelType w:val="hybridMultilevel"/>
    <w:tmpl w:val="0E867F7E"/>
    <w:lvl w:ilvl="0" w:tplc="DD9E98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CE9221F"/>
    <w:multiLevelType w:val="singleLevel"/>
    <w:tmpl w:val="9B4AFB48"/>
    <w:name w:val="Tiret 3"/>
    <w:lvl w:ilvl="0">
      <w:start w:val="1"/>
      <w:numFmt w:val="bullet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31" w15:restartNumberingAfterBreak="0">
    <w:nsid w:val="2D2D468B"/>
    <w:multiLevelType w:val="singleLevel"/>
    <w:tmpl w:val="A18042A8"/>
    <w:lvl w:ilvl="0">
      <w:start w:val="1"/>
      <w:numFmt w:val="upperLetter"/>
      <w:pStyle w:val="Par-numberA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32" w15:restartNumberingAfterBreak="0">
    <w:nsid w:val="2DB37182"/>
    <w:multiLevelType w:val="singleLevel"/>
    <w:tmpl w:val="F612DBDC"/>
    <w:lvl w:ilvl="0">
      <w:start w:val="1"/>
      <w:numFmt w:val="lowerRoman"/>
      <w:pStyle w:val="Par-numberi0"/>
      <w:lvlText w:val="(%1)"/>
      <w:lvlJc w:val="left"/>
      <w:pPr>
        <w:tabs>
          <w:tab w:val="num" w:pos="720"/>
        </w:tabs>
        <w:ind w:left="567" w:hanging="567"/>
      </w:pPr>
    </w:lvl>
  </w:abstractNum>
  <w:abstractNum w:abstractNumId="33" w15:restartNumberingAfterBreak="0">
    <w:nsid w:val="30A72614"/>
    <w:multiLevelType w:val="hybridMultilevel"/>
    <w:tmpl w:val="31F8730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E48E46">
      <w:start w:val="1"/>
      <w:numFmt w:val="bullet"/>
      <w:lvlText w:val="-"/>
      <w:lvlJc w:val="left"/>
      <w:pPr>
        <w:ind w:left="2520" w:hanging="360"/>
      </w:pPr>
      <w:rPr>
        <w:rFonts w:ascii="Arial" w:eastAsiaTheme="minorHAnsi" w:hAnsi="Arial" w:cs="Aria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2B9202F"/>
    <w:multiLevelType w:val="hybridMultilevel"/>
    <w:tmpl w:val="AB8A5112"/>
    <w:lvl w:ilvl="0" w:tplc="D206B57A">
      <w:start w:val="2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3910487D"/>
    <w:multiLevelType w:val="hybridMultilevel"/>
    <w:tmpl w:val="E33E59FA"/>
    <w:lvl w:ilvl="0" w:tplc="34E48E4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94F5925"/>
    <w:multiLevelType w:val="singleLevel"/>
    <w:tmpl w:val="395C08BE"/>
    <w:lvl w:ilvl="0">
      <w:start w:val="1"/>
      <w:numFmt w:val="decimal"/>
      <w:pStyle w:val="Par-number1"/>
      <w:lvlText w:val="(%1)"/>
      <w:lvlJc w:val="left"/>
      <w:pPr>
        <w:tabs>
          <w:tab w:val="num" w:pos="567"/>
        </w:tabs>
        <w:ind w:left="567" w:hanging="567"/>
      </w:pPr>
    </w:lvl>
  </w:abstractNum>
  <w:abstractNum w:abstractNumId="37" w15:restartNumberingAfterBreak="0">
    <w:nsid w:val="3DD66C9D"/>
    <w:multiLevelType w:val="singleLevel"/>
    <w:tmpl w:val="E5905DC2"/>
    <w:lvl w:ilvl="0">
      <w:start w:val="1"/>
      <w:numFmt w:val="lowerLetter"/>
      <w:pStyle w:val="Par-numbera0"/>
      <w:lvlText w:val="(%1)"/>
      <w:lvlJc w:val="left"/>
      <w:pPr>
        <w:tabs>
          <w:tab w:val="num" w:pos="567"/>
        </w:tabs>
        <w:ind w:left="567" w:hanging="567"/>
      </w:pPr>
    </w:lvl>
  </w:abstractNum>
  <w:abstractNum w:abstractNumId="38" w15:restartNumberingAfterBreak="0">
    <w:nsid w:val="3FC80B1B"/>
    <w:multiLevelType w:val="singleLevel"/>
    <w:tmpl w:val="C11CD6E2"/>
    <w:lvl w:ilvl="0">
      <w:start w:val="1"/>
      <w:numFmt w:val="decimal"/>
      <w:pStyle w:val="Par-number10"/>
      <w:lvlText w:val="%1)"/>
      <w:lvlJc w:val="left"/>
      <w:pPr>
        <w:tabs>
          <w:tab w:val="num" w:pos="567"/>
        </w:tabs>
        <w:ind w:left="567" w:hanging="567"/>
      </w:pPr>
    </w:lvl>
  </w:abstractNum>
  <w:abstractNum w:abstractNumId="39" w15:restartNumberingAfterBreak="0">
    <w:nsid w:val="42713452"/>
    <w:multiLevelType w:val="singleLevel"/>
    <w:tmpl w:val="3B8CC7EA"/>
    <w:name w:val="Tiret 1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0" w15:restartNumberingAfterBreak="0">
    <w:nsid w:val="428415E7"/>
    <w:multiLevelType w:val="multilevel"/>
    <w:tmpl w:val="92100ADA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 w15:restartNumberingAfterBreak="0">
    <w:nsid w:val="42FC0772"/>
    <w:multiLevelType w:val="singleLevel"/>
    <w:tmpl w:val="4128FCF8"/>
    <w:name w:val="Tiret 4"/>
    <w:lvl w:ilvl="0">
      <w:start w:val="1"/>
      <w:numFmt w:val="bullet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42" w15:restartNumberingAfterBreak="0">
    <w:nsid w:val="436E0A5D"/>
    <w:multiLevelType w:val="singleLevel"/>
    <w:tmpl w:val="9C807126"/>
    <w:lvl w:ilvl="0">
      <w:start w:val="1"/>
      <w:numFmt w:val="bullet"/>
      <w:pStyle w:val="Par-equal"/>
      <w:lvlText w:val="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43" w15:restartNumberingAfterBreak="0">
    <w:nsid w:val="444C4C1A"/>
    <w:multiLevelType w:val="hybridMultilevel"/>
    <w:tmpl w:val="5AA02978"/>
    <w:lvl w:ilvl="0" w:tplc="34E48E4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4830AE8"/>
    <w:multiLevelType w:val="singleLevel"/>
    <w:tmpl w:val="C694AB9E"/>
    <w:name w:val="Bullet (0)"/>
    <w:lvl w:ilvl="0">
      <w:start w:val="1"/>
      <w:numFmt w:val="bullet"/>
      <w:pStyle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45" w15:restartNumberingAfterBreak="0">
    <w:nsid w:val="45481EA4"/>
    <w:multiLevelType w:val="multilevel"/>
    <w:tmpl w:val="28525E6E"/>
    <w:lvl w:ilvl="0">
      <w:start w:val="1"/>
      <w:numFmt w:val="decimal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6" w15:restartNumberingAfterBreak="0">
    <w:nsid w:val="4552127F"/>
    <w:multiLevelType w:val="singleLevel"/>
    <w:tmpl w:val="057A5296"/>
    <w:name w:val="Bullet 0"/>
    <w:lvl w:ilvl="0">
      <w:start w:val="1"/>
      <w:numFmt w:val="bullet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47" w15:restartNumberingAfterBreak="0">
    <w:nsid w:val="46032075"/>
    <w:multiLevelType w:val="hybridMultilevel"/>
    <w:tmpl w:val="55167DE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9" w15:restartNumberingAfterBreak="0">
    <w:nsid w:val="470D000C"/>
    <w:multiLevelType w:val="multilevel"/>
    <w:tmpl w:val="8D9E880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718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2850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0" w15:restartNumberingAfterBreak="0">
    <w:nsid w:val="481C22D3"/>
    <w:multiLevelType w:val="hybridMultilevel"/>
    <w:tmpl w:val="A966187C"/>
    <w:lvl w:ilvl="0" w:tplc="767023E6">
      <w:start w:val="1"/>
      <w:numFmt w:val="decimal"/>
      <w:lvlText w:val="%1."/>
      <w:lvlJc w:val="left"/>
      <w:pPr>
        <w:ind w:left="397" w:hanging="360"/>
      </w:pPr>
      <w:rPr>
        <w:rFonts w:hint="default"/>
        <w:color w:val="auto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117" w:hanging="360"/>
      </w:pPr>
    </w:lvl>
    <w:lvl w:ilvl="2" w:tplc="0405001B" w:tentative="1">
      <w:start w:val="1"/>
      <w:numFmt w:val="lowerRoman"/>
      <w:lvlText w:val="%3."/>
      <w:lvlJc w:val="right"/>
      <w:pPr>
        <w:ind w:left="1837" w:hanging="180"/>
      </w:pPr>
    </w:lvl>
    <w:lvl w:ilvl="3" w:tplc="0405000F" w:tentative="1">
      <w:start w:val="1"/>
      <w:numFmt w:val="decimal"/>
      <w:lvlText w:val="%4."/>
      <w:lvlJc w:val="left"/>
      <w:pPr>
        <w:ind w:left="2557" w:hanging="360"/>
      </w:pPr>
    </w:lvl>
    <w:lvl w:ilvl="4" w:tplc="04050019" w:tentative="1">
      <w:start w:val="1"/>
      <w:numFmt w:val="lowerLetter"/>
      <w:lvlText w:val="%5."/>
      <w:lvlJc w:val="left"/>
      <w:pPr>
        <w:ind w:left="3277" w:hanging="360"/>
      </w:pPr>
    </w:lvl>
    <w:lvl w:ilvl="5" w:tplc="0405001B" w:tentative="1">
      <w:start w:val="1"/>
      <w:numFmt w:val="lowerRoman"/>
      <w:lvlText w:val="%6."/>
      <w:lvlJc w:val="right"/>
      <w:pPr>
        <w:ind w:left="3997" w:hanging="180"/>
      </w:pPr>
    </w:lvl>
    <w:lvl w:ilvl="6" w:tplc="0405000F" w:tentative="1">
      <w:start w:val="1"/>
      <w:numFmt w:val="decimal"/>
      <w:lvlText w:val="%7."/>
      <w:lvlJc w:val="left"/>
      <w:pPr>
        <w:ind w:left="4717" w:hanging="360"/>
      </w:pPr>
    </w:lvl>
    <w:lvl w:ilvl="7" w:tplc="04050019" w:tentative="1">
      <w:start w:val="1"/>
      <w:numFmt w:val="lowerLetter"/>
      <w:lvlText w:val="%8."/>
      <w:lvlJc w:val="left"/>
      <w:pPr>
        <w:ind w:left="5437" w:hanging="360"/>
      </w:pPr>
    </w:lvl>
    <w:lvl w:ilvl="8" w:tplc="0405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51" w15:restartNumberingAfterBreak="0">
    <w:nsid w:val="48860AAB"/>
    <w:multiLevelType w:val="multilevel"/>
    <w:tmpl w:val="E8744BD2"/>
    <w:lvl w:ilvl="0">
      <w:start w:val="1"/>
      <w:numFmt w:val="decimal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2" w15:restartNumberingAfterBreak="0">
    <w:nsid w:val="4AB36D96"/>
    <w:multiLevelType w:val="hybridMultilevel"/>
    <w:tmpl w:val="CC5EB06C"/>
    <w:lvl w:ilvl="0" w:tplc="08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53" w15:restartNumberingAfterBreak="0">
    <w:nsid w:val="51CD6865"/>
    <w:multiLevelType w:val="hybridMultilevel"/>
    <w:tmpl w:val="8DBA8DDE"/>
    <w:lvl w:ilvl="0" w:tplc="DD9E98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7227889"/>
    <w:multiLevelType w:val="singleLevel"/>
    <w:tmpl w:val="B83C732C"/>
    <w:name w:val="Dash Equal 2"/>
    <w:lvl w:ilvl="0">
      <w:start w:val="1"/>
      <w:numFmt w:val="bullet"/>
      <w:pStyle w:val="DashEqual2"/>
      <w:lvlText w:val="="/>
      <w:lvlJc w:val="left"/>
      <w:pPr>
        <w:tabs>
          <w:tab w:val="num" w:pos="1701"/>
        </w:tabs>
        <w:ind w:left="1701" w:hanging="567"/>
      </w:pPr>
    </w:lvl>
  </w:abstractNum>
  <w:abstractNum w:abstractNumId="55" w15:restartNumberingAfterBreak="0">
    <w:nsid w:val="57CF7392"/>
    <w:multiLevelType w:val="multilevel"/>
    <w:tmpl w:val="8F703574"/>
    <w:name w:val="Heading IVX"/>
    <w:lvl w:ilvl="0">
      <w:start w:val="1"/>
      <w:numFmt w:val="upperRoman"/>
      <w:pStyle w:val="HeadingIVX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5CA31A15"/>
    <w:multiLevelType w:val="singleLevel"/>
    <w:tmpl w:val="CB981644"/>
    <w:name w:val="Tiret 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7" w15:restartNumberingAfterBreak="0">
    <w:nsid w:val="5D3C164B"/>
    <w:multiLevelType w:val="hybridMultilevel"/>
    <w:tmpl w:val="54BC1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D60669B"/>
    <w:multiLevelType w:val="singleLevel"/>
    <w:tmpl w:val="A97ED7DE"/>
    <w:name w:val="Dash 3"/>
    <w:lvl w:ilvl="0">
      <w:start w:val="1"/>
      <w:numFmt w:val="bullet"/>
      <w:pStyle w:val="Dash3"/>
      <w:lvlText w:val="–"/>
      <w:lvlJc w:val="left"/>
      <w:pPr>
        <w:tabs>
          <w:tab w:val="num" w:pos="2268"/>
        </w:tabs>
        <w:ind w:left="2268" w:hanging="567"/>
      </w:pPr>
    </w:lvl>
  </w:abstractNum>
  <w:abstractNum w:abstractNumId="59" w15:restartNumberingAfterBreak="0">
    <w:nsid w:val="5EF651F9"/>
    <w:multiLevelType w:val="hybridMultilevel"/>
    <w:tmpl w:val="0AFA9DC6"/>
    <w:lvl w:ilvl="0" w:tplc="DD9E98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F98226C"/>
    <w:multiLevelType w:val="hybridMultilevel"/>
    <w:tmpl w:val="E2BE0F28"/>
    <w:lvl w:ilvl="0" w:tplc="34E48E4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06F5540"/>
    <w:multiLevelType w:val="hybridMultilevel"/>
    <w:tmpl w:val="5FF0EE66"/>
    <w:lvl w:ilvl="0" w:tplc="894A5ED4">
      <w:numFmt w:val="bullet"/>
      <w:lvlText w:val="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17E7A97"/>
    <w:multiLevelType w:val="hybridMultilevel"/>
    <w:tmpl w:val="FC3051D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61EE24C6"/>
    <w:multiLevelType w:val="hybridMultilevel"/>
    <w:tmpl w:val="A4200F9A"/>
    <w:lvl w:ilvl="0" w:tplc="34E48E4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3840A53"/>
    <w:multiLevelType w:val="hybridMultilevel"/>
    <w:tmpl w:val="8CDEA6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64845AC9"/>
    <w:multiLevelType w:val="hybridMultilevel"/>
    <w:tmpl w:val="934084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67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68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69" w15:restartNumberingAfterBreak="0">
    <w:nsid w:val="6774118E"/>
    <w:multiLevelType w:val="singleLevel"/>
    <w:tmpl w:val="5944F242"/>
    <w:name w:val="Dash Equal 4"/>
    <w:lvl w:ilvl="0">
      <w:start w:val="1"/>
      <w:numFmt w:val="bullet"/>
      <w:pStyle w:val="DashEqual4"/>
      <w:lvlText w:val="="/>
      <w:lvlJc w:val="left"/>
      <w:pPr>
        <w:tabs>
          <w:tab w:val="num" w:pos="2835"/>
        </w:tabs>
        <w:ind w:left="2835" w:hanging="567"/>
      </w:pPr>
    </w:lvl>
  </w:abstractNum>
  <w:abstractNum w:abstractNumId="70" w15:restartNumberingAfterBreak="0">
    <w:nsid w:val="67B856F6"/>
    <w:multiLevelType w:val="singleLevel"/>
    <w:tmpl w:val="0AB28E9C"/>
    <w:name w:val="Tiret 2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71" w15:restartNumberingAfterBreak="0">
    <w:nsid w:val="69123630"/>
    <w:multiLevelType w:val="singleLevel"/>
    <w:tmpl w:val="1BE6CBF4"/>
    <w:name w:val="Bullet (3)"/>
    <w:lvl w:ilvl="0">
      <w:start w:val="1"/>
      <w:numFmt w:val="bullet"/>
      <w:pStyle w:val="Bullet3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</w:abstractNum>
  <w:abstractNum w:abstractNumId="72" w15:restartNumberingAfterBreak="0">
    <w:nsid w:val="6A3F4E38"/>
    <w:multiLevelType w:val="hybridMultilevel"/>
    <w:tmpl w:val="54BC1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A75692A"/>
    <w:multiLevelType w:val="hybridMultilevel"/>
    <w:tmpl w:val="7D4E81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D9D664B"/>
    <w:multiLevelType w:val="singleLevel"/>
    <w:tmpl w:val="11148DA2"/>
    <w:name w:val="Dash 0"/>
    <w:lvl w:ilvl="0">
      <w:start w:val="1"/>
      <w:numFmt w:val="bullet"/>
      <w:pStyle w:val="Dash"/>
      <w:lvlText w:val="–"/>
      <w:lvlJc w:val="left"/>
      <w:pPr>
        <w:tabs>
          <w:tab w:val="num" w:pos="567"/>
        </w:tabs>
        <w:ind w:left="567" w:hanging="567"/>
      </w:pPr>
    </w:lvl>
  </w:abstractNum>
  <w:abstractNum w:abstractNumId="75" w15:restartNumberingAfterBreak="0">
    <w:nsid w:val="6DA63B4F"/>
    <w:multiLevelType w:val="hybridMultilevel"/>
    <w:tmpl w:val="2AAEE1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E4E71E4"/>
    <w:multiLevelType w:val="singleLevel"/>
    <w:tmpl w:val="21145626"/>
    <w:lvl w:ilvl="0">
      <w:start w:val="1"/>
      <w:numFmt w:val="decimal"/>
      <w:pStyle w:val="Par-number1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77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78" w15:restartNumberingAfterBreak="0">
    <w:nsid w:val="6E946C74"/>
    <w:multiLevelType w:val="hybridMultilevel"/>
    <w:tmpl w:val="EDD0F04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E48E46">
      <w:start w:val="1"/>
      <w:numFmt w:val="bullet"/>
      <w:lvlText w:val="-"/>
      <w:lvlJc w:val="left"/>
      <w:pPr>
        <w:ind w:left="2520" w:hanging="360"/>
      </w:pPr>
      <w:rPr>
        <w:rFonts w:ascii="Arial" w:eastAsiaTheme="minorHAnsi" w:hAnsi="Arial" w:cs="Aria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6F2E0F3A"/>
    <w:multiLevelType w:val="hybridMultilevel"/>
    <w:tmpl w:val="DE80942A"/>
    <w:lvl w:ilvl="0" w:tplc="DD9E98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F642730"/>
    <w:multiLevelType w:val="singleLevel"/>
    <w:tmpl w:val="142C218E"/>
    <w:name w:val="Dash 2"/>
    <w:lvl w:ilvl="0">
      <w:start w:val="1"/>
      <w:numFmt w:val="bullet"/>
      <w:pStyle w:val="Dash2"/>
      <w:lvlText w:val="–"/>
      <w:lvlJc w:val="left"/>
      <w:pPr>
        <w:tabs>
          <w:tab w:val="num" w:pos="1701"/>
        </w:tabs>
        <w:ind w:left="1701" w:hanging="567"/>
      </w:pPr>
    </w:lvl>
  </w:abstractNum>
  <w:abstractNum w:abstractNumId="81" w15:restartNumberingAfterBreak="0">
    <w:nsid w:val="6FA61574"/>
    <w:multiLevelType w:val="hybridMultilevel"/>
    <w:tmpl w:val="06A2D2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22D0831"/>
    <w:multiLevelType w:val="hybridMultilevel"/>
    <w:tmpl w:val="70F62400"/>
    <w:lvl w:ilvl="0" w:tplc="70167DAC">
      <w:start w:val="1"/>
      <w:numFmt w:val="decimal"/>
      <w:lvlText w:val="%1."/>
      <w:lvlJc w:val="left"/>
      <w:pPr>
        <w:ind w:left="720" w:hanging="360"/>
      </w:pPr>
      <w:rPr>
        <w:b/>
        <w:color w:val="1F3864" w:themeColor="accent1" w:themeShade="8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53F4BA1"/>
    <w:multiLevelType w:val="singleLevel"/>
    <w:tmpl w:val="E3B64B50"/>
    <w:name w:val="Dash Equal 3"/>
    <w:lvl w:ilvl="0">
      <w:start w:val="1"/>
      <w:numFmt w:val="bullet"/>
      <w:pStyle w:val="DashEqual3"/>
      <w:lvlText w:val="="/>
      <w:lvlJc w:val="left"/>
      <w:pPr>
        <w:tabs>
          <w:tab w:val="num" w:pos="2268"/>
        </w:tabs>
        <w:ind w:left="2268" w:hanging="567"/>
      </w:pPr>
    </w:lvl>
  </w:abstractNum>
  <w:abstractNum w:abstractNumId="84" w15:restartNumberingAfterBreak="0">
    <w:nsid w:val="767F4AB5"/>
    <w:multiLevelType w:val="hybridMultilevel"/>
    <w:tmpl w:val="6CAEDC20"/>
    <w:lvl w:ilvl="0" w:tplc="7AAA46E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pStyle w:val="StyleHeading3BoldNotItalic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8250856"/>
    <w:multiLevelType w:val="singleLevel"/>
    <w:tmpl w:val="70ACDB5C"/>
    <w:name w:val="Dash Equal 0"/>
    <w:lvl w:ilvl="0">
      <w:start w:val="1"/>
      <w:numFmt w:val="bullet"/>
      <w:pStyle w:val="DashEqual"/>
      <w:lvlText w:val="="/>
      <w:lvlJc w:val="left"/>
      <w:pPr>
        <w:tabs>
          <w:tab w:val="num" w:pos="567"/>
        </w:tabs>
        <w:ind w:left="567" w:hanging="567"/>
      </w:pPr>
    </w:lvl>
  </w:abstractNum>
  <w:abstractNum w:abstractNumId="86" w15:restartNumberingAfterBreak="0">
    <w:nsid w:val="7938373B"/>
    <w:multiLevelType w:val="hybridMultilevel"/>
    <w:tmpl w:val="0D1641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9904CA0"/>
    <w:multiLevelType w:val="singleLevel"/>
    <w:tmpl w:val="54F47DCE"/>
    <w:name w:val="Bullet (4)"/>
    <w:lvl w:ilvl="0">
      <w:start w:val="1"/>
      <w:numFmt w:val="bullet"/>
      <w:pStyle w:val="Bullet4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</w:abstractNum>
  <w:abstractNum w:abstractNumId="88" w15:restartNumberingAfterBreak="0">
    <w:nsid w:val="79FA34D6"/>
    <w:multiLevelType w:val="singleLevel"/>
    <w:tmpl w:val="41326E50"/>
    <w:lvl w:ilvl="0">
      <w:start w:val="1"/>
      <w:numFmt w:val="bullet"/>
      <w:pStyle w:val="Par-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89" w15:restartNumberingAfterBreak="0">
    <w:nsid w:val="7ACF3A8A"/>
    <w:multiLevelType w:val="singleLevel"/>
    <w:tmpl w:val="0E484FE6"/>
    <w:name w:val="Dash Equal 1"/>
    <w:lvl w:ilvl="0">
      <w:start w:val="1"/>
      <w:numFmt w:val="bullet"/>
      <w:pStyle w:val="DashEqual1"/>
      <w:lvlText w:val="="/>
      <w:lvlJc w:val="left"/>
      <w:pPr>
        <w:tabs>
          <w:tab w:val="num" w:pos="1134"/>
        </w:tabs>
        <w:ind w:left="1134" w:hanging="567"/>
      </w:pPr>
    </w:lvl>
  </w:abstractNum>
  <w:abstractNum w:abstractNumId="90" w15:restartNumberingAfterBreak="0">
    <w:nsid w:val="7CBE4812"/>
    <w:multiLevelType w:val="singleLevel"/>
    <w:tmpl w:val="23C821E4"/>
    <w:name w:val="Considérant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91" w15:restartNumberingAfterBreak="0">
    <w:nsid w:val="7DED49AC"/>
    <w:multiLevelType w:val="hybridMultilevel"/>
    <w:tmpl w:val="119E21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0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4"/>
  </w:num>
  <w:num w:numId="6">
    <w:abstractNumId w:val="21"/>
  </w:num>
  <w:num w:numId="7">
    <w:abstractNumId w:val="16"/>
  </w:num>
  <w:num w:numId="8">
    <w:abstractNumId w:val="71"/>
  </w:num>
  <w:num w:numId="9">
    <w:abstractNumId w:val="87"/>
  </w:num>
  <w:num w:numId="10">
    <w:abstractNumId w:val="74"/>
  </w:num>
  <w:num w:numId="11">
    <w:abstractNumId w:val="2"/>
  </w:num>
  <w:num w:numId="12">
    <w:abstractNumId w:val="80"/>
  </w:num>
  <w:num w:numId="13">
    <w:abstractNumId w:val="58"/>
  </w:num>
  <w:num w:numId="14">
    <w:abstractNumId w:val="6"/>
  </w:num>
  <w:num w:numId="15">
    <w:abstractNumId w:val="85"/>
  </w:num>
  <w:num w:numId="16">
    <w:abstractNumId w:val="89"/>
  </w:num>
  <w:num w:numId="17">
    <w:abstractNumId w:val="54"/>
  </w:num>
  <w:num w:numId="18">
    <w:abstractNumId w:val="83"/>
  </w:num>
  <w:num w:numId="19">
    <w:abstractNumId w:val="69"/>
  </w:num>
  <w:num w:numId="20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8"/>
    <w:lvlOverride w:ilvl="0">
      <w:startOverride w:val="1"/>
    </w:lvlOverride>
  </w:num>
  <w:num w:numId="24">
    <w:abstractNumId w:val="88"/>
  </w:num>
  <w:num w:numId="25">
    <w:abstractNumId w:val="42"/>
  </w:num>
  <w:num w:numId="26">
    <w:abstractNumId w:val="36"/>
    <w:lvlOverride w:ilvl="0">
      <w:startOverride w:val="1"/>
    </w:lvlOverride>
  </w:num>
  <w:num w:numId="27">
    <w:abstractNumId w:val="76"/>
    <w:lvlOverride w:ilvl="0">
      <w:startOverride w:val="1"/>
    </w:lvlOverride>
  </w:num>
  <w:num w:numId="28">
    <w:abstractNumId w:val="7"/>
    <w:lvlOverride w:ilvl="0">
      <w:startOverride w:val="1"/>
    </w:lvlOverride>
  </w:num>
  <w:num w:numId="29">
    <w:abstractNumId w:val="22"/>
  </w:num>
  <w:num w:numId="30">
    <w:abstractNumId w:val="31"/>
    <w:lvlOverride w:ilvl="0">
      <w:startOverride w:val="1"/>
    </w:lvlOverride>
  </w:num>
  <w:num w:numId="31">
    <w:abstractNumId w:val="32"/>
    <w:lvlOverride w:ilvl="0">
      <w:startOverride w:val="1"/>
    </w:lvlOverride>
  </w:num>
  <w:num w:numId="32">
    <w:abstractNumId w:val="37"/>
    <w:lvlOverride w:ilvl="0">
      <w:startOverride w:val="1"/>
    </w:lvlOverride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6"/>
  </w:num>
  <w:num w:numId="36">
    <w:abstractNumId w:val="68"/>
  </w:num>
  <w:num w:numId="37">
    <w:abstractNumId w:val="67"/>
  </w:num>
  <w:num w:numId="38">
    <w:abstractNumId w:val="77"/>
  </w:num>
  <w:num w:numId="39">
    <w:abstractNumId w:val="24"/>
  </w:num>
  <w:num w:numId="40">
    <w:abstractNumId w:val="48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5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1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4"/>
  </w:num>
  <w:num w:numId="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6"/>
  </w:num>
  <w:num w:numId="47">
    <w:abstractNumId w:val="39"/>
  </w:num>
  <w:num w:numId="48">
    <w:abstractNumId w:val="70"/>
  </w:num>
  <w:num w:numId="49">
    <w:abstractNumId w:val="30"/>
  </w:num>
  <w:num w:numId="50">
    <w:abstractNumId w:val="41"/>
  </w:num>
  <w:num w:numId="51">
    <w:abstractNumId w:val="46"/>
  </w:num>
  <w:num w:numId="52">
    <w:abstractNumId w:val="90"/>
    <w:lvlOverride w:ilvl="0">
      <w:startOverride w:val="1"/>
    </w:lvlOverride>
  </w:num>
  <w:num w:numId="53">
    <w:abstractNumId w:val="3"/>
  </w:num>
  <w:num w:numId="54">
    <w:abstractNumId w:val="14"/>
  </w:num>
  <w:num w:numId="55">
    <w:abstractNumId w:val="11"/>
  </w:num>
  <w:num w:numId="56">
    <w:abstractNumId w:val="91"/>
  </w:num>
  <w:num w:numId="57">
    <w:abstractNumId w:val="73"/>
  </w:num>
  <w:num w:numId="58">
    <w:abstractNumId w:val="20"/>
  </w:num>
  <w:num w:numId="59">
    <w:abstractNumId w:val="86"/>
  </w:num>
  <w:num w:numId="60">
    <w:abstractNumId w:val="12"/>
  </w:num>
  <w:num w:numId="61">
    <w:abstractNumId w:val="63"/>
  </w:num>
  <w:num w:numId="62">
    <w:abstractNumId w:val="35"/>
  </w:num>
  <w:num w:numId="63">
    <w:abstractNumId w:val="60"/>
  </w:num>
  <w:num w:numId="64">
    <w:abstractNumId w:val="47"/>
  </w:num>
  <w:num w:numId="65">
    <w:abstractNumId w:val="64"/>
  </w:num>
  <w:num w:numId="66">
    <w:abstractNumId w:val="79"/>
  </w:num>
  <w:num w:numId="67">
    <w:abstractNumId w:val="75"/>
  </w:num>
  <w:num w:numId="68">
    <w:abstractNumId w:val="29"/>
  </w:num>
  <w:num w:numId="69">
    <w:abstractNumId w:val="59"/>
  </w:num>
  <w:num w:numId="70">
    <w:abstractNumId w:val="18"/>
  </w:num>
  <w:num w:numId="71">
    <w:abstractNumId w:val="53"/>
  </w:num>
  <w:num w:numId="72">
    <w:abstractNumId w:val="8"/>
  </w:num>
  <w:num w:numId="73">
    <w:abstractNumId w:val="27"/>
  </w:num>
  <w:num w:numId="74">
    <w:abstractNumId w:val="4"/>
  </w:num>
  <w:num w:numId="75">
    <w:abstractNumId w:val="43"/>
  </w:num>
  <w:num w:numId="76">
    <w:abstractNumId w:val="33"/>
  </w:num>
  <w:num w:numId="77">
    <w:abstractNumId w:val="78"/>
  </w:num>
  <w:num w:numId="78">
    <w:abstractNumId w:val="5"/>
  </w:num>
  <w:num w:numId="79">
    <w:abstractNumId w:val="62"/>
  </w:num>
  <w:num w:numId="80">
    <w:abstractNumId w:val="52"/>
  </w:num>
  <w:num w:numId="81">
    <w:abstractNumId w:val="65"/>
  </w:num>
  <w:num w:numId="82">
    <w:abstractNumId w:val="81"/>
  </w:num>
  <w:num w:numId="83">
    <w:abstractNumId w:val="57"/>
  </w:num>
  <w:num w:numId="84">
    <w:abstractNumId w:val="13"/>
  </w:num>
  <w:num w:numId="85">
    <w:abstractNumId w:val="34"/>
  </w:num>
  <w:num w:numId="86">
    <w:abstractNumId w:val="9"/>
  </w:num>
  <w:num w:numId="8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61"/>
  </w:num>
  <w:num w:numId="89">
    <w:abstractNumId w:val="17"/>
  </w:num>
  <w:num w:numId="9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72"/>
  </w:num>
  <w:num w:numId="93">
    <w:abstractNumId w:val="10"/>
  </w:num>
  <w:num w:numId="9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>
    <w:abstractNumId w:val="49"/>
  </w:num>
  <w:num w:numId="1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82"/>
  </w:num>
  <w:num w:numId="11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>
    <w:abstractNumId w:val="50"/>
  </w:num>
  <w:numIdMacAtCleanup w:val="1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4426"/>
    <w:rsid w:val="00000051"/>
    <w:rsid w:val="000001C2"/>
    <w:rsid w:val="00002346"/>
    <w:rsid w:val="0000266E"/>
    <w:rsid w:val="00002723"/>
    <w:rsid w:val="00002D99"/>
    <w:rsid w:val="00003315"/>
    <w:rsid w:val="0000382D"/>
    <w:rsid w:val="00003C3E"/>
    <w:rsid w:val="0000474A"/>
    <w:rsid w:val="0000499A"/>
    <w:rsid w:val="00004E10"/>
    <w:rsid w:val="000052BC"/>
    <w:rsid w:val="0000534B"/>
    <w:rsid w:val="0000591B"/>
    <w:rsid w:val="00006EAB"/>
    <w:rsid w:val="00007700"/>
    <w:rsid w:val="00007EEE"/>
    <w:rsid w:val="00007F0E"/>
    <w:rsid w:val="0001106B"/>
    <w:rsid w:val="00011352"/>
    <w:rsid w:val="00011368"/>
    <w:rsid w:val="00011578"/>
    <w:rsid w:val="00012406"/>
    <w:rsid w:val="000127B0"/>
    <w:rsid w:val="000129F7"/>
    <w:rsid w:val="00013128"/>
    <w:rsid w:val="000137D1"/>
    <w:rsid w:val="000138C7"/>
    <w:rsid w:val="0001462B"/>
    <w:rsid w:val="00014810"/>
    <w:rsid w:val="00014B73"/>
    <w:rsid w:val="00014E0E"/>
    <w:rsid w:val="0001503A"/>
    <w:rsid w:val="00015148"/>
    <w:rsid w:val="000152D1"/>
    <w:rsid w:val="000156C2"/>
    <w:rsid w:val="000159BD"/>
    <w:rsid w:val="00015EA7"/>
    <w:rsid w:val="000169FE"/>
    <w:rsid w:val="00017186"/>
    <w:rsid w:val="0001738B"/>
    <w:rsid w:val="00017670"/>
    <w:rsid w:val="000177DE"/>
    <w:rsid w:val="00017885"/>
    <w:rsid w:val="00017C1E"/>
    <w:rsid w:val="00020208"/>
    <w:rsid w:val="000212EB"/>
    <w:rsid w:val="000219D7"/>
    <w:rsid w:val="00021DA5"/>
    <w:rsid w:val="00021E47"/>
    <w:rsid w:val="0002230B"/>
    <w:rsid w:val="00022314"/>
    <w:rsid w:val="00022862"/>
    <w:rsid w:val="00022A44"/>
    <w:rsid w:val="00022BDA"/>
    <w:rsid w:val="00023326"/>
    <w:rsid w:val="000236CA"/>
    <w:rsid w:val="00023794"/>
    <w:rsid w:val="00023A11"/>
    <w:rsid w:val="00024089"/>
    <w:rsid w:val="0002424F"/>
    <w:rsid w:val="00024BA9"/>
    <w:rsid w:val="00026076"/>
    <w:rsid w:val="00027429"/>
    <w:rsid w:val="00030945"/>
    <w:rsid w:val="000312A9"/>
    <w:rsid w:val="000323B1"/>
    <w:rsid w:val="00032400"/>
    <w:rsid w:val="00032599"/>
    <w:rsid w:val="0003280B"/>
    <w:rsid w:val="00032B86"/>
    <w:rsid w:val="0003319E"/>
    <w:rsid w:val="000332BC"/>
    <w:rsid w:val="000338DE"/>
    <w:rsid w:val="000343B1"/>
    <w:rsid w:val="000344ED"/>
    <w:rsid w:val="0003455C"/>
    <w:rsid w:val="00034B5A"/>
    <w:rsid w:val="00035529"/>
    <w:rsid w:val="00035611"/>
    <w:rsid w:val="000359BC"/>
    <w:rsid w:val="000363B5"/>
    <w:rsid w:val="000363D9"/>
    <w:rsid w:val="00036417"/>
    <w:rsid w:val="000366C4"/>
    <w:rsid w:val="00036A02"/>
    <w:rsid w:val="00036B51"/>
    <w:rsid w:val="00036CD8"/>
    <w:rsid w:val="00037260"/>
    <w:rsid w:val="000374BD"/>
    <w:rsid w:val="000375AC"/>
    <w:rsid w:val="00037946"/>
    <w:rsid w:val="00037A5D"/>
    <w:rsid w:val="00040A6C"/>
    <w:rsid w:val="00040A6F"/>
    <w:rsid w:val="000415C7"/>
    <w:rsid w:val="000419EC"/>
    <w:rsid w:val="00041F53"/>
    <w:rsid w:val="00042377"/>
    <w:rsid w:val="000434D4"/>
    <w:rsid w:val="00043F72"/>
    <w:rsid w:val="00044DF8"/>
    <w:rsid w:val="00045C77"/>
    <w:rsid w:val="00046049"/>
    <w:rsid w:val="00046104"/>
    <w:rsid w:val="0004661C"/>
    <w:rsid w:val="00046704"/>
    <w:rsid w:val="00046B4C"/>
    <w:rsid w:val="0004737D"/>
    <w:rsid w:val="000478F2"/>
    <w:rsid w:val="00047A78"/>
    <w:rsid w:val="00047E65"/>
    <w:rsid w:val="00047FBB"/>
    <w:rsid w:val="0005060F"/>
    <w:rsid w:val="0005066A"/>
    <w:rsid w:val="00050860"/>
    <w:rsid w:val="00051D20"/>
    <w:rsid w:val="000524C2"/>
    <w:rsid w:val="0005320B"/>
    <w:rsid w:val="0005332D"/>
    <w:rsid w:val="000535A4"/>
    <w:rsid w:val="00053AE3"/>
    <w:rsid w:val="0005418E"/>
    <w:rsid w:val="00054473"/>
    <w:rsid w:val="00054DFD"/>
    <w:rsid w:val="000553CC"/>
    <w:rsid w:val="000556E8"/>
    <w:rsid w:val="00055B52"/>
    <w:rsid w:val="0005687D"/>
    <w:rsid w:val="00056BD0"/>
    <w:rsid w:val="00056F50"/>
    <w:rsid w:val="0006051B"/>
    <w:rsid w:val="00060A01"/>
    <w:rsid w:val="00060BEF"/>
    <w:rsid w:val="00061029"/>
    <w:rsid w:val="000618D0"/>
    <w:rsid w:val="00062234"/>
    <w:rsid w:val="00062E15"/>
    <w:rsid w:val="000630FB"/>
    <w:rsid w:val="0006318E"/>
    <w:rsid w:val="000632BE"/>
    <w:rsid w:val="000634F7"/>
    <w:rsid w:val="00063A7F"/>
    <w:rsid w:val="00063AA2"/>
    <w:rsid w:val="000640FA"/>
    <w:rsid w:val="00064371"/>
    <w:rsid w:val="00064B33"/>
    <w:rsid w:val="00065ED3"/>
    <w:rsid w:val="00066286"/>
    <w:rsid w:val="00066372"/>
    <w:rsid w:val="00066391"/>
    <w:rsid w:val="00067068"/>
    <w:rsid w:val="00070804"/>
    <w:rsid w:val="00070CDF"/>
    <w:rsid w:val="00070D7A"/>
    <w:rsid w:val="00070F8E"/>
    <w:rsid w:val="00071103"/>
    <w:rsid w:val="00071260"/>
    <w:rsid w:val="000712BD"/>
    <w:rsid w:val="000715BC"/>
    <w:rsid w:val="00071A91"/>
    <w:rsid w:val="00071B1F"/>
    <w:rsid w:val="00072127"/>
    <w:rsid w:val="00072512"/>
    <w:rsid w:val="0007272C"/>
    <w:rsid w:val="00072805"/>
    <w:rsid w:val="000729EC"/>
    <w:rsid w:val="0007355C"/>
    <w:rsid w:val="00073997"/>
    <w:rsid w:val="00073C2E"/>
    <w:rsid w:val="00073CE5"/>
    <w:rsid w:val="00073FEC"/>
    <w:rsid w:val="00075298"/>
    <w:rsid w:val="000759CA"/>
    <w:rsid w:val="000759DF"/>
    <w:rsid w:val="00075F90"/>
    <w:rsid w:val="000762E9"/>
    <w:rsid w:val="00076E8D"/>
    <w:rsid w:val="0007739D"/>
    <w:rsid w:val="000774D7"/>
    <w:rsid w:val="00077D22"/>
    <w:rsid w:val="0008162D"/>
    <w:rsid w:val="00081F10"/>
    <w:rsid w:val="000827F0"/>
    <w:rsid w:val="000828EA"/>
    <w:rsid w:val="00082A53"/>
    <w:rsid w:val="00082F74"/>
    <w:rsid w:val="00083CD2"/>
    <w:rsid w:val="00083EB7"/>
    <w:rsid w:val="00084078"/>
    <w:rsid w:val="0008448D"/>
    <w:rsid w:val="000846D7"/>
    <w:rsid w:val="000847CD"/>
    <w:rsid w:val="00084AC0"/>
    <w:rsid w:val="00084FEC"/>
    <w:rsid w:val="0008685E"/>
    <w:rsid w:val="00087121"/>
    <w:rsid w:val="000873A6"/>
    <w:rsid w:val="00087EB9"/>
    <w:rsid w:val="00090745"/>
    <w:rsid w:val="00090B46"/>
    <w:rsid w:val="00090BFF"/>
    <w:rsid w:val="000918EF"/>
    <w:rsid w:val="000919F8"/>
    <w:rsid w:val="00091B2B"/>
    <w:rsid w:val="00092228"/>
    <w:rsid w:val="00092876"/>
    <w:rsid w:val="000928BF"/>
    <w:rsid w:val="000931C6"/>
    <w:rsid w:val="00093333"/>
    <w:rsid w:val="000935C7"/>
    <w:rsid w:val="00093A5A"/>
    <w:rsid w:val="00093CF6"/>
    <w:rsid w:val="0009476A"/>
    <w:rsid w:val="00094977"/>
    <w:rsid w:val="00094E80"/>
    <w:rsid w:val="0009504D"/>
    <w:rsid w:val="0009526A"/>
    <w:rsid w:val="0009556E"/>
    <w:rsid w:val="000956E0"/>
    <w:rsid w:val="00095BE5"/>
    <w:rsid w:val="000961C6"/>
    <w:rsid w:val="00096370"/>
    <w:rsid w:val="00096792"/>
    <w:rsid w:val="00096797"/>
    <w:rsid w:val="000971F8"/>
    <w:rsid w:val="00097335"/>
    <w:rsid w:val="0009736B"/>
    <w:rsid w:val="00097A1F"/>
    <w:rsid w:val="00097A8F"/>
    <w:rsid w:val="000A0095"/>
    <w:rsid w:val="000A071B"/>
    <w:rsid w:val="000A0897"/>
    <w:rsid w:val="000A0A0A"/>
    <w:rsid w:val="000A0FCA"/>
    <w:rsid w:val="000A11D4"/>
    <w:rsid w:val="000A14ED"/>
    <w:rsid w:val="000A19C5"/>
    <w:rsid w:val="000A1BE5"/>
    <w:rsid w:val="000A200F"/>
    <w:rsid w:val="000A21B9"/>
    <w:rsid w:val="000A220F"/>
    <w:rsid w:val="000A25F2"/>
    <w:rsid w:val="000A3299"/>
    <w:rsid w:val="000A3537"/>
    <w:rsid w:val="000A36C2"/>
    <w:rsid w:val="000A3CD8"/>
    <w:rsid w:val="000A41E9"/>
    <w:rsid w:val="000A485A"/>
    <w:rsid w:val="000A5667"/>
    <w:rsid w:val="000A5B36"/>
    <w:rsid w:val="000A6543"/>
    <w:rsid w:val="000A6F69"/>
    <w:rsid w:val="000A7041"/>
    <w:rsid w:val="000A7774"/>
    <w:rsid w:val="000A7BE5"/>
    <w:rsid w:val="000B0121"/>
    <w:rsid w:val="000B017C"/>
    <w:rsid w:val="000B04A9"/>
    <w:rsid w:val="000B0657"/>
    <w:rsid w:val="000B0BD8"/>
    <w:rsid w:val="000B0EB0"/>
    <w:rsid w:val="000B1DAB"/>
    <w:rsid w:val="000B1F54"/>
    <w:rsid w:val="000B20D7"/>
    <w:rsid w:val="000B2251"/>
    <w:rsid w:val="000B2771"/>
    <w:rsid w:val="000B2875"/>
    <w:rsid w:val="000B2C5A"/>
    <w:rsid w:val="000B3029"/>
    <w:rsid w:val="000B3219"/>
    <w:rsid w:val="000B3322"/>
    <w:rsid w:val="000B3E15"/>
    <w:rsid w:val="000B4678"/>
    <w:rsid w:val="000B5415"/>
    <w:rsid w:val="000B5C80"/>
    <w:rsid w:val="000B5E63"/>
    <w:rsid w:val="000B6490"/>
    <w:rsid w:val="000B6918"/>
    <w:rsid w:val="000B6B60"/>
    <w:rsid w:val="000B6BFB"/>
    <w:rsid w:val="000B6DCE"/>
    <w:rsid w:val="000B740B"/>
    <w:rsid w:val="000B7DA9"/>
    <w:rsid w:val="000C0BC3"/>
    <w:rsid w:val="000C0DDB"/>
    <w:rsid w:val="000C0F34"/>
    <w:rsid w:val="000C12D4"/>
    <w:rsid w:val="000C16F1"/>
    <w:rsid w:val="000C1A2C"/>
    <w:rsid w:val="000C1F00"/>
    <w:rsid w:val="000C200F"/>
    <w:rsid w:val="000C2106"/>
    <w:rsid w:val="000C25A6"/>
    <w:rsid w:val="000C282B"/>
    <w:rsid w:val="000C2CA1"/>
    <w:rsid w:val="000C3734"/>
    <w:rsid w:val="000C44D3"/>
    <w:rsid w:val="000C499E"/>
    <w:rsid w:val="000C5C0F"/>
    <w:rsid w:val="000C5EB0"/>
    <w:rsid w:val="000C60D7"/>
    <w:rsid w:val="000C6368"/>
    <w:rsid w:val="000C6401"/>
    <w:rsid w:val="000C70A9"/>
    <w:rsid w:val="000C7960"/>
    <w:rsid w:val="000C7B85"/>
    <w:rsid w:val="000D0692"/>
    <w:rsid w:val="000D0D19"/>
    <w:rsid w:val="000D1433"/>
    <w:rsid w:val="000D18ED"/>
    <w:rsid w:val="000D220D"/>
    <w:rsid w:val="000D36BA"/>
    <w:rsid w:val="000D3BA6"/>
    <w:rsid w:val="000D42ED"/>
    <w:rsid w:val="000D471B"/>
    <w:rsid w:val="000D47F9"/>
    <w:rsid w:val="000D4EE0"/>
    <w:rsid w:val="000D5716"/>
    <w:rsid w:val="000D5BF8"/>
    <w:rsid w:val="000D6000"/>
    <w:rsid w:val="000D6254"/>
    <w:rsid w:val="000D6B50"/>
    <w:rsid w:val="000D7588"/>
    <w:rsid w:val="000D7D5B"/>
    <w:rsid w:val="000E00EF"/>
    <w:rsid w:val="000E033C"/>
    <w:rsid w:val="000E0476"/>
    <w:rsid w:val="000E0E78"/>
    <w:rsid w:val="000E10AF"/>
    <w:rsid w:val="000E13BC"/>
    <w:rsid w:val="000E1FF5"/>
    <w:rsid w:val="000E2809"/>
    <w:rsid w:val="000E3584"/>
    <w:rsid w:val="000E3E65"/>
    <w:rsid w:val="000E433B"/>
    <w:rsid w:val="000E4572"/>
    <w:rsid w:val="000E4884"/>
    <w:rsid w:val="000E4D69"/>
    <w:rsid w:val="000E4DEE"/>
    <w:rsid w:val="000E60D6"/>
    <w:rsid w:val="000E638A"/>
    <w:rsid w:val="000E661F"/>
    <w:rsid w:val="000E6E42"/>
    <w:rsid w:val="000F012B"/>
    <w:rsid w:val="000F02EA"/>
    <w:rsid w:val="000F0304"/>
    <w:rsid w:val="000F0F5D"/>
    <w:rsid w:val="000F14BF"/>
    <w:rsid w:val="000F14F3"/>
    <w:rsid w:val="000F19F2"/>
    <w:rsid w:val="000F234F"/>
    <w:rsid w:val="000F25FF"/>
    <w:rsid w:val="000F26DA"/>
    <w:rsid w:val="000F27ED"/>
    <w:rsid w:val="000F2966"/>
    <w:rsid w:val="000F3A5D"/>
    <w:rsid w:val="000F3B4D"/>
    <w:rsid w:val="000F3F25"/>
    <w:rsid w:val="000F413C"/>
    <w:rsid w:val="000F475B"/>
    <w:rsid w:val="000F4906"/>
    <w:rsid w:val="000F4F7B"/>
    <w:rsid w:val="000F5923"/>
    <w:rsid w:val="000F592A"/>
    <w:rsid w:val="000F68D7"/>
    <w:rsid w:val="000F6C84"/>
    <w:rsid w:val="000F6F86"/>
    <w:rsid w:val="000F7E3F"/>
    <w:rsid w:val="000F7E51"/>
    <w:rsid w:val="000F7F61"/>
    <w:rsid w:val="000F7FD6"/>
    <w:rsid w:val="001009C4"/>
    <w:rsid w:val="00100D9B"/>
    <w:rsid w:val="001014CA"/>
    <w:rsid w:val="0010160A"/>
    <w:rsid w:val="00102914"/>
    <w:rsid w:val="00102BDC"/>
    <w:rsid w:val="00102D5F"/>
    <w:rsid w:val="00102EB2"/>
    <w:rsid w:val="00103A8B"/>
    <w:rsid w:val="0010434C"/>
    <w:rsid w:val="001044D5"/>
    <w:rsid w:val="00104AB3"/>
    <w:rsid w:val="00104B70"/>
    <w:rsid w:val="00104E00"/>
    <w:rsid w:val="0010536C"/>
    <w:rsid w:val="001060CE"/>
    <w:rsid w:val="00106FD6"/>
    <w:rsid w:val="001071EA"/>
    <w:rsid w:val="0010737C"/>
    <w:rsid w:val="00107480"/>
    <w:rsid w:val="0010772C"/>
    <w:rsid w:val="001103E8"/>
    <w:rsid w:val="00110651"/>
    <w:rsid w:val="00110743"/>
    <w:rsid w:val="00110B48"/>
    <w:rsid w:val="00110B68"/>
    <w:rsid w:val="00111675"/>
    <w:rsid w:val="00111929"/>
    <w:rsid w:val="001128CC"/>
    <w:rsid w:val="00112ED3"/>
    <w:rsid w:val="00112F51"/>
    <w:rsid w:val="00113799"/>
    <w:rsid w:val="00113F89"/>
    <w:rsid w:val="00114426"/>
    <w:rsid w:val="00114692"/>
    <w:rsid w:val="00114962"/>
    <w:rsid w:val="001151EE"/>
    <w:rsid w:val="00115312"/>
    <w:rsid w:val="001160B1"/>
    <w:rsid w:val="001162A8"/>
    <w:rsid w:val="00116335"/>
    <w:rsid w:val="001203D9"/>
    <w:rsid w:val="00120E64"/>
    <w:rsid w:val="001225AA"/>
    <w:rsid w:val="00122E66"/>
    <w:rsid w:val="0012314F"/>
    <w:rsid w:val="0012317D"/>
    <w:rsid w:val="001234A0"/>
    <w:rsid w:val="00125A05"/>
    <w:rsid w:val="00126565"/>
    <w:rsid w:val="0012667F"/>
    <w:rsid w:val="0012699E"/>
    <w:rsid w:val="00126F8F"/>
    <w:rsid w:val="001272AA"/>
    <w:rsid w:val="00127359"/>
    <w:rsid w:val="001279D5"/>
    <w:rsid w:val="00130E89"/>
    <w:rsid w:val="00130F53"/>
    <w:rsid w:val="00130F69"/>
    <w:rsid w:val="0013141D"/>
    <w:rsid w:val="001321CD"/>
    <w:rsid w:val="00132452"/>
    <w:rsid w:val="00132CE9"/>
    <w:rsid w:val="001332DC"/>
    <w:rsid w:val="00133D8A"/>
    <w:rsid w:val="00134919"/>
    <w:rsid w:val="001349EC"/>
    <w:rsid w:val="00134E3E"/>
    <w:rsid w:val="001350E5"/>
    <w:rsid w:val="00135989"/>
    <w:rsid w:val="00135D44"/>
    <w:rsid w:val="00136A02"/>
    <w:rsid w:val="00136E4C"/>
    <w:rsid w:val="00136F65"/>
    <w:rsid w:val="00136F9B"/>
    <w:rsid w:val="001372CC"/>
    <w:rsid w:val="0013774C"/>
    <w:rsid w:val="00137AAE"/>
    <w:rsid w:val="0014048C"/>
    <w:rsid w:val="001408E5"/>
    <w:rsid w:val="00140995"/>
    <w:rsid w:val="001415F3"/>
    <w:rsid w:val="00141E01"/>
    <w:rsid w:val="0014285A"/>
    <w:rsid w:val="00142979"/>
    <w:rsid w:val="00142D9C"/>
    <w:rsid w:val="00142DA3"/>
    <w:rsid w:val="00142E8A"/>
    <w:rsid w:val="00143504"/>
    <w:rsid w:val="0014351C"/>
    <w:rsid w:val="001439BA"/>
    <w:rsid w:val="00144482"/>
    <w:rsid w:val="00144D8D"/>
    <w:rsid w:val="00145027"/>
    <w:rsid w:val="0014540C"/>
    <w:rsid w:val="00145BAA"/>
    <w:rsid w:val="00145EF4"/>
    <w:rsid w:val="0014655E"/>
    <w:rsid w:val="00146AF9"/>
    <w:rsid w:val="00146D49"/>
    <w:rsid w:val="00146E49"/>
    <w:rsid w:val="0015017F"/>
    <w:rsid w:val="00150219"/>
    <w:rsid w:val="00150510"/>
    <w:rsid w:val="0015070C"/>
    <w:rsid w:val="001509E3"/>
    <w:rsid w:val="00150F2B"/>
    <w:rsid w:val="00151528"/>
    <w:rsid w:val="001519C7"/>
    <w:rsid w:val="00152041"/>
    <w:rsid w:val="001520DA"/>
    <w:rsid w:val="001522C4"/>
    <w:rsid w:val="001532A9"/>
    <w:rsid w:val="00154063"/>
    <w:rsid w:val="001543E2"/>
    <w:rsid w:val="00154A60"/>
    <w:rsid w:val="00154D69"/>
    <w:rsid w:val="00154DCE"/>
    <w:rsid w:val="00154DE5"/>
    <w:rsid w:val="00154FFC"/>
    <w:rsid w:val="00155994"/>
    <w:rsid w:val="00156566"/>
    <w:rsid w:val="00156751"/>
    <w:rsid w:val="001567A6"/>
    <w:rsid w:val="001572A9"/>
    <w:rsid w:val="001576EC"/>
    <w:rsid w:val="00157DE2"/>
    <w:rsid w:val="001600C7"/>
    <w:rsid w:val="001604E7"/>
    <w:rsid w:val="00160796"/>
    <w:rsid w:val="001607E1"/>
    <w:rsid w:val="0016107B"/>
    <w:rsid w:val="001610CD"/>
    <w:rsid w:val="00161785"/>
    <w:rsid w:val="001619FA"/>
    <w:rsid w:val="00162350"/>
    <w:rsid w:val="00162963"/>
    <w:rsid w:val="001632CB"/>
    <w:rsid w:val="00163508"/>
    <w:rsid w:val="00164DAB"/>
    <w:rsid w:val="001651D8"/>
    <w:rsid w:val="00165270"/>
    <w:rsid w:val="0016565D"/>
    <w:rsid w:val="001656B6"/>
    <w:rsid w:val="00166CFE"/>
    <w:rsid w:val="00166D79"/>
    <w:rsid w:val="00167507"/>
    <w:rsid w:val="00167680"/>
    <w:rsid w:val="001707F3"/>
    <w:rsid w:val="00170977"/>
    <w:rsid w:val="00170D41"/>
    <w:rsid w:val="00171939"/>
    <w:rsid w:val="001730AC"/>
    <w:rsid w:val="00173112"/>
    <w:rsid w:val="001731C5"/>
    <w:rsid w:val="00173D7C"/>
    <w:rsid w:val="001751C8"/>
    <w:rsid w:val="0017546D"/>
    <w:rsid w:val="00175B70"/>
    <w:rsid w:val="00175E11"/>
    <w:rsid w:val="001769A4"/>
    <w:rsid w:val="00176DBD"/>
    <w:rsid w:val="001774A3"/>
    <w:rsid w:val="00177AD6"/>
    <w:rsid w:val="00177B03"/>
    <w:rsid w:val="00177D93"/>
    <w:rsid w:val="0018083E"/>
    <w:rsid w:val="0018096C"/>
    <w:rsid w:val="00180BD6"/>
    <w:rsid w:val="001812D5"/>
    <w:rsid w:val="00181CED"/>
    <w:rsid w:val="00181F8C"/>
    <w:rsid w:val="001821AE"/>
    <w:rsid w:val="001826C5"/>
    <w:rsid w:val="00182CED"/>
    <w:rsid w:val="001839AA"/>
    <w:rsid w:val="00183D86"/>
    <w:rsid w:val="00183EA7"/>
    <w:rsid w:val="00184407"/>
    <w:rsid w:val="00184424"/>
    <w:rsid w:val="0018503C"/>
    <w:rsid w:val="0018550C"/>
    <w:rsid w:val="0018612D"/>
    <w:rsid w:val="00186634"/>
    <w:rsid w:val="00186664"/>
    <w:rsid w:val="0018703D"/>
    <w:rsid w:val="00187354"/>
    <w:rsid w:val="00187D86"/>
    <w:rsid w:val="001910E4"/>
    <w:rsid w:val="0019122A"/>
    <w:rsid w:val="001915A0"/>
    <w:rsid w:val="00191BF6"/>
    <w:rsid w:val="00191C8E"/>
    <w:rsid w:val="00192715"/>
    <w:rsid w:val="001935C6"/>
    <w:rsid w:val="00193C9E"/>
    <w:rsid w:val="00193CB2"/>
    <w:rsid w:val="0019427C"/>
    <w:rsid w:val="001945D7"/>
    <w:rsid w:val="001947FD"/>
    <w:rsid w:val="001951D6"/>
    <w:rsid w:val="001958D7"/>
    <w:rsid w:val="0019597F"/>
    <w:rsid w:val="00195C8D"/>
    <w:rsid w:val="00195CF7"/>
    <w:rsid w:val="0019630B"/>
    <w:rsid w:val="001965BA"/>
    <w:rsid w:val="00196CE8"/>
    <w:rsid w:val="00197488"/>
    <w:rsid w:val="00197BB6"/>
    <w:rsid w:val="00197FB5"/>
    <w:rsid w:val="001A0794"/>
    <w:rsid w:val="001A080B"/>
    <w:rsid w:val="001A14D7"/>
    <w:rsid w:val="001A1A11"/>
    <w:rsid w:val="001A321E"/>
    <w:rsid w:val="001A32D0"/>
    <w:rsid w:val="001A3C33"/>
    <w:rsid w:val="001A3CC3"/>
    <w:rsid w:val="001A3F92"/>
    <w:rsid w:val="001A47DF"/>
    <w:rsid w:val="001A4D16"/>
    <w:rsid w:val="001A4E20"/>
    <w:rsid w:val="001A5146"/>
    <w:rsid w:val="001A5222"/>
    <w:rsid w:val="001A529C"/>
    <w:rsid w:val="001A5705"/>
    <w:rsid w:val="001A5E79"/>
    <w:rsid w:val="001A6004"/>
    <w:rsid w:val="001A6046"/>
    <w:rsid w:val="001A618B"/>
    <w:rsid w:val="001A698E"/>
    <w:rsid w:val="001B08F5"/>
    <w:rsid w:val="001B09E7"/>
    <w:rsid w:val="001B0AF4"/>
    <w:rsid w:val="001B1106"/>
    <w:rsid w:val="001B1300"/>
    <w:rsid w:val="001B1523"/>
    <w:rsid w:val="001B17CC"/>
    <w:rsid w:val="001B1B04"/>
    <w:rsid w:val="001B2209"/>
    <w:rsid w:val="001B23C6"/>
    <w:rsid w:val="001B2FE8"/>
    <w:rsid w:val="001B3563"/>
    <w:rsid w:val="001B4A2D"/>
    <w:rsid w:val="001B4D47"/>
    <w:rsid w:val="001B5049"/>
    <w:rsid w:val="001B5839"/>
    <w:rsid w:val="001B5FDF"/>
    <w:rsid w:val="001B6F27"/>
    <w:rsid w:val="001B7F2E"/>
    <w:rsid w:val="001C01D3"/>
    <w:rsid w:val="001C0CA0"/>
    <w:rsid w:val="001C1171"/>
    <w:rsid w:val="001C11C9"/>
    <w:rsid w:val="001C1222"/>
    <w:rsid w:val="001C17D0"/>
    <w:rsid w:val="001C1ACA"/>
    <w:rsid w:val="001C1C68"/>
    <w:rsid w:val="001C1DE3"/>
    <w:rsid w:val="001C2C5D"/>
    <w:rsid w:val="001C31F7"/>
    <w:rsid w:val="001C33C3"/>
    <w:rsid w:val="001C354F"/>
    <w:rsid w:val="001C38EC"/>
    <w:rsid w:val="001C39D9"/>
    <w:rsid w:val="001C3A12"/>
    <w:rsid w:val="001C3D71"/>
    <w:rsid w:val="001C452C"/>
    <w:rsid w:val="001C46F2"/>
    <w:rsid w:val="001C47EA"/>
    <w:rsid w:val="001C4A54"/>
    <w:rsid w:val="001C4C2B"/>
    <w:rsid w:val="001C52B9"/>
    <w:rsid w:val="001C5A39"/>
    <w:rsid w:val="001C5A7E"/>
    <w:rsid w:val="001C5D35"/>
    <w:rsid w:val="001C6029"/>
    <w:rsid w:val="001C676B"/>
    <w:rsid w:val="001C6B4E"/>
    <w:rsid w:val="001C6D66"/>
    <w:rsid w:val="001C6F23"/>
    <w:rsid w:val="001C6F92"/>
    <w:rsid w:val="001C7803"/>
    <w:rsid w:val="001D01F6"/>
    <w:rsid w:val="001D09F9"/>
    <w:rsid w:val="001D1344"/>
    <w:rsid w:val="001D1823"/>
    <w:rsid w:val="001D19E0"/>
    <w:rsid w:val="001D1B0A"/>
    <w:rsid w:val="001D1DA3"/>
    <w:rsid w:val="001D2D0C"/>
    <w:rsid w:val="001D35B5"/>
    <w:rsid w:val="001D38EF"/>
    <w:rsid w:val="001D3D9A"/>
    <w:rsid w:val="001D4555"/>
    <w:rsid w:val="001D4772"/>
    <w:rsid w:val="001D56E9"/>
    <w:rsid w:val="001D5712"/>
    <w:rsid w:val="001D5E74"/>
    <w:rsid w:val="001D6C39"/>
    <w:rsid w:val="001D6D28"/>
    <w:rsid w:val="001D6E7E"/>
    <w:rsid w:val="001D7649"/>
    <w:rsid w:val="001D7A5F"/>
    <w:rsid w:val="001D7F0D"/>
    <w:rsid w:val="001E045A"/>
    <w:rsid w:val="001E04C0"/>
    <w:rsid w:val="001E086B"/>
    <w:rsid w:val="001E096E"/>
    <w:rsid w:val="001E0C65"/>
    <w:rsid w:val="001E176F"/>
    <w:rsid w:val="001E285F"/>
    <w:rsid w:val="001E29D6"/>
    <w:rsid w:val="001E3690"/>
    <w:rsid w:val="001E3935"/>
    <w:rsid w:val="001E3B87"/>
    <w:rsid w:val="001E3ED9"/>
    <w:rsid w:val="001E4868"/>
    <w:rsid w:val="001E48CE"/>
    <w:rsid w:val="001E5328"/>
    <w:rsid w:val="001E56DC"/>
    <w:rsid w:val="001E574D"/>
    <w:rsid w:val="001E5DE9"/>
    <w:rsid w:val="001E6371"/>
    <w:rsid w:val="001E6809"/>
    <w:rsid w:val="001E68BD"/>
    <w:rsid w:val="001E719B"/>
    <w:rsid w:val="001E729A"/>
    <w:rsid w:val="001E74A9"/>
    <w:rsid w:val="001E7663"/>
    <w:rsid w:val="001E770B"/>
    <w:rsid w:val="001E77BD"/>
    <w:rsid w:val="001E79F6"/>
    <w:rsid w:val="001F0239"/>
    <w:rsid w:val="001F0514"/>
    <w:rsid w:val="001F07FB"/>
    <w:rsid w:val="001F0C5B"/>
    <w:rsid w:val="001F1517"/>
    <w:rsid w:val="001F17B3"/>
    <w:rsid w:val="001F184D"/>
    <w:rsid w:val="001F1EBB"/>
    <w:rsid w:val="001F2027"/>
    <w:rsid w:val="001F2115"/>
    <w:rsid w:val="001F215C"/>
    <w:rsid w:val="001F2752"/>
    <w:rsid w:val="001F3720"/>
    <w:rsid w:val="001F39D9"/>
    <w:rsid w:val="001F4A1E"/>
    <w:rsid w:val="001F63AD"/>
    <w:rsid w:val="001F64F1"/>
    <w:rsid w:val="001F6763"/>
    <w:rsid w:val="001F6CB5"/>
    <w:rsid w:val="001F703E"/>
    <w:rsid w:val="001F72FB"/>
    <w:rsid w:val="001F7CDB"/>
    <w:rsid w:val="002002EF"/>
    <w:rsid w:val="00200838"/>
    <w:rsid w:val="00200DF3"/>
    <w:rsid w:val="00200E7A"/>
    <w:rsid w:val="00201D30"/>
    <w:rsid w:val="0020258F"/>
    <w:rsid w:val="00202AAF"/>
    <w:rsid w:val="00202C44"/>
    <w:rsid w:val="00202FCA"/>
    <w:rsid w:val="00203039"/>
    <w:rsid w:val="002040DE"/>
    <w:rsid w:val="00204B06"/>
    <w:rsid w:val="0020579A"/>
    <w:rsid w:val="00205930"/>
    <w:rsid w:val="00205C1E"/>
    <w:rsid w:val="00205C95"/>
    <w:rsid w:val="00205D96"/>
    <w:rsid w:val="002073D8"/>
    <w:rsid w:val="00207E38"/>
    <w:rsid w:val="002109E5"/>
    <w:rsid w:val="00210D64"/>
    <w:rsid w:val="00210E88"/>
    <w:rsid w:val="00211B8B"/>
    <w:rsid w:val="00211BC3"/>
    <w:rsid w:val="00211D96"/>
    <w:rsid w:val="00211ECE"/>
    <w:rsid w:val="00211EFA"/>
    <w:rsid w:val="00212A8D"/>
    <w:rsid w:val="00212B8E"/>
    <w:rsid w:val="00212E05"/>
    <w:rsid w:val="002132BD"/>
    <w:rsid w:val="00213333"/>
    <w:rsid w:val="00213CE6"/>
    <w:rsid w:val="002144E4"/>
    <w:rsid w:val="0021455A"/>
    <w:rsid w:val="0021466B"/>
    <w:rsid w:val="002147CC"/>
    <w:rsid w:val="00214C6F"/>
    <w:rsid w:val="00214CD1"/>
    <w:rsid w:val="002152A8"/>
    <w:rsid w:val="00215A76"/>
    <w:rsid w:val="00215DB0"/>
    <w:rsid w:val="00215EA9"/>
    <w:rsid w:val="00216ADD"/>
    <w:rsid w:val="002174CF"/>
    <w:rsid w:val="00217987"/>
    <w:rsid w:val="00220540"/>
    <w:rsid w:val="002205D2"/>
    <w:rsid w:val="0022072A"/>
    <w:rsid w:val="00220F71"/>
    <w:rsid w:val="00221054"/>
    <w:rsid w:val="002214A8"/>
    <w:rsid w:val="002218A3"/>
    <w:rsid w:val="00221D7B"/>
    <w:rsid w:val="00221DBE"/>
    <w:rsid w:val="0022212B"/>
    <w:rsid w:val="00222E25"/>
    <w:rsid w:val="00223411"/>
    <w:rsid w:val="00223416"/>
    <w:rsid w:val="0022363B"/>
    <w:rsid w:val="00223C13"/>
    <w:rsid w:val="0022448D"/>
    <w:rsid w:val="00224D3A"/>
    <w:rsid w:val="00225207"/>
    <w:rsid w:val="002252EC"/>
    <w:rsid w:val="00225457"/>
    <w:rsid w:val="0022558E"/>
    <w:rsid w:val="0022568A"/>
    <w:rsid w:val="002256DE"/>
    <w:rsid w:val="002257D4"/>
    <w:rsid w:val="0022599D"/>
    <w:rsid w:val="00225BF3"/>
    <w:rsid w:val="0022634F"/>
    <w:rsid w:val="0022684A"/>
    <w:rsid w:val="00226AAA"/>
    <w:rsid w:val="00226BC3"/>
    <w:rsid w:val="00226BF7"/>
    <w:rsid w:val="00226D86"/>
    <w:rsid w:val="00226F56"/>
    <w:rsid w:val="00227806"/>
    <w:rsid w:val="00227A2B"/>
    <w:rsid w:val="00227AF7"/>
    <w:rsid w:val="002302F4"/>
    <w:rsid w:val="002302F6"/>
    <w:rsid w:val="00230784"/>
    <w:rsid w:val="002309AB"/>
    <w:rsid w:val="002310C4"/>
    <w:rsid w:val="00231A67"/>
    <w:rsid w:val="00231BCA"/>
    <w:rsid w:val="00232794"/>
    <w:rsid w:val="00232AE7"/>
    <w:rsid w:val="0023330A"/>
    <w:rsid w:val="002333C1"/>
    <w:rsid w:val="00233717"/>
    <w:rsid w:val="002339E0"/>
    <w:rsid w:val="0023450F"/>
    <w:rsid w:val="00234841"/>
    <w:rsid w:val="002351B4"/>
    <w:rsid w:val="0023541C"/>
    <w:rsid w:val="0023560F"/>
    <w:rsid w:val="0023573A"/>
    <w:rsid w:val="0023576D"/>
    <w:rsid w:val="00235E28"/>
    <w:rsid w:val="0023651A"/>
    <w:rsid w:val="002365E0"/>
    <w:rsid w:val="00236D2A"/>
    <w:rsid w:val="00237118"/>
    <w:rsid w:val="00237465"/>
    <w:rsid w:val="00237A83"/>
    <w:rsid w:val="002400BE"/>
    <w:rsid w:val="002400EC"/>
    <w:rsid w:val="00240BA0"/>
    <w:rsid w:val="00240C0C"/>
    <w:rsid w:val="002412DC"/>
    <w:rsid w:val="00241863"/>
    <w:rsid w:val="00241DCD"/>
    <w:rsid w:val="0024239F"/>
    <w:rsid w:val="00242CA4"/>
    <w:rsid w:val="0024320B"/>
    <w:rsid w:val="00243BB9"/>
    <w:rsid w:val="00243EB3"/>
    <w:rsid w:val="0024470E"/>
    <w:rsid w:val="002447D2"/>
    <w:rsid w:val="00245CEF"/>
    <w:rsid w:val="002465F6"/>
    <w:rsid w:val="002467C1"/>
    <w:rsid w:val="0024682E"/>
    <w:rsid w:val="00246FAB"/>
    <w:rsid w:val="002473B5"/>
    <w:rsid w:val="00247B78"/>
    <w:rsid w:val="00247E24"/>
    <w:rsid w:val="00250F0D"/>
    <w:rsid w:val="00252C67"/>
    <w:rsid w:val="002531AE"/>
    <w:rsid w:val="002534AC"/>
    <w:rsid w:val="002539A9"/>
    <w:rsid w:val="002547C2"/>
    <w:rsid w:val="00255686"/>
    <w:rsid w:val="002557EB"/>
    <w:rsid w:val="00255A51"/>
    <w:rsid w:val="00255AC3"/>
    <w:rsid w:val="00255FF7"/>
    <w:rsid w:val="0025655E"/>
    <w:rsid w:val="00256DA9"/>
    <w:rsid w:val="00256E9D"/>
    <w:rsid w:val="00256F5A"/>
    <w:rsid w:val="00257317"/>
    <w:rsid w:val="00260276"/>
    <w:rsid w:val="0026043A"/>
    <w:rsid w:val="0026053C"/>
    <w:rsid w:val="00260941"/>
    <w:rsid w:val="00262230"/>
    <w:rsid w:val="002624D9"/>
    <w:rsid w:val="00262CC9"/>
    <w:rsid w:val="00262D11"/>
    <w:rsid w:val="002637DC"/>
    <w:rsid w:val="0026394E"/>
    <w:rsid w:val="00263F58"/>
    <w:rsid w:val="002641D3"/>
    <w:rsid w:val="0026486C"/>
    <w:rsid w:val="00264DAD"/>
    <w:rsid w:val="00264ED7"/>
    <w:rsid w:val="00265198"/>
    <w:rsid w:val="00266E5C"/>
    <w:rsid w:val="00267257"/>
    <w:rsid w:val="00267951"/>
    <w:rsid w:val="00267B74"/>
    <w:rsid w:val="002701E8"/>
    <w:rsid w:val="002702FA"/>
    <w:rsid w:val="00270365"/>
    <w:rsid w:val="00270794"/>
    <w:rsid w:val="002708B3"/>
    <w:rsid w:val="00270BF6"/>
    <w:rsid w:val="0027107D"/>
    <w:rsid w:val="002728F6"/>
    <w:rsid w:val="00272966"/>
    <w:rsid w:val="00272CE4"/>
    <w:rsid w:val="002732F0"/>
    <w:rsid w:val="00273516"/>
    <w:rsid w:val="002739ED"/>
    <w:rsid w:val="00273D4C"/>
    <w:rsid w:val="00274790"/>
    <w:rsid w:val="002747D7"/>
    <w:rsid w:val="00275378"/>
    <w:rsid w:val="00277182"/>
    <w:rsid w:val="002771B6"/>
    <w:rsid w:val="002772B4"/>
    <w:rsid w:val="002772D4"/>
    <w:rsid w:val="0027739D"/>
    <w:rsid w:val="002773B0"/>
    <w:rsid w:val="0027749E"/>
    <w:rsid w:val="00277F9B"/>
    <w:rsid w:val="00280176"/>
    <w:rsid w:val="00280D43"/>
    <w:rsid w:val="00281150"/>
    <w:rsid w:val="0028129E"/>
    <w:rsid w:val="002812A8"/>
    <w:rsid w:val="002813BB"/>
    <w:rsid w:val="002814C3"/>
    <w:rsid w:val="00281A4E"/>
    <w:rsid w:val="00281E80"/>
    <w:rsid w:val="00282774"/>
    <w:rsid w:val="002828DC"/>
    <w:rsid w:val="00282DB1"/>
    <w:rsid w:val="00282EE4"/>
    <w:rsid w:val="002831ED"/>
    <w:rsid w:val="00283D34"/>
    <w:rsid w:val="002847B9"/>
    <w:rsid w:val="0028510F"/>
    <w:rsid w:val="002853F2"/>
    <w:rsid w:val="002854DA"/>
    <w:rsid w:val="002854DB"/>
    <w:rsid w:val="00285642"/>
    <w:rsid w:val="0028565E"/>
    <w:rsid w:val="002858C2"/>
    <w:rsid w:val="00285BEC"/>
    <w:rsid w:val="00286856"/>
    <w:rsid w:val="0028700E"/>
    <w:rsid w:val="00287126"/>
    <w:rsid w:val="00287502"/>
    <w:rsid w:val="0028790B"/>
    <w:rsid w:val="00287DC1"/>
    <w:rsid w:val="00287DF3"/>
    <w:rsid w:val="00287F1C"/>
    <w:rsid w:val="002900BF"/>
    <w:rsid w:val="002901FD"/>
    <w:rsid w:val="0029022B"/>
    <w:rsid w:val="0029035F"/>
    <w:rsid w:val="00290869"/>
    <w:rsid w:val="00290D9A"/>
    <w:rsid w:val="00290DB9"/>
    <w:rsid w:val="00290F6F"/>
    <w:rsid w:val="00290FF5"/>
    <w:rsid w:val="0029105B"/>
    <w:rsid w:val="0029118A"/>
    <w:rsid w:val="002914D5"/>
    <w:rsid w:val="0029150B"/>
    <w:rsid w:val="0029187B"/>
    <w:rsid w:val="00291B99"/>
    <w:rsid w:val="00292058"/>
    <w:rsid w:val="0029259E"/>
    <w:rsid w:val="002929C7"/>
    <w:rsid w:val="00292AD8"/>
    <w:rsid w:val="00293817"/>
    <w:rsid w:val="002941A1"/>
    <w:rsid w:val="0029462C"/>
    <w:rsid w:val="00294730"/>
    <w:rsid w:val="00294B58"/>
    <w:rsid w:val="00295162"/>
    <w:rsid w:val="00296558"/>
    <w:rsid w:val="00296DC8"/>
    <w:rsid w:val="002972BA"/>
    <w:rsid w:val="002977B5"/>
    <w:rsid w:val="002A024C"/>
    <w:rsid w:val="002A076C"/>
    <w:rsid w:val="002A0A39"/>
    <w:rsid w:val="002A0BF2"/>
    <w:rsid w:val="002A1387"/>
    <w:rsid w:val="002A1771"/>
    <w:rsid w:val="002A201D"/>
    <w:rsid w:val="002A2732"/>
    <w:rsid w:val="002A2DA2"/>
    <w:rsid w:val="002A30C6"/>
    <w:rsid w:val="002A3C54"/>
    <w:rsid w:val="002A413E"/>
    <w:rsid w:val="002A42F5"/>
    <w:rsid w:val="002A5086"/>
    <w:rsid w:val="002A509D"/>
    <w:rsid w:val="002A52B7"/>
    <w:rsid w:val="002A5D34"/>
    <w:rsid w:val="002A5FB8"/>
    <w:rsid w:val="002A61A8"/>
    <w:rsid w:val="002A6A89"/>
    <w:rsid w:val="002A6DB0"/>
    <w:rsid w:val="002A6FEA"/>
    <w:rsid w:val="002A72D0"/>
    <w:rsid w:val="002A78B7"/>
    <w:rsid w:val="002B0631"/>
    <w:rsid w:val="002B0F01"/>
    <w:rsid w:val="002B1107"/>
    <w:rsid w:val="002B1343"/>
    <w:rsid w:val="002B273D"/>
    <w:rsid w:val="002B2937"/>
    <w:rsid w:val="002B2A80"/>
    <w:rsid w:val="002B374E"/>
    <w:rsid w:val="002B37DE"/>
    <w:rsid w:val="002B3BD4"/>
    <w:rsid w:val="002B3F8F"/>
    <w:rsid w:val="002B4195"/>
    <w:rsid w:val="002B447A"/>
    <w:rsid w:val="002B478B"/>
    <w:rsid w:val="002B4B8B"/>
    <w:rsid w:val="002B4DBC"/>
    <w:rsid w:val="002B50B4"/>
    <w:rsid w:val="002B596C"/>
    <w:rsid w:val="002B5A7B"/>
    <w:rsid w:val="002B5C6F"/>
    <w:rsid w:val="002B68E4"/>
    <w:rsid w:val="002B6FD5"/>
    <w:rsid w:val="002C06A9"/>
    <w:rsid w:val="002C0C75"/>
    <w:rsid w:val="002C1AB6"/>
    <w:rsid w:val="002C1B0E"/>
    <w:rsid w:val="002C1D96"/>
    <w:rsid w:val="002C2FE3"/>
    <w:rsid w:val="002C3094"/>
    <w:rsid w:val="002C31C6"/>
    <w:rsid w:val="002C352E"/>
    <w:rsid w:val="002C3B41"/>
    <w:rsid w:val="002C3DFA"/>
    <w:rsid w:val="002C425A"/>
    <w:rsid w:val="002C42A3"/>
    <w:rsid w:val="002C4816"/>
    <w:rsid w:val="002C4D35"/>
    <w:rsid w:val="002C5241"/>
    <w:rsid w:val="002C5816"/>
    <w:rsid w:val="002C5CE5"/>
    <w:rsid w:val="002C63EA"/>
    <w:rsid w:val="002C643F"/>
    <w:rsid w:val="002C65F8"/>
    <w:rsid w:val="002C6B90"/>
    <w:rsid w:val="002C6C21"/>
    <w:rsid w:val="002C6D6D"/>
    <w:rsid w:val="002C70DA"/>
    <w:rsid w:val="002C7B9A"/>
    <w:rsid w:val="002C7F88"/>
    <w:rsid w:val="002D15B6"/>
    <w:rsid w:val="002D1777"/>
    <w:rsid w:val="002D20B9"/>
    <w:rsid w:val="002D2362"/>
    <w:rsid w:val="002D2887"/>
    <w:rsid w:val="002D28A0"/>
    <w:rsid w:val="002D2C25"/>
    <w:rsid w:val="002D2E81"/>
    <w:rsid w:val="002D327C"/>
    <w:rsid w:val="002D3488"/>
    <w:rsid w:val="002D371A"/>
    <w:rsid w:val="002D3AE6"/>
    <w:rsid w:val="002D431C"/>
    <w:rsid w:val="002D4353"/>
    <w:rsid w:val="002D5124"/>
    <w:rsid w:val="002D5D0A"/>
    <w:rsid w:val="002D5D5D"/>
    <w:rsid w:val="002D6911"/>
    <w:rsid w:val="002D7050"/>
    <w:rsid w:val="002D78BD"/>
    <w:rsid w:val="002D7DA6"/>
    <w:rsid w:val="002D7FE4"/>
    <w:rsid w:val="002E00FF"/>
    <w:rsid w:val="002E0342"/>
    <w:rsid w:val="002E071E"/>
    <w:rsid w:val="002E08DD"/>
    <w:rsid w:val="002E134F"/>
    <w:rsid w:val="002E1641"/>
    <w:rsid w:val="002E1924"/>
    <w:rsid w:val="002E19BB"/>
    <w:rsid w:val="002E1A28"/>
    <w:rsid w:val="002E1EE8"/>
    <w:rsid w:val="002E23F4"/>
    <w:rsid w:val="002E24DE"/>
    <w:rsid w:val="002E29F3"/>
    <w:rsid w:val="002E321C"/>
    <w:rsid w:val="002E3310"/>
    <w:rsid w:val="002E4828"/>
    <w:rsid w:val="002E49E5"/>
    <w:rsid w:val="002E4D91"/>
    <w:rsid w:val="002E4EF5"/>
    <w:rsid w:val="002E52F9"/>
    <w:rsid w:val="002E6017"/>
    <w:rsid w:val="002E672E"/>
    <w:rsid w:val="002E6967"/>
    <w:rsid w:val="002E6BA6"/>
    <w:rsid w:val="002E7626"/>
    <w:rsid w:val="002E765C"/>
    <w:rsid w:val="002E79E2"/>
    <w:rsid w:val="002E79F5"/>
    <w:rsid w:val="002F008B"/>
    <w:rsid w:val="002F02E7"/>
    <w:rsid w:val="002F0620"/>
    <w:rsid w:val="002F074B"/>
    <w:rsid w:val="002F07F1"/>
    <w:rsid w:val="002F0B24"/>
    <w:rsid w:val="002F26AB"/>
    <w:rsid w:val="002F2815"/>
    <w:rsid w:val="002F2E79"/>
    <w:rsid w:val="002F3839"/>
    <w:rsid w:val="002F3A4E"/>
    <w:rsid w:val="002F3F46"/>
    <w:rsid w:val="002F42C8"/>
    <w:rsid w:val="002F4CDA"/>
    <w:rsid w:val="002F53A8"/>
    <w:rsid w:val="002F597D"/>
    <w:rsid w:val="002F64FF"/>
    <w:rsid w:val="002F6B12"/>
    <w:rsid w:val="002F7114"/>
    <w:rsid w:val="002F7389"/>
    <w:rsid w:val="002F7A87"/>
    <w:rsid w:val="003003D2"/>
    <w:rsid w:val="003003D3"/>
    <w:rsid w:val="003004DE"/>
    <w:rsid w:val="003008B2"/>
    <w:rsid w:val="00300D23"/>
    <w:rsid w:val="00301E31"/>
    <w:rsid w:val="00301F3B"/>
    <w:rsid w:val="0030268F"/>
    <w:rsid w:val="00302BC0"/>
    <w:rsid w:val="00303086"/>
    <w:rsid w:val="003033BD"/>
    <w:rsid w:val="003035D2"/>
    <w:rsid w:val="003036FF"/>
    <w:rsid w:val="003044CC"/>
    <w:rsid w:val="003049CA"/>
    <w:rsid w:val="00304ADB"/>
    <w:rsid w:val="0030514B"/>
    <w:rsid w:val="00305806"/>
    <w:rsid w:val="0030628D"/>
    <w:rsid w:val="0030645E"/>
    <w:rsid w:val="00306A71"/>
    <w:rsid w:val="00306D3D"/>
    <w:rsid w:val="0030704C"/>
    <w:rsid w:val="0030710B"/>
    <w:rsid w:val="003075C7"/>
    <w:rsid w:val="00307644"/>
    <w:rsid w:val="00310073"/>
    <w:rsid w:val="0031010D"/>
    <w:rsid w:val="00310345"/>
    <w:rsid w:val="0031095B"/>
    <w:rsid w:val="0031124F"/>
    <w:rsid w:val="00311DE1"/>
    <w:rsid w:val="00311E90"/>
    <w:rsid w:val="00311FD7"/>
    <w:rsid w:val="003125DA"/>
    <w:rsid w:val="00312A64"/>
    <w:rsid w:val="0031320B"/>
    <w:rsid w:val="00313A8F"/>
    <w:rsid w:val="00313AF4"/>
    <w:rsid w:val="00313CDF"/>
    <w:rsid w:val="00313D35"/>
    <w:rsid w:val="0031404E"/>
    <w:rsid w:val="003145C3"/>
    <w:rsid w:val="00314B53"/>
    <w:rsid w:val="00314EDC"/>
    <w:rsid w:val="00314F19"/>
    <w:rsid w:val="003150F4"/>
    <w:rsid w:val="003152ED"/>
    <w:rsid w:val="003154BD"/>
    <w:rsid w:val="00315868"/>
    <w:rsid w:val="00315A87"/>
    <w:rsid w:val="003164E0"/>
    <w:rsid w:val="00317357"/>
    <w:rsid w:val="00317F8A"/>
    <w:rsid w:val="00320045"/>
    <w:rsid w:val="003201D9"/>
    <w:rsid w:val="00320EB8"/>
    <w:rsid w:val="00321009"/>
    <w:rsid w:val="00321091"/>
    <w:rsid w:val="003214B5"/>
    <w:rsid w:val="003215AC"/>
    <w:rsid w:val="003215F8"/>
    <w:rsid w:val="00321CC6"/>
    <w:rsid w:val="00322068"/>
    <w:rsid w:val="003221DA"/>
    <w:rsid w:val="00322360"/>
    <w:rsid w:val="0032345E"/>
    <w:rsid w:val="00323B6C"/>
    <w:rsid w:val="00324096"/>
    <w:rsid w:val="0032415A"/>
    <w:rsid w:val="00324B10"/>
    <w:rsid w:val="00324CB7"/>
    <w:rsid w:val="0032516C"/>
    <w:rsid w:val="0032551E"/>
    <w:rsid w:val="00326AC3"/>
    <w:rsid w:val="00327B2E"/>
    <w:rsid w:val="003300B7"/>
    <w:rsid w:val="003305F1"/>
    <w:rsid w:val="003306D9"/>
    <w:rsid w:val="00331294"/>
    <w:rsid w:val="003315FE"/>
    <w:rsid w:val="00331F49"/>
    <w:rsid w:val="00331FE8"/>
    <w:rsid w:val="00332D4F"/>
    <w:rsid w:val="00332F40"/>
    <w:rsid w:val="00332F7E"/>
    <w:rsid w:val="00332FF9"/>
    <w:rsid w:val="0033386D"/>
    <w:rsid w:val="003343F7"/>
    <w:rsid w:val="0033470D"/>
    <w:rsid w:val="0033479E"/>
    <w:rsid w:val="00334E35"/>
    <w:rsid w:val="003357C7"/>
    <w:rsid w:val="003357FE"/>
    <w:rsid w:val="00335DC4"/>
    <w:rsid w:val="00335E6E"/>
    <w:rsid w:val="003369C9"/>
    <w:rsid w:val="00336EAA"/>
    <w:rsid w:val="00337450"/>
    <w:rsid w:val="00337ECE"/>
    <w:rsid w:val="00337F62"/>
    <w:rsid w:val="003404D0"/>
    <w:rsid w:val="003405C7"/>
    <w:rsid w:val="00340AFC"/>
    <w:rsid w:val="0034130E"/>
    <w:rsid w:val="00341D29"/>
    <w:rsid w:val="00342748"/>
    <w:rsid w:val="00342790"/>
    <w:rsid w:val="00342F40"/>
    <w:rsid w:val="003431A5"/>
    <w:rsid w:val="003435F8"/>
    <w:rsid w:val="00344174"/>
    <w:rsid w:val="003442E0"/>
    <w:rsid w:val="00344562"/>
    <w:rsid w:val="0034519E"/>
    <w:rsid w:val="0034627A"/>
    <w:rsid w:val="00346A64"/>
    <w:rsid w:val="00346B1F"/>
    <w:rsid w:val="00347690"/>
    <w:rsid w:val="00347B14"/>
    <w:rsid w:val="003504B6"/>
    <w:rsid w:val="00350C26"/>
    <w:rsid w:val="00351736"/>
    <w:rsid w:val="00351929"/>
    <w:rsid w:val="00351A2C"/>
    <w:rsid w:val="00351CF5"/>
    <w:rsid w:val="00352379"/>
    <w:rsid w:val="003526AA"/>
    <w:rsid w:val="00352941"/>
    <w:rsid w:val="0035310E"/>
    <w:rsid w:val="00353222"/>
    <w:rsid w:val="003532A2"/>
    <w:rsid w:val="00353BA8"/>
    <w:rsid w:val="00353E91"/>
    <w:rsid w:val="00353F13"/>
    <w:rsid w:val="00353F35"/>
    <w:rsid w:val="00354CAD"/>
    <w:rsid w:val="00354DA3"/>
    <w:rsid w:val="00355184"/>
    <w:rsid w:val="00355E00"/>
    <w:rsid w:val="00356673"/>
    <w:rsid w:val="00356EDE"/>
    <w:rsid w:val="00357710"/>
    <w:rsid w:val="003579B1"/>
    <w:rsid w:val="00357C2B"/>
    <w:rsid w:val="00357ECD"/>
    <w:rsid w:val="003601C6"/>
    <w:rsid w:val="0036068C"/>
    <w:rsid w:val="00360738"/>
    <w:rsid w:val="00361262"/>
    <w:rsid w:val="00361310"/>
    <w:rsid w:val="0036143A"/>
    <w:rsid w:val="00361826"/>
    <w:rsid w:val="00361845"/>
    <w:rsid w:val="0036200E"/>
    <w:rsid w:val="0036229E"/>
    <w:rsid w:val="0036279A"/>
    <w:rsid w:val="00362B3D"/>
    <w:rsid w:val="00362F63"/>
    <w:rsid w:val="00363411"/>
    <w:rsid w:val="003634AB"/>
    <w:rsid w:val="00363892"/>
    <w:rsid w:val="003638A1"/>
    <w:rsid w:val="0036453F"/>
    <w:rsid w:val="00365399"/>
    <w:rsid w:val="00365990"/>
    <w:rsid w:val="00365AF3"/>
    <w:rsid w:val="00365DB7"/>
    <w:rsid w:val="00365F2F"/>
    <w:rsid w:val="003665EE"/>
    <w:rsid w:val="00366778"/>
    <w:rsid w:val="00366A6E"/>
    <w:rsid w:val="0036723D"/>
    <w:rsid w:val="0036787D"/>
    <w:rsid w:val="0036788E"/>
    <w:rsid w:val="00367A63"/>
    <w:rsid w:val="0037029F"/>
    <w:rsid w:val="00370B63"/>
    <w:rsid w:val="00370CA9"/>
    <w:rsid w:val="00371046"/>
    <w:rsid w:val="003712BA"/>
    <w:rsid w:val="0037177F"/>
    <w:rsid w:val="00371865"/>
    <w:rsid w:val="00371A56"/>
    <w:rsid w:val="00371DB9"/>
    <w:rsid w:val="00371EE5"/>
    <w:rsid w:val="00372011"/>
    <w:rsid w:val="003728C3"/>
    <w:rsid w:val="00372A95"/>
    <w:rsid w:val="00372CB7"/>
    <w:rsid w:val="00372EBD"/>
    <w:rsid w:val="00372F54"/>
    <w:rsid w:val="00373291"/>
    <w:rsid w:val="00373588"/>
    <w:rsid w:val="00373816"/>
    <w:rsid w:val="003740FD"/>
    <w:rsid w:val="003749F9"/>
    <w:rsid w:val="00374C6F"/>
    <w:rsid w:val="00374E09"/>
    <w:rsid w:val="00376202"/>
    <w:rsid w:val="0037652F"/>
    <w:rsid w:val="003770E7"/>
    <w:rsid w:val="003778AE"/>
    <w:rsid w:val="00377D1E"/>
    <w:rsid w:val="00377DE8"/>
    <w:rsid w:val="00380205"/>
    <w:rsid w:val="0038055C"/>
    <w:rsid w:val="0038066E"/>
    <w:rsid w:val="0038118C"/>
    <w:rsid w:val="00381366"/>
    <w:rsid w:val="0038197D"/>
    <w:rsid w:val="00381C7D"/>
    <w:rsid w:val="0038268A"/>
    <w:rsid w:val="00382A72"/>
    <w:rsid w:val="00382BB8"/>
    <w:rsid w:val="00382BEE"/>
    <w:rsid w:val="00382FF8"/>
    <w:rsid w:val="00383024"/>
    <w:rsid w:val="0038345B"/>
    <w:rsid w:val="0038385C"/>
    <w:rsid w:val="00383A52"/>
    <w:rsid w:val="0038442A"/>
    <w:rsid w:val="00384440"/>
    <w:rsid w:val="0038444E"/>
    <w:rsid w:val="00384A92"/>
    <w:rsid w:val="00384C15"/>
    <w:rsid w:val="00384FC4"/>
    <w:rsid w:val="0038542C"/>
    <w:rsid w:val="0038585A"/>
    <w:rsid w:val="00385919"/>
    <w:rsid w:val="00385968"/>
    <w:rsid w:val="00385E7C"/>
    <w:rsid w:val="00385F3C"/>
    <w:rsid w:val="003861AC"/>
    <w:rsid w:val="00386CCD"/>
    <w:rsid w:val="00386FF5"/>
    <w:rsid w:val="00387227"/>
    <w:rsid w:val="0038726F"/>
    <w:rsid w:val="00387453"/>
    <w:rsid w:val="003874CD"/>
    <w:rsid w:val="003878BE"/>
    <w:rsid w:val="00387CA5"/>
    <w:rsid w:val="0039081C"/>
    <w:rsid w:val="00390BFB"/>
    <w:rsid w:val="00391207"/>
    <w:rsid w:val="003915DF"/>
    <w:rsid w:val="00391B1D"/>
    <w:rsid w:val="00391B4F"/>
    <w:rsid w:val="00391DC8"/>
    <w:rsid w:val="003920CA"/>
    <w:rsid w:val="0039268A"/>
    <w:rsid w:val="00393654"/>
    <w:rsid w:val="003936A7"/>
    <w:rsid w:val="00393FC0"/>
    <w:rsid w:val="003947BB"/>
    <w:rsid w:val="00394E1F"/>
    <w:rsid w:val="00394EC4"/>
    <w:rsid w:val="003951D3"/>
    <w:rsid w:val="0039555E"/>
    <w:rsid w:val="003955CA"/>
    <w:rsid w:val="003955EA"/>
    <w:rsid w:val="00395EB7"/>
    <w:rsid w:val="00396286"/>
    <w:rsid w:val="003967D8"/>
    <w:rsid w:val="0039727C"/>
    <w:rsid w:val="0039763B"/>
    <w:rsid w:val="00397944"/>
    <w:rsid w:val="003A0F14"/>
    <w:rsid w:val="003A151B"/>
    <w:rsid w:val="003A151F"/>
    <w:rsid w:val="003A1BC1"/>
    <w:rsid w:val="003A1D20"/>
    <w:rsid w:val="003A1F40"/>
    <w:rsid w:val="003A23AE"/>
    <w:rsid w:val="003A251B"/>
    <w:rsid w:val="003A284E"/>
    <w:rsid w:val="003A2A81"/>
    <w:rsid w:val="003A2B50"/>
    <w:rsid w:val="003A2B8E"/>
    <w:rsid w:val="003A410E"/>
    <w:rsid w:val="003A4381"/>
    <w:rsid w:val="003A56D7"/>
    <w:rsid w:val="003A574F"/>
    <w:rsid w:val="003A5C8D"/>
    <w:rsid w:val="003A664E"/>
    <w:rsid w:val="003A722E"/>
    <w:rsid w:val="003A738B"/>
    <w:rsid w:val="003A7E5E"/>
    <w:rsid w:val="003B0651"/>
    <w:rsid w:val="003B079A"/>
    <w:rsid w:val="003B084A"/>
    <w:rsid w:val="003B210F"/>
    <w:rsid w:val="003B2127"/>
    <w:rsid w:val="003B2C04"/>
    <w:rsid w:val="003B375E"/>
    <w:rsid w:val="003B3930"/>
    <w:rsid w:val="003B3F74"/>
    <w:rsid w:val="003B6AFC"/>
    <w:rsid w:val="003B6B53"/>
    <w:rsid w:val="003B6D67"/>
    <w:rsid w:val="003B6E6A"/>
    <w:rsid w:val="003C0019"/>
    <w:rsid w:val="003C014A"/>
    <w:rsid w:val="003C039F"/>
    <w:rsid w:val="003C03B5"/>
    <w:rsid w:val="003C087A"/>
    <w:rsid w:val="003C0FDC"/>
    <w:rsid w:val="003C1888"/>
    <w:rsid w:val="003C3863"/>
    <w:rsid w:val="003C3CFB"/>
    <w:rsid w:val="003C3E63"/>
    <w:rsid w:val="003C4041"/>
    <w:rsid w:val="003C42A2"/>
    <w:rsid w:val="003C4ECB"/>
    <w:rsid w:val="003C4EDB"/>
    <w:rsid w:val="003C5515"/>
    <w:rsid w:val="003C5860"/>
    <w:rsid w:val="003C68B9"/>
    <w:rsid w:val="003C6E87"/>
    <w:rsid w:val="003D0199"/>
    <w:rsid w:val="003D0802"/>
    <w:rsid w:val="003D08F5"/>
    <w:rsid w:val="003D1A2C"/>
    <w:rsid w:val="003D1BEF"/>
    <w:rsid w:val="003D2F6B"/>
    <w:rsid w:val="003D3FE8"/>
    <w:rsid w:val="003D447C"/>
    <w:rsid w:val="003D4709"/>
    <w:rsid w:val="003D48BF"/>
    <w:rsid w:val="003D511A"/>
    <w:rsid w:val="003D5201"/>
    <w:rsid w:val="003D5865"/>
    <w:rsid w:val="003D5947"/>
    <w:rsid w:val="003D59E3"/>
    <w:rsid w:val="003D5A81"/>
    <w:rsid w:val="003D5F65"/>
    <w:rsid w:val="003D632F"/>
    <w:rsid w:val="003D6AEA"/>
    <w:rsid w:val="003D7332"/>
    <w:rsid w:val="003D74C3"/>
    <w:rsid w:val="003E046C"/>
    <w:rsid w:val="003E194E"/>
    <w:rsid w:val="003E1B0B"/>
    <w:rsid w:val="003E1C61"/>
    <w:rsid w:val="003E20E9"/>
    <w:rsid w:val="003E2374"/>
    <w:rsid w:val="003E2738"/>
    <w:rsid w:val="003E321A"/>
    <w:rsid w:val="003E393D"/>
    <w:rsid w:val="003E4063"/>
    <w:rsid w:val="003E4260"/>
    <w:rsid w:val="003E518F"/>
    <w:rsid w:val="003E540F"/>
    <w:rsid w:val="003E5E6B"/>
    <w:rsid w:val="003E5F28"/>
    <w:rsid w:val="003E6899"/>
    <w:rsid w:val="003E6929"/>
    <w:rsid w:val="003E7107"/>
    <w:rsid w:val="003F00CB"/>
    <w:rsid w:val="003F062B"/>
    <w:rsid w:val="003F0A5F"/>
    <w:rsid w:val="003F0C97"/>
    <w:rsid w:val="003F3248"/>
    <w:rsid w:val="003F33E3"/>
    <w:rsid w:val="003F3506"/>
    <w:rsid w:val="003F3EBA"/>
    <w:rsid w:val="003F53F7"/>
    <w:rsid w:val="003F576C"/>
    <w:rsid w:val="003F579D"/>
    <w:rsid w:val="003F62BD"/>
    <w:rsid w:val="003F702A"/>
    <w:rsid w:val="003F7534"/>
    <w:rsid w:val="003F7891"/>
    <w:rsid w:val="004005FF"/>
    <w:rsid w:val="00401124"/>
    <w:rsid w:val="00401343"/>
    <w:rsid w:val="004014DC"/>
    <w:rsid w:val="00401583"/>
    <w:rsid w:val="00401BE9"/>
    <w:rsid w:val="00401D65"/>
    <w:rsid w:val="00401FA4"/>
    <w:rsid w:val="004028C5"/>
    <w:rsid w:val="00403266"/>
    <w:rsid w:val="00403277"/>
    <w:rsid w:val="00403279"/>
    <w:rsid w:val="00403699"/>
    <w:rsid w:val="0040379D"/>
    <w:rsid w:val="00403AE8"/>
    <w:rsid w:val="00403CDB"/>
    <w:rsid w:val="00403F75"/>
    <w:rsid w:val="0040468B"/>
    <w:rsid w:val="00405389"/>
    <w:rsid w:val="004058E7"/>
    <w:rsid w:val="00405A4F"/>
    <w:rsid w:val="00405AD5"/>
    <w:rsid w:val="00405D62"/>
    <w:rsid w:val="0040618F"/>
    <w:rsid w:val="004061E7"/>
    <w:rsid w:val="00406497"/>
    <w:rsid w:val="004069AE"/>
    <w:rsid w:val="004073A5"/>
    <w:rsid w:val="00407F65"/>
    <w:rsid w:val="00410271"/>
    <w:rsid w:val="00410CC7"/>
    <w:rsid w:val="00410F95"/>
    <w:rsid w:val="00411605"/>
    <w:rsid w:val="00411653"/>
    <w:rsid w:val="00411E45"/>
    <w:rsid w:val="00411F19"/>
    <w:rsid w:val="00412975"/>
    <w:rsid w:val="00412998"/>
    <w:rsid w:val="004129E7"/>
    <w:rsid w:val="00412DE1"/>
    <w:rsid w:val="0041353C"/>
    <w:rsid w:val="0041464A"/>
    <w:rsid w:val="00414FC6"/>
    <w:rsid w:val="004151B7"/>
    <w:rsid w:val="0041525D"/>
    <w:rsid w:val="0041536C"/>
    <w:rsid w:val="00415ADD"/>
    <w:rsid w:val="0041672A"/>
    <w:rsid w:val="00416BD3"/>
    <w:rsid w:val="00417543"/>
    <w:rsid w:val="00417B8C"/>
    <w:rsid w:val="004200D0"/>
    <w:rsid w:val="0042028B"/>
    <w:rsid w:val="004202AA"/>
    <w:rsid w:val="00420DED"/>
    <w:rsid w:val="00421092"/>
    <w:rsid w:val="00421107"/>
    <w:rsid w:val="004217E6"/>
    <w:rsid w:val="004218DC"/>
    <w:rsid w:val="00422E75"/>
    <w:rsid w:val="00422E81"/>
    <w:rsid w:val="004232A1"/>
    <w:rsid w:val="00423CDD"/>
    <w:rsid w:val="00423FBC"/>
    <w:rsid w:val="0042440E"/>
    <w:rsid w:val="00424F36"/>
    <w:rsid w:val="004257D8"/>
    <w:rsid w:val="00425934"/>
    <w:rsid w:val="00425CD3"/>
    <w:rsid w:val="00425EB9"/>
    <w:rsid w:val="00426DD5"/>
    <w:rsid w:val="004275CB"/>
    <w:rsid w:val="00430557"/>
    <w:rsid w:val="0043205D"/>
    <w:rsid w:val="004324CA"/>
    <w:rsid w:val="00432D43"/>
    <w:rsid w:val="0043304C"/>
    <w:rsid w:val="004333DB"/>
    <w:rsid w:val="00433845"/>
    <w:rsid w:val="004338F3"/>
    <w:rsid w:val="00433B1B"/>
    <w:rsid w:val="00433DA1"/>
    <w:rsid w:val="0043446A"/>
    <w:rsid w:val="00434634"/>
    <w:rsid w:val="004348E7"/>
    <w:rsid w:val="0043499B"/>
    <w:rsid w:val="004349E3"/>
    <w:rsid w:val="00434B7D"/>
    <w:rsid w:val="004355FE"/>
    <w:rsid w:val="00435F17"/>
    <w:rsid w:val="004360D1"/>
    <w:rsid w:val="004369EE"/>
    <w:rsid w:val="00436B8F"/>
    <w:rsid w:val="00436B98"/>
    <w:rsid w:val="00436C18"/>
    <w:rsid w:val="0043706B"/>
    <w:rsid w:val="004375B9"/>
    <w:rsid w:val="00440247"/>
    <w:rsid w:val="00440301"/>
    <w:rsid w:val="004411CE"/>
    <w:rsid w:val="00441305"/>
    <w:rsid w:val="00441B4C"/>
    <w:rsid w:val="00441D2B"/>
    <w:rsid w:val="00441DBA"/>
    <w:rsid w:val="00442C73"/>
    <w:rsid w:val="00442CDB"/>
    <w:rsid w:val="00442E1B"/>
    <w:rsid w:val="00443334"/>
    <w:rsid w:val="00443638"/>
    <w:rsid w:val="00443B7E"/>
    <w:rsid w:val="004446E1"/>
    <w:rsid w:val="00444E35"/>
    <w:rsid w:val="00444F68"/>
    <w:rsid w:val="00445A4F"/>
    <w:rsid w:val="00445BA1"/>
    <w:rsid w:val="00445FBC"/>
    <w:rsid w:val="00446130"/>
    <w:rsid w:val="004465FE"/>
    <w:rsid w:val="00446D7C"/>
    <w:rsid w:val="0044741C"/>
    <w:rsid w:val="004474BB"/>
    <w:rsid w:val="00447A7B"/>
    <w:rsid w:val="00447BE7"/>
    <w:rsid w:val="00447F55"/>
    <w:rsid w:val="00447F8E"/>
    <w:rsid w:val="004508EB"/>
    <w:rsid w:val="00450DA5"/>
    <w:rsid w:val="00450F27"/>
    <w:rsid w:val="0045118F"/>
    <w:rsid w:val="00451A5D"/>
    <w:rsid w:val="00451DF0"/>
    <w:rsid w:val="0045279F"/>
    <w:rsid w:val="004528EF"/>
    <w:rsid w:val="0045318C"/>
    <w:rsid w:val="004536D4"/>
    <w:rsid w:val="00453EDB"/>
    <w:rsid w:val="00454252"/>
    <w:rsid w:val="004543F8"/>
    <w:rsid w:val="00454DF7"/>
    <w:rsid w:val="00455168"/>
    <w:rsid w:val="004553D2"/>
    <w:rsid w:val="0045606A"/>
    <w:rsid w:val="00456958"/>
    <w:rsid w:val="00457055"/>
    <w:rsid w:val="00457064"/>
    <w:rsid w:val="0045720A"/>
    <w:rsid w:val="0045724B"/>
    <w:rsid w:val="0045764B"/>
    <w:rsid w:val="00460021"/>
    <w:rsid w:val="00461AE7"/>
    <w:rsid w:val="0046223B"/>
    <w:rsid w:val="00462DF4"/>
    <w:rsid w:val="004638E2"/>
    <w:rsid w:val="00463AB8"/>
    <w:rsid w:val="00464C8B"/>
    <w:rsid w:val="00465198"/>
    <w:rsid w:val="004653DD"/>
    <w:rsid w:val="00466472"/>
    <w:rsid w:val="004678B8"/>
    <w:rsid w:val="00467C7A"/>
    <w:rsid w:val="0047044B"/>
    <w:rsid w:val="00470813"/>
    <w:rsid w:val="00470A54"/>
    <w:rsid w:val="00470F4E"/>
    <w:rsid w:val="004718AA"/>
    <w:rsid w:val="0047191F"/>
    <w:rsid w:val="00471EAC"/>
    <w:rsid w:val="00472183"/>
    <w:rsid w:val="004725C2"/>
    <w:rsid w:val="00472DA6"/>
    <w:rsid w:val="00473024"/>
    <w:rsid w:val="00473294"/>
    <w:rsid w:val="0047369E"/>
    <w:rsid w:val="004737BF"/>
    <w:rsid w:val="00473AB4"/>
    <w:rsid w:val="00473C20"/>
    <w:rsid w:val="00474002"/>
    <w:rsid w:val="004740C2"/>
    <w:rsid w:val="00475163"/>
    <w:rsid w:val="004753A8"/>
    <w:rsid w:val="0047624D"/>
    <w:rsid w:val="0047670C"/>
    <w:rsid w:val="004767AB"/>
    <w:rsid w:val="00476CC7"/>
    <w:rsid w:val="00477DA5"/>
    <w:rsid w:val="00477E2F"/>
    <w:rsid w:val="0048045E"/>
    <w:rsid w:val="00480926"/>
    <w:rsid w:val="00480AE1"/>
    <w:rsid w:val="00480FF4"/>
    <w:rsid w:val="00481B14"/>
    <w:rsid w:val="00482417"/>
    <w:rsid w:val="00482CC7"/>
    <w:rsid w:val="004830E3"/>
    <w:rsid w:val="004836FA"/>
    <w:rsid w:val="0048394B"/>
    <w:rsid w:val="00483A7E"/>
    <w:rsid w:val="00483DE6"/>
    <w:rsid w:val="00483E37"/>
    <w:rsid w:val="00483E70"/>
    <w:rsid w:val="0048422D"/>
    <w:rsid w:val="0048468B"/>
    <w:rsid w:val="0048472E"/>
    <w:rsid w:val="0048520E"/>
    <w:rsid w:val="0048543E"/>
    <w:rsid w:val="00485853"/>
    <w:rsid w:val="00485B95"/>
    <w:rsid w:val="00486682"/>
    <w:rsid w:val="004870DB"/>
    <w:rsid w:val="00487288"/>
    <w:rsid w:val="00487F9D"/>
    <w:rsid w:val="004906B3"/>
    <w:rsid w:val="00490928"/>
    <w:rsid w:val="00490954"/>
    <w:rsid w:val="00490E52"/>
    <w:rsid w:val="00491666"/>
    <w:rsid w:val="00491A7E"/>
    <w:rsid w:val="00491EB2"/>
    <w:rsid w:val="00492394"/>
    <w:rsid w:val="00492751"/>
    <w:rsid w:val="00492915"/>
    <w:rsid w:val="00492DED"/>
    <w:rsid w:val="00492F9B"/>
    <w:rsid w:val="004931D2"/>
    <w:rsid w:val="004932AB"/>
    <w:rsid w:val="004932B7"/>
    <w:rsid w:val="0049386E"/>
    <w:rsid w:val="00493D49"/>
    <w:rsid w:val="0049407C"/>
    <w:rsid w:val="00494561"/>
    <w:rsid w:val="00494888"/>
    <w:rsid w:val="00494B83"/>
    <w:rsid w:val="00494BF6"/>
    <w:rsid w:val="00495866"/>
    <w:rsid w:val="00496730"/>
    <w:rsid w:val="004969CC"/>
    <w:rsid w:val="00496ECB"/>
    <w:rsid w:val="004978C6"/>
    <w:rsid w:val="0049793D"/>
    <w:rsid w:val="004A07B7"/>
    <w:rsid w:val="004A0900"/>
    <w:rsid w:val="004A1230"/>
    <w:rsid w:val="004A13F2"/>
    <w:rsid w:val="004A191B"/>
    <w:rsid w:val="004A1F61"/>
    <w:rsid w:val="004A2217"/>
    <w:rsid w:val="004A267E"/>
    <w:rsid w:val="004A2CE3"/>
    <w:rsid w:val="004A3058"/>
    <w:rsid w:val="004A314E"/>
    <w:rsid w:val="004A327E"/>
    <w:rsid w:val="004A3307"/>
    <w:rsid w:val="004A38AE"/>
    <w:rsid w:val="004A3989"/>
    <w:rsid w:val="004A3ED2"/>
    <w:rsid w:val="004A406B"/>
    <w:rsid w:val="004A42AD"/>
    <w:rsid w:val="004A4692"/>
    <w:rsid w:val="004A475D"/>
    <w:rsid w:val="004A486D"/>
    <w:rsid w:val="004A4DA6"/>
    <w:rsid w:val="004A5E5A"/>
    <w:rsid w:val="004A62D7"/>
    <w:rsid w:val="004A658B"/>
    <w:rsid w:val="004A6907"/>
    <w:rsid w:val="004A6D47"/>
    <w:rsid w:val="004A74E8"/>
    <w:rsid w:val="004A7E3D"/>
    <w:rsid w:val="004B097F"/>
    <w:rsid w:val="004B1629"/>
    <w:rsid w:val="004B1867"/>
    <w:rsid w:val="004B1FF0"/>
    <w:rsid w:val="004B212A"/>
    <w:rsid w:val="004B37E7"/>
    <w:rsid w:val="004B3DFE"/>
    <w:rsid w:val="004B4813"/>
    <w:rsid w:val="004B4DCB"/>
    <w:rsid w:val="004B5CBC"/>
    <w:rsid w:val="004B5D18"/>
    <w:rsid w:val="004B6394"/>
    <w:rsid w:val="004B655C"/>
    <w:rsid w:val="004B669D"/>
    <w:rsid w:val="004B6B7E"/>
    <w:rsid w:val="004B6BE2"/>
    <w:rsid w:val="004B7C5D"/>
    <w:rsid w:val="004B7C87"/>
    <w:rsid w:val="004B7E86"/>
    <w:rsid w:val="004C0659"/>
    <w:rsid w:val="004C0D3A"/>
    <w:rsid w:val="004C106D"/>
    <w:rsid w:val="004C1723"/>
    <w:rsid w:val="004C181A"/>
    <w:rsid w:val="004C191F"/>
    <w:rsid w:val="004C1F7E"/>
    <w:rsid w:val="004C275D"/>
    <w:rsid w:val="004C2C0C"/>
    <w:rsid w:val="004C3A65"/>
    <w:rsid w:val="004C3ED5"/>
    <w:rsid w:val="004C4B57"/>
    <w:rsid w:val="004C55F4"/>
    <w:rsid w:val="004C5617"/>
    <w:rsid w:val="004C5E20"/>
    <w:rsid w:val="004C60C2"/>
    <w:rsid w:val="004C6496"/>
    <w:rsid w:val="004C64B3"/>
    <w:rsid w:val="004C64EB"/>
    <w:rsid w:val="004C6951"/>
    <w:rsid w:val="004C6A34"/>
    <w:rsid w:val="004C6B23"/>
    <w:rsid w:val="004C6BBD"/>
    <w:rsid w:val="004C7028"/>
    <w:rsid w:val="004C7803"/>
    <w:rsid w:val="004C7D4F"/>
    <w:rsid w:val="004C7EAF"/>
    <w:rsid w:val="004D0267"/>
    <w:rsid w:val="004D0CA7"/>
    <w:rsid w:val="004D12F2"/>
    <w:rsid w:val="004D1CAD"/>
    <w:rsid w:val="004D2C0F"/>
    <w:rsid w:val="004D49BF"/>
    <w:rsid w:val="004D53E9"/>
    <w:rsid w:val="004D67C3"/>
    <w:rsid w:val="004D6886"/>
    <w:rsid w:val="004D6906"/>
    <w:rsid w:val="004D6D09"/>
    <w:rsid w:val="004D6FBB"/>
    <w:rsid w:val="004D78E8"/>
    <w:rsid w:val="004E003E"/>
    <w:rsid w:val="004E1664"/>
    <w:rsid w:val="004E2B19"/>
    <w:rsid w:val="004E2DE6"/>
    <w:rsid w:val="004E3327"/>
    <w:rsid w:val="004E3489"/>
    <w:rsid w:val="004E3BDF"/>
    <w:rsid w:val="004E4FD0"/>
    <w:rsid w:val="004E52CB"/>
    <w:rsid w:val="004E662B"/>
    <w:rsid w:val="004E6930"/>
    <w:rsid w:val="004E6B64"/>
    <w:rsid w:val="004E7665"/>
    <w:rsid w:val="004E78FE"/>
    <w:rsid w:val="004F00F2"/>
    <w:rsid w:val="004F073A"/>
    <w:rsid w:val="004F11DF"/>
    <w:rsid w:val="004F2EE3"/>
    <w:rsid w:val="004F3068"/>
    <w:rsid w:val="004F30F7"/>
    <w:rsid w:val="004F39B2"/>
    <w:rsid w:val="004F3DBA"/>
    <w:rsid w:val="004F3FA7"/>
    <w:rsid w:val="004F40A7"/>
    <w:rsid w:val="004F429D"/>
    <w:rsid w:val="004F46E4"/>
    <w:rsid w:val="004F52BC"/>
    <w:rsid w:val="004F53BE"/>
    <w:rsid w:val="004F53F4"/>
    <w:rsid w:val="004F5779"/>
    <w:rsid w:val="004F5909"/>
    <w:rsid w:val="004F5B91"/>
    <w:rsid w:val="004F5FAA"/>
    <w:rsid w:val="004F6B67"/>
    <w:rsid w:val="004F6B8F"/>
    <w:rsid w:val="004F6E66"/>
    <w:rsid w:val="004F765B"/>
    <w:rsid w:val="004F7B5C"/>
    <w:rsid w:val="0050041A"/>
    <w:rsid w:val="00500F39"/>
    <w:rsid w:val="00501095"/>
    <w:rsid w:val="005018EA"/>
    <w:rsid w:val="005019D9"/>
    <w:rsid w:val="00502034"/>
    <w:rsid w:val="00502499"/>
    <w:rsid w:val="00502ABF"/>
    <w:rsid w:val="00502B0B"/>
    <w:rsid w:val="00502EAD"/>
    <w:rsid w:val="005037C7"/>
    <w:rsid w:val="00503849"/>
    <w:rsid w:val="00503FCC"/>
    <w:rsid w:val="00504713"/>
    <w:rsid w:val="005055FC"/>
    <w:rsid w:val="005056F8"/>
    <w:rsid w:val="0050574B"/>
    <w:rsid w:val="005061CB"/>
    <w:rsid w:val="005064E3"/>
    <w:rsid w:val="005068E9"/>
    <w:rsid w:val="00506B8C"/>
    <w:rsid w:val="00506FB4"/>
    <w:rsid w:val="0050786A"/>
    <w:rsid w:val="00507C88"/>
    <w:rsid w:val="00507E34"/>
    <w:rsid w:val="00510421"/>
    <w:rsid w:val="0051082C"/>
    <w:rsid w:val="00510E78"/>
    <w:rsid w:val="00510F8D"/>
    <w:rsid w:val="005123C5"/>
    <w:rsid w:val="00512D64"/>
    <w:rsid w:val="00512D8D"/>
    <w:rsid w:val="00513B65"/>
    <w:rsid w:val="00513E34"/>
    <w:rsid w:val="0051434C"/>
    <w:rsid w:val="005147FB"/>
    <w:rsid w:val="0051496D"/>
    <w:rsid w:val="00515379"/>
    <w:rsid w:val="005153AE"/>
    <w:rsid w:val="00516063"/>
    <w:rsid w:val="0051638A"/>
    <w:rsid w:val="00516937"/>
    <w:rsid w:val="005173A3"/>
    <w:rsid w:val="00517C3A"/>
    <w:rsid w:val="00520182"/>
    <w:rsid w:val="00521BEA"/>
    <w:rsid w:val="005221DD"/>
    <w:rsid w:val="005224BB"/>
    <w:rsid w:val="00522F92"/>
    <w:rsid w:val="0052378E"/>
    <w:rsid w:val="00523F35"/>
    <w:rsid w:val="00524096"/>
    <w:rsid w:val="005249F5"/>
    <w:rsid w:val="00524D6C"/>
    <w:rsid w:val="00524D91"/>
    <w:rsid w:val="00525257"/>
    <w:rsid w:val="0052532B"/>
    <w:rsid w:val="00525DD5"/>
    <w:rsid w:val="00525FCB"/>
    <w:rsid w:val="00526C86"/>
    <w:rsid w:val="00526DD4"/>
    <w:rsid w:val="00527091"/>
    <w:rsid w:val="00527599"/>
    <w:rsid w:val="005275EC"/>
    <w:rsid w:val="00527747"/>
    <w:rsid w:val="00527A01"/>
    <w:rsid w:val="00527EE7"/>
    <w:rsid w:val="005302BC"/>
    <w:rsid w:val="005308DF"/>
    <w:rsid w:val="00530C2B"/>
    <w:rsid w:val="00530CB4"/>
    <w:rsid w:val="00531702"/>
    <w:rsid w:val="005317D2"/>
    <w:rsid w:val="00531AAE"/>
    <w:rsid w:val="00531ED3"/>
    <w:rsid w:val="0053250B"/>
    <w:rsid w:val="005327E4"/>
    <w:rsid w:val="00532A59"/>
    <w:rsid w:val="00532AA0"/>
    <w:rsid w:val="00533129"/>
    <w:rsid w:val="00533202"/>
    <w:rsid w:val="00533392"/>
    <w:rsid w:val="005336E0"/>
    <w:rsid w:val="00533FE0"/>
    <w:rsid w:val="00534156"/>
    <w:rsid w:val="005341BB"/>
    <w:rsid w:val="00534253"/>
    <w:rsid w:val="005342E2"/>
    <w:rsid w:val="0053433B"/>
    <w:rsid w:val="005346E5"/>
    <w:rsid w:val="0053495C"/>
    <w:rsid w:val="00534B55"/>
    <w:rsid w:val="005354F8"/>
    <w:rsid w:val="00535D71"/>
    <w:rsid w:val="00535E47"/>
    <w:rsid w:val="0053606F"/>
    <w:rsid w:val="005365AD"/>
    <w:rsid w:val="005366DD"/>
    <w:rsid w:val="00537EE6"/>
    <w:rsid w:val="00537FBC"/>
    <w:rsid w:val="005404C0"/>
    <w:rsid w:val="005409C7"/>
    <w:rsid w:val="00540C8C"/>
    <w:rsid w:val="005411D3"/>
    <w:rsid w:val="00541498"/>
    <w:rsid w:val="005418EC"/>
    <w:rsid w:val="00541C88"/>
    <w:rsid w:val="005426C4"/>
    <w:rsid w:val="0054279B"/>
    <w:rsid w:val="005427C3"/>
    <w:rsid w:val="00542F95"/>
    <w:rsid w:val="0054317C"/>
    <w:rsid w:val="00543F95"/>
    <w:rsid w:val="0054416B"/>
    <w:rsid w:val="00544C7D"/>
    <w:rsid w:val="00544D20"/>
    <w:rsid w:val="00544F91"/>
    <w:rsid w:val="0054584B"/>
    <w:rsid w:val="0054618B"/>
    <w:rsid w:val="005466C9"/>
    <w:rsid w:val="00546FA8"/>
    <w:rsid w:val="0054720B"/>
    <w:rsid w:val="00547262"/>
    <w:rsid w:val="005508B3"/>
    <w:rsid w:val="00550CAF"/>
    <w:rsid w:val="00550EFF"/>
    <w:rsid w:val="00551672"/>
    <w:rsid w:val="00551C01"/>
    <w:rsid w:val="0055227E"/>
    <w:rsid w:val="00552975"/>
    <w:rsid w:val="00552AC3"/>
    <w:rsid w:val="00553434"/>
    <w:rsid w:val="00553597"/>
    <w:rsid w:val="0055363A"/>
    <w:rsid w:val="00553DD3"/>
    <w:rsid w:val="00554264"/>
    <w:rsid w:val="005546E5"/>
    <w:rsid w:val="0055540B"/>
    <w:rsid w:val="00556086"/>
    <w:rsid w:val="0055631B"/>
    <w:rsid w:val="0055637B"/>
    <w:rsid w:val="005565FD"/>
    <w:rsid w:val="005575FB"/>
    <w:rsid w:val="0055784D"/>
    <w:rsid w:val="00560BEC"/>
    <w:rsid w:val="0056114E"/>
    <w:rsid w:val="0056244F"/>
    <w:rsid w:val="00562EAC"/>
    <w:rsid w:val="0056316E"/>
    <w:rsid w:val="00563291"/>
    <w:rsid w:val="0056359C"/>
    <w:rsid w:val="00563B2B"/>
    <w:rsid w:val="00564939"/>
    <w:rsid w:val="00564BA4"/>
    <w:rsid w:val="00564CA7"/>
    <w:rsid w:val="005653B8"/>
    <w:rsid w:val="00565758"/>
    <w:rsid w:val="00565D8D"/>
    <w:rsid w:val="00566272"/>
    <w:rsid w:val="00566E1E"/>
    <w:rsid w:val="00567A59"/>
    <w:rsid w:val="00567FD5"/>
    <w:rsid w:val="0057091F"/>
    <w:rsid w:val="00570DCA"/>
    <w:rsid w:val="00571920"/>
    <w:rsid w:val="00571949"/>
    <w:rsid w:val="005721F7"/>
    <w:rsid w:val="005726C4"/>
    <w:rsid w:val="00572C0A"/>
    <w:rsid w:val="00572EB8"/>
    <w:rsid w:val="00572FFA"/>
    <w:rsid w:val="005730B4"/>
    <w:rsid w:val="005732D3"/>
    <w:rsid w:val="00573BC9"/>
    <w:rsid w:val="00573E37"/>
    <w:rsid w:val="00573EE9"/>
    <w:rsid w:val="005746F9"/>
    <w:rsid w:val="0057488B"/>
    <w:rsid w:val="0057491C"/>
    <w:rsid w:val="00574B63"/>
    <w:rsid w:val="00574D3C"/>
    <w:rsid w:val="00574F49"/>
    <w:rsid w:val="0057501D"/>
    <w:rsid w:val="00575A71"/>
    <w:rsid w:val="00576B7F"/>
    <w:rsid w:val="00576BEC"/>
    <w:rsid w:val="00576D3E"/>
    <w:rsid w:val="00576EB5"/>
    <w:rsid w:val="00577395"/>
    <w:rsid w:val="00577A4F"/>
    <w:rsid w:val="005800C8"/>
    <w:rsid w:val="00580624"/>
    <w:rsid w:val="00580900"/>
    <w:rsid w:val="00580A77"/>
    <w:rsid w:val="00580C76"/>
    <w:rsid w:val="00580E23"/>
    <w:rsid w:val="00580EBF"/>
    <w:rsid w:val="005818B3"/>
    <w:rsid w:val="005821C1"/>
    <w:rsid w:val="0058236F"/>
    <w:rsid w:val="00582966"/>
    <w:rsid w:val="00583051"/>
    <w:rsid w:val="00583FD4"/>
    <w:rsid w:val="005841EF"/>
    <w:rsid w:val="0058471D"/>
    <w:rsid w:val="00584EF5"/>
    <w:rsid w:val="00584F46"/>
    <w:rsid w:val="00585186"/>
    <w:rsid w:val="00585219"/>
    <w:rsid w:val="0058538C"/>
    <w:rsid w:val="00586501"/>
    <w:rsid w:val="00586936"/>
    <w:rsid w:val="00586A09"/>
    <w:rsid w:val="00586B2B"/>
    <w:rsid w:val="00586BC1"/>
    <w:rsid w:val="00586DE8"/>
    <w:rsid w:val="00587DA8"/>
    <w:rsid w:val="00587EF8"/>
    <w:rsid w:val="005909FF"/>
    <w:rsid w:val="00590A2A"/>
    <w:rsid w:val="0059133B"/>
    <w:rsid w:val="0059179E"/>
    <w:rsid w:val="005925F5"/>
    <w:rsid w:val="00592CCD"/>
    <w:rsid w:val="00593F2C"/>
    <w:rsid w:val="00593F9D"/>
    <w:rsid w:val="005946C6"/>
    <w:rsid w:val="00595046"/>
    <w:rsid w:val="005955B9"/>
    <w:rsid w:val="00595916"/>
    <w:rsid w:val="00595C5C"/>
    <w:rsid w:val="00595D8C"/>
    <w:rsid w:val="00595F28"/>
    <w:rsid w:val="00595F49"/>
    <w:rsid w:val="0059686A"/>
    <w:rsid w:val="005971A7"/>
    <w:rsid w:val="00597653"/>
    <w:rsid w:val="00597860"/>
    <w:rsid w:val="00597F6E"/>
    <w:rsid w:val="005A0407"/>
    <w:rsid w:val="005A0429"/>
    <w:rsid w:val="005A078C"/>
    <w:rsid w:val="005A0A96"/>
    <w:rsid w:val="005A14E1"/>
    <w:rsid w:val="005A1BE6"/>
    <w:rsid w:val="005A1DD9"/>
    <w:rsid w:val="005A231D"/>
    <w:rsid w:val="005A2664"/>
    <w:rsid w:val="005A267F"/>
    <w:rsid w:val="005A2F45"/>
    <w:rsid w:val="005A3859"/>
    <w:rsid w:val="005A38C8"/>
    <w:rsid w:val="005A3AB0"/>
    <w:rsid w:val="005A4184"/>
    <w:rsid w:val="005A4715"/>
    <w:rsid w:val="005A47B3"/>
    <w:rsid w:val="005A4946"/>
    <w:rsid w:val="005A50D6"/>
    <w:rsid w:val="005A55BF"/>
    <w:rsid w:val="005A589D"/>
    <w:rsid w:val="005A5DC7"/>
    <w:rsid w:val="005A6002"/>
    <w:rsid w:val="005A61EB"/>
    <w:rsid w:val="005A65A2"/>
    <w:rsid w:val="005A6824"/>
    <w:rsid w:val="005A7879"/>
    <w:rsid w:val="005B0C45"/>
    <w:rsid w:val="005B0D8F"/>
    <w:rsid w:val="005B24BC"/>
    <w:rsid w:val="005B291C"/>
    <w:rsid w:val="005B2B23"/>
    <w:rsid w:val="005B31D8"/>
    <w:rsid w:val="005B3503"/>
    <w:rsid w:val="005B48AA"/>
    <w:rsid w:val="005B49DF"/>
    <w:rsid w:val="005B504B"/>
    <w:rsid w:val="005B569A"/>
    <w:rsid w:val="005B619F"/>
    <w:rsid w:val="005B6212"/>
    <w:rsid w:val="005B62A2"/>
    <w:rsid w:val="005B648D"/>
    <w:rsid w:val="005B64A1"/>
    <w:rsid w:val="005B6E2A"/>
    <w:rsid w:val="005B76DD"/>
    <w:rsid w:val="005C007D"/>
    <w:rsid w:val="005C029F"/>
    <w:rsid w:val="005C048E"/>
    <w:rsid w:val="005C0775"/>
    <w:rsid w:val="005C0C44"/>
    <w:rsid w:val="005C0FDD"/>
    <w:rsid w:val="005C19FC"/>
    <w:rsid w:val="005C290B"/>
    <w:rsid w:val="005C34CF"/>
    <w:rsid w:val="005C4229"/>
    <w:rsid w:val="005C4527"/>
    <w:rsid w:val="005C4717"/>
    <w:rsid w:val="005C4FAD"/>
    <w:rsid w:val="005C5022"/>
    <w:rsid w:val="005C616D"/>
    <w:rsid w:val="005C621D"/>
    <w:rsid w:val="005C62C6"/>
    <w:rsid w:val="005C62CF"/>
    <w:rsid w:val="005C68AB"/>
    <w:rsid w:val="005C6EEC"/>
    <w:rsid w:val="005C72E6"/>
    <w:rsid w:val="005C751E"/>
    <w:rsid w:val="005D04F0"/>
    <w:rsid w:val="005D0AC1"/>
    <w:rsid w:val="005D0B02"/>
    <w:rsid w:val="005D0C0D"/>
    <w:rsid w:val="005D0CF6"/>
    <w:rsid w:val="005D1163"/>
    <w:rsid w:val="005D206F"/>
    <w:rsid w:val="005D21FD"/>
    <w:rsid w:val="005D230C"/>
    <w:rsid w:val="005D33D5"/>
    <w:rsid w:val="005D34A4"/>
    <w:rsid w:val="005D34EC"/>
    <w:rsid w:val="005D3657"/>
    <w:rsid w:val="005D4338"/>
    <w:rsid w:val="005D4CC3"/>
    <w:rsid w:val="005D549D"/>
    <w:rsid w:val="005D5A2E"/>
    <w:rsid w:val="005D6821"/>
    <w:rsid w:val="005D6FD7"/>
    <w:rsid w:val="005D7212"/>
    <w:rsid w:val="005D765A"/>
    <w:rsid w:val="005D768A"/>
    <w:rsid w:val="005E114E"/>
    <w:rsid w:val="005E1AF3"/>
    <w:rsid w:val="005E2320"/>
    <w:rsid w:val="005E244C"/>
    <w:rsid w:val="005E2472"/>
    <w:rsid w:val="005E249A"/>
    <w:rsid w:val="005E2810"/>
    <w:rsid w:val="005E2CD6"/>
    <w:rsid w:val="005E3596"/>
    <w:rsid w:val="005E3D2F"/>
    <w:rsid w:val="005E3F19"/>
    <w:rsid w:val="005E4452"/>
    <w:rsid w:val="005E45EC"/>
    <w:rsid w:val="005E4833"/>
    <w:rsid w:val="005E4D04"/>
    <w:rsid w:val="005E4D4B"/>
    <w:rsid w:val="005E4DA8"/>
    <w:rsid w:val="005E510A"/>
    <w:rsid w:val="005E5444"/>
    <w:rsid w:val="005E5576"/>
    <w:rsid w:val="005E55DD"/>
    <w:rsid w:val="005E5840"/>
    <w:rsid w:val="005E5B47"/>
    <w:rsid w:val="005E6239"/>
    <w:rsid w:val="005E63A4"/>
    <w:rsid w:val="005E645B"/>
    <w:rsid w:val="005E6622"/>
    <w:rsid w:val="005E68CB"/>
    <w:rsid w:val="005E6B79"/>
    <w:rsid w:val="005E6F42"/>
    <w:rsid w:val="005E7125"/>
    <w:rsid w:val="005E7BE0"/>
    <w:rsid w:val="005E7D7F"/>
    <w:rsid w:val="005F02BE"/>
    <w:rsid w:val="005F03C2"/>
    <w:rsid w:val="005F11B3"/>
    <w:rsid w:val="005F127E"/>
    <w:rsid w:val="005F12F4"/>
    <w:rsid w:val="005F1385"/>
    <w:rsid w:val="005F13E6"/>
    <w:rsid w:val="005F198E"/>
    <w:rsid w:val="005F1B1C"/>
    <w:rsid w:val="005F1E03"/>
    <w:rsid w:val="005F1EA2"/>
    <w:rsid w:val="005F1EDF"/>
    <w:rsid w:val="005F2575"/>
    <w:rsid w:val="005F2B06"/>
    <w:rsid w:val="005F306B"/>
    <w:rsid w:val="005F378D"/>
    <w:rsid w:val="005F39CD"/>
    <w:rsid w:val="005F3E3D"/>
    <w:rsid w:val="005F3F40"/>
    <w:rsid w:val="005F4DDB"/>
    <w:rsid w:val="005F5262"/>
    <w:rsid w:val="005F597E"/>
    <w:rsid w:val="005F5A1C"/>
    <w:rsid w:val="005F5CCD"/>
    <w:rsid w:val="005F5F2A"/>
    <w:rsid w:val="005F6746"/>
    <w:rsid w:val="005F6833"/>
    <w:rsid w:val="005F6A78"/>
    <w:rsid w:val="005F6BF5"/>
    <w:rsid w:val="005F6DB5"/>
    <w:rsid w:val="005F715C"/>
    <w:rsid w:val="005F7328"/>
    <w:rsid w:val="005F73CF"/>
    <w:rsid w:val="00600673"/>
    <w:rsid w:val="00600A95"/>
    <w:rsid w:val="00600A9B"/>
    <w:rsid w:val="0060106E"/>
    <w:rsid w:val="006013D8"/>
    <w:rsid w:val="00601C42"/>
    <w:rsid w:val="00601E13"/>
    <w:rsid w:val="00602350"/>
    <w:rsid w:val="0060278E"/>
    <w:rsid w:val="00602D39"/>
    <w:rsid w:val="00602D74"/>
    <w:rsid w:val="00603544"/>
    <w:rsid w:val="006035C0"/>
    <w:rsid w:val="00603B34"/>
    <w:rsid w:val="0060440F"/>
    <w:rsid w:val="00604751"/>
    <w:rsid w:val="0060484A"/>
    <w:rsid w:val="00604B03"/>
    <w:rsid w:val="00606576"/>
    <w:rsid w:val="00606785"/>
    <w:rsid w:val="0060697A"/>
    <w:rsid w:val="00606B8D"/>
    <w:rsid w:val="00606DE2"/>
    <w:rsid w:val="00606F04"/>
    <w:rsid w:val="00606F37"/>
    <w:rsid w:val="0060709E"/>
    <w:rsid w:val="00607EA8"/>
    <w:rsid w:val="00610286"/>
    <w:rsid w:val="00610418"/>
    <w:rsid w:val="00610A4C"/>
    <w:rsid w:val="006115CA"/>
    <w:rsid w:val="00612886"/>
    <w:rsid w:val="006128B8"/>
    <w:rsid w:val="0061355D"/>
    <w:rsid w:val="006137AD"/>
    <w:rsid w:val="00613862"/>
    <w:rsid w:val="00613A09"/>
    <w:rsid w:val="00614ED5"/>
    <w:rsid w:val="00615108"/>
    <w:rsid w:val="00615246"/>
    <w:rsid w:val="0061535B"/>
    <w:rsid w:val="00616517"/>
    <w:rsid w:val="0061682B"/>
    <w:rsid w:val="006175A5"/>
    <w:rsid w:val="006177DD"/>
    <w:rsid w:val="00617965"/>
    <w:rsid w:val="006179D2"/>
    <w:rsid w:val="00617B74"/>
    <w:rsid w:val="00617F30"/>
    <w:rsid w:val="006200B1"/>
    <w:rsid w:val="00620207"/>
    <w:rsid w:val="00620469"/>
    <w:rsid w:val="00620516"/>
    <w:rsid w:val="0062073E"/>
    <w:rsid w:val="006208D7"/>
    <w:rsid w:val="00621172"/>
    <w:rsid w:val="00621441"/>
    <w:rsid w:val="00621BAE"/>
    <w:rsid w:val="00621EE4"/>
    <w:rsid w:val="00622036"/>
    <w:rsid w:val="006223AD"/>
    <w:rsid w:val="00622502"/>
    <w:rsid w:val="006227BC"/>
    <w:rsid w:val="00622B76"/>
    <w:rsid w:val="00622CE9"/>
    <w:rsid w:val="006231B3"/>
    <w:rsid w:val="006231BC"/>
    <w:rsid w:val="00624666"/>
    <w:rsid w:val="00624E0A"/>
    <w:rsid w:val="00625BF5"/>
    <w:rsid w:val="00625F64"/>
    <w:rsid w:val="00626071"/>
    <w:rsid w:val="006262A2"/>
    <w:rsid w:val="00626607"/>
    <w:rsid w:val="00626B21"/>
    <w:rsid w:val="006274E2"/>
    <w:rsid w:val="006275A7"/>
    <w:rsid w:val="00627720"/>
    <w:rsid w:val="00627739"/>
    <w:rsid w:val="00627BE6"/>
    <w:rsid w:val="00630429"/>
    <w:rsid w:val="00630973"/>
    <w:rsid w:val="00630A1D"/>
    <w:rsid w:val="00630ABF"/>
    <w:rsid w:val="00630F6B"/>
    <w:rsid w:val="00631468"/>
    <w:rsid w:val="006315FD"/>
    <w:rsid w:val="00631EE7"/>
    <w:rsid w:val="00632073"/>
    <w:rsid w:val="0063257F"/>
    <w:rsid w:val="00632949"/>
    <w:rsid w:val="006331D5"/>
    <w:rsid w:val="00633437"/>
    <w:rsid w:val="00633729"/>
    <w:rsid w:val="00633D63"/>
    <w:rsid w:val="00633E79"/>
    <w:rsid w:val="006342B8"/>
    <w:rsid w:val="00634D70"/>
    <w:rsid w:val="00635107"/>
    <w:rsid w:val="00635115"/>
    <w:rsid w:val="00635317"/>
    <w:rsid w:val="00635821"/>
    <w:rsid w:val="00635AEF"/>
    <w:rsid w:val="00635E62"/>
    <w:rsid w:val="006360EE"/>
    <w:rsid w:val="00636242"/>
    <w:rsid w:val="00636530"/>
    <w:rsid w:val="006374A4"/>
    <w:rsid w:val="00637763"/>
    <w:rsid w:val="00637B74"/>
    <w:rsid w:val="00637BFD"/>
    <w:rsid w:val="00637C56"/>
    <w:rsid w:val="00637F00"/>
    <w:rsid w:val="00637FE5"/>
    <w:rsid w:val="00640221"/>
    <w:rsid w:val="00640B73"/>
    <w:rsid w:val="006410E7"/>
    <w:rsid w:val="00641AC2"/>
    <w:rsid w:val="00642BB5"/>
    <w:rsid w:val="00642EE6"/>
    <w:rsid w:val="0064322E"/>
    <w:rsid w:val="00643B70"/>
    <w:rsid w:val="006443DB"/>
    <w:rsid w:val="006444EE"/>
    <w:rsid w:val="0064512E"/>
    <w:rsid w:val="0064546A"/>
    <w:rsid w:val="006457E9"/>
    <w:rsid w:val="00645D6D"/>
    <w:rsid w:val="00645FB8"/>
    <w:rsid w:val="0064614C"/>
    <w:rsid w:val="006472D7"/>
    <w:rsid w:val="0064731F"/>
    <w:rsid w:val="0064768F"/>
    <w:rsid w:val="00650227"/>
    <w:rsid w:val="00650264"/>
    <w:rsid w:val="006502DA"/>
    <w:rsid w:val="0065061C"/>
    <w:rsid w:val="006507DD"/>
    <w:rsid w:val="00650915"/>
    <w:rsid w:val="00650E4E"/>
    <w:rsid w:val="006515D5"/>
    <w:rsid w:val="00651C97"/>
    <w:rsid w:val="00651CDE"/>
    <w:rsid w:val="00651FA5"/>
    <w:rsid w:val="00652750"/>
    <w:rsid w:val="0065297D"/>
    <w:rsid w:val="00652CDD"/>
    <w:rsid w:val="00652F2F"/>
    <w:rsid w:val="00652F30"/>
    <w:rsid w:val="00653307"/>
    <w:rsid w:val="00653E3F"/>
    <w:rsid w:val="00654648"/>
    <w:rsid w:val="006548E8"/>
    <w:rsid w:val="00654CA6"/>
    <w:rsid w:val="00654CF6"/>
    <w:rsid w:val="00654D04"/>
    <w:rsid w:val="00655670"/>
    <w:rsid w:val="00655AFA"/>
    <w:rsid w:val="00656229"/>
    <w:rsid w:val="0065677E"/>
    <w:rsid w:val="006567CB"/>
    <w:rsid w:val="00656BDE"/>
    <w:rsid w:val="00656CD1"/>
    <w:rsid w:val="0065709B"/>
    <w:rsid w:val="0065784B"/>
    <w:rsid w:val="00657860"/>
    <w:rsid w:val="0066019E"/>
    <w:rsid w:val="00660396"/>
    <w:rsid w:val="006605FF"/>
    <w:rsid w:val="00660903"/>
    <w:rsid w:val="0066107C"/>
    <w:rsid w:val="0066194D"/>
    <w:rsid w:val="00661D76"/>
    <w:rsid w:val="0066212D"/>
    <w:rsid w:val="00662922"/>
    <w:rsid w:val="00662974"/>
    <w:rsid w:val="00662F6C"/>
    <w:rsid w:val="00663258"/>
    <w:rsid w:val="0066394D"/>
    <w:rsid w:val="00663DFF"/>
    <w:rsid w:val="00663EE2"/>
    <w:rsid w:val="00664475"/>
    <w:rsid w:val="006645E2"/>
    <w:rsid w:val="0066531D"/>
    <w:rsid w:val="006658FD"/>
    <w:rsid w:val="00665F44"/>
    <w:rsid w:val="00666404"/>
    <w:rsid w:val="00666790"/>
    <w:rsid w:val="00667596"/>
    <w:rsid w:val="00667BDC"/>
    <w:rsid w:val="00667FDB"/>
    <w:rsid w:val="00670083"/>
    <w:rsid w:val="00670504"/>
    <w:rsid w:val="00670B17"/>
    <w:rsid w:val="00670DFC"/>
    <w:rsid w:val="0067162A"/>
    <w:rsid w:val="0067168B"/>
    <w:rsid w:val="00671952"/>
    <w:rsid w:val="00672C3E"/>
    <w:rsid w:val="00673B22"/>
    <w:rsid w:val="00673F6F"/>
    <w:rsid w:val="00674B61"/>
    <w:rsid w:val="006771EC"/>
    <w:rsid w:val="0067744E"/>
    <w:rsid w:val="00677454"/>
    <w:rsid w:val="0067755F"/>
    <w:rsid w:val="0067767C"/>
    <w:rsid w:val="00677BC5"/>
    <w:rsid w:val="00680529"/>
    <w:rsid w:val="006809D4"/>
    <w:rsid w:val="006809D9"/>
    <w:rsid w:val="00680B64"/>
    <w:rsid w:val="0068269B"/>
    <w:rsid w:val="00682782"/>
    <w:rsid w:val="006827CB"/>
    <w:rsid w:val="00682B8C"/>
    <w:rsid w:val="006831DE"/>
    <w:rsid w:val="00683211"/>
    <w:rsid w:val="00683AB4"/>
    <w:rsid w:val="00684764"/>
    <w:rsid w:val="00684822"/>
    <w:rsid w:val="00684AD2"/>
    <w:rsid w:val="00684AEB"/>
    <w:rsid w:val="00684B70"/>
    <w:rsid w:val="00685058"/>
    <w:rsid w:val="006853D0"/>
    <w:rsid w:val="00685CC4"/>
    <w:rsid w:val="00686116"/>
    <w:rsid w:val="00686BB6"/>
    <w:rsid w:val="00686F73"/>
    <w:rsid w:val="006875C0"/>
    <w:rsid w:val="006876BC"/>
    <w:rsid w:val="00687713"/>
    <w:rsid w:val="00687A23"/>
    <w:rsid w:val="00690030"/>
    <w:rsid w:val="006901C7"/>
    <w:rsid w:val="00690861"/>
    <w:rsid w:val="006908FA"/>
    <w:rsid w:val="006913D8"/>
    <w:rsid w:val="00691461"/>
    <w:rsid w:val="006916B5"/>
    <w:rsid w:val="00691F8E"/>
    <w:rsid w:val="006921D3"/>
    <w:rsid w:val="00692447"/>
    <w:rsid w:val="00692BC8"/>
    <w:rsid w:val="00692D7D"/>
    <w:rsid w:val="00692DDE"/>
    <w:rsid w:val="00693247"/>
    <w:rsid w:val="0069433B"/>
    <w:rsid w:val="00694E7C"/>
    <w:rsid w:val="00694F80"/>
    <w:rsid w:val="00695470"/>
    <w:rsid w:val="006954E7"/>
    <w:rsid w:val="00695925"/>
    <w:rsid w:val="00695977"/>
    <w:rsid w:val="00695AE4"/>
    <w:rsid w:val="00697FF4"/>
    <w:rsid w:val="006A1407"/>
    <w:rsid w:val="006A15BD"/>
    <w:rsid w:val="006A1F7C"/>
    <w:rsid w:val="006A2697"/>
    <w:rsid w:val="006A2F6A"/>
    <w:rsid w:val="006A30DC"/>
    <w:rsid w:val="006A3676"/>
    <w:rsid w:val="006A3D38"/>
    <w:rsid w:val="006A3E87"/>
    <w:rsid w:val="006A4765"/>
    <w:rsid w:val="006A53AC"/>
    <w:rsid w:val="006A54E5"/>
    <w:rsid w:val="006A550A"/>
    <w:rsid w:val="006A594A"/>
    <w:rsid w:val="006A5A79"/>
    <w:rsid w:val="006A5E0A"/>
    <w:rsid w:val="006A67B9"/>
    <w:rsid w:val="006A6C91"/>
    <w:rsid w:val="006A7ADD"/>
    <w:rsid w:val="006B0500"/>
    <w:rsid w:val="006B0579"/>
    <w:rsid w:val="006B0F12"/>
    <w:rsid w:val="006B157B"/>
    <w:rsid w:val="006B1EC4"/>
    <w:rsid w:val="006B1F5B"/>
    <w:rsid w:val="006B2E38"/>
    <w:rsid w:val="006B2EE8"/>
    <w:rsid w:val="006B32C9"/>
    <w:rsid w:val="006B3B0E"/>
    <w:rsid w:val="006B3E95"/>
    <w:rsid w:val="006B3EF5"/>
    <w:rsid w:val="006B48A0"/>
    <w:rsid w:val="006B5658"/>
    <w:rsid w:val="006B60F3"/>
    <w:rsid w:val="006B656F"/>
    <w:rsid w:val="006B68FA"/>
    <w:rsid w:val="006B696A"/>
    <w:rsid w:val="006B7773"/>
    <w:rsid w:val="006B7C3D"/>
    <w:rsid w:val="006B7DAC"/>
    <w:rsid w:val="006C016E"/>
    <w:rsid w:val="006C0FF9"/>
    <w:rsid w:val="006C1022"/>
    <w:rsid w:val="006C1323"/>
    <w:rsid w:val="006C268E"/>
    <w:rsid w:val="006C2D8B"/>
    <w:rsid w:val="006C41E3"/>
    <w:rsid w:val="006C468D"/>
    <w:rsid w:val="006C4CB8"/>
    <w:rsid w:val="006C5D31"/>
    <w:rsid w:val="006C6620"/>
    <w:rsid w:val="006C679B"/>
    <w:rsid w:val="006C68B6"/>
    <w:rsid w:val="006C6ADA"/>
    <w:rsid w:val="006C6D82"/>
    <w:rsid w:val="006C779E"/>
    <w:rsid w:val="006C786E"/>
    <w:rsid w:val="006C79F9"/>
    <w:rsid w:val="006C7AF9"/>
    <w:rsid w:val="006C7E02"/>
    <w:rsid w:val="006C7EE8"/>
    <w:rsid w:val="006D06B3"/>
    <w:rsid w:val="006D08C2"/>
    <w:rsid w:val="006D0D06"/>
    <w:rsid w:val="006D1002"/>
    <w:rsid w:val="006D1BF2"/>
    <w:rsid w:val="006D2C1C"/>
    <w:rsid w:val="006D2D0D"/>
    <w:rsid w:val="006D3861"/>
    <w:rsid w:val="006D3A2A"/>
    <w:rsid w:val="006D3E5E"/>
    <w:rsid w:val="006D43AF"/>
    <w:rsid w:val="006D4C96"/>
    <w:rsid w:val="006D54B4"/>
    <w:rsid w:val="006D54E9"/>
    <w:rsid w:val="006D57B1"/>
    <w:rsid w:val="006D5A4A"/>
    <w:rsid w:val="006D5A9A"/>
    <w:rsid w:val="006D626F"/>
    <w:rsid w:val="006D6D35"/>
    <w:rsid w:val="006D7613"/>
    <w:rsid w:val="006D7D57"/>
    <w:rsid w:val="006E05E9"/>
    <w:rsid w:val="006E13D5"/>
    <w:rsid w:val="006E2136"/>
    <w:rsid w:val="006E256B"/>
    <w:rsid w:val="006E2C58"/>
    <w:rsid w:val="006E31E7"/>
    <w:rsid w:val="006E32F7"/>
    <w:rsid w:val="006E370E"/>
    <w:rsid w:val="006E3D10"/>
    <w:rsid w:val="006E481B"/>
    <w:rsid w:val="006E48CB"/>
    <w:rsid w:val="006E4E2E"/>
    <w:rsid w:val="006E4EE8"/>
    <w:rsid w:val="006E5806"/>
    <w:rsid w:val="006E5E5A"/>
    <w:rsid w:val="006E5F4B"/>
    <w:rsid w:val="006E7760"/>
    <w:rsid w:val="006E77C2"/>
    <w:rsid w:val="006E7C32"/>
    <w:rsid w:val="006F0096"/>
    <w:rsid w:val="006F0982"/>
    <w:rsid w:val="006F0C7A"/>
    <w:rsid w:val="006F0FAC"/>
    <w:rsid w:val="006F12FE"/>
    <w:rsid w:val="006F1611"/>
    <w:rsid w:val="006F19F5"/>
    <w:rsid w:val="006F26E2"/>
    <w:rsid w:val="006F28B6"/>
    <w:rsid w:val="006F2D3E"/>
    <w:rsid w:val="006F3033"/>
    <w:rsid w:val="006F32F4"/>
    <w:rsid w:val="006F3380"/>
    <w:rsid w:val="006F40A5"/>
    <w:rsid w:val="006F4779"/>
    <w:rsid w:val="006F48CF"/>
    <w:rsid w:val="006F4971"/>
    <w:rsid w:val="006F4C2D"/>
    <w:rsid w:val="006F4F2B"/>
    <w:rsid w:val="006F4F69"/>
    <w:rsid w:val="006F5072"/>
    <w:rsid w:val="006F60D2"/>
    <w:rsid w:val="006F7094"/>
    <w:rsid w:val="00700724"/>
    <w:rsid w:val="00700A39"/>
    <w:rsid w:val="00700D21"/>
    <w:rsid w:val="00700E63"/>
    <w:rsid w:val="00701CF5"/>
    <w:rsid w:val="00702345"/>
    <w:rsid w:val="00702834"/>
    <w:rsid w:val="00702FCC"/>
    <w:rsid w:val="00703880"/>
    <w:rsid w:val="00703ECB"/>
    <w:rsid w:val="007040C4"/>
    <w:rsid w:val="00704899"/>
    <w:rsid w:val="00705463"/>
    <w:rsid w:val="00705D51"/>
    <w:rsid w:val="0070617B"/>
    <w:rsid w:val="00706946"/>
    <w:rsid w:val="007072DD"/>
    <w:rsid w:val="00710094"/>
    <w:rsid w:val="0071033D"/>
    <w:rsid w:val="007103D2"/>
    <w:rsid w:val="007104F6"/>
    <w:rsid w:val="00710508"/>
    <w:rsid w:val="007107F9"/>
    <w:rsid w:val="00710F45"/>
    <w:rsid w:val="00711589"/>
    <w:rsid w:val="00711812"/>
    <w:rsid w:val="007119D1"/>
    <w:rsid w:val="00711D4C"/>
    <w:rsid w:val="00711FBF"/>
    <w:rsid w:val="007120D3"/>
    <w:rsid w:val="007121CC"/>
    <w:rsid w:val="007125C6"/>
    <w:rsid w:val="007131B1"/>
    <w:rsid w:val="00713D8B"/>
    <w:rsid w:val="00713FA3"/>
    <w:rsid w:val="00714289"/>
    <w:rsid w:val="00714313"/>
    <w:rsid w:val="00714E23"/>
    <w:rsid w:val="00715659"/>
    <w:rsid w:val="0071578A"/>
    <w:rsid w:val="00715B33"/>
    <w:rsid w:val="00715B92"/>
    <w:rsid w:val="0071632F"/>
    <w:rsid w:val="00716340"/>
    <w:rsid w:val="00716902"/>
    <w:rsid w:val="00716A59"/>
    <w:rsid w:val="00720295"/>
    <w:rsid w:val="00720340"/>
    <w:rsid w:val="00720554"/>
    <w:rsid w:val="00720916"/>
    <w:rsid w:val="00721547"/>
    <w:rsid w:val="00721B75"/>
    <w:rsid w:val="00721B8F"/>
    <w:rsid w:val="00721C1A"/>
    <w:rsid w:val="00722386"/>
    <w:rsid w:val="0072393A"/>
    <w:rsid w:val="007244A7"/>
    <w:rsid w:val="00725840"/>
    <w:rsid w:val="00725E59"/>
    <w:rsid w:val="00725E68"/>
    <w:rsid w:val="00725F18"/>
    <w:rsid w:val="00726EE0"/>
    <w:rsid w:val="00730A04"/>
    <w:rsid w:val="00730C2C"/>
    <w:rsid w:val="0073163C"/>
    <w:rsid w:val="007318A6"/>
    <w:rsid w:val="00731AB9"/>
    <w:rsid w:val="00731F87"/>
    <w:rsid w:val="00732BB1"/>
    <w:rsid w:val="0073301A"/>
    <w:rsid w:val="00733155"/>
    <w:rsid w:val="0073435B"/>
    <w:rsid w:val="00734796"/>
    <w:rsid w:val="007347A8"/>
    <w:rsid w:val="00734879"/>
    <w:rsid w:val="00734954"/>
    <w:rsid w:val="007350A9"/>
    <w:rsid w:val="0073548A"/>
    <w:rsid w:val="0073549E"/>
    <w:rsid w:val="0073549F"/>
    <w:rsid w:val="00735588"/>
    <w:rsid w:val="0073595D"/>
    <w:rsid w:val="00735E4B"/>
    <w:rsid w:val="00735EC7"/>
    <w:rsid w:val="007362AE"/>
    <w:rsid w:val="00736A72"/>
    <w:rsid w:val="007379D4"/>
    <w:rsid w:val="007402D8"/>
    <w:rsid w:val="00740D35"/>
    <w:rsid w:val="00741EB6"/>
    <w:rsid w:val="00742736"/>
    <w:rsid w:val="007427D5"/>
    <w:rsid w:val="00742C6C"/>
    <w:rsid w:val="00743369"/>
    <w:rsid w:val="00743381"/>
    <w:rsid w:val="00743D77"/>
    <w:rsid w:val="00744265"/>
    <w:rsid w:val="007453A4"/>
    <w:rsid w:val="007457E3"/>
    <w:rsid w:val="00745EC9"/>
    <w:rsid w:val="00745ED2"/>
    <w:rsid w:val="00746B93"/>
    <w:rsid w:val="007472F5"/>
    <w:rsid w:val="007475A6"/>
    <w:rsid w:val="00750529"/>
    <w:rsid w:val="00750B37"/>
    <w:rsid w:val="0075134D"/>
    <w:rsid w:val="00751379"/>
    <w:rsid w:val="007518D5"/>
    <w:rsid w:val="00751E0E"/>
    <w:rsid w:val="00752312"/>
    <w:rsid w:val="00752AA0"/>
    <w:rsid w:val="0075334C"/>
    <w:rsid w:val="0075365A"/>
    <w:rsid w:val="00753960"/>
    <w:rsid w:val="00753C33"/>
    <w:rsid w:val="007541E9"/>
    <w:rsid w:val="0075433A"/>
    <w:rsid w:val="00754417"/>
    <w:rsid w:val="00754C62"/>
    <w:rsid w:val="00754F45"/>
    <w:rsid w:val="007551D4"/>
    <w:rsid w:val="0075538F"/>
    <w:rsid w:val="0075578E"/>
    <w:rsid w:val="007569D2"/>
    <w:rsid w:val="00756B49"/>
    <w:rsid w:val="00756BE0"/>
    <w:rsid w:val="007579AB"/>
    <w:rsid w:val="00757A67"/>
    <w:rsid w:val="00757DFC"/>
    <w:rsid w:val="00760102"/>
    <w:rsid w:val="007608ED"/>
    <w:rsid w:val="00760C1E"/>
    <w:rsid w:val="007610CE"/>
    <w:rsid w:val="0076141C"/>
    <w:rsid w:val="00761774"/>
    <w:rsid w:val="007625A9"/>
    <w:rsid w:val="00762637"/>
    <w:rsid w:val="0076269E"/>
    <w:rsid w:val="00762740"/>
    <w:rsid w:val="007628EC"/>
    <w:rsid w:val="00762AB1"/>
    <w:rsid w:val="00762AE9"/>
    <w:rsid w:val="00762B4B"/>
    <w:rsid w:val="00762D9D"/>
    <w:rsid w:val="007631C2"/>
    <w:rsid w:val="007634B1"/>
    <w:rsid w:val="00763B38"/>
    <w:rsid w:val="00763EA5"/>
    <w:rsid w:val="00763EAB"/>
    <w:rsid w:val="00764148"/>
    <w:rsid w:val="007642ED"/>
    <w:rsid w:val="00764C0C"/>
    <w:rsid w:val="0076542F"/>
    <w:rsid w:val="007661D1"/>
    <w:rsid w:val="00766228"/>
    <w:rsid w:val="00766537"/>
    <w:rsid w:val="007665C2"/>
    <w:rsid w:val="007671B1"/>
    <w:rsid w:val="0076757A"/>
    <w:rsid w:val="00770F26"/>
    <w:rsid w:val="00771026"/>
    <w:rsid w:val="0077132A"/>
    <w:rsid w:val="007716E2"/>
    <w:rsid w:val="00771863"/>
    <w:rsid w:val="00771BE7"/>
    <w:rsid w:val="00772142"/>
    <w:rsid w:val="007726DD"/>
    <w:rsid w:val="00772F9D"/>
    <w:rsid w:val="00773023"/>
    <w:rsid w:val="00773104"/>
    <w:rsid w:val="00773C8E"/>
    <w:rsid w:val="007744CE"/>
    <w:rsid w:val="007744D5"/>
    <w:rsid w:val="0077518C"/>
    <w:rsid w:val="0077573E"/>
    <w:rsid w:val="00775B96"/>
    <w:rsid w:val="00775E13"/>
    <w:rsid w:val="00775F0C"/>
    <w:rsid w:val="00776777"/>
    <w:rsid w:val="007772A9"/>
    <w:rsid w:val="0077769E"/>
    <w:rsid w:val="00777F48"/>
    <w:rsid w:val="007801C8"/>
    <w:rsid w:val="0078035D"/>
    <w:rsid w:val="00781195"/>
    <w:rsid w:val="0078174A"/>
    <w:rsid w:val="00781771"/>
    <w:rsid w:val="00781A47"/>
    <w:rsid w:val="00781D9A"/>
    <w:rsid w:val="0078231C"/>
    <w:rsid w:val="00783076"/>
    <w:rsid w:val="00783243"/>
    <w:rsid w:val="00783598"/>
    <w:rsid w:val="007835A3"/>
    <w:rsid w:val="007837B6"/>
    <w:rsid w:val="007837D3"/>
    <w:rsid w:val="007841E1"/>
    <w:rsid w:val="00784E53"/>
    <w:rsid w:val="00784FE8"/>
    <w:rsid w:val="0078533E"/>
    <w:rsid w:val="00785595"/>
    <w:rsid w:val="0078569B"/>
    <w:rsid w:val="00786DEE"/>
    <w:rsid w:val="00786E5C"/>
    <w:rsid w:val="00787D14"/>
    <w:rsid w:val="00790384"/>
    <w:rsid w:val="007904C1"/>
    <w:rsid w:val="0079140D"/>
    <w:rsid w:val="00791956"/>
    <w:rsid w:val="00791F86"/>
    <w:rsid w:val="007922EE"/>
    <w:rsid w:val="0079270C"/>
    <w:rsid w:val="0079291E"/>
    <w:rsid w:val="00792DE8"/>
    <w:rsid w:val="00793532"/>
    <w:rsid w:val="00793988"/>
    <w:rsid w:val="0079399D"/>
    <w:rsid w:val="007948F3"/>
    <w:rsid w:val="00795229"/>
    <w:rsid w:val="00795A2A"/>
    <w:rsid w:val="00795C65"/>
    <w:rsid w:val="00795F61"/>
    <w:rsid w:val="007961CE"/>
    <w:rsid w:val="0079631F"/>
    <w:rsid w:val="007A01AE"/>
    <w:rsid w:val="007A0F9C"/>
    <w:rsid w:val="007A0FB1"/>
    <w:rsid w:val="007A1F19"/>
    <w:rsid w:val="007A2113"/>
    <w:rsid w:val="007A21CD"/>
    <w:rsid w:val="007A262F"/>
    <w:rsid w:val="007A295B"/>
    <w:rsid w:val="007A35F9"/>
    <w:rsid w:val="007A4466"/>
    <w:rsid w:val="007A45B0"/>
    <w:rsid w:val="007A5592"/>
    <w:rsid w:val="007A5ADA"/>
    <w:rsid w:val="007A5B57"/>
    <w:rsid w:val="007A5C20"/>
    <w:rsid w:val="007A5CBD"/>
    <w:rsid w:val="007A63C1"/>
    <w:rsid w:val="007A7402"/>
    <w:rsid w:val="007A747F"/>
    <w:rsid w:val="007A7D42"/>
    <w:rsid w:val="007B03A9"/>
    <w:rsid w:val="007B0DBC"/>
    <w:rsid w:val="007B1346"/>
    <w:rsid w:val="007B1672"/>
    <w:rsid w:val="007B1734"/>
    <w:rsid w:val="007B2B87"/>
    <w:rsid w:val="007B2DD7"/>
    <w:rsid w:val="007B3218"/>
    <w:rsid w:val="007B3B40"/>
    <w:rsid w:val="007B40F6"/>
    <w:rsid w:val="007B4A5E"/>
    <w:rsid w:val="007B540C"/>
    <w:rsid w:val="007B57BB"/>
    <w:rsid w:val="007B5D58"/>
    <w:rsid w:val="007B5FB1"/>
    <w:rsid w:val="007B661F"/>
    <w:rsid w:val="007B6783"/>
    <w:rsid w:val="007B6BD8"/>
    <w:rsid w:val="007B7142"/>
    <w:rsid w:val="007B73BC"/>
    <w:rsid w:val="007B77D6"/>
    <w:rsid w:val="007B7C6D"/>
    <w:rsid w:val="007B7E81"/>
    <w:rsid w:val="007C0095"/>
    <w:rsid w:val="007C00D8"/>
    <w:rsid w:val="007C09B6"/>
    <w:rsid w:val="007C0B1E"/>
    <w:rsid w:val="007C0B9B"/>
    <w:rsid w:val="007C0C2B"/>
    <w:rsid w:val="007C0D44"/>
    <w:rsid w:val="007C12C1"/>
    <w:rsid w:val="007C201B"/>
    <w:rsid w:val="007C2090"/>
    <w:rsid w:val="007C255F"/>
    <w:rsid w:val="007C2B55"/>
    <w:rsid w:val="007C340A"/>
    <w:rsid w:val="007C3410"/>
    <w:rsid w:val="007C3445"/>
    <w:rsid w:val="007C4C0D"/>
    <w:rsid w:val="007C4CB5"/>
    <w:rsid w:val="007C4DF0"/>
    <w:rsid w:val="007C5C6A"/>
    <w:rsid w:val="007C6122"/>
    <w:rsid w:val="007C68B9"/>
    <w:rsid w:val="007C690F"/>
    <w:rsid w:val="007C718B"/>
    <w:rsid w:val="007C77CB"/>
    <w:rsid w:val="007C7A0C"/>
    <w:rsid w:val="007C7A88"/>
    <w:rsid w:val="007C7ABD"/>
    <w:rsid w:val="007D0014"/>
    <w:rsid w:val="007D0CA9"/>
    <w:rsid w:val="007D0FBC"/>
    <w:rsid w:val="007D2C82"/>
    <w:rsid w:val="007D2CF1"/>
    <w:rsid w:val="007D36DA"/>
    <w:rsid w:val="007D445C"/>
    <w:rsid w:val="007D5198"/>
    <w:rsid w:val="007D54F4"/>
    <w:rsid w:val="007D5720"/>
    <w:rsid w:val="007D5BBC"/>
    <w:rsid w:val="007D5D00"/>
    <w:rsid w:val="007D5D85"/>
    <w:rsid w:val="007D5D8A"/>
    <w:rsid w:val="007D65D4"/>
    <w:rsid w:val="007D6814"/>
    <w:rsid w:val="007D6BDF"/>
    <w:rsid w:val="007D6C5C"/>
    <w:rsid w:val="007D711A"/>
    <w:rsid w:val="007D712B"/>
    <w:rsid w:val="007D7824"/>
    <w:rsid w:val="007D7C25"/>
    <w:rsid w:val="007D7C2C"/>
    <w:rsid w:val="007E0062"/>
    <w:rsid w:val="007E01C5"/>
    <w:rsid w:val="007E0906"/>
    <w:rsid w:val="007E0B35"/>
    <w:rsid w:val="007E0F9D"/>
    <w:rsid w:val="007E1690"/>
    <w:rsid w:val="007E1BC6"/>
    <w:rsid w:val="007E1F29"/>
    <w:rsid w:val="007E290D"/>
    <w:rsid w:val="007E3062"/>
    <w:rsid w:val="007E3468"/>
    <w:rsid w:val="007E39CB"/>
    <w:rsid w:val="007E3A20"/>
    <w:rsid w:val="007E4702"/>
    <w:rsid w:val="007E4752"/>
    <w:rsid w:val="007E5101"/>
    <w:rsid w:val="007E54F2"/>
    <w:rsid w:val="007E5A01"/>
    <w:rsid w:val="007E6176"/>
    <w:rsid w:val="007E65A9"/>
    <w:rsid w:val="007E68F0"/>
    <w:rsid w:val="007E6A8D"/>
    <w:rsid w:val="007E6E43"/>
    <w:rsid w:val="007E70C3"/>
    <w:rsid w:val="007E73E9"/>
    <w:rsid w:val="007E7E60"/>
    <w:rsid w:val="007F05F1"/>
    <w:rsid w:val="007F06B6"/>
    <w:rsid w:val="007F0709"/>
    <w:rsid w:val="007F1599"/>
    <w:rsid w:val="007F1845"/>
    <w:rsid w:val="007F1C0D"/>
    <w:rsid w:val="007F1ECC"/>
    <w:rsid w:val="007F243D"/>
    <w:rsid w:val="007F275B"/>
    <w:rsid w:val="007F2881"/>
    <w:rsid w:val="007F2CC5"/>
    <w:rsid w:val="007F2D14"/>
    <w:rsid w:val="007F34A8"/>
    <w:rsid w:val="007F3555"/>
    <w:rsid w:val="007F3AC3"/>
    <w:rsid w:val="007F3CB6"/>
    <w:rsid w:val="007F3FBD"/>
    <w:rsid w:val="007F4018"/>
    <w:rsid w:val="007F447B"/>
    <w:rsid w:val="007F48E3"/>
    <w:rsid w:val="007F4C17"/>
    <w:rsid w:val="007F57ED"/>
    <w:rsid w:val="007F6613"/>
    <w:rsid w:val="007F69F6"/>
    <w:rsid w:val="007F7A47"/>
    <w:rsid w:val="007F7E8A"/>
    <w:rsid w:val="007F7FC9"/>
    <w:rsid w:val="008002EC"/>
    <w:rsid w:val="0080076F"/>
    <w:rsid w:val="008009B1"/>
    <w:rsid w:val="00800A3C"/>
    <w:rsid w:val="00801ECC"/>
    <w:rsid w:val="008020C9"/>
    <w:rsid w:val="00802DC1"/>
    <w:rsid w:val="0080344B"/>
    <w:rsid w:val="00803590"/>
    <w:rsid w:val="00803E68"/>
    <w:rsid w:val="00804332"/>
    <w:rsid w:val="0080504F"/>
    <w:rsid w:val="0080524D"/>
    <w:rsid w:val="008060B8"/>
    <w:rsid w:val="00806979"/>
    <w:rsid w:val="00806A25"/>
    <w:rsid w:val="00806B32"/>
    <w:rsid w:val="008078D6"/>
    <w:rsid w:val="008103DA"/>
    <w:rsid w:val="00810A51"/>
    <w:rsid w:val="00810B9D"/>
    <w:rsid w:val="00810C76"/>
    <w:rsid w:val="00811919"/>
    <w:rsid w:val="0081233C"/>
    <w:rsid w:val="00812CD7"/>
    <w:rsid w:val="0081310B"/>
    <w:rsid w:val="008133A9"/>
    <w:rsid w:val="008139D0"/>
    <w:rsid w:val="00813E50"/>
    <w:rsid w:val="008141A7"/>
    <w:rsid w:val="008143E3"/>
    <w:rsid w:val="00814454"/>
    <w:rsid w:val="0081458D"/>
    <w:rsid w:val="008146F1"/>
    <w:rsid w:val="0081520C"/>
    <w:rsid w:val="00815660"/>
    <w:rsid w:val="00815B36"/>
    <w:rsid w:val="008160D7"/>
    <w:rsid w:val="00816220"/>
    <w:rsid w:val="008165CF"/>
    <w:rsid w:val="00817268"/>
    <w:rsid w:val="00817436"/>
    <w:rsid w:val="00820023"/>
    <w:rsid w:val="00820BA5"/>
    <w:rsid w:val="00820BA9"/>
    <w:rsid w:val="00820F65"/>
    <w:rsid w:val="00821AAB"/>
    <w:rsid w:val="00821DDC"/>
    <w:rsid w:val="00822496"/>
    <w:rsid w:val="00822DBD"/>
    <w:rsid w:val="00823722"/>
    <w:rsid w:val="00823900"/>
    <w:rsid w:val="008242C6"/>
    <w:rsid w:val="0082432C"/>
    <w:rsid w:val="00824396"/>
    <w:rsid w:val="00825993"/>
    <w:rsid w:val="00825F9A"/>
    <w:rsid w:val="00826299"/>
    <w:rsid w:val="008265EE"/>
    <w:rsid w:val="008268B8"/>
    <w:rsid w:val="00827316"/>
    <w:rsid w:val="00827A25"/>
    <w:rsid w:val="00827E9C"/>
    <w:rsid w:val="00830061"/>
    <w:rsid w:val="00830E3B"/>
    <w:rsid w:val="0083110B"/>
    <w:rsid w:val="0083110D"/>
    <w:rsid w:val="008314BF"/>
    <w:rsid w:val="00831976"/>
    <w:rsid w:val="00831C8C"/>
    <w:rsid w:val="00831E2D"/>
    <w:rsid w:val="00831EE9"/>
    <w:rsid w:val="00832555"/>
    <w:rsid w:val="008325B9"/>
    <w:rsid w:val="00832F77"/>
    <w:rsid w:val="008334F2"/>
    <w:rsid w:val="0083440D"/>
    <w:rsid w:val="008348A0"/>
    <w:rsid w:val="00834A8F"/>
    <w:rsid w:val="00834ABB"/>
    <w:rsid w:val="00834C07"/>
    <w:rsid w:val="00834FA7"/>
    <w:rsid w:val="008372D4"/>
    <w:rsid w:val="0083753E"/>
    <w:rsid w:val="00837771"/>
    <w:rsid w:val="00837C5A"/>
    <w:rsid w:val="008402A0"/>
    <w:rsid w:val="008403B9"/>
    <w:rsid w:val="008404AB"/>
    <w:rsid w:val="00840744"/>
    <w:rsid w:val="00841492"/>
    <w:rsid w:val="008414EF"/>
    <w:rsid w:val="008424A7"/>
    <w:rsid w:val="00842567"/>
    <w:rsid w:val="00842C0B"/>
    <w:rsid w:val="00842EAD"/>
    <w:rsid w:val="008432C4"/>
    <w:rsid w:val="008433B4"/>
    <w:rsid w:val="0084359F"/>
    <w:rsid w:val="008438ED"/>
    <w:rsid w:val="0084405B"/>
    <w:rsid w:val="0084469D"/>
    <w:rsid w:val="0084552B"/>
    <w:rsid w:val="00846286"/>
    <w:rsid w:val="0084645F"/>
    <w:rsid w:val="00846712"/>
    <w:rsid w:val="008467D0"/>
    <w:rsid w:val="008468B5"/>
    <w:rsid w:val="00846DD0"/>
    <w:rsid w:val="0084767B"/>
    <w:rsid w:val="00847727"/>
    <w:rsid w:val="008479CA"/>
    <w:rsid w:val="00847D60"/>
    <w:rsid w:val="00850324"/>
    <w:rsid w:val="00850AAC"/>
    <w:rsid w:val="00850C69"/>
    <w:rsid w:val="00850F40"/>
    <w:rsid w:val="00851437"/>
    <w:rsid w:val="00851ABE"/>
    <w:rsid w:val="008522B7"/>
    <w:rsid w:val="008523B2"/>
    <w:rsid w:val="00852641"/>
    <w:rsid w:val="00852763"/>
    <w:rsid w:val="00852F41"/>
    <w:rsid w:val="00853EFF"/>
    <w:rsid w:val="00854768"/>
    <w:rsid w:val="0085513D"/>
    <w:rsid w:val="00855499"/>
    <w:rsid w:val="00855784"/>
    <w:rsid w:val="008558C2"/>
    <w:rsid w:val="00855E2C"/>
    <w:rsid w:val="00855EC4"/>
    <w:rsid w:val="00855F6A"/>
    <w:rsid w:val="00856258"/>
    <w:rsid w:val="008563F6"/>
    <w:rsid w:val="0085756A"/>
    <w:rsid w:val="00860463"/>
    <w:rsid w:val="008604D3"/>
    <w:rsid w:val="008607AF"/>
    <w:rsid w:val="00860850"/>
    <w:rsid w:val="00860981"/>
    <w:rsid w:val="00860D22"/>
    <w:rsid w:val="00860FDA"/>
    <w:rsid w:val="00861752"/>
    <w:rsid w:val="00861C95"/>
    <w:rsid w:val="00862339"/>
    <w:rsid w:val="008625D6"/>
    <w:rsid w:val="00862642"/>
    <w:rsid w:val="00862B7D"/>
    <w:rsid w:val="00863B2F"/>
    <w:rsid w:val="008648C8"/>
    <w:rsid w:val="00864AD0"/>
    <w:rsid w:val="00864E24"/>
    <w:rsid w:val="008652DC"/>
    <w:rsid w:val="0086553E"/>
    <w:rsid w:val="0086584A"/>
    <w:rsid w:val="00865B11"/>
    <w:rsid w:val="00865DD7"/>
    <w:rsid w:val="0086607B"/>
    <w:rsid w:val="008662C7"/>
    <w:rsid w:val="0086743E"/>
    <w:rsid w:val="008675FA"/>
    <w:rsid w:val="008704EF"/>
    <w:rsid w:val="00871996"/>
    <w:rsid w:val="00871C66"/>
    <w:rsid w:val="00871D3C"/>
    <w:rsid w:val="00871F83"/>
    <w:rsid w:val="00872914"/>
    <w:rsid w:val="00872C48"/>
    <w:rsid w:val="0087301E"/>
    <w:rsid w:val="00873602"/>
    <w:rsid w:val="00873B34"/>
    <w:rsid w:val="00873BAA"/>
    <w:rsid w:val="00873CDD"/>
    <w:rsid w:val="00873FB0"/>
    <w:rsid w:val="008742CF"/>
    <w:rsid w:val="00874582"/>
    <w:rsid w:val="008749D4"/>
    <w:rsid w:val="00874B4D"/>
    <w:rsid w:val="0087508D"/>
    <w:rsid w:val="0087537E"/>
    <w:rsid w:val="00875B3C"/>
    <w:rsid w:val="00876FD4"/>
    <w:rsid w:val="00877041"/>
    <w:rsid w:val="008772EC"/>
    <w:rsid w:val="00877722"/>
    <w:rsid w:val="008779DA"/>
    <w:rsid w:val="00880A55"/>
    <w:rsid w:val="00880E17"/>
    <w:rsid w:val="0088189C"/>
    <w:rsid w:val="00881EE5"/>
    <w:rsid w:val="008829BE"/>
    <w:rsid w:val="00882F71"/>
    <w:rsid w:val="0088339E"/>
    <w:rsid w:val="00883796"/>
    <w:rsid w:val="00883CA0"/>
    <w:rsid w:val="00884343"/>
    <w:rsid w:val="00884B34"/>
    <w:rsid w:val="00885196"/>
    <w:rsid w:val="00885BF3"/>
    <w:rsid w:val="00886513"/>
    <w:rsid w:val="00887670"/>
    <w:rsid w:val="00887763"/>
    <w:rsid w:val="008877D6"/>
    <w:rsid w:val="00887B8A"/>
    <w:rsid w:val="00887BF1"/>
    <w:rsid w:val="00890892"/>
    <w:rsid w:val="00890EF6"/>
    <w:rsid w:val="00891277"/>
    <w:rsid w:val="0089182C"/>
    <w:rsid w:val="00891B77"/>
    <w:rsid w:val="00892D04"/>
    <w:rsid w:val="00892EF3"/>
    <w:rsid w:val="0089353A"/>
    <w:rsid w:val="0089383D"/>
    <w:rsid w:val="00893E0B"/>
    <w:rsid w:val="00894133"/>
    <w:rsid w:val="00894900"/>
    <w:rsid w:val="00894F46"/>
    <w:rsid w:val="00895BD9"/>
    <w:rsid w:val="008965AA"/>
    <w:rsid w:val="008965F7"/>
    <w:rsid w:val="00897056"/>
    <w:rsid w:val="008973C8"/>
    <w:rsid w:val="0089762F"/>
    <w:rsid w:val="008A0539"/>
    <w:rsid w:val="008A079F"/>
    <w:rsid w:val="008A13ED"/>
    <w:rsid w:val="008A1F8A"/>
    <w:rsid w:val="008A211F"/>
    <w:rsid w:val="008A2571"/>
    <w:rsid w:val="008A2D44"/>
    <w:rsid w:val="008A354B"/>
    <w:rsid w:val="008A3B99"/>
    <w:rsid w:val="008A409E"/>
    <w:rsid w:val="008A443F"/>
    <w:rsid w:val="008A4E19"/>
    <w:rsid w:val="008A5E14"/>
    <w:rsid w:val="008A5FFC"/>
    <w:rsid w:val="008A63E4"/>
    <w:rsid w:val="008A6768"/>
    <w:rsid w:val="008A691F"/>
    <w:rsid w:val="008A6959"/>
    <w:rsid w:val="008A70DD"/>
    <w:rsid w:val="008B0041"/>
    <w:rsid w:val="008B047E"/>
    <w:rsid w:val="008B0AC4"/>
    <w:rsid w:val="008B1431"/>
    <w:rsid w:val="008B1881"/>
    <w:rsid w:val="008B19C0"/>
    <w:rsid w:val="008B19D9"/>
    <w:rsid w:val="008B20BC"/>
    <w:rsid w:val="008B20CD"/>
    <w:rsid w:val="008B2395"/>
    <w:rsid w:val="008B2DFF"/>
    <w:rsid w:val="008B4075"/>
    <w:rsid w:val="008B458F"/>
    <w:rsid w:val="008B4A0B"/>
    <w:rsid w:val="008B4DEB"/>
    <w:rsid w:val="008B52F5"/>
    <w:rsid w:val="008B56B2"/>
    <w:rsid w:val="008B61D5"/>
    <w:rsid w:val="008B62D8"/>
    <w:rsid w:val="008B65D8"/>
    <w:rsid w:val="008B66FC"/>
    <w:rsid w:val="008B67C9"/>
    <w:rsid w:val="008B7476"/>
    <w:rsid w:val="008C099D"/>
    <w:rsid w:val="008C1063"/>
    <w:rsid w:val="008C17F8"/>
    <w:rsid w:val="008C1B74"/>
    <w:rsid w:val="008C1DBE"/>
    <w:rsid w:val="008C2417"/>
    <w:rsid w:val="008C29CE"/>
    <w:rsid w:val="008C2A06"/>
    <w:rsid w:val="008C2B78"/>
    <w:rsid w:val="008C3441"/>
    <w:rsid w:val="008C3812"/>
    <w:rsid w:val="008C43A9"/>
    <w:rsid w:val="008C4504"/>
    <w:rsid w:val="008C503F"/>
    <w:rsid w:val="008C535B"/>
    <w:rsid w:val="008C59B5"/>
    <w:rsid w:val="008C5AC0"/>
    <w:rsid w:val="008C5DD1"/>
    <w:rsid w:val="008C616E"/>
    <w:rsid w:val="008C68EA"/>
    <w:rsid w:val="008C6B71"/>
    <w:rsid w:val="008C7528"/>
    <w:rsid w:val="008C7A00"/>
    <w:rsid w:val="008C7AC8"/>
    <w:rsid w:val="008C7E4A"/>
    <w:rsid w:val="008C7E95"/>
    <w:rsid w:val="008D0462"/>
    <w:rsid w:val="008D077C"/>
    <w:rsid w:val="008D151E"/>
    <w:rsid w:val="008D1C2B"/>
    <w:rsid w:val="008D2400"/>
    <w:rsid w:val="008D2442"/>
    <w:rsid w:val="008D2CAD"/>
    <w:rsid w:val="008D3B3A"/>
    <w:rsid w:val="008D3BB2"/>
    <w:rsid w:val="008D5B97"/>
    <w:rsid w:val="008D5E22"/>
    <w:rsid w:val="008D628F"/>
    <w:rsid w:val="008D636F"/>
    <w:rsid w:val="008D7190"/>
    <w:rsid w:val="008D72F1"/>
    <w:rsid w:val="008D7E7F"/>
    <w:rsid w:val="008E0093"/>
    <w:rsid w:val="008E0CC3"/>
    <w:rsid w:val="008E0E21"/>
    <w:rsid w:val="008E11C2"/>
    <w:rsid w:val="008E1B06"/>
    <w:rsid w:val="008E1C6E"/>
    <w:rsid w:val="008E20A4"/>
    <w:rsid w:val="008E20DD"/>
    <w:rsid w:val="008E23CC"/>
    <w:rsid w:val="008E3512"/>
    <w:rsid w:val="008E39E7"/>
    <w:rsid w:val="008E451F"/>
    <w:rsid w:val="008E4ED4"/>
    <w:rsid w:val="008E51F8"/>
    <w:rsid w:val="008E536A"/>
    <w:rsid w:val="008E56C1"/>
    <w:rsid w:val="008E5EC8"/>
    <w:rsid w:val="008E622D"/>
    <w:rsid w:val="008E6400"/>
    <w:rsid w:val="008E6605"/>
    <w:rsid w:val="008E719C"/>
    <w:rsid w:val="008F08F9"/>
    <w:rsid w:val="008F0B76"/>
    <w:rsid w:val="008F0BB3"/>
    <w:rsid w:val="008F11A1"/>
    <w:rsid w:val="008F24E5"/>
    <w:rsid w:val="008F276F"/>
    <w:rsid w:val="008F288D"/>
    <w:rsid w:val="008F304F"/>
    <w:rsid w:val="008F3AB9"/>
    <w:rsid w:val="008F424D"/>
    <w:rsid w:val="008F4A64"/>
    <w:rsid w:val="008F4EB8"/>
    <w:rsid w:val="008F5A27"/>
    <w:rsid w:val="008F5A83"/>
    <w:rsid w:val="008F5B17"/>
    <w:rsid w:val="008F5C53"/>
    <w:rsid w:val="008F656E"/>
    <w:rsid w:val="008F685E"/>
    <w:rsid w:val="008F6A4A"/>
    <w:rsid w:val="00900160"/>
    <w:rsid w:val="00900204"/>
    <w:rsid w:val="00900331"/>
    <w:rsid w:val="0090079C"/>
    <w:rsid w:val="00900A0F"/>
    <w:rsid w:val="00900AF0"/>
    <w:rsid w:val="00900C25"/>
    <w:rsid w:val="00901021"/>
    <w:rsid w:val="009016FE"/>
    <w:rsid w:val="0090180D"/>
    <w:rsid w:val="00901A8B"/>
    <w:rsid w:val="00901EC5"/>
    <w:rsid w:val="009028F7"/>
    <w:rsid w:val="00903168"/>
    <w:rsid w:val="009032C2"/>
    <w:rsid w:val="00903B95"/>
    <w:rsid w:val="00903C9B"/>
    <w:rsid w:val="00904462"/>
    <w:rsid w:val="00904687"/>
    <w:rsid w:val="00904850"/>
    <w:rsid w:val="009051FB"/>
    <w:rsid w:val="00905618"/>
    <w:rsid w:val="009062A5"/>
    <w:rsid w:val="00906746"/>
    <w:rsid w:val="00906758"/>
    <w:rsid w:val="00906FBE"/>
    <w:rsid w:val="009104E4"/>
    <w:rsid w:val="009112F9"/>
    <w:rsid w:val="009113CE"/>
    <w:rsid w:val="00911FD0"/>
    <w:rsid w:val="00912399"/>
    <w:rsid w:val="009128AB"/>
    <w:rsid w:val="00913438"/>
    <w:rsid w:val="009138A7"/>
    <w:rsid w:val="00914023"/>
    <w:rsid w:val="00914A61"/>
    <w:rsid w:val="00914B5B"/>
    <w:rsid w:val="00914C84"/>
    <w:rsid w:val="0091541D"/>
    <w:rsid w:val="009155D6"/>
    <w:rsid w:val="0091591C"/>
    <w:rsid w:val="00915B98"/>
    <w:rsid w:val="0091608E"/>
    <w:rsid w:val="0091632C"/>
    <w:rsid w:val="009163EF"/>
    <w:rsid w:val="009169FE"/>
    <w:rsid w:val="009171CC"/>
    <w:rsid w:val="009178C3"/>
    <w:rsid w:val="00917B94"/>
    <w:rsid w:val="00917F6F"/>
    <w:rsid w:val="00920482"/>
    <w:rsid w:val="00920735"/>
    <w:rsid w:val="00920823"/>
    <w:rsid w:val="00920859"/>
    <w:rsid w:val="0092092A"/>
    <w:rsid w:val="00920B73"/>
    <w:rsid w:val="00921D13"/>
    <w:rsid w:val="00921DD7"/>
    <w:rsid w:val="00923389"/>
    <w:rsid w:val="00923673"/>
    <w:rsid w:val="00923C96"/>
    <w:rsid w:val="00923E4E"/>
    <w:rsid w:val="00923F0D"/>
    <w:rsid w:val="009247B5"/>
    <w:rsid w:val="009249E9"/>
    <w:rsid w:val="00925D90"/>
    <w:rsid w:val="00925E90"/>
    <w:rsid w:val="00926AC7"/>
    <w:rsid w:val="00926B84"/>
    <w:rsid w:val="009273BA"/>
    <w:rsid w:val="0092762F"/>
    <w:rsid w:val="009303B4"/>
    <w:rsid w:val="00930D46"/>
    <w:rsid w:val="00931811"/>
    <w:rsid w:val="00931F70"/>
    <w:rsid w:val="009338BC"/>
    <w:rsid w:val="009338F5"/>
    <w:rsid w:val="00933D33"/>
    <w:rsid w:val="0093401B"/>
    <w:rsid w:val="00934092"/>
    <w:rsid w:val="009345E1"/>
    <w:rsid w:val="009346DC"/>
    <w:rsid w:val="00934904"/>
    <w:rsid w:val="009354B3"/>
    <w:rsid w:val="009354B8"/>
    <w:rsid w:val="009356EB"/>
    <w:rsid w:val="009357C1"/>
    <w:rsid w:val="0093683B"/>
    <w:rsid w:val="00936C3F"/>
    <w:rsid w:val="009376E5"/>
    <w:rsid w:val="0094099A"/>
    <w:rsid w:val="009412C1"/>
    <w:rsid w:val="00941EB5"/>
    <w:rsid w:val="00942B2B"/>
    <w:rsid w:val="00942DA0"/>
    <w:rsid w:val="00943447"/>
    <w:rsid w:val="00943B8C"/>
    <w:rsid w:val="00944C30"/>
    <w:rsid w:val="00944C4A"/>
    <w:rsid w:val="0094512B"/>
    <w:rsid w:val="00945256"/>
    <w:rsid w:val="00945619"/>
    <w:rsid w:val="00945F83"/>
    <w:rsid w:val="009462B2"/>
    <w:rsid w:val="00946D38"/>
    <w:rsid w:val="00946D71"/>
    <w:rsid w:val="00947AD6"/>
    <w:rsid w:val="00947E2D"/>
    <w:rsid w:val="00950A7F"/>
    <w:rsid w:val="00950E7E"/>
    <w:rsid w:val="00950F36"/>
    <w:rsid w:val="009511DA"/>
    <w:rsid w:val="00951378"/>
    <w:rsid w:val="00951908"/>
    <w:rsid w:val="00951E90"/>
    <w:rsid w:val="00952161"/>
    <w:rsid w:val="0095237F"/>
    <w:rsid w:val="009525AB"/>
    <w:rsid w:val="00952C42"/>
    <w:rsid w:val="009530DB"/>
    <w:rsid w:val="009536CB"/>
    <w:rsid w:val="00953CFF"/>
    <w:rsid w:val="00953D0E"/>
    <w:rsid w:val="00953D76"/>
    <w:rsid w:val="009543DA"/>
    <w:rsid w:val="00954B7B"/>
    <w:rsid w:val="0095532E"/>
    <w:rsid w:val="00955459"/>
    <w:rsid w:val="00956176"/>
    <w:rsid w:val="009562C7"/>
    <w:rsid w:val="00957401"/>
    <w:rsid w:val="00957426"/>
    <w:rsid w:val="00957C44"/>
    <w:rsid w:val="00957EA2"/>
    <w:rsid w:val="00957F19"/>
    <w:rsid w:val="00960458"/>
    <w:rsid w:val="00960BA0"/>
    <w:rsid w:val="0096162B"/>
    <w:rsid w:val="009616F6"/>
    <w:rsid w:val="00961EFF"/>
    <w:rsid w:val="0096201C"/>
    <w:rsid w:val="009627AA"/>
    <w:rsid w:val="00962BBB"/>
    <w:rsid w:val="00962D9A"/>
    <w:rsid w:val="00962F66"/>
    <w:rsid w:val="00963155"/>
    <w:rsid w:val="00963276"/>
    <w:rsid w:val="00963301"/>
    <w:rsid w:val="00963650"/>
    <w:rsid w:val="00963AB7"/>
    <w:rsid w:val="00963DB0"/>
    <w:rsid w:val="00964026"/>
    <w:rsid w:val="00964535"/>
    <w:rsid w:val="00964D6D"/>
    <w:rsid w:val="00964E0B"/>
    <w:rsid w:val="009653C4"/>
    <w:rsid w:val="00965519"/>
    <w:rsid w:val="00965552"/>
    <w:rsid w:val="009656EA"/>
    <w:rsid w:val="00965836"/>
    <w:rsid w:val="0096599E"/>
    <w:rsid w:val="00966A4F"/>
    <w:rsid w:val="00966E09"/>
    <w:rsid w:val="00966EDC"/>
    <w:rsid w:val="00967463"/>
    <w:rsid w:val="009675CC"/>
    <w:rsid w:val="0096764B"/>
    <w:rsid w:val="009678E4"/>
    <w:rsid w:val="00967B07"/>
    <w:rsid w:val="00970021"/>
    <w:rsid w:val="00970063"/>
    <w:rsid w:val="00970F9B"/>
    <w:rsid w:val="00971403"/>
    <w:rsid w:val="00971E22"/>
    <w:rsid w:val="009723CE"/>
    <w:rsid w:val="009729C9"/>
    <w:rsid w:val="00972A49"/>
    <w:rsid w:val="00973271"/>
    <w:rsid w:val="00973B14"/>
    <w:rsid w:val="00974A3F"/>
    <w:rsid w:val="00975208"/>
    <w:rsid w:val="00975FE1"/>
    <w:rsid w:val="00976024"/>
    <w:rsid w:val="009763C9"/>
    <w:rsid w:val="00976407"/>
    <w:rsid w:val="009776C6"/>
    <w:rsid w:val="009777A3"/>
    <w:rsid w:val="00980127"/>
    <w:rsid w:val="0098030A"/>
    <w:rsid w:val="00980553"/>
    <w:rsid w:val="00980796"/>
    <w:rsid w:val="009808DD"/>
    <w:rsid w:val="00980CFB"/>
    <w:rsid w:val="0098115B"/>
    <w:rsid w:val="00981B62"/>
    <w:rsid w:val="009822BB"/>
    <w:rsid w:val="009825EB"/>
    <w:rsid w:val="00982665"/>
    <w:rsid w:val="0098314B"/>
    <w:rsid w:val="0098347C"/>
    <w:rsid w:val="009837E0"/>
    <w:rsid w:val="00983A48"/>
    <w:rsid w:val="009843CC"/>
    <w:rsid w:val="0098462F"/>
    <w:rsid w:val="009847A0"/>
    <w:rsid w:val="00984BF3"/>
    <w:rsid w:val="00984EDD"/>
    <w:rsid w:val="0098519A"/>
    <w:rsid w:val="0098527D"/>
    <w:rsid w:val="009859D0"/>
    <w:rsid w:val="00985D69"/>
    <w:rsid w:val="00986B34"/>
    <w:rsid w:val="00987199"/>
    <w:rsid w:val="0098732D"/>
    <w:rsid w:val="0098781F"/>
    <w:rsid w:val="00987D1F"/>
    <w:rsid w:val="00990018"/>
    <w:rsid w:val="0099020E"/>
    <w:rsid w:val="009905D5"/>
    <w:rsid w:val="00990733"/>
    <w:rsid w:val="00990970"/>
    <w:rsid w:val="0099134F"/>
    <w:rsid w:val="00991415"/>
    <w:rsid w:val="00991AF2"/>
    <w:rsid w:val="00991DC1"/>
    <w:rsid w:val="00993014"/>
    <w:rsid w:val="00993393"/>
    <w:rsid w:val="00994D57"/>
    <w:rsid w:val="00995293"/>
    <w:rsid w:val="00995318"/>
    <w:rsid w:val="0099554E"/>
    <w:rsid w:val="00995D8C"/>
    <w:rsid w:val="009968BD"/>
    <w:rsid w:val="0099764A"/>
    <w:rsid w:val="0099772E"/>
    <w:rsid w:val="009A0765"/>
    <w:rsid w:val="009A0D6F"/>
    <w:rsid w:val="009A16DE"/>
    <w:rsid w:val="009A197A"/>
    <w:rsid w:val="009A287E"/>
    <w:rsid w:val="009A2955"/>
    <w:rsid w:val="009A3158"/>
    <w:rsid w:val="009A3D8D"/>
    <w:rsid w:val="009A3DAB"/>
    <w:rsid w:val="009A420F"/>
    <w:rsid w:val="009A4459"/>
    <w:rsid w:val="009A44DB"/>
    <w:rsid w:val="009A4A87"/>
    <w:rsid w:val="009A4AFF"/>
    <w:rsid w:val="009A4DD9"/>
    <w:rsid w:val="009A50C3"/>
    <w:rsid w:val="009A58EA"/>
    <w:rsid w:val="009A5C76"/>
    <w:rsid w:val="009A5E17"/>
    <w:rsid w:val="009A6908"/>
    <w:rsid w:val="009A6C85"/>
    <w:rsid w:val="009A7F10"/>
    <w:rsid w:val="009B0561"/>
    <w:rsid w:val="009B0632"/>
    <w:rsid w:val="009B095D"/>
    <w:rsid w:val="009B09F1"/>
    <w:rsid w:val="009B0D79"/>
    <w:rsid w:val="009B13E0"/>
    <w:rsid w:val="009B19BD"/>
    <w:rsid w:val="009B2468"/>
    <w:rsid w:val="009B2578"/>
    <w:rsid w:val="009B3930"/>
    <w:rsid w:val="009B3F0B"/>
    <w:rsid w:val="009B3F99"/>
    <w:rsid w:val="009B4978"/>
    <w:rsid w:val="009B4979"/>
    <w:rsid w:val="009B4ABA"/>
    <w:rsid w:val="009B4BEF"/>
    <w:rsid w:val="009B539F"/>
    <w:rsid w:val="009B5602"/>
    <w:rsid w:val="009B5A14"/>
    <w:rsid w:val="009B6217"/>
    <w:rsid w:val="009B6817"/>
    <w:rsid w:val="009B73B9"/>
    <w:rsid w:val="009B7C91"/>
    <w:rsid w:val="009B7CD0"/>
    <w:rsid w:val="009B7F34"/>
    <w:rsid w:val="009C00EB"/>
    <w:rsid w:val="009C0305"/>
    <w:rsid w:val="009C03B4"/>
    <w:rsid w:val="009C03F0"/>
    <w:rsid w:val="009C081A"/>
    <w:rsid w:val="009C0A47"/>
    <w:rsid w:val="009C1383"/>
    <w:rsid w:val="009C1442"/>
    <w:rsid w:val="009C2078"/>
    <w:rsid w:val="009C211D"/>
    <w:rsid w:val="009C2203"/>
    <w:rsid w:val="009C2BEE"/>
    <w:rsid w:val="009C40E6"/>
    <w:rsid w:val="009C48B2"/>
    <w:rsid w:val="009C4923"/>
    <w:rsid w:val="009C5288"/>
    <w:rsid w:val="009C53CB"/>
    <w:rsid w:val="009C5485"/>
    <w:rsid w:val="009C5CE6"/>
    <w:rsid w:val="009C5DDA"/>
    <w:rsid w:val="009C5E9C"/>
    <w:rsid w:val="009C6895"/>
    <w:rsid w:val="009C69EA"/>
    <w:rsid w:val="009C6A1A"/>
    <w:rsid w:val="009C7168"/>
    <w:rsid w:val="009C7181"/>
    <w:rsid w:val="009C732F"/>
    <w:rsid w:val="009C7D60"/>
    <w:rsid w:val="009C7EF2"/>
    <w:rsid w:val="009D0531"/>
    <w:rsid w:val="009D0583"/>
    <w:rsid w:val="009D106C"/>
    <w:rsid w:val="009D1797"/>
    <w:rsid w:val="009D1A76"/>
    <w:rsid w:val="009D2441"/>
    <w:rsid w:val="009D2EF2"/>
    <w:rsid w:val="009D3D54"/>
    <w:rsid w:val="009D480F"/>
    <w:rsid w:val="009D4A94"/>
    <w:rsid w:val="009D4DC1"/>
    <w:rsid w:val="009D5736"/>
    <w:rsid w:val="009D57CB"/>
    <w:rsid w:val="009D57E5"/>
    <w:rsid w:val="009D5DC8"/>
    <w:rsid w:val="009D6457"/>
    <w:rsid w:val="009D6E92"/>
    <w:rsid w:val="009D792C"/>
    <w:rsid w:val="009D7A16"/>
    <w:rsid w:val="009E0199"/>
    <w:rsid w:val="009E0388"/>
    <w:rsid w:val="009E06DD"/>
    <w:rsid w:val="009E0995"/>
    <w:rsid w:val="009E0AFE"/>
    <w:rsid w:val="009E1078"/>
    <w:rsid w:val="009E1210"/>
    <w:rsid w:val="009E171A"/>
    <w:rsid w:val="009E1F94"/>
    <w:rsid w:val="009E22A6"/>
    <w:rsid w:val="009E26EC"/>
    <w:rsid w:val="009E280E"/>
    <w:rsid w:val="009E2F73"/>
    <w:rsid w:val="009E3058"/>
    <w:rsid w:val="009E3888"/>
    <w:rsid w:val="009E3DB4"/>
    <w:rsid w:val="009E411E"/>
    <w:rsid w:val="009E43CF"/>
    <w:rsid w:val="009E4ED0"/>
    <w:rsid w:val="009E55E2"/>
    <w:rsid w:val="009E59DD"/>
    <w:rsid w:val="009E7E96"/>
    <w:rsid w:val="009F00F0"/>
    <w:rsid w:val="009F0196"/>
    <w:rsid w:val="009F0415"/>
    <w:rsid w:val="009F0440"/>
    <w:rsid w:val="009F061E"/>
    <w:rsid w:val="009F1134"/>
    <w:rsid w:val="009F11B3"/>
    <w:rsid w:val="009F2309"/>
    <w:rsid w:val="009F270C"/>
    <w:rsid w:val="009F27B7"/>
    <w:rsid w:val="009F2800"/>
    <w:rsid w:val="009F28C6"/>
    <w:rsid w:val="009F2B3C"/>
    <w:rsid w:val="009F2CB8"/>
    <w:rsid w:val="009F2CF4"/>
    <w:rsid w:val="009F2D93"/>
    <w:rsid w:val="009F3120"/>
    <w:rsid w:val="009F3B0D"/>
    <w:rsid w:val="009F403F"/>
    <w:rsid w:val="009F434F"/>
    <w:rsid w:val="009F4491"/>
    <w:rsid w:val="009F501B"/>
    <w:rsid w:val="009F52DF"/>
    <w:rsid w:val="009F6790"/>
    <w:rsid w:val="009F68BA"/>
    <w:rsid w:val="009F6903"/>
    <w:rsid w:val="009F6B3F"/>
    <w:rsid w:val="009F6CB0"/>
    <w:rsid w:val="009F6D86"/>
    <w:rsid w:val="009F72C8"/>
    <w:rsid w:val="009F761E"/>
    <w:rsid w:val="009F770C"/>
    <w:rsid w:val="009F77C9"/>
    <w:rsid w:val="009F7D4B"/>
    <w:rsid w:val="00A005CA"/>
    <w:rsid w:val="00A006BF"/>
    <w:rsid w:val="00A00AEB"/>
    <w:rsid w:val="00A00E0F"/>
    <w:rsid w:val="00A01495"/>
    <w:rsid w:val="00A01539"/>
    <w:rsid w:val="00A0164A"/>
    <w:rsid w:val="00A01EFB"/>
    <w:rsid w:val="00A0255A"/>
    <w:rsid w:val="00A026BC"/>
    <w:rsid w:val="00A02DEE"/>
    <w:rsid w:val="00A02F09"/>
    <w:rsid w:val="00A030CB"/>
    <w:rsid w:val="00A03482"/>
    <w:rsid w:val="00A04DC4"/>
    <w:rsid w:val="00A04EA2"/>
    <w:rsid w:val="00A04FFE"/>
    <w:rsid w:val="00A052F6"/>
    <w:rsid w:val="00A057E8"/>
    <w:rsid w:val="00A06134"/>
    <w:rsid w:val="00A066AA"/>
    <w:rsid w:val="00A068E6"/>
    <w:rsid w:val="00A072B8"/>
    <w:rsid w:val="00A07D4B"/>
    <w:rsid w:val="00A101EF"/>
    <w:rsid w:val="00A10691"/>
    <w:rsid w:val="00A11242"/>
    <w:rsid w:val="00A113E7"/>
    <w:rsid w:val="00A11569"/>
    <w:rsid w:val="00A115F9"/>
    <w:rsid w:val="00A129AA"/>
    <w:rsid w:val="00A12F03"/>
    <w:rsid w:val="00A1402B"/>
    <w:rsid w:val="00A1425F"/>
    <w:rsid w:val="00A14554"/>
    <w:rsid w:val="00A1460F"/>
    <w:rsid w:val="00A147A2"/>
    <w:rsid w:val="00A14DDB"/>
    <w:rsid w:val="00A1687D"/>
    <w:rsid w:val="00A16B20"/>
    <w:rsid w:val="00A16CB7"/>
    <w:rsid w:val="00A16EF0"/>
    <w:rsid w:val="00A178FF"/>
    <w:rsid w:val="00A17DA3"/>
    <w:rsid w:val="00A17DFD"/>
    <w:rsid w:val="00A17F2D"/>
    <w:rsid w:val="00A20A1E"/>
    <w:rsid w:val="00A210B7"/>
    <w:rsid w:val="00A21693"/>
    <w:rsid w:val="00A21D71"/>
    <w:rsid w:val="00A22B51"/>
    <w:rsid w:val="00A23348"/>
    <w:rsid w:val="00A23E22"/>
    <w:rsid w:val="00A24BD9"/>
    <w:rsid w:val="00A262BD"/>
    <w:rsid w:val="00A26394"/>
    <w:rsid w:val="00A2640B"/>
    <w:rsid w:val="00A265BA"/>
    <w:rsid w:val="00A26C93"/>
    <w:rsid w:val="00A273E7"/>
    <w:rsid w:val="00A279C2"/>
    <w:rsid w:val="00A27B59"/>
    <w:rsid w:val="00A30169"/>
    <w:rsid w:val="00A3020C"/>
    <w:rsid w:val="00A3133B"/>
    <w:rsid w:val="00A3150E"/>
    <w:rsid w:val="00A317BB"/>
    <w:rsid w:val="00A31882"/>
    <w:rsid w:val="00A31B04"/>
    <w:rsid w:val="00A31F06"/>
    <w:rsid w:val="00A32924"/>
    <w:rsid w:val="00A329C6"/>
    <w:rsid w:val="00A3397E"/>
    <w:rsid w:val="00A33CE7"/>
    <w:rsid w:val="00A3467B"/>
    <w:rsid w:val="00A3472B"/>
    <w:rsid w:val="00A35C42"/>
    <w:rsid w:val="00A364D1"/>
    <w:rsid w:val="00A36A77"/>
    <w:rsid w:val="00A36B2D"/>
    <w:rsid w:val="00A37092"/>
    <w:rsid w:val="00A37920"/>
    <w:rsid w:val="00A400D7"/>
    <w:rsid w:val="00A400E0"/>
    <w:rsid w:val="00A403DF"/>
    <w:rsid w:val="00A40F97"/>
    <w:rsid w:val="00A416CE"/>
    <w:rsid w:val="00A41760"/>
    <w:rsid w:val="00A41787"/>
    <w:rsid w:val="00A41983"/>
    <w:rsid w:val="00A42274"/>
    <w:rsid w:val="00A42680"/>
    <w:rsid w:val="00A4291A"/>
    <w:rsid w:val="00A42D6C"/>
    <w:rsid w:val="00A4327B"/>
    <w:rsid w:val="00A433AE"/>
    <w:rsid w:val="00A43851"/>
    <w:rsid w:val="00A43A7C"/>
    <w:rsid w:val="00A43B51"/>
    <w:rsid w:val="00A43C3E"/>
    <w:rsid w:val="00A43E06"/>
    <w:rsid w:val="00A445EC"/>
    <w:rsid w:val="00A45607"/>
    <w:rsid w:val="00A461D0"/>
    <w:rsid w:val="00A468C6"/>
    <w:rsid w:val="00A46A83"/>
    <w:rsid w:val="00A470F3"/>
    <w:rsid w:val="00A4745E"/>
    <w:rsid w:val="00A47D51"/>
    <w:rsid w:val="00A47F4C"/>
    <w:rsid w:val="00A506AF"/>
    <w:rsid w:val="00A51C48"/>
    <w:rsid w:val="00A51D13"/>
    <w:rsid w:val="00A51D23"/>
    <w:rsid w:val="00A51EA2"/>
    <w:rsid w:val="00A52723"/>
    <w:rsid w:val="00A52810"/>
    <w:rsid w:val="00A52927"/>
    <w:rsid w:val="00A52B5A"/>
    <w:rsid w:val="00A52F9C"/>
    <w:rsid w:val="00A5332A"/>
    <w:rsid w:val="00A53675"/>
    <w:rsid w:val="00A53909"/>
    <w:rsid w:val="00A556A6"/>
    <w:rsid w:val="00A55A37"/>
    <w:rsid w:val="00A55D26"/>
    <w:rsid w:val="00A560D8"/>
    <w:rsid w:val="00A567FE"/>
    <w:rsid w:val="00A5701A"/>
    <w:rsid w:val="00A57D00"/>
    <w:rsid w:val="00A60539"/>
    <w:rsid w:val="00A606DC"/>
    <w:rsid w:val="00A6189D"/>
    <w:rsid w:val="00A6198C"/>
    <w:rsid w:val="00A61C79"/>
    <w:rsid w:val="00A61E39"/>
    <w:rsid w:val="00A6213B"/>
    <w:rsid w:val="00A62B35"/>
    <w:rsid w:val="00A62BB1"/>
    <w:rsid w:val="00A633E2"/>
    <w:rsid w:val="00A63D35"/>
    <w:rsid w:val="00A64068"/>
    <w:rsid w:val="00A647B1"/>
    <w:rsid w:val="00A64DF9"/>
    <w:rsid w:val="00A65971"/>
    <w:rsid w:val="00A6667B"/>
    <w:rsid w:val="00A6696A"/>
    <w:rsid w:val="00A67DFF"/>
    <w:rsid w:val="00A67ED7"/>
    <w:rsid w:val="00A70350"/>
    <w:rsid w:val="00A706B3"/>
    <w:rsid w:val="00A70F62"/>
    <w:rsid w:val="00A7178B"/>
    <w:rsid w:val="00A719D4"/>
    <w:rsid w:val="00A71CCF"/>
    <w:rsid w:val="00A723A1"/>
    <w:rsid w:val="00A724DD"/>
    <w:rsid w:val="00A727C7"/>
    <w:rsid w:val="00A72872"/>
    <w:rsid w:val="00A729C5"/>
    <w:rsid w:val="00A72CBC"/>
    <w:rsid w:val="00A72E85"/>
    <w:rsid w:val="00A731F1"/>
    <w:rsid w:val="00A740CD"/>
    <w:rsid w:val="00A7452C"/>
    <w:rsid w:val="00A7542D"/>
    <w:rsid w:val="00A75958"/>
    <w:rsid w:val="00A762A9"/>
    <w:rsid w:val="00A7640A"/>
    <w:rsid w:val="00A7654A"/>
    <w:rsid w:val="00A76615"/>
    <w:rsid w:val="00A76710"/>
    <w:rsid w:val="00A7691B"/>
    <w:rsid w:val="00A76C8F"/>
    <w:rsid w:val="00A76D7C"/>
    <w:rsid w:val="00A7739F"/>
    <w:rsid w:val="00A777BF"/>
    <w:rsid w:val="00A77AEC"/>
    <w:rsid w:val="00A77C89"/>
    <w:rsid w:val="00A77D32"/>
    <w:rsid w:val="00A77F78"/>
    <w:rsid w:val="00A80046"/>
    <w:rsid w:val="00A80B02"/>
    <w:rsid w:val="00A80EB3"/>
    <w:rsid w:val="00A8134D"/>
    <w:rsid w:val="00A815A5"/>
    <w:rsid w:val="00A815E1"/>
    <w:rsid w:val="00A82961"/>
    <w:rsid w:val="00A82CF0"/>
    <w:rsid w:val="00A82DB9"/>
    <w:rsid w:val="00A830B9"/>
    <w:rsid w:val="00A8316A"/>
    <w:rsid w:val="00A831E3"/>
    <w:rsid w:val="00A835D3"/>
    <w:rsid w:val="00A84069"/>
    <w:rsid w:val="00A8444B"/>
    <w:rsid w:val="00A8459A"/>
    <w:rsid w:val="00A8460B"/>
    <w:rsid w:val="00A84DAA"/>
    <w:rsid w:val="00A85550"/>
    <w:rsid w:val="00A873BC"/>
    <w:rsid w:val="00A87537"/>
    <w:rsid w:val="00A8781C"/>
    <w:rsid w:val="00A87BB2"/>
    <w:rsid w:val="00A87CE2"/>
    <w:rsid w:val="00A903AC"/>
    <w:rsid w:val="00A90B0A"/>
    <w:rsid w:val="00A90EF4"/>
    <w:rsid w:val="00A91372"/>
    <w:rsid w:val="00A91BE0"/>
    <w:rsid w:val="00A91E23"/>
    <w:rsid w:val="00A91EAD"/>
    <w:rsid w:val="00A92257"/>
    <w:rsid w:val="00A93AE8"/>
    <w:rsid w:val="00A93B1E"/>
    <w:rsid w:val="00A9403D"/>
    <w:rsid w:val="00A94974"/>
    <w:rsid w:val="00A957D7"/>
    <w:rsid w:val="00A95CD3"/>
    <w:rsid w:val="00A960A8"/>
    <w:rsid w:val="00A9635B"/>
    <w:rsid w:val="00A9640F"/>
    <w:rsid w:val="00A967E3"/>
    <w:rsid w:val="00A974F5"/>
    <w:rsid w:val="00A97738"/>
    <w:rsid w:val="00A977E5"/>
    <w:rsid w:val="00AA01B1"/>
    <w:rsid w:val="00AA0208"/>
    <w:rsid w:val="00AA0AF2"/>
    <w:rsid w:val="00AA0F8E"/>
    <w:rsid w:val="00AA1368"/>
    <w:rsid w:val="00AA162C"/>
    <w:rsid w:val="00AA1D63"/>
    <w:rsid w:val="00AA2325"/>
    <w:rsid w:val="00AA23E2"/>
    <w:rsid w:val="00AA246E"/>
    <w:rsid w:val="00AA2AF4"/>
    <w:rsid w:val="00AA2F79"/>
    <w:rsid w:val="00AA316F"/>
    <w:rsid w:val="00AA32A3"/>
    <w:rsid w:val="00AA33D0"/>
    <w:rsid w:val="00AA3436"/>
    <w:rsid w:val="00AA345E"/>
    <w:rsid w:val="00AA34B8"/>
    <w:rsid w:val="00AA3AB3"/>
    <w:rsid w:val="00AA4682"/>
    <w:rsid w:val="00AA48C5"/>
    <w:rsid w:val="00AA49F2"/>
    <w:rsid w:val="00AA50D8"/>
    <w:rsid w:val="00AA5728"/>
    <w:rsid w:val="00AA5E7E"/>
    <w:rsid w:val="00AA65B5"/>
    <w:rsid w:val="00AA6A95"/>
    <w:rsid w:val="00AA6BD3"/>
    <w:rsid w:val="00AA777D"/>
    <w:rsid w:val="00AA7994"/>
    <w:rsid w:val="00AB094C"/>
    <w:rsid w:val="00AB09C5"/>
    <w:rsid w:val="00AB12B6"/>
    <w:rsid w:val="00AB1979"/>
    <w:rsid w:val="00AB197B"/>
    <w:rsid w:val="00AB2434"/>
    <w:rsid w:val="00AB25EC"/>
    <w:rsid w:val="00AB2841"/>
    <w:rsid w:val="00AB2B97"/>
    <w:rsid w:val="00AB3134"/>
    <w:rsid w:val="00AB40E5"/>
    <w:rsid w:val="00AB457D"/>
    <w:rsid w:val="00AB4F97"/>
    <w:rsid w:val="00AB506C"/>
    <w:rsid w:val="00AB54B3"/>
    <w:rsid w:val="00AB5503"/>
    <w:rsid w:val="00AB61D5"/>
    <w:rsid w:val="00AB660E"/>
    <w:rsid w:val="00AB68F0"/>
    <w:rsid w:val="00AB68F5"/>
    <w:rsid w:val="00AB6A64"/>
    <w:rsid w:val="00AB726E"/>
    <w:rsid w:val="00AB78C7"/>
    <w:rsid w:val="00AC125F"/>
    <w:rsid w:val="00AC13F2"/>
    <w:rsid w:val="00AC1493"/>
    <w:rsid w:val="00AC1B15"/>
    <w:rsid w:val="00AC2073"/>
    <w:rsid w:val="00AC2771"/>
    <w:rsid w:val="00AC2A44"/>
    <w:rsid w:val="00AC2DDC"/>
    <w:rsid w:val="00AC2F4F"/>
    <w:rsid w:val="00AC2F6A"/>
    <w:rsid w:val="00AC38C8"/>
    <w:rsid w:val="00AC38CC"/>
    <w:rsid w:val="00AC3E93"/>
    <w:rsid w:val="00AC4C60"/>
    <w:rsid w:val="00AC5A15"/>
    <w:rsid w:val="00AC5EBB"/>
    <w:rsid w:val="00AC5ED0"/>
    <w:rsid w:val="00AC6148"/>
    <w:rsid w:val="00AC62D0"/>
    <w:rsid w:val="00AC6468"/>
    <w:rsid w:val="00AC6C1C"/>
    <w:rsid w:val="00AC7074"/>
    <w:rsid w:val="00AC76A8"/>
    <w:rsid w:val="00AD048C"/>
    <w:rsid w:val="00AD07E9"/>
    <w:rsid w:val="00AD08FB"/>
    <w:rsid w:val="00AD10B8"/>
    <w:rsid w:val="00AD208D"/>
    <w:rsid w:val="00AD2485"/>
    <w:rsid w:val="00AD32B2"/>
    <w:rsid w:val="00AD3F1D"/>
    <w:rsid w:val="00AD4186"/>
    <w:rsid w:val="00AD41ED"/>
    <w:rsid w:val="00AD431D"/>
    <w:rsid w:val="00AD4405"/>
    <w:rsid w:val="00AD4FE1"/>
    <w:rsid w:val="00AD5250"/>
    <w:rsid w:val="00AD5474"/>
    <w:rsid w:val="00AD58CB"/>
    <w:rsid w:val="00AD5963"/>
    <w:rsid w:val="00AD6267"/>
    <w:rsid w:val="00AD6DD8"/>
    <w:rsid w:val="00AD7A53"/>
    <w:rsid w:val="00AD7D3C"/>
    <w:rsid w:val="00AE03A9"/>
    <w:rsid w:val="00AE063B"/>
    <w:rsid w:val="00AE0A7E"/>
    <w:rsid w:val="00AE1222"/>
    <w:rsid w:val="00AE1EE5"/>
    <w:rsid w:val="00AE23D8"/>
    <w:rsid w:val="00AE3243"/>
    <w:rsid w:val="00AE3A28"/>
    <w:rsid w:val="00AE3DB1"/>
    <w:rsid w:val="00AE3FAC"/>
    <w:rsid w:val="00AE4A98"/>
    <w:rsid w:val="00AE53CA"/>
    <w:rsid w:val="00AE5772"/>
    <w:rsid w:val="00AE5ECC"/>
    <w:rsid w:val="00AE5FE1"/>
    <w:rsid w:val="00AE6176"/>
    <w:rsid w:val="00AE6C9F"/>
    <w:rsid w:val="00AE7698"/>
    <w:rsid w:val="00AE797F"/>
    <w:rsid w:val="00AF03F3"/>
    <w:rsid w:val="00AF0475"/>
    <w:rsid w:val="00AF0B21"/>
    <w:rsid w:val="00AF0F85"/>
    <w:rsid w:val="00AF1753"/>
    <w:rsid w:val="00AF19C8"/>
    <w:rsid w:val="00AF1DCF"/>
    <w:rsid w:val="00AF1F2D"/>
    <w:rsid w:val="00AF219E"/>
    <w:rsid w:val="00AF22E6"/>
    <w:rsid w:val="00AF23BF"/>
    <w:rsid w:val="00AF2CCA"/>
    <w:rsid w:val="00AF321A"/>
    <w:rsid w:val="00AF3587"/>
    <w:rsid w:val="00AF3604"/>
    <w:rsid w:val="00AF3C4A"/>
    <w:rsid w:val="00AF4672"/>
    <w:rsid w:val="00AF500E"/>
    <w:rsid w:val="00AF51EB"/>
    <w:rsid w:val="00AF51FD"/>
    <w:rsid w:val="00AF54C3"/>
    <w:rsid w:val="00AF5DFE"/>
    <w:rsid w:val="00AF6094"/>
    <w:rsid w:val="00AF60DA"/>
    <w:rsid w:val="00AF63F7"/>
    <w:rsid w:val="00AF6D89"/>
    <w:rsid w:val="00AF6FEE"/>
    <w:rsid w:val="00AF72DA"/>
    <w:rsid w:val="00AF78A9"/>
    <w:rsid w:val="00AF7E8E"/>
    <w:rsid w:val="00B0157E"/>
    <w:rsid w:val="00B01B15"/>
    <w:rsid w:val="00B02836"/>
    <w:rsid w:val="00B032D3"/>
    <w:rsid w:val="00B033E6"/>
    <w:rsid w:val="00B0381B"/>
    <w:rsid w:val="00B04606"/>
    <w:rsid w:val="00B0473C"/>
    <w:rsid w:val="00B05078"/>
    <w:rsid w:val="00B051EB"/>
    <w:rsid w:val="00B053FB"/>
    <w:rsid w:val="00B057B0"/>
    <w:rsid w:val="00B059EA"/>
    <w:rsid w:val="00B05A31"/>
    <w:rsid w:val="00B05CC8"/>
    <w:rsid w:val="00B062F4"/>
    <w:rsid w:val="00B06E06"/>
    <w:rsid w:val="00B07488"/>
    <w:rsid w:val="00B0772F"/>
    <w:rsid w:val="00B07C4A"/>
    <w:rsid w:val="00B07E29"/>
    <w:rsid w:val="00B1001C"/>
    <w:rsid w:val="00B101DF"/>
    <w:rsid w:val="00B10230"/>
    <w:rsid w:val="00B10594"/>
    <w:rsid w:val="00B10BCC"/>
    <w:rsid w:val="00B10DD4"/>
    <w:rsid w:val="00B11313"/>
    <w:rsid w:val="00B118BA"/>
    <w:rsid w:val="00B11D3A"/>
    <w:rsid w:val="00B1259B"/>
    <w:rsid w:val="00B1286C"/>
    <w:rsid w:val="00B1336B"/>
    <w:rsid w:val="00B13679"/>
    <w:rsid w:val="00B1420E"/>
    <w:rsid w:val="00B1435A"/>
    <w:rsid w:val="00B1487B"/>
    <w:rsid w:val="00B148CB"/>
    <w:rsid w:val="00B14E38"/>
    <w:rsid w:val="00B15185"/>
    <w:rsid w:val="00B16251"/>
    <w:rsid w:val="00B168BA"/>
    <w:rsid w:val="00B1738E"/>
    <w:rsid w:val="00B1750B"/>
    <w:rsid w:val="00B175FB"/>
    <w:rsid w:val="00B17CCD"/>
    <w:rsid w:val="00B17F5C"/>
    <w:rsid w:val="00B20608"/>
    <w:rsid w:val="00B20ED6"/>
    <w:rsid w:val="00B21338"/>
    <w:rsid w:val="00B215DB"/>
    <w:rsid w:val="00B21637"/>
    <w:rsid w:val="00B21B66"/>
    <w:rsid w:val="00B21BFC"/>
    <w:rsid w:val="00B21DEE"/>
    <w:rsid w:val="00B2271E"/>
    <w:rsid w:val="00B22C01"/>
    <w:rsid w:val="00B22DDC"/>
    <w:rsid w:val="00B22EF9"/>
    <w:rsid w:val="00B234AC"/>
    <w:rsid w:val="00B2379F"/>
    <w:rsid w:val="00B23C0E"/>
    <w:rsid w:val="00B23DDA"/>
    <w:rsid w:val="00B24690"/>
    <w:rsid w:val="00B24BB3"/>
    <w:rsid w:val="00B24BE4"/>
    <w:rsid w:val="00B24D74"/>
    <w:rsid w:val="00B25463"/>
    <w:rsid w:val="00B26A49"/>
    <w:rsid w:val="00B26E13"/>
    <w:rsid w:val="00B26F56"/>
    <w:rsid w:val="00B273DA"/>
    <w:rsid w:val="00B30284"/>
    <w:rsid w:val="00B302D6"/>
    <w:rsid w:val="00B30E40"/>
    <w:rsid w:val="00B30E8A"/>
    <w:rsid w:val="00B31035"/>
    <w:rsid w:val="00B31314"/>
    <w:rsid w:val="00B31448"/>
    <w:rsid w:val="00B315CB"/>
    <w:rsid w:val="00B3395E"/>
    <w:rsid w:val="00B340DD"/>
    <w:rsid w:val="00B34521"/>
    <w:rsid w:val="00B34677"/>
    <w:rsid w:val="00B34816"/>
    <w:rsid w:val="00B35228"/>
    <w:rsid w:val="00B363AA"/>
    <w:rsid w:val="00B364B9"/>
    <w:rsid w:val="00B3681A"/>
    <w:rsid w:val="00B36F18"/>
    <w:rsid w:val="00B36FCA"/>
    <w:rsid w:val="00B37077"/>
    <w:rsid w:val="00B3747A"/>
    <w:rsid w:val="00B375FC"/>
    <w:rsid w:val="00B37A3E"/>
    <w:rsid w:val="00B37A78"/>
    <w:rsid w:val="00B37BB3"/>
    <w:rsid w:val="00B406C8"/>
    <w:rsid w:val="00B40BC0"/>
    <w:rsid w:val="00B40EBA"/>
    <w:rsid w:val="00B40FDF"/>
    <w:rsid w:val="00B417D9"/>
    <w:rsid w:val="00B418B6"/>
    <w:rsid w:val="00B41D91"/>
    <w:rsid w:val="00B4207A"/>
    <w:rsid w:val="00B42A17"/>
    <w:rsid w:val="00B43790"/>
    <w:rsid w:val="00B43EAE"/>
    <w:rsid w:val="00B43F18"/>
    <w:rsid w:val="00B45153"/>
    <w:rsid w:val="00B45449"/>
    <w:rsid w:val="00B4546B"/>
    <w:rsid w:val="00B454A2"/>
    <w:rsid w:val="00B454B8"/>
    <w:rsid w:val="00B45AC1"/>
    <w:rsid w:val="00B45EC9"/>
    <w:rsid w:val="00B46513"/>
    <w:rsid w:val="00B468D8"/>
    <w:rsid w:val="00B46D33"/>
    <w:rsid w:val="00B47046"/>
    <w:rsid w:val="00B47204"/>
    <w:rsid w:val="00B4731C"/>
    <w:rsid w:val="00B4741C"/>
    <w:rsid w:val="00B47655"/>
    <w:rsid w:val="00B47D7C"/>
    <w:rsid w:val="00B47D7D"/>
    <w:rsid w:val="00B47EC6"/>
    <w:rsid w:val="00B502E9"/>
    <w:rsid w:val="00B50946"/>
    <w:rsid w:val="00B50B44"/>
    <w:rsid w:val="00B51072"/>
    <w:rsid w:val="00B5136C"/>
    <w:rsid w:val="00B525B4"/>
    <w:rsid w:val="00B525FE"/>
    <w:rsid w:val="00B5268D"/>
    <w:rsid w:val="00B52AAB"/>
    <w:rsid w:val="00B53CAB"/>
    <w:rsid w:val="00B547D3"/>
    <w:rsid w:val="00B55023"/>
    <w:rsid w:val="00B55591"/>
    <w:rsid w:val="00B557A3"/>
    <w:rsid w:val="00B55E17"/>
    <w:rsid w:val="00B55EB8"/>
    <w:rsid w:val="00B56F84"/>
    <w:rsid w:val="00B5738D"/>
    <w:rsid w:val="00B57AAB"/>
    <w:rsid w:val="00B57CAB"/>
    <w:rsid w:val="00B60129"/>
    <w:rsid w:val="00B61518"/>
    <w:rsid w:val="00B615BE"/>
    <w:rsid w:val="00B62031"/>
    <w:rsid w:val="00B62239"/>
    <w:rsid w:val="00B62F1E"/>
    <w:rsid w:val="00B62F72"/>
    <w:rsid w:val="00B63146"/>
    <w:rsid w:val="00B631E7"/>
    <w:rsid w:val="00B63221"/>
    <w:rsid w:val="00B636F9"/>
    <w:rsid w:val="00B63BFA"/>
    <w:rsid w:val="00B64386"/>
    <w:rsid w:val="00B644A3"/>
    <w:rsid w:val="00B64825"/>
    <w:rsid w:val="00B6489A"/>
    <w:rsid w:val="00B64D30"/>
    <w:rsid w:val="00B64DA6"/>
    <w:rsid w:val="00B6514A"/>
    <w:rsid w:val="00B6578D"/>
    <w:rsid w:val="00B657D3"/>
    <w:rsid w:val="00B65C2D"/>
    <w:rsid w:val="00B66454"/>
    <w:rsid w:val="00B66485"/>
    <w:rsid w:val="00B6666C"/>
    <w:rsid w:val="00B6728C"/>
    <w:rsid w:val="00B674D9"/>
    <w:rsid w:val="00B67750"/>
    <w:rsid w:val="00B677F9"/>
    <w:rsid w:val="00B67AF4"/>
    <w:rsid w:val="00B704DB"/>
    <w:rsid w:val="00B708A8"/>
    <w:rsid w:val="00B70EBE"/>
    <w:rsid w:val="00B70F26"/>
    <w:rsid w:val="00B7146D"/>
    <w:rsid w:val="00B717EB"/>
    <w:rsid w:val="00B719E6"/>
    <w:rsid w:val="00B71B64"/>
    <w:rsid w:val="00B71BF3"/>
    <w:rsid w:val="00B71CB5"/>
    <w:rsid w:val="00B72C01"/>
    <w:rsid w:val="00B72DB0"/>
    <w:rsid w:val="00B72EBC"/>
    <w:rsid w:val="00B730D2"/>
    <w:rsid w:val="00B732AB"/>
    <w:rsid w:val="00B7353E"/>
    <w:rsid w:val="00B74162"/>
    <w:rsid w:val="00B744D5"/>
    <w:rsid w:val="00B75C8B"/>
    <w:rsid w:val="00B76E09"/>
    <w:rsid w:val="00B76EE5"/>
    <w:rsid w:val="00B77224"/>
    <w:rsid w:val="00B77228"/>
    <w:rsid w:val="00B772A6"/>
    <w:rsid w:val="00B773F8"/>
    <w:rsid w:val="00B77430"/>
    <w:rsid w:val="00B77D82"/>
    <w:rsid w:val="00B77DA7"/>
    <w:rsid w:val="00B77E85"/>
    <w:rsid w:val="00B8070E"/>
    <w:rsid w:val="00B809C2"/>
    <w:rsid w:val="00B81057"/>
    <w:rsid w:val="00B810CD"/>
    <w:rsid w:val="00B81559"/>
    <w:rsid w:val="00B81674"/>
    <w:rsid w:val="00B816FF"/>
    <w:rsid w:val="00B825FC"/>
    <w:rsid w:val="00B82797"/>
    <w:rsid w:val="00B8408D"/>
    <w:rsid w:val="00B84E76"/>
    <w:rsid w:val="00B85438"/>
    <w:rsid w:val="00B85661"/>
    <w:rsid w:val="00B8597B"/>
    <w:rsid w:val="00B85CE5"/>
    <w:rsid w:val="00B87109"/>
    <w:rsid w:val="00B8751E"/>
    <w:rsid w:val="00B87742"/>
    <w:rsid w:val="00B87F8F"/>
    <w:rsid w:val="00B90378"/>
    <w:rsid w:val="00B90664"/>
    <w:rsid w:val="00B90CA8"/>
    <w:rsid w:val="00B90EA9"/>
    <w:rsid w:val="00B9151F"/>
    <w:rsid w:val="00B91844"/>
    <w:rsid w:val="00B91CDE"/>
    <w:rsid w:val="00B92509"/>
    <w:rsid w:val="00B92E58"/>
    <w:rsid w:val="00B93495"/>
    <w:rsid w:val="00B93B9A"/>
    <w:rsid w:val="00B94829"/>
    <w:rsid w:val="00B951ED"/>
    <w:rsid w:val="00B955BA"/>
    <w:rsid w:val="00B957EE"/>
    <w:rsid w:val="00B95B3F"/>
    <w:rsid w:val="00B95E66"/>
    <w:rsid w:val="00B9601B"/>
    <w:rsid w:val="00B965D4"/>
    <w:rsid w:val="00B96781"/>
    <w:rsid w:val="00B97025"/>
    <w:rsid w:val="00B97699"/>
    <w:rsid w:val="00B97AF7"/>
    <w:rsid w:val="00BA036D"/>
    <w:rsid w:val="00BA0B6F"/>
    <w:rsid w:val="00BA10F8"/>
    <w:rsid w:val="00BA1F86"/>
    <w:rsid w:val="00BA237B"/>
    <w:rsid w:val="00BA2396"/>
    <w:rsid w:val="00BA2FC9"/>
    <w:rsid w:val="00BA372A"/>
    <w:rsid w:val="00BA3E84"/>
    <w:rsid w:val="00BA4C9F"/>
    <w:rsid w:val="00BA4D66"/>
    <w:rsid w:val="00BA4E74"/>
    <w:rsid w:val="00BA4FC7"/>
    <w:rsid w:val="00BA5B88"/>
    <w:rsid w:val="00BA5D2F"/>
    <w:rsid w:val="00BA5FA9"/>
    <w:rsid w:val="00BA6292"/>
    <w:rsid w:val="00BA639C"/>
    <w:rsid w:val="00BA63E0"/>
    <w:rsid w:val="00BA6ADF"/>
    <w:rsid w:val="00BA7796"/>
    <w:rsid w:val="00BB0374"/>
    <w:rsid w:val="00BB11D5"/>
    <w:rsid w:val="00BB1BD4"/>
    <w:rsid w:val="00BB1E13"/>
    <w:rsid w:val="00BB2125"/>
    <w:rsid w:val="00BB217D"/>
    <w:rsid w:val="00BB2581"/>
    <w:rsid w:val="00BB283E"/>
    <w:rsid w:val="00BB2B97"/>
    <w:rsid w:val="00BB2BCC"/>
    <w:rsid w:val="00BB31F1"/>
    <w:rsid w:val="00BB3E67"/>
    <w:rsid w:val="00BB41E2"/>
    <w:rsid w:val="00BB4744"/>
    <w:rsid w:val="00BB4EC9"/>
    <w:rsid w:val="00BB5065"/>
    <w:rsid w:val="00BB5082"/>
    <w:rsid w:val="00BB50F6"/>
    <w:rsid w:val="00BB5801"/>
    <w:rsid w:val="00BB5891"/>
    <w:rsid w:val="00BB5E2C"/>
    <w:rsid w:val="00BB6E61"/>
    <w:rsid w:val="00BB7AB8"/>
    <w:rsid w:val="00BC0286"/>
    <w:rsid w:val="00BC0580"/>
    <w:rsid w:val="00BC08B2"/>
    <w:rsid w:val="00BC0D09"/>
    <w:rsid w:val="00BC0E7B"/>
    <w:rsid w:val="00BC0FA0"/>
    <w:rsid w:val="00BC1139"/>
    <w:rsid w:val="00BC19F4"/>
    <w:rsid w:val="00BC2020"/>
    <w:rsid w:val="00BC23FE"/>
    <w:rsid w:val="00BC260E"/>
    <w:rsid w:val="00BC28CC"/>
    <w:rsid w:val="00BC2F5E"/>
    <w:rsid w:val="00BC2FFE"/>
    <w:rsid w:val="00BC3392"/>
    <w:rsid w:val="00BC39AD"/>
    <w:rsid w:val="00BC3C36"/>
    <w:rsid w:val="00BC402C"/>
    <w:rsid w:val="00BC4364"/>
    <w:rsid w:val="00BC4981"/>
    <w:rsid w:val="00BC49DA"/>
    <w:rsid w:val="00BC4FF4"/>
    <w:rsid w:val="00BC56DE"/>
    <w:rsid w:val="00BC5D4C"/>
    <w:rsid w:val="00BC5E36"/>
    <w:rsid w:val="00BC67FA"/>
    <w:rsid w:val="00BC69A0"/>
    <w:rsid w:val="00BC6EF1"/>
    <w:rsid w:val="00BC6FBB"/>
    <w:rsid w:val="00BC72B8"/>
    <w:rsid w:val="00BC7A80"/>
    <w:rsid w:val="00BC7EF4"/>
    <w:rsid w:val="00BC7F87"/>
    <w:rsid w:val="00BD0341"/>
    <w:rsid w:val="00BD0B6F"/>
    <w:rsid w:val="00BD1206"/>
    <w:rsid w:val="00BD1311"/>
    <w:rsid w:val="00BD22BF"/>
    <w:rsid w:val="00BD2AAA"/>
    <w:rsid w:val="00BD393D"/>
    <w:rsid w:val="00BD41B1"/>
    <w:rsid w:val="00BD490D"/>
    <w:rsid w:val="00BD5291"/>
    <w:rsid w:val="00BD541E"/>
    <w:rsid w:val="00BD5C70"/>
    <w:rsid w:val="00BD62CB"/>
    <w:rsid w:val="00BD6921"/>
    <w:rsid w:val="00BD6B92"/>
    <w:rsid w:val="00BD72DA"/>
    <w:rsid w:val="00BD7AD7"/>
    <w:rsid w:val="00BE062C"/>
    <w:rsid w:val="00BE0CB7"/>
    <w:rsid w:val="00BE0E15"/>
    <w:rsid w:val="00BE17B1"/>
    <w:rsid w:val="00BE288B"/>
    <w:rsid w:val="00BE2A88"/>
    <w:rsid w:val="00BE2CCE"/>
    <w:rsid w:val="00BE3083"/>
    <w:rsid w:val="00BE3D43"/>
    <w:rsid w:val="00BE3E3D"/>
    <w:rsid w:val="00BE44B3"/>
    <w:rsid w:val="00BE47EE"/>
    <w:rsid w:val="00BE597C"/>
    <w:rsid w:val="00BE5A74"/>
    <w:rsid w:val="00BE67AA"/>
    <w:rsid w:val="00BE74EB"/>
    <w:rsid w:val="00BE76EF"/>
    <w:rsid w:val="00BE794F"/>
    <w:rsid w:val="00BE7A94"/>
    <w:rsid w:val="00BE7EE5"/>
    <w:rsid w:val="00BF00C5"/>
    <w:rsid w:val="00BF0550"/>
    <w:rsid w:val="00BF070B"/>
    <w:rsid w:val="00BF17A3"/>
    <w:rsid w:val="00BF1DE6"/>
    <w:rsid w:val="00BF1EDD"/>
    <w:rsid w:val="00BF2946"/>
    <w:rsid w:val="00BF316A"/>
    <w:rsid w:val="00BF33E3"/>
    <w:rsid w:val="00BF3625"/>
    <w:rsid w:val="00BF3CCD"/>
    <w:rsid w:val="00BF3E85"/>
    <w:rsid w:val="00BF421A"/>
    <w:rsid w:val="00BF435E"/>
    <w:rsid w:val="00BF448D"/>
    <w:rsid w:val="00BF48E6"/>
    <w:rsid w:val="00BF50C9"/>
    <w:rsid w:val="00BF5172"/>
    <w:rsid w:val="00BF5952"/>
    <w:rsid w:val="00BF5AA4"/>
    <w:rsid w:val="00BF5FD6"/>
    <w:rsid w:val="00BF6DB8"/>
    <w:rsid w:val="00BF6FC3"/>
    <w:rsid w:val="00BF729C"/>
    <w:rsid w:val="00BF7B12"/>
    <w:rsid w:val="00C00584"/>
    <w:rsid w:val="00C00C93"/>
    <w:rsid w:val="00C00FDD"/>
    <w:rsid w:val="00C011C4"/>
    <w:rsid w:val="00C01559"/>
    <w:rsid w:val="00C01941"/>
    <w:rsid w:val="00C021D8"/>
    <w:rsid w:val="00C02268"/>
    <w:rsid w:val="00C02274"/>
    <w:rsid w:val="00C02353"/>
    <w:rsid w:val="00C02833"/>
    <w:rsid w:val="00C03346"/>
    <w:rsid w:val="00C0334A"/>
    <w:rsid w:val="00C0397E"/>
    <w:rsid w:val="00C03AD3"/>
    <w:rsid w:val="00C042C0"/>
    <w:rsid w:val="00C04323"/>
    <w:rsid w:val="00C04800"/>
    <w:rsid w:val="00C04E43"/>
    <w:rsid w:val="00C04F05"/>
    <w:rsid w:val="00C05033"/>
    <w:rsid w:val="00C052C9"/>
    <w:rsid w:val="00C0542A"/>
    <w:rsid w:val="00C0636E"/>
    <w:rsid w:val="00C0651C"/>
    <w:rsid w:val="00C069C0"/>
    <w:rsid w:val="00C06B7C"/>
    <w:rsid w:val="00C06C12"/>
    <w:rsid w:val="00C06EF6"/>
    <w:rsid w:val="00C07253"/>
    <w:rsid w:val="00C072B8"/>
    <w:rsid w:val="00C07407"/>
    <w:rsid w:val="00C07CE9"/>
    <w:rsid w:val="00C07F73"/>
    <w:rsid w:val="00C1039A"/>
    <w:rsid w:val="00C10DC7"/>
    <w:rsid w:val="00C114BA"/>
    <w:rsid w:val="00C115EE"/>
    <w:rsid w:val="00C11681"/>
    <w:rsid w:val="00C1176F"/>
    <w:rsid w:val="00C11FEF"/>
    <w:rsid w:val="00C12584"/>
    <w:rsid w:val="00C128CF"/>
    <w:rsid w:val="00C12B88"/>
    <w:rsid w:val="00C13685"/>
    <w:rsid w:val="00C13700"/>
    <w:rsid w:val="00C137E1"/>
    <w:rsid w:val="00C1383D"/>
    <w:rsid w:val="00C13A5D"/>
    <w:rsid w:val="00C13C06"/>
    <w:rsid w:val="00C140B3"/>
    <w:rsid w:val="00C143CB"/>
    <w:rsid w:val="00C144F7"/>
    <w:rsid w:val="00C1528F"/>
    <w:rsid w:val="00C1539D"/>
    <w:rsid w:val="00C155CF"/>
    <w:rsid w:val="00C1564D"/>
    <w:rsid w:val="00C15C34"/>
    <w:rsid w:val="00C16FF6"/>
    <w:rsid w:val="00C17573"/>
    <w:rsid w:val="00C175D9"/>
    <w:rsid w:val="00C17802"/>
    <w:rsid w:val="00C17C02"/>
    <w:rsid w:val="00C17EB3"/>
    <w:rsid w:val="00C20A05"/>
    <w:rsid w:val="00C215A2"/>
    <w:rsid w:val="00C21ABC"/>
    <w:rsid w:val="00C22787"/>
    <w:rsid w:val="00C22CDC"/>
    <w:rsid w:val="00C22D2A"/>
    <w:rsid w:val="00C22F6F"/>
    <w:rsid w:val="00C24786"/>
    <w:rsid w:val="00C24A91"/>
    <w:rsid w:val="00C24BD3"/>
    <w:rsid w:val="00C26775"/>
    <w:rsid w:val="00C26958"/>
    <w:rsid w:val="00C26CBD"/>
    <w:rsid w:val="00C26E8F"/>
    <w:rsid w:val="00C2744F"/>
    <w:rsid w:val="00C27D51"/>
    <w:rsid w:val="00C310A4"/>
    <w:rsid w:val="00C3114C"/>
    <w:rsid w:val="00C31197"/>
    <w:rsid w:val="00C31427"/>
    <w:rsid w:val="00C315CF"/>
    <w:rsid w:val="00C3177C"/>
    <w:rsid w:val="00C321D1"/>
    <w:rsid w:val="00C3233B"/>
    <w:rsid w:val="00C32AC3"/>
    <w:rsid w:val="00C32E6B"/>
    <w:rsid w:val="00C334A8"/>
    <w:rsid w:val="00C33906"/>
    <w:rsid w:val="00C33B52"/>
    <w:rsid w:val="00C33BC7"/>
    <w:rsid w:val="00C33DF2"/>
    <w:rsid w:val="00C33FE9"/>
    <w:rsid w:val="00C348A4"/>
    <w:rsid w:val="00C34A39"/>
    <w:rsid w:val="00C34CCD"/>
    <w:rsid w:val="00C34E1E"/>
    <w:rsid w:val="00C352DC"/>
    <w:rsid w:val="00C358D1"/>
    <w:rsid w:val="00C35D3D"/>
    <w:rsid w:val="00C3695E"/>
    <w:rsid w:val="00C36D2E"/>
    <w:rsid w:val="00C36F8E"/>
    <w:rsid w:val="00C37DE1"/>
    <w:rsid w:val="00C4056E"/>
    <w:rsid w:val="00C40F19"/>
    <w:rsid w:val="00C41121"/>
    <w:rsid w:val="00C415B9"/>
    <w:rsid w:val="00C433EE"/>
    <w:rsid w:val="00C4380B"/>
    <w:rsid w:val="00C43BB3"/>
    <w:rsid w:val="00C44561"/>
    <w:rsid w:val="00C447B5"/>
    <w:rsid w:val="00C447B9"/>
    <w:rsid w:val="00C448C1"/>
    <w:rsid w:val="00C44F17"/>
    <w:rsid w:val="00C45118"/>
    <w:rsid w:val="00C4549D"/>
    <w:rsid w:val="00C4551D"/>
    <w:rsid w:val="00C45A0A"/>
    <w:rsid w:val="00C45C67"/>
    <w:rsid w:val="00C45D73"/>
    <w:rsid w:val="00C45F77"/>
    <w:rsid w:val="00C47CD3"/>
    <w:rsid w:val="00C47E15"/>
    <w:rsid w:val="00C5010D"/>
    <w:rsid w:val="00C505CB"/>
    <w:rsid w:val="00C50DDE"/>
    <w:rsid w:val="00C51C64"/>
    <w:rsid w:val="00C51D7A"/>
    <w:rsid w:val="00C51F31"/>
    <w:rsid w:val="00C52229"/>
    <w:rsid w:val="00C52340"/>
    <w:rsid w:val="00C52884"/>
    <w:rsid w:val="00C52C0E"/>
    <w:rsid w:val="00C53C19"/>
    <w:rsid w:val="00C54F8B"/>
    <w:rsid w:val="00C55696"/>
    <w:rsid w:val="00C560F9"/>
    <w:rsid w:val="00C5661B"/>
    <w:rsid w:val="00C56D31"/>
    <w:rsid w:val="00C57D88"/>
    <w:rsid w:val="00C60019"/>
    <w:rsid w:val="00C60192"/>
    <w:rsid w:val="00C609DA"/>
    <w:rsid w:val="00C60E34"/>
    <w:rsid w:val="00C610C8"/>
    <w:rsid w:val="00C61510"/>
    <w:rsid w:val="00C61B5B"/>
    <w:rsid w:val="00C61CF0"/>
    <w:rsid w:val="00C61D2A"/>
    <w:rsid w:val="00C61D47"/>
    <w:rsid w:val="00C61F9A"/>
    <w:rsid w:val="00C622FB"/>
    <w:rsid w:val="00C623AC"/>
    <w:rsid w:val="00C624E9"/>
    <w:rsid w:val="00C62C87"/>
    <w:rsid w:val="00C6399F"/>
    <w:rsid w:val="00C64029"/>
    <w:rsid w:val="00C64220"/>
    <w:rsid w:val="00C642B5"/>
    <w:rsid w:val="00C645E8"/>
    <w:rsid w:val="00C6490C"/>
    <w:rsid w:val="00C64CC0"/>
    <w:rsid w:val="00C64D6D"/>
    <w:rsid w:val="00C6523E"/>
    <w:rsid w:val="00C65255"/>
    <w:rsid w:val="00C65391"/>
    <w:rsid w:val="00C657FC"/>
    <w:rsid w:val="00C65975"/>
    <w:rsid w:val="00C65A59"/>
    <w:rsid w:val="00C660E6"/>
    <w:rsid w:val="00C670CA"/>
    <w:rsid w:val="00C67DAE"/>
    <w:rsid w:val="00C7028C"/>
    <w:rsid w:val="00C70F4E"/>
    <w:rsid w:val="00C71132"/>
    <w:rsid w:val="00C71C6C"/>
    <w:rsid w:val="00C71C8D"/>
    <w:rsid w:val="00C72215"/>
    <w:rsid w:val="00C7272E"/>
    <w:rsid w:val="00C73AC3"/>
    <w:rsid w:val="00C73DE5"/>
    <w:rsid w:val="00C74322"/>
    <w:rsid w:val="00C74BEB"/>
    <w:rsid w:val="00C75118"/>
    <w:rsid w:val="00C75795"/>
    <w:rsid w:val="00C75F67"/>
    <w:rsid w:val="00C763B7"/>
    <w:rsid w:val="00C76813"/>
    <w:rsid w:val="00C76F61"/>
    <w:rsid w:val="00C77F04"/>
    <w:rsid w:val="00C80031"/>
    <w:rsid w:val="00C80382"/>
    <w:rsid w:val="00C80864"/>
    <w:rsid w:val="00C80C27"/>
    <w:rsid w:val="00C81056"/>
    <w:rsid w:val="00C81188"/>
    <w:rsid w:val="00C82080"/>
    <w:rsid w:val="00C8294F"/>
    <w:rsid w:val="00C82ADC"/>
    <w:rsid w:val="00C82F66"/>
    <w:rsid w:val="00C8356E"/>
    <w:rsid w:val="00C837AC"/>
    <w:rsid w:val="00C83E13"/>
    <w:rsid w:val="00C83E36"/>
    <w:rsid w:val="00C84229"/>
    <w:rsid w:val="00C8476C"/>
    <w:rsid w:val="00C849FD"/>
    <w:rsid w:val="00C84AEB"/>
    <w:rsid w:val="00C86097"/>
    <w:rsid w:val="00C86253"/>
    <w:rsid w:val="00C86781"/>
    <w:rsid w:val="00C867E0"/>
    <w:rsid w:val="00C86C1C"/>
    <w:rsid w:val="00C87079"/>
    <w:rsid w:val="00C872B4"/>
    <w:rsid w:val="00C8737F"/>
    <w:rsid w:val="00C87DCB"/>
    <w:rsid w:val="00C902A4"/>
    <w:rsid w:val="00C903B3"/>
    <w:rsid w:val="00C905C3"/>
    <w:rsid w:val="00C90767"/>
    <w:rsid w:val="00C9113C"/>
    <w:rsid w:val="00C91356"/>
    <w:rsid w:val="00C91613"/>
    <w:rsid w:val="00C91FB1"/>
    <w:rsid w:val="00C92605"/>
    <w:rsid w:val="00C92742"/>
    <w:rsid w:val="00C92AC3"/>
    <w:rsid w:val="00C92B8F"/>
    <w:rsid w:val="00C92BD5"/>
    <w:rsid w:val="00C92D64"/>
    <w:rsid w:val="00C932E5"/>
    <w:rsid w:val="00C93970"/>
    <w:rsid w:val="00C94250"/>
    <w:rsid w:val="00C9430D"/>
    <w:rsid w:val="00C9599F"/>
    <w:rsid w:val="00C96711"/>
    <w:rsid w:val="00C969B0"/>
    <w:rsid w:val="00C9705F"/>
    <w:rsid w:val="00C97096"/>
    <w:rsid w:val="00C97529"/>
    <w:rsid w:val="00CA0C95"/>
    <w:rsid w:val="00CA110A"/>
    <w:rsid w:val="00CA14E0"/>
    <w:rsid w:val="00CA1E85"/>
    <w:rsid w:val="00CA1EE3"/>
    <w:rsid w:val="00CA24C3"/>
    <w:rsid w:val="00CA25AC"/>
    <w:rsid w:val="00CA29FA"/>
    <w:rsid w:val="00CA2B50"/>
    <w:rsid w:val="00CA3D18"/>
    <w:rsid w:val="00CA4749"/>
    <w:rsid w:val="00CA4D68"/>
    <w:rsid w:val="00CA4F36"/>
    <w:rsid w:val="00CA554E"/>
    <w:rsid w:val="00CA5E77"/>
    <w:rsid w:val="00CA61BC"/>
    <w:rsid w:val="00CA66B1"/>
    <w:rsid w:val="00CA680F"/>
    <w:rsid w:val="00CA6816"/>
    <w:rsid w:val="00CA6F2B"/>
    <w:rsid w:val="00CA6F61"/>
    <w:rsid w:val="00CA6FAF"/>
    <w:rsid w:val="00CA7248"/>
    <w:rsid w:val="00CA7A09"/>
    <w:rsid w:val="00CA7C48"/>
    <w:rsid w:val="00CB04AC"/>
    <w:rsid w:val="00CB0BDB"/>
    <w:rsid w:val="00CB0DA8"/>
    <w:rsid w:val="00CB1133"/>
    <w:rsid w:val="00CB26B7"/>
    <w:rsid w:val="00CB272A"/>
    <w:rsid w:val="00CB2829"/>
    <w:rsid w:val="00CB2FD3"/>
    <w:rsid w:val="00CB326E"/>
    <w:rsid w:val="00CB37D9"/>
    <w:rsid w:val="00CB3A68"/>
    <w:rsid w:val="00CB476F"/>
    <w:rsid w:val="00CB4AC0"/>
    <w:rsid w:val="00CB4C36"/>
    <w:rsid w:val="00CB4CCF"/>
    <w:rsid w:val="00CB51B1"/>
    <w:rsid w:val="00CB547D"/>
    <w:rsid w:val="00CB5605"/>
    <w:rsid w:val="00CB5637"/>
    <w:rsid w:val="00CB5B4A"/>
    <w:rsid w:val="00CB5C0E"/>
    <w:rsid w:val="00CB5F3E"/>
    <w:rsid w:val="00CB665C"/>
    <w:rsid w:val="00CB671B"/>
    <w:rsid w:val="00CB7026"/>
    <w:rsid w:val="00CB7056"/>
    <w:rsid w:val="00CB74C4"/>
    <w:rsid w:val="00CB7820"/>
    <w:rsid w:val="00CC0184"/>
    <w:rsid w:val="00CC056F"/>
    <w:rsid w:val="00CC098D"/>
    <w:rsid w:val="00CC0A27"/>
    <w:rsid w:val="00CC11C6"/>
    <w:rsid w:val="00CC1A46"/>
    <w:rsid w:val="00CC2403"/>
    <w:rsid w:val="00CC24F0"/>
    <w:rsid w:val="00CC269A"/>
    <w:rsid w:val="00CC28F1"/>
    <w:rsid w:val="00CC307A"/>
    <w:rsid w:val="00CC32D5"/>
    <w:rsid w:val="00CC35BC"/>
    <w:rsid w:val="00CC3C35"/>
    <w:rsid w:val="00CC3CE7"/>
    <w:rsid w:val="00CC437A"/>
    <w:rsid w:val="00CC504E"/>
    <w:rsid w:val="00CC55B9"/>
    <w:rsid w:val="00CC5A7B"/>
    <w:rsid w:val="00CC6AEA"/>
    <w:rsid w:val="00CC7450"/>
    <w:rsid w:val="00CC79F7"/>
    <w:rsid w:val="00CD0C69"/>
    <w:rsid w:val="00CD0D04"/>
    <w:rsid w:val="00CD130F"/>
    <w:rsid w:val="00CD37E7"/>
    <w:rsid w:val="00CD3B77"/>
    <w:rsid w:val="00CD3DF4"/>
    <w:rsid w:val="00CD4520"/>
    <w:rsid w:val="00CD4931"/>
    <w:rsid w:val="00CD54E4"/>
    <w:rsid w:val="00CD569A"/>
    <w:rsid w:val="00CD5BEA"/>
    <w:rsid w:val="00CD6721"/>
    <w:rsid w:val="00CD6921"/>
    <w:rsid w:val="00CD6A1C"/>
    <w:rsid w:val="00CD72A4"/>
    <w:rsid w:val="00CD74D7"/>
    <w:rsid w:val="00CD765B"/>
    <w:rsid w:val="00CD7C64"/>
    <w:rsid w:val="00CE02BB"/>
    <w:rsid w:val="00CE072E"/>
    <w:rsid w:val="00CE0C57"/>
    <w:rsid w:val="00CE0CCC"/>
    <w:rsid w:val="00CE1BAB"/>
    <w:rsid w:val="00CE2DA0"/>
    <w:rsid w:val="00CE2DD8"/>
    <w:rsid w:val="00CE384E"/>
    <w:rsid w:val="00CE3936"/>
    <w:rsid w:val="00CE3B51"/>
    <w:rsid w:val="00CE3FE8"/>
    <w:rsid w:val="00CE419F"/>
    <w:rsid w:val="00CE4716"/>
    <w:rsid w:val="00CE54F9"/>
    <w:rsid w:val="00CE5AF4"/>
    <w:rsid w:val="00CE6B58"/>
    <w:rsid w:val="00CE6C9D"/>
    <w:rsid w:val="00CE71CA"/>
    <w:rsid w:val="00CE7AC1"/>
    <w:rsid w:val="00CE7C46"/>
    <w:rsid w:val="00CF1299"/>
    <w:rsid w:val="00CF2601"/>
    <w:rsid w:val="00CF2E84"/>
    <w:rsid w:val="00CF2EB9"/>
    <w:rsid w:val="00CF31CB"/>
    <w:rsid w:val="00CF3507"/>
    <w:rsid w:val="00CF3E05"/>
    <w:rsid w:val="00CF4CB1"/>
    <w:rsid w:val="00CF5CA9"/>
    <w:rsid w:val="00CF6504"/>
    <w:rsid w:val="00CF6AF7"/>
    <w:rsid w:val="00CF77CB"/>
    <w:rsid w:val="00CF7C3E"/>
    <w:rsid w:val="00CF7C7A"/>
    <w:rsid w:val="00CF7F34"/>
    <w:rsid w:val="00D003E6"/>
    <w:rsid w:val="00D004DB"/>
    <w:rsid w:val="00D0070C"/>
    <w:rsid w:val="00D00790"/>
    <w:rsid w:val="00D00B4F"/>
    <w:rsid w:val="00D010D4"/>
    <w:rsid w:val="00D0121D"/>
    <w:rsid w:val="00D01248"/>
    <w:rsid w:val="00D01659"/>
    <w:rsid w:val="00D019DB"/>
    <w:rsid w:val="00D0224A"/>
    <w:rsid w:val="00D02689"/>
    <w:rsid w:val="00D026AA"/>
    <w:rsid w:val="00D03FAF"/>
    <w:rsid w:val="00D057F8"/>
    <w:rsid w:val="00D05954"/>
    <w:rsid w:val="00D05F3D"/>
    <w:rsid w:val="00D06DFA"/>
    <w:rsid w:val="00D071E1"/>
    <w:rsid w:val="00D07521"/>
    <w:rsid w:val="00D075AB"/>
    <w:rsid w:val="00D076DE"/>
    <w:rsid w:val="00D0788A"/>
    <w:rsid w:val="00D07958"/>
    <w:rsid w:val="00D07C05"/>
    <w:rsid w:val="00D07FFA"/>
    <w:rsid w:val="00D1018F"/>
    <w:rsid w:val="00D10EA1"/>
    <w:rsid w:val="00D11002"/>
    <w:rsid w:val="00D11354"/>
    <w:rsid w:val="00D119C1"/>
    <w:rsid w:val="00D11A9E"/>
    <w:rsid w:val="00D11D3F"/>
    <w:rsid w:val="00D12B14"/>
    <w:rsid w:val="00D12D99"/>
    <w:rsid w:val="00D140C4"/>
    <w:rsid w:val="00D1438A"/>
    <w:rsid w:val="00D14D8A"/>
    <w:rsid w:val="00D14FD9"/>
    <w:rsid w:val="00D15DD0"/>
    <w:rsid w:val="00D1638F"/>
    <w:rsid w:val="00D16BEB"/>
    <w:rsid w:val="00D16F1B"/>
    <w:rsid w:val="00D17425"/>
    <w:rsid w:val="00D177EC"/>
    <w:rsid w:val="00D20367"/>
    <w:rsid w:val="00D2036C"/>
    <w:rsid w:val="00D206AA"/>
    <w:rsid w:val="00D211FD"/>
    <w:rsid w:val="00D212AA"/>
    <w:rsid w:val="00D21322"/>
    <w:rsid w:val="00D2145E"/>
    <w:rsid w:val="00D214EF"/>
    <w:rsid w:val="00D21955"/>
    <w:rsid w:val="00D219F6"/>
    <w:rsid w:val="00D2202D"/>
    <w:rsid w:val="00D2227A"/>
    <w:rsid w:val="00D22465"/>
    <w:rsid w:val="00D22B38"/>
    <w:rsid w:val="00D23451"/>
    <w:rsid w:val="00D23A08"/>
    <w:rsid w:val="00D2483B"/>
    <w:rsid w:val="00D24909"/>
    <w:rsid w:val="00D25A41"/>
    <w:rsid w:val="00D25CA5"/>
    <w:rsid w:val="00D272CE"/>
    <w:rsid w:val="00D27C91"/>
    <w:rsid w:val="00D300F9"/>
    <w:rsid w:val="00D306E9"/>
    <w:rsid w:val="00D30E54"/>
    <w:rsid w:val="00D3109E"/>
    <w:rsid w:val="00D315A2"/>
    <w:rsid w:val="00D31F64"/>
    <w:rsid w:val="00D32568"/>
    <w:rsid w:val="00D329AF"/>
    <w:rsid w:val="00D32A6B"/>
    <w:rsid w:val="00D33C46"/>
    <w:rsid w:val="00D34041"/>
    <w:rsid w:val="00D341B0"/>
    <w:rsid w:val="00D3440D"/>
    <w:rsid w:val="00D34770"/>
    <w:rsid w:val="00D349FC"/>
    <w:rsid w:val="00D34DB1"/>
    <w:rsid w:val="00D34F71"/>
    <w:rsid w:val="00D35510"/>
    <w:rsid w:val="00D35A6B"/>
    <w:rsid w:val="00D3620C"/>
    <w:rsid w:val="00D369FC"/>
    <w:rsid w:val="00D36EDD"/>
    <w:rsid w:val="00D36F9F"/>
    <w:rsid w:val="00D370EA"/>
    <w:rsid w:val="00D373A8"/>
    <w:rsid w:val="00D37F2F"/>
    <w:rsid w:val="00D37F62"/>
    <w:rsid w:val="00D37F6E"/>
    <w:rsid w:val="00D37F7C"/>
    <w:rsid w:val="00D40590"/>
    <w:rsid w:val="00D408B0"/>
    <w:rsid w:val="00D40ADF"/>
    <w:rsid w:val="00D41127"/>
    <w:rsid w:val="00D41675"/>
    <w:rsid w:val="00D42079"/>
    <w:rsid w:val="00D4208F"/>
    <w:rsid w:val="00D4249B"/>
    <w:rsid w:val="00D42530"/>
    <w:rsid w:val="00D42F06"/>
    <w:rsid w:val="00D43C6F"/>
    <w:rsid w:val="00D43E7F"/>
    <w:rsid w:val="00D43F45"/>
    <w:rsid w:val="00D443CA"/>
    <w:rsid w:val="00D443E3"/>
    <w:rsid w:val="00D448D9"/>
    <w:rsid w:val="00D44DA7"/>
    <w:rsid w:val="00D45AC1"/>
    <w:rsid w:val="00D45C5B"/>
    <w:rsid w:val="00D45EDF"/>
    <w:rsid w:val="00D45FF9"/>
    <w:rsid w:val="00D4607D"/>
    <w:rsid w:val="00D46EB9"/>
    <w:rsid w:val="00D46FC9"/>
    <w:rsid w:val="00D472B2"/>
    <w:rsid w:val="00D47459"/>
    <w:rsid w:val="00D47A8D"/>
    <w:rsid w:val="00D50853"/>
    <w:rsid w:val="00D51A52"/>
    <w:rsid w:val="00D51AE0"/>
    <w:rsid w:val="00D51B61"/>
    <w:rsid w:val="00D51D91"/>
    <w:rsid w:val="00D51E39"/>
    <w:rsid w:val="00D52090"/>
    <w:rsid w:val="00D52093"/>
    <w:rsid w:val="00D522D2"/>
    <w:rsid w:val="00D52931"/>
    <w:rsid w:val="00D52981"/>
    <w:rsid w:val="00D52B4A"/>
    <w:rsid w:val="00D52BBB"/>
    <w:rsid w:val="00D52E92"/>
    <w:rsid w:val="00D5304D"/>
    <w:rsid w:val="00D53F23"/>
    <w:rsid w:val="00D545FC"/>
    <w:rsid w:val="00D551A1"/>
    <w:rsid w:val="00D5544B"/>
    <w:rsid w:val="00D55BCC"/>
    <w:rsid w:val="00D55C48"/>
    <w:rsid w:val="00D55E1A"/>
    <w:rsid w:val="00D55EA9"/>
    <w:rsid w:val="00D56002"/>
    <w:rsid w:val="00D560BA"/>
    <w:rsid w:val="00D56246"/>
    <w:rsid w:val="00D5637D"/>
    <w:rsid w:val="00D56434"/>
    <w:rsid w:val="00D565F5"/>
    <w:rsid w:val="00D567E7"/>
    <w:rsid w:val="00D56FD8"/>
    <w:rsid w:val="00D570E0"/>
    <w:rsid w:val="00D5749C"/>
    <w:rsid w:val="00D576EF"/>
    <w:rsid w:val="00D5789D"/>
    <w:rsid w:val="00D61CFB"/>
    <w:rsid w:val="00D63D63"/>
    <w:rsid w:val="00D64CB6"/>
    <w:rsid w:val="00D650F0"/>
    <w:rsid w:val="00D653B8"/>
    <w:rsid w:val="00D658A4"/>
    <w:rsid w:val="00D65F17"/>
    <w:rsid w:val="00D66158"/>
    <w:rsid w:val="00D66768"/>
    <w:rsid w:val="00D6696E"/>
    <w:rsid w:val="00D6699B"/>
    <w:rsid w:val="00D7083B"/>
    <w:rsid w:val="00D70974"/>
    <w:rsid w:val="00D709D7"/>
    <w:rsid w:val="00D70CDE"/>
    <w:rsid w:val="00D70D14"/>
    <w:rsid w:val="00D70DB0"/>
    <w:rsid w:val="00D70DB2"/>
    <w:rsid w:val="00D7108B"/>
    <w:rsid w:val="00D71240"/>
    <w:rsid w:val="00D71A39"/>
    <w:rsid w:val="00D71D98"/>
    <w:rsid w:val="00D72448"/>
    <w:rsid w:val="00D728A3"/>
    <w:rsid w:val="00D73193"/>
    <w:rsid w:val="00D7347D"/>
    <w:rsid w:val="00D7351A"/>
    <w:rsid w:val="00D74659"/>
    <w:rsid w:val="00D75049"/>
    <w:rsid w:val="00D75396"/>
    <w:rsid w:val="00D7562A"/>
    <w:rsid w:val="00D75773"/>
    <w:rsid w:val="00D75C6D"/>
    <w:rsid w:val="00D76048"/>
    <w:rsid w:val="00D7669A"/>
    <w:rsid w:val="00D76BC3"/>
    <w:rsid w:val="00D7709A"/>
    <w:rsid w:val="00D77379"/>
    <w:rsid w:val="00D77489"/>
    <w:rsid w:val="00D77781"/>
    <w:rsid w:val="00D7788D"/>
    <w:rsid w:val="00D77982"/>
    <w:rsid w:val="00D815B4"/>
    <w:rsid w:val="00D81825"/>
    <w:rsid w:val="00D81C5A"/>
    <w:rsid w:val="00D82840"/>
    <w:rsid w:val="00D82F30"/>
    <w:rsid w:val="00D82F4C"/>
    <w:rsid w:val="00D833BF"/>
    <w:rsid w:val="00D8373C"/>
    <w:rsid w:val="00D83A86"/>
    <w:rsid w:val="00D83CE9"/>
    <w:rsid w:val="00D8448B"/>
    <w:rsid w:val="00D84C2C"/>
    <w:rsid w:val="00D857FF"/>
    <w:rsid w:val="00D871A1"/>
    <w:rsid w:val="00D87309"/>
    <w:rsid w:val="00D87743"/>
    <w:rsid w:val="00D87817"/>
    <w:rsid w:val="00D8783D"/>
    <w:rsid w:val="00D87941"/>
    <w:rsid w:val="00D90149"/>
    <w:rsid w:val="00D902D3"/>
    <w:rsid w:val="00D90C7D"/>
    <w:rsid w:val="00D91096"/>
    <w:rsid w:val="00D9149F"/>
    <w:rsid w:val="00D91833"/>
    <w:rsid w:val="00D91897"/>
    <w:rsid w:val="00D9207E"/>
    <w:rsid w:val="00D927CB"/>
    <w:rsid w:val="00D937BF"/>
    <w:rsid w:val="00D93D9D"/>
    <w:rsid w:val="00D94119"/>
    <w:rsid w:val="00D94E0A"/>
    <w:rsid w:val="00D9510C"/>
    <w:rsid w:val="00D952B0"/>
    <w:rsid w:val="00D95309"/>
    <w:rsid w:val="00D955D7"/>
    <w:rsid w:val="00D95B8D"/>
    <w:rsid w:val="00D9652B"/>
    <w:rsid w:val="00D96E0A"/>
    <w:rsid w:val="00D96E1B"/>
    <w:rsid w:val="00D9704D"/>
    <w:rsid w:val="00D971AE"/>
    <w:rsid w:val="00D97578"/>
    <w:rsid w:val="00D976C2"/>
    <w:rsid w:val="00D97BAC"/>
    <w:rsid w:val="00DA0421"/>
    <w:rsid w:val="00DA0799"/>
    <w:rsid w:val="00DA133B"/>
    <w:rsid w:val="00DA17B4"/>
    <w:rsid w:val="00DA18F0"/>
    <w:rsid w:val="00DA3378"/>
    <w:rsid w:val="00DA35B8"/>
    <w:rsid w:val="00DA3631"/>
    <w:rsid w:val="00DA42BA"/>
    <w:rsid w:val="00DA44F9"/>
    <w:rsid w:val="00DA491F"/>
    <w:rsid w:val="00DA5169"/>
    <w:rsid w:val="00DA597F"/>
    <w:rsid w:val="00DA5E44"/>
    <w:rsid w:val="00DA6199"/>
    <w:rsid w:val="00DA6303"/>
    <w:rsid w:val="00DA6555"/>
    <w:rsid w:val="00DA6D24"/>
    <w:rsid w:val="00DA7598"/>
    <w:rsid w:val="00DA7882"/>
    <w:rsid w:val="00DA7FAB"/>
    <w:rsid w:val="00DB0018"/>
    <w:rsid w:val="00DB00D4"/>
    <w:rsid w:val="00DB042B"/>
    <w:rsid w:val="00DB19C9"/>
    <w:rsid w:val="00DB1BDC"/>
    <w:rsid w:val="00DB2242"/>
    <w:rsid w:val="00DB23FA"/>
    <w:rsid w:val="00DB27C2"/>
    <w:rsid w:val="00DB4568"/>
    <w:rsid w:val="00DB4CC8"/>
    <w:rsid w:val="00DB5068"/>
    <w:rsid w:val="00DB5455"/>
    <w:rsid w:val="00DB5A89"/>
    <w:rsid w:val="00DB5B75"/>
    <w:rsid w:val="00DB6AE2"/>
    <w:rsid w:val="00DB708B"/>
    <w:rsid w:val="00DC0063"/>
    <w:rsid w:val="00DC0538"/>
    <w:rsid w:val="00DC0601"/>
    <w:rsid w:val="00DC0771"/>
    <w:rsid w:val="00DC0AA2"/>
    <w:rsid w:val="00DC0C19"/>
    <w:rsid w:val="00DC0C9F"/>
    <w:rsid w:val="00DC1059"/>
    <w:rsid w:val="00DC16FB"/>
    <w:rsid w:val="00DC1B1A"/>
    <w:rsid w:val="00DC2194"/>
    <w:rsid w:val="00DC285F"/>
    <w:rsid w:val="00DC2F1F"/>
    <w:rsid w:val="00DC2F5D"/>
    <w:rsid w:val="00DC3121"/>
    <w:rsid w:val="00DC419E"/>
    <w:rsid w:val="00DC4231"/>
    <w:rsid w:val="00DC48D6"/>
    <w:rsid w:val="00DC53B8"/>
    <w:rsid w:val="00DC6223"/>
    <w:rsid w:val="00DC6226"/>
    <w:rsid w:val="00DC6328"/>
    <w:rsid w:val="00DC64E7"/>
    <w:rsid w:val="00DC6745"/>
    <w:rsid w:val="00DC6FE8"/>
    <w:rsid w:val="00DC7462"/>
    <w:rsid w:val="00DC7BA1"/>
    <w:rsid w:val="00DD0246"/>
    <w:rsid w:val="00DD11DF"/>
    <w:rsid w:val="00DD18D8"/>
    <w:rsid w:val="00DD1EB1"/>
    <w:rsid w:val="00DD27CB"/>
    <w:rsid w:val="00DD285C"/>
    <w:rsid w:val="00DD292F"/>
    <w:rsid w:val="00DD2AA6"/>
    <w:rsid w:val="00DD2FA9"/>
    <w:rsid w:val="00DD3096"/>
    <w:rsid w:val="00DD3360"/>
    <w:rsid w:val="00DD34A6"/>
    <w:rsid w:val="00DD38CC"/>
    <w:rsid w:val="00DD4210"/>
    <w:rsid w:val="00DD4653"/>
    <w:rsid w:val="00DD4D44"/>
    <w:rsid w:val="00DD4F7F"/>
    <w:rsid w:val="00DD5088"/>
    <w:rsid w:val="00DD5C4B"/>
    <w:rsid w:val="00DD61CF"/>
    <w:rsid w:val="00DD6D21"/>
    <w:rsid w:val="00DD70D0"/>
    <w:rsid w:val="00DD7C3E"/>
    <w:rsid w:val="00DE0463"/>
    <w:rsid w:val="00DE0B68"/>
    <w:rsid w:val="00DE17B0"/>
    <w:rsid w:val="00DE2D60"/>
    <w:rsid w:val="00DE31E6"/>
    <w:rsid w:val="00DE3430"/>
    <w:rsid w:val="00DE3509"/>
    <w:rsid w:val="00DE3DEC"/>
    <w:rsid w:val="00DE41CA"/>
    <w:rsid w:val="00DE42FD"/>
    <w:rsid w:val="00DE59BD"/>
    <w:rsid w:val="00DE5FD7"/>
    <w:rsid w:val="00DE63D6"/>
    <w:rsid w:val="00DE7212"/>
    <w:rsid w:val="00DE76ED"/>
    <w:rsid w:val="00DE79E6"/>
    <w:rsid w:val="00DF075A"/>
    <w:rsid w:val="00DF12E5"/>
    <w:rsid w:val="00DF156C"/>
    <w:rsid w:val="00DF163B"/>
    <w:rsid w:val="00DF2236"/>
    <w:rsid w:val="00DF2376"/>
    <w:rsid w:val="00DF24B6"/>
    <w:rsid w:val="00DF2C07"/>
    <w:rsid w:val="00DF2CCC"/>
    <w:rsid w:val="00DF3CF5"/>
    <w:rsid w:val="00DF4288"/>
    <w:rsid w:val="00DF49B3"/>
    <w:rsid w:val="00DF5384"/>
    <w:rsid w:val="00DF577C"/>
    <w:rsid w:val="00DF6B44"/>
    <w:rsid w:val="00DF6D80"/>
    <w:rsid w:val="00DF774C"/>
    <w:rsid w:val="00DF7EC1"/>
    <w:rsid w:val="00E003A6"/>
    <w:rsid w:val="00E01608"/>
    <w:rsid w:val="00E01A6B"/>
    <w:rsid w:val="00E0304C"/>
    <w:rsid w:val="00E037EF"/>
    <w:rsid w:val="00E03AF9"/>
    <w:rsid w:val="00E04024"/>
    <w:rsid w:val="00E0414B"/>
    <w:rsid w:val="00E04DE3"/>
    <w:rsid w:val="00E05C1B"/>
    <w:rsid w:val="00E0640E"/>
    <w:rsid w:val="00E06640"/>
    <w:rsid w:val="00E067D9"/>
    <w:rsid w:val="00E06999"/>
    <w:rsid w:val="00E06FFB"/>
    <w:rsid w:val="00E079E8"/>
    <w:rsid w:val="00E07A3E"/>
    <w:rsid w:val="00E10250"/>
    <w:rsid w:val="00E106D3"/>
    <w:rsid w:val="00E10832"/>
    <w:rsid w:val="00E10EDC"/>
    <w:rsid w:val="00E11148"/>
    <w:rsid w:val="00E11AC7"/>
    <w:rsid w:val="00E11DD9"/>
    <w:rsid w:val="00E1202F"/>
    <w:rsid w:val="00E12C6E"/>
    <w:rsid w:val="00E13658"/>
    <w:rsid w:val="00E1390C"/>
    <w:rsid w:val="00E13D67"/>
    <w:rsid w:val="00E13F27"/>
    <w:rsid w:val="00E14A08"/>
    <w:rsid w:val="00E15147"/>
    <w:rsid w:val="00E15153"/>
    <w:rsid w:val="00E1539D"/>
    <w:rsid w:val="00E1559A"/>
    <w:rsid w:val="00E1582B"/>
    <w:rsid w:val="00E16488"/>
    <w:rsid w:val="00E16627"/>
    <w:rsid w:val="00E16DB6"/>
    <w:rsid w:val="00E16F62"/>
    <w:rsid w:val="00E171DB"/>
    <w:rsid w:val="00E172E8"/>
    <w:rsid w:val="00E172FD"/>
    <w:rsid w:val="00E17308"/>
    <w:rsid w:val="00E17598"/>
    <w:rsid w:val="00E17893"/>
    <w:rsid w:val="00E17BD9"/>
    <w:rsid w:val="00E17E37"/>
    <w:rsid w:val="00E20107"/>
    <w:rsid w:val="00E20635"/>
    <w:rsid w:val="00E20FC5"/>
    <w:rsid w:val="00E21364"/>
    <w:rsid w:val="00E2145B"/>
    <w:rsid w:val="00E2204A"/>
    <w:rsid w:val="00E22442"/>
    <w:rsid w:val="00E224BC"/>
    <w:rsid w:val="00E227B5"/>
    <w:rsid w:val="00E228A5"/>
    <w:rsid w:val="00E229F0"/>
    <w:rsid w:val="00E22A17"/>
    <w:rsid w:val="00E22EF8"/>
    <w:rsid w:val="00E235CF"/>
    <w:rsid w:val="00E239AE"/>
    <w:rsid w:val="00E24042"/>
    <w:rsid w:val="00E24A5F"/>
    <w:rsid w:val="00E25DC2"/>
    <w:rsid w:val="00E2646A"/>
    <w:rsid w:val="00E30086"/>
    <w:rsid w:val="00E3016F"/>
    <w:rsid w:val="00E302DE"/>
    <w:rsid w:val="00E3075E"/>
    <w:rsid w:val="00E31690"/>
    <w:rsid w:val="00E31845"/>
    <w:rsid w:val="00E31C75"/>
    <w:rsid w:val="00E32324"/>
    <w:rsid w:val="00E324BA"/>
    <w:rsid w:val="00E32BA5"/>
    <w:rsid w:val="00E32E8E"/>
    <w:rsid w:val="00E33009"/>
    <w:rsid w:val="00E33040"/>
    <w:rsid w:val="00E33986"/>
    <w:rsid w:val="00E33E10"/>
    <w:rsid w:val="00E340DD"/>
    <w:rsid w:val="00E341F7"/>
    <w:rsid w:val="00E344C4"/>
    <w:rsid w:val="00E34772"/>
    <w:rsid w:val="00E34995"/>
    <w:rsid w:val="00E34BBD"/>
    <w:rsid w:val="00E35295"/>
    <w:rsid w:val="00E358B8"/>
    <w:rsid w:val="00E362BD"/>
    <w:rsid w:val="00E36404"/>
    <w:rsid w:val="00E36773"/>
    <w:rsid w:val="00E36A6D"/>
    <w:rsid w:val="00E37386"/>
    <w:rsid w:val="00E37BE1"/>
    <w:rsid w:val="00E37F11"/>
    <w:rsid w:val="00E40730"/>
    <w:rsid w:val="00E40CE1"/>
    <w:rsid w:val="00E40F4F"/>
    <w:rsid w:val="00E41149"/>
    <w:rsid w:val="00E41A1F"/>
    <w:rsid w:val="00E41D4C"/>
    <w:rsid w:val="00E422E2"/>
    <w:rsid w:val="00E424D0"/>
    <w:rsid w:val="00E42A53"/>
    <w:rsid w:val="00E42EC8"/>
    <w:rsid w:val="00E4313E"/>
    <w:rsid w:val="00E438D2"/>
    <w:rsid w:val="00E4390C"/>
    <w:rsid w:val="00E43BCC"/>
    <w:rsid w:val="00E43D64"/>
    <w:rsid w:val="00E43EFB"/>
    <w:rsid w:val="00E44494"/>
    <w:rsid w:val="00E44DEE"/>
    <w:rsid w:val="00E44E6D"/>
    <w:rsid w:val="00E455D3"/>
    <w:rsid w:val="00E46789"/>
    <w:rsid w:val="00E47B3D"/>
    <w:rsid w:val="00E47FCF"/>
    <w:rsid w:val="00E5021E"/>
    <w:rsid w:val="00E5046B"/>
    <w:rsid w:val="00E505FC"/>
    <w:rsid w:val="00E507DA"/>
    <w:rsid w:val="00E50827"/>
    <w:rsid w:val="00E516A0"/>
    <w:rsid w:val="00E517D6"/>
    <w:rsid w:val="00E51934"/>
    <w:rsid w:val="00E51AD5"/>
    <w:rsid w:val="00E51B94"/>
    <w:rsid w:val="00E52FA6"/>
    <w:rsid w:val="00E531AB"/>
    <w:rsid w:val="00E53629"/>
    <w:rsid w:val="00E53BA1"/>
    <w:rsid w:val="00E54A70"/>
    <w:rsid w:val="00E5500A"/>
    <w:rsid w:val="00E557CB"/>
    <w:rsid w:val="00E559F8"/>
    <w:rsid w:val="00E55AF0"/>
    <w:rsid w:val="00E5610D"/>
    <w:rsid w:val="00E56BBC"/>
    <w:rsid w:val="00E56FDC"/>
    <w:rsid w:val="00E570D9"/>
    <w:rsid w:val="00E572C2"/>
    <w:rsid w:val="00E5795E"/>
    <w:rsid w:val="00E60085"/>
    <w:rsid w:val="00E6017D"/>
    <w:rsid w:val="00E601AA"/>
    <w:rsid w:val="00E61039"/>
    <w:rsid w:val="00E617F6"/>
    <w:rsid w:val="00E618EB"/>
    <w:rsid w:val="00E638DB"/>
    <w:rsid w:val="00E63DD4"/>
    <w:rsid w:val="00E64252"/>
    <w:rsid w:val="00E643A6"/>
    <w:rsid w:val="00E64F3E"/>
    <w:rsid w:val="00E65684"/>
    <w:rsid w:val="00E65832"/>
    <w:rsid w:val="00E66336"/>
    <w:rsid w:val="00E667AB"/>
    <w:rsid w:val="00E66A60"/>
    <w:rsid w:val="00E66A79"/>
    <w:rsid w:val="00E66C22"/>
    <w:rsid w:val="00E674AA"/>
    <w:rsid w:val="00E675F5"/>
    <w:rsid w:val="00E67A83"/>
    <w:rsid w:val="00E67DB4"/>
    <w:rsid w:val="00E67E84"/>
    <w:rsid w:val="00E7052E"/>
    <w:rsid w:val="00E706B9"/>
    <w:rsid w:val="00E70735"/>
    <w:rsid w:val="00E71639"/>
    <w:rsid w:val="00E716E7"/>
    <w:rsid w:val="00E71733"/>
    <w:rsid w:val="00E719AD"/>
    <w:rsid w:val="00E71CF7"/>
    <w:rsid w:val="00E724AB"/>
    <w:rsid w:val="00E730A7"/>
    <w:rsid w:val="00E73A01"/>
    <w:rsid w:val="00E74E8D"/>
    <w:rsid w:val="00E74F73"/>
    <w:rsid w:val="00E75150"/>
    <w:rsid w:val="00E751BF"/>
    <w:rsid w:val="00E761F7"/>
    <w:rsid w:val="00E77A93"/>
    <w:rsid w:val="00E808B6"/>
    <w:rsid w:val="00E814E4"/>
    <w:rsid w:val="00E81A42"/>
    <w:rsid w:val="00E81FF1"/>
    <w:rsid w:val="00E82183"/>
    <w:rsid w:val="00E826AD"/>
    <w:rsid w:val="00E82998"/>
    <w:rsid w:val="00E82D76"/>
    <w:rsid w:val="00E83BEB"/>
    <w:rsid w:val="00E841D6"/>
    <w:rsid w:val="00E845A8"/>
    <w:rsid w:val="00E84647"/>
    <w:rsid w:val="00E8500B"/>
    <w:rsid w:val="00E852FB"/>
    <w:rsid w:val="00E85EF5"/>
    <w:rsid w:val="00E8617B"/>
    <w:rsid w:val="00E86904"/>
    <w:rsid w:val="00E86B41"/>
    <w:rsid w:val="00E8708B"/>
    <w:rsid w:val="00E87273"/>
    <w:rsid w:val="00E8743B"/>
    <w:rsid w:val="00E8770A"/>
    <w:rsid w:val="00E87C17"/>
    <w:rsid w:val="00E91209"/>
    <w:rsid w:val="00E913F1"/>
    <w:rsid w:val="00E9153C"/>
    <w:rsid w:val="00E9173B"/>
    <w:rsid w:val="00E91B54"/>
    <w:rsid w:val="00E92208"/>
    <w:rsid w:val="00E926F9"/>
    <w:rsid w:val="00E92858"/>
    <w:rsid w:val="00E92D24"/>
    <w:rsid w:val="00E92EC7"/>
    <w:rsid w:val="00E92FE3"/>
    <w:rsid w:val="00E938B6"/>
    <w:rsid w:val="00E94217"/>
    <w:rsid w:val="00E95192"/>
    <w:rsid w:val="00E952F9"/>
    <w:rsid w:val="00E9573B"/>
    <w:rsid w:val="00E957D8"/>
    <w:rsid w:val="00E95937"/>
    <w:rsid w:val="00E95DBE"/>
    <w:rsid w:val="00E961EE"/>
    <w:rsid w:val="00E96DF8"/>
    <w:rsid w:val="00E97B30"/>
    <w:rsid w:val="00E97BF1"/>
    <w:rsid w:val="00E97EF6"/>
    <w:rsid w:val="00E97FBA"/>
    <w:rsid w:val="00EA03C2"/>
    <w:rsid w:val="00EA1219"/>
    <w:rsid w:val="00EA1348"/>
    <w:rsid w:val="00EA18F7"/>
    <w:rsid w:val="00EA1A49"/>
    <w:rsid w:val="00EA2532"/>
    <w:rsid w:val="00EA38AB"/>
    <w:rsid w:val="00EA3A7B"/>
    <w:rsid w:val="00EA3EA3"/>
    <w:rsid w:val="00EA41A0"/>
    <w:rsid w:val="00EA43FA"/>
    <w:rsid w:val="00EA4549"/>
    <w:rsid w:val="00EA4576"/>
    <w:rsid w:val="00EA46BC"/>
    <w:rsid w:val="00EA4EA2"/>
    <w:rsid w:val="00EA5434"/>
    <w:rsid w:val="00EA544B"/>
    <w:rsid w:val="00EA62CA"/>
    <w:rsid w:val="00EA641F"/>
    <w:rsid w:val="00EA6437"/>
    <w:rsid w:val="00EA6DBB"/>
    <w:rsid w:val="00EA71CF"/>
    <w:rsid w:val="00EA71FA"/>
    <w:rsid w:val="00EA75CA"/>
    <w:rsid w:val="00EA7629"/>
    <w:rsid w:val="00EA7F41"/>
    <w:rsid w:val="00EB028A"/>
    <w:rsid w:val="00EB0781"/>
    <w:rsid w:val="00EB0C04"/>
    <w:rsid w:val="00EB11DB"/>
    <w:rsid w:val="00EB17B0"/>
    <w:rsid w:val="00EB1D6B"/>
    <w:rsid w:val="00EB1E86"/>
    <w:rsid w:val="00EB2158"/>
    <w:rsid w:val="00EB4615"/>
    <w:rsid w:val="00EB513F"/>
    <w:rsid w:val="00EB5212"/>
    <w:rsid w:val="00EB525F"/>
    <w:rsid w:val="00EB52F2"/>
    <w:rsid w:val="00EB53E2"/>
    <w:rsid w:val="00EB5476"/>
    <w:rsid w:val="00EB5910"/>
    <w:rsid w:val="00EB7179"/>
    <w:rsid w:val="00EB71F6"/>
    <w:rsid w:val="00EC048A"/>
    <w:rsid w:val="00EC077A"/>
    <w:rsid w:val="00EC09F9"/>
    <w:rsid w:val="00EC0C51"/>
    <w:rsid w:val="00EC0D14"/>
    <w:rsid w:val="00EC1225"/>
    <w:rsid w:val="00EC1580"/>
    <w:rsid w:val="00EC1A02"/>
    <w:rsid w:val="00EC1D11"/>
    <w:rsid w:val="00EC1DB5"/>
    <w:rsid w:val="00EC228F"/>
    <w:rsid w:val="00EC28D6"/>
    <w:rsid w:val="00EC31C8"/>
    <w:rsid w:val="00EC51A9"/>
    <w:rsid w:val="00EC59EA"/>
    <w:rsid w:val="00EC6162"/>
    <w:rsid w:val="00EC6CB9"/>
    <w:rsid w:val="00EC72A3"/>
    <w:rsid w:val="00EC7397"/>
    <w:rsid w:val="00ED04EF"/>
    <w:rsid w:val="00ED0BED"/>
    <w:rsid w:val="00ED0FDC"/>
    <w:rsid w:val="00ED1BC5"/>
    <w:rsid w:val="00ED2F77"/>
    <w:rsid w:val="00ED334D"/>
    <w:rsid w:val="00ED40B7"/>
    <w:rsid w:val="00ED420A"/>
    <w:rsid w:val="00ED42AE"/>
    <w:rsid w:val="00ED43F7"/>
    <w:rsid w:val="00ED4CA7"/>
    <w:rsid w:val="00ED714A"/>
    <w:rsid w:val="00ED7ABD"/>
    <w:rsid w:val="00EE0C4D"/>
    <w:rsid w:val="00EE0CF9"/>
    <w:rsid w:val="00EE0F64"/>
    <w:rsid w:val="00EE130F"/>
    <w:rsid w:val="00EE146B"/>
    <w:rsid w:val="00EE24F3"/>
    <w:rsid w:val="00EE250D"/>
    <w:rsid w:val="00EE287D"/>
    <w:rsid w:val="00EE2C5B"/>
    <w:rsid w:val="00EE2F96"/>
    <w:rsid w:val="00EE34DC"/>
    <w:rsid w:val="00EE3CC5"/>
    <w:rsid w:val="00EE3F5A"/>
    <w:rsid w:val="00EE3F7F"/>
    <w:rsid w:val="00EE4786"/>
    <w:rsid w:val="00EE50B5"/>
    <w:rsid w:val="00EE5800"/>
    <w:rsid w:val="00EE5E0D"/>
    <w:rsid w:val="00EE64E2"/>
    <w:rsid w:val="00EE7533"/>
    <w:rsid w:val="00EE7777"/>
    <w:rsid w:val="00EE7D1E"/>
    <w:rsid w:val="00EF0105"/>
    <w:rsid w:val="00EF0552"/>
    <w:rsid w:val="00EF0747"/>
    <w:rsid w:val="00EF0BFC"/>
    <w:rsid w:val="00EF0ED0"/>
    <w:rsid w:val="00EF1BA9"/>
    <w:rsid w:val="00EF1BB8"/>
    <w:rsid w:val="00EF2443"/>
    <w:rsid w:val="00EF3ECB"/>
    <w:rsid w:val="00EF42C4"/>
    <w:rsid w:val="00EF44AE"/>
    <w:rsid w:val="00EF492A"/>
    <w:rsid w:val="00EF4E60"/>
    <w:rsid w:val="00EF532D"/>
    <w:rsid w:val="00EF561D"/>
    <w:rsid w:val="00EF5680"/>
    <w:rsid w:val="00EF5885"/>
    <w:rsid w:val="00EF58D1"/>
    <w:rsid w:val="00EF596B"/>
    <w:rsid w:val="00EF6269"/>
    <w:rsid w:val="00EF636B"/>
    <w:rsid w:val="00EF6B9C"/>
    <w:rsid w:val="00EF6E81"/>
    <w:rsid w:val="00EF7AC5"/>
    <w:rsid w:val="00EF7E93"/>
    <w:rsid w:val="00F00036"/>
    <w:rsid w:val="00F0028D"/>
    <w:rsid w:val="00F005D6"/>
    <w:rsid w:val="00F008A0"/>
    <w:rsid w:val="00F010D8"/>
    <w:rsid w:val="00F0199E"/>
    <w:rsid w:val="00F01BF9"/>
    <w:rsid w:val="00F01CC5"/>
    <w:rsid w:val="00F02DBE"/>
    <w:rsid w:val="00F03967"/>
    <w:rsid w:val="00F039EF"/>
    <w:rsid w:val="00F03AD3"/>
    <w:rsid w:val="00F04167"/>
    <w:rsid w:val="00F04BAA"/>
    <w:rsid w:val="00F04CDD"/>
    <w:rsid w:val="00F04D07"/>
    <w:rsid w:val="00F04D6F"/>
    <w:rsid w:val="00F05210"/>
    <w:rsid w:val="00F057F4"/>
    <w:rsid w:val="00F05B9C"/>
    <w:rsid w:val="00F05C60"/>
    <w:rsid w:val="00F065C1"/>
    <w:rsid w:val="00F0660B"/>
    <w:rsid w:val="00F06645"/>
    <w:rsid w:val="00F06A2F"/>
    <w:rsid w:val="00F06A4C"/>
    <w:rsid w:val="00F06CF3"/>
    <w:rsid w:val="00F07192"/>
    <w:rsid w:val="00F102E9"/>
    <w:rsid w:val="00F10452"/>
    <w:rsid w:val="00F10597"/>
    <w:rsid w:val="00F107FA"/>
    <w:rsid w:val="00F10877"/>
    <w:rsid w:val="00F10A7B"/>
    <w:rsid w:val="00F1110E"/>
    <w:rsid w:val="00F1110F"/>
    <w:rsid w:val="00F11422"/>
    <w:rsid w:val="00F11989"/>
    <w:rsid w:val="00F11A4D"/>
    <w:rsid w:val="00F11B49"/>
    <w:rsid w:val="00F11DF2"/>
    <w:rsid w:val="00F123B1"/>
    <w:rsid w:val="00F12E8F"/>
    <w:rsid w:val="00F13635"/>
    <w:rsid w:val="00F13B3D"/>
    <w:rsid w:val="00F13FBC"/>
    <w:rsid w:val="00F14C78"/>
    <w:rsid w:val="00F15323"/>
    <w:rsid w:val="00F1641A"/>
    <w:rsid w:val="00F16432"/>
    <w:rsid w:val="00F16AE4"/>
    <w:rsid w:val="00F1708D"/>
    <w:rsid w:val="00F17450"/>
    <w:rsid w:val="00F1764C"/>
    <w:rsid w:val="00F17B87"/>
    <w:rsid w:val="00F2033F"/>
    <w:rsid w:val="00F2036E"/>
    <w:rsid w:val="00F20427"/>
    <w:rsid w:val="00F2079B"/>
    <w:rsid w:val="00F210BE"/>
    <w:rsid w:val="00F212E9"/>
    <w:rsid w:val="00F21926"/>
    <w:rsid w:val="00F21C65"/>
    <w:rsid w:val="00F24997"/>
    <w:rsid w:val="00F2524A"/>
    <w:rsid w:val="00F25B38"/>
    <w:rsid w:val="00F25D5D"/>
    <w:rsid w:val="00F26292"/>
    <w:rsid w:val="00F2654B"/>
    <w:rsid w:val="00F273FA"/>
    <w:rsid w:val="00F27475"/>
    <w:rsid w:val="00F27F1E"/>
    <w:rsid w:val="00F27FF2"/>
    <w:rsid w:val="00F30127"/>
    <w:rsid w:val="00F308C5"/>
    <w:rsid w:val="00F31461"/>
    <w:rsid w:val="00F3175A"/>
    <w:rsid w:val="00F32CF0"/>
    <w:rsid w:val="00F32E9A"/>
    <w:rsid w:val="00F33509"/>
    <w:rsid w:val="00F33A75"/>
    <w:rsid w:val="00F33D80"/>
    <w:rsid w:val="00F34311"/>
    <w:rsid w:val="00F34E66"/>
    <w:rsid w:val="00F34F77"/>
    <w:rsid w:val="00F3581D"/>
    <w:rsid w:val="00F35A9C"/>
    <w:rsid w:val="00F35B61"/>
    <w:rsid w:val="00F35BA2"/>
    <w:rsid w:val="00F367BF"/>
    <w:rsid w:val="00F37300"/>
    <w:rsid w:val="00F37F8A"/>
    <w:rsid w:val="00F401A2"/>
    <w:rsid w:val="00F4060F"/>
    <w:rsid w:val="00F40829"/>
    <w:rsid w:val="00F40928"/>
    <w:rsid w:val="00F40C17"/>
    <w:rsid w:val="00F410A0"/>
    <w:rsid w:val="00F41BBF"/>
    <w:rsid w:val="00F42021"/>
    <w:rsid w:val="00F42187"/>
    <w:rsid w:val="00F42A89"/>
    <w:rsid w:val="00F42B69"/>
    <w:rsid w:val="00F42C2B"/>
    <w:rsid w:val="00F434B6"/>
    <w:rsid w:val="00F440AA"/>
    <w:rsid w:val="00F44784"/>
    <w:rsid w:val="00F44AC5"/>
    <w:rsid w:val="00F44CE6"/>
    <w:rsid w:val="00F462D7"/>
    <w:rsid w:val="00F46DF5"/>
    <w:rsid w:val="00F503A3"/>
    <w:rsid w:val="00F50574"/>
    <w:rsid w:val="00F508FF"/>
    <w:rsid w:val="00F50A3E"/>
    <w:rsid w:val="00F50BF1"/>
    <w:rsid w:val="00F51160"/>
    <w:rsid w:val="00F512E1"/>
    <w:rsid w:val="00F51744"/>
    <w:rsid w:val="00F52CA8"/>
    <w:rsid w:val="00F52CB2"/>
    <w:rsid w:val="00F52FE8"/>
    <w:rsid w:val="00F539DC"/>
    <w:rsid w:val="00F539DD"/>
    <w:rsid w:val="00F5487A"/>
    <w:rsid w:val="00F54CCF"/>
    <w:rsid w:val="00F54F51"/>
    <w:rsid w:val="00F554ED"/>
    <w:rsid w:val="00F55FAC"/>
    <w:rsid w:val="00F563B9"/>
    <w:rsid w:val="00F56489"/>
    <w:rsid w:val="00F56768"/>
    <w:rsid w:val="00F57820"/>
    <w:rsid w:val="00F57F05"/>
    <w:rsid w:val="00F57FCD"/>
    <w:rsid w:val="00F609AC"/>
    <w:rsid w:val="00F60B1C"/>
    <w:rsid w:val="00F60BDA"/>
    <w:rsid w:val="00F6185A"/>
    <w:rsid w:val="00F61950"/>
    <w:rsid w:val="00F61D4C"/>
    <w:rsid w:val="00F6239D"/>
    <w:rsid w:val="00F623DD"/>
    <w:rsid w:val="00F6272A"/>
    <w:rsid w:val="00F62896"/>
    <w:rsid w:val="00F62AB3"/>
    <w:rsid w:val="00F63594"/>
    <w:rsid w:val="00F63B39"/>
    <w:rsid w:val="00F63E5A"/>
    <w:rsid w:val="00F6419D"/>
    <w:rsid w:val="00F642C6"/>
    <w:rsid w:val="00F64540"/>
    <w:rsid w:val="00F64B41"/>
    <w:rsid w:val="00F65DDB"/>
    <w:rsid w:val="00F666B4"/>
    <w:rsid w:val="00F6708E"/>
    <w:rsid w:val="00F6715B"/>
    <w:rsid w:val="00F67925"/>
    <w:rsid w:val="00F67E1E"/>
    <w:rsid w:val="00F70BB1"/>
    <w:rsid w:val="00F71A09"/>
    <w:rsid w:val="00F71D1A"/>
    <w:rsid w:val="00F72173"/>
    <w:rsid w:val="00F72199"/>
    <w:rsid w:val="00F7270D"/>
    <w:rsid w:val="00F728C3"/>
    <w:rsid w:val="00F73119"/>
    <w:rsid w:val="00F733B3"/>
    <w:rsid w:val="00F736DD"/>
    <w:rsid w:val="00F73A6E"/>
    <w:rsid w:val="00F747A7"/>
    <w:rsid w:val="00F74882"/>
    <w:rsid w:val="00F74E4C"/>
    <w:rsid w:val="00F75166"/>
    <w:rsid w:val="00F75B3B"/>
    <w:rsid w:val="00F767DB"/>
    <w:rsid w:val="00F76CB7"/>
    <w:rsid w:val="00F7706E"/>
    <w:rsid w:val="00F774A3"/>
    <w:rsid w:val="00F77840"/>
    <w:rsid w:val="00F77DF8"/>
    <w:rsid w:val="00F77F85"/>
    <w:rsid w:val="00F809F2"/>
    <w:rsid w:val="00F80BCF"/>
    <w:rsid w:val="00F81641"/>
    <w:rsid w:val="00F81951"/>
    <w:rsid w:val="00F81C52"/>
    <w:rsid w:val="00F8322C"/>
    <w:rsid w:val="00F833B0"/>
    <w:rsid w:val="00F83486"/>
    <w:rsid w:val="00F83790"/>
    <w:rsid w:val="00F838D1"/>
    <w:rsid w:val="00F841C2"/>
    <w:rsid w:val="00F842E7"/>
    <w:rsid w:val="00F84666"/>
    <w:rsid w:val="00F84976"/>
    <w:rsid w:val="00F84A1B"/>
    <w:rsid w:val="00F84C1C"/>
    <w:rsid w:val="00F8509C"/>
    <w:rsid w:val="00F85438"/>
    <w:rsid w:val="00F85820"/>
    <w:rsid w:val="00F866AA"/>
    <w:rsid w:val="00F86961"/>
    <w:rsid w:val="00F86EC5"/>
    <w:rsid w:val="00F86F8C"/>
    <w:rsid w:val="00F8705D"/>
    <w:rsid w:val="00F87483"/>
    <w:rsid w:val="00F87705"/>
    <w:rsid w:val="00F87912"/>
    <w:rsid w:val="00F90244"/>
    <w:rsid w:val="00F903CE"/>
    <w:rsid w:val="00F9062C"/>
    <w:rsid w:val="00F90B8A"/>
    <w:rsid w:val="00F90ECC"/>
    <w:rsid w:val="00F90FAC"/>
    <w:rsid w:val="00F917DF"/>
    <w:rsid w:val="00F91EC2"/>
    <w:rsid w:val="00F92191"/>
    <w:rsid w:val="00F9275D"/>
    <w:rsid w:val="00F92F68"/>
    <w:rsid w:val="00F93D60"/>
    <w:rsid w:val="00F94BA4"/>
    <w:rsid w:val="00F95317"/>
    <w:rsid w:val="00F95759"/>
    <w:rsid w:val="00F959B1"/>
    <w:rsid w:val="00F95C67"/>
    <w:rsid w:val="00F95D7E"/>
    <w:rsid w:val="00F95DFD"/>
    <w:rsid w:val="00F96191"/>
    <w:rsid w:val="00F96A45"/>
    <w:rsid w:val="00F96B75"/>
    <w:rsid w:val="00F9735D"/>
    <w:rsid w:val="00F97701"/>
    <w:rsid w:val="00F97A72"/>
    <w:rsid w:val="00FA04D0"/>
    <w:rsid w:val="00FA1369"/>
    <w:rsid w:val="00FA1BD5"/>
    <w:rsid w:val="00FA2413"/>
    <w:rsid w:val="00FA2741"/>
    <w:rsid w:val="00FA3254"/>
    <w:rsid w:val="00FA4597"/>
    <w:rsid w:val="00FA5568"/>
    <w:rsid w:val="00FA55B3"/>
    <w:rsid w:val="00FA5D6F"/>
    <w:rsid w:val="00FA5E2A"/>
    <w:rsid w:val="00FA6211"/>
    <w:rsid w:val="00FA6410"/>
    <w:rsid w:val="00FA6B9D"/>
    <w:rsid w:val="00FA6E9C"/>
    <w:rsid w:val="00FA6EB5"/>
    <w:rsid w:val="00FA7251"/>
    <w:rsid w:val="00FA756B"/>
    <w:rsid w:val="00FB01AA"/>
    <w:rsid w:val="00FB0226"/>
    <w:rsid w:val="00FB035D"/>
    <w:rsid w:val="00FB0815"/>
    <w:rsid w:val="00FB10D3"/>
    <w:rsid w:val="00FB11DD"/>
    <w:rsid w:val="00FB1232"/>
    <w:rsid w:val="00FB1477"/>
    <w:rsid w:val="00FB1DC3"/>
    <w:rsid w:val="00FB25E5"/>
    <w:rsid w:val="00FB279F"/>
    <w:rsid w:val="00FB2A2A"/>
    <w:rsid w:val="00FB2D24"/>
    <w:rsid w:val="00FB39EA"/>
    <w:rsid w:val="00FB3B24"/>
    <w:rsid w:val="00FB3D5D"/>
    <w:rsid w:val="00FB3F19"/>
    <w:rsid w:val="00FB46CA"/>
    <w:rsid w:val="00FB4F7D"/>
    <w:rsid w:val="00FB5C36"/>
    <w:rsid w:val="00FB5C5D"/>
    <w:rsid w:val="00FB5FE9"/>
    <w:rsid w:val="00FB5FF5"/>
    <w:rsid w:val="00FB67E5"/>
    <w:rsid w:val="00FB6B20"/>
    <w:rsid w:val="00FB6DB5"/>
    <w:rsid w:val="00FB6DCF"/>
    <w:rsid w:val="00FB6F5C"/>
    <w:rsid w:val="00FB7A78"/>
    <w:rsid w:val="00FB7C7F"/>
    <w:rsid w:val="00FC0030"/>
    <w:rsid w:val="00FC0494"/>
    <w:rsid w:val="00FC0C9E"/>
    <w:rsid w:val="00FC0CE7"/>
    <w:rsid w:val="00FC0F7E"/>
    <w:rsid w:val="00FC13BD"/>
    <w:rsid w:val="00FC20DB"/>
    <w:rsid w:val="00FC2266"/>
    <w:rsid w:val="00FC22E3"/>
    <w:rsid w:val="00FC2C55"/>
    <w:rsid w:val="00FC32EB"/>
    <w:rsid w:val="00FC3871"/>
    <w:rsid w:val="00FC3A44"/>
    <w:rsid w:val="00FC3B35"/>
    <w:rsid w:val="00FC3BBF"/>
    <w:rsid w:val="00FC42B3"/>
    <w:rsid w:val="00FC435E"/>
    <w:rsid w:val="00FC468E"/>
    <w:rsid w:val="00FC5155"/>
    <w:rsid w:val="00FC59E6"/>
    <w:rsid w:val="00FC5EDD"/>
    <w:rsid w:val="00FC67FA"/>
    <w:rsid w:val="00FC6E13"/>
    <w:rsid w:val="00FC7099"/>
    <w:rsid w:val="00FC7314"/>
    <w:rsid w:val="00FD0069"/>
    <w:rsid w:val="00FD038E"/>
    <w:rsid w:val="00FD0BD2"/>
    <w:rsid w:val="00FD0ECC"/>
    <w:rsid w:val="00FD2113"/>
    <w:rsid w:val="00FD2200"/>
    <w:rsid w:val="00FD2423"/>
    <w:rsid w:val="00FD360B"/>
    <w:rsid w:val="00FD418D"/>
    <w:rsid w:val="00FD47A1"/>
    <w:rsid w:val="00FD4CAC"/>
    <w:rsid w:val="00FD54DC"/>
    <w:rsid w:val="00FD5C03"/>
    <w:rsid w:val="00FD5E61"/>
    <w:rsid w:val="00FD744A"/>
    <w:rsid w:val="00FE00A2"/>
    <w:rsid w:val="00FE03D7"/>
    <w:rsid w:val="00FE0880"/>
    <w:rsid w:val="00FE0EA8"/>
    <w:rsid w:val="00FE185E"/>
    <w:rsid w:val="00FE1B11"/>
    <w:rsid w:val="00FE3373"/>
    <w:rsid w:val="00FE38CC"/>
    <w:rsid w:val="00FE39EC"/>
    <w:rsid w:val="00FE3D54"/>
    <w:rsid w:val="00FE415D"/>
    <w:rsid w:val="00FE54F4"/>
    <w:rsid w:val="00FE60DF"/>
    <w:rsid w:val="00FE613D"/>
    <w:rsid w:val="00FE6259"/>
    <w:rsid w:val="00FE6610"/>
    <w:rsid w:val="00FE6A4E"/>
    <w:rsid w:val="00FE6F9D"/>
    <w:rsid w:val="00FE71C2"/>
    <w:rsid w:val="00FE7219"/>
    <w:rsid w:val="00FF047A"/>
    <w:rsid w:val="00FF04E3"/>
    <w:rsid w:val="00FF06FB"/>
    <w:rsid w:val="00FF0EB0"/>
    <w:rsid w:val="00FF11A0"/>
    <w:rsid w:val="00FF1695"/>
    <w:rsid w:val="00FF18E6"/>
    <w:rsid w:val="00FF1DBF"/>
    <w:rsid w:val="00FF1EE1"/>
    <w:rsid w:val="00FF223B"/>
    <w:rsid w:val="00FF259D"/>
    <w:rsid w:val="00FF2B38"/>
    <w:rsid w:val="00FF2E8D"/>
    <w:rsid w:val="00FF2F06"/>
    <w:rsid w:val="00FF3BDB"/>
    <w:rsid w:val="00FF3CB5"/>
    <w:rsid w:val="00FF4101"/>
    <w:rsid w:val="00FF42C2"/>
    <w:rsid w:val="00FF4B84"/>
    <w:rsid w:val="00FF4C4F"/>
    <w:rsid w:val="00FF5ACB"/>
    <w:rsid w:val="00FF5C38"/>
    <w:rsid w:val="00FF6A65"/>
    <w:rsid w:val="00FF70F4"/>
    <w:rsid w:val="00FF71CF"/>
    <w:rsid w:val="00FF74CC"/>
    <w:rsid w:val="00FF7A24"/>
    <w:rsid w:val="00FF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EF569F"/>
  <w15:chartTrackingRefBased/>
  <w15:docId w15:val="{91063E3E-7136-4D43-8407-14EC7C2E2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14426"/>
    <w:pPr>
      <w:spacing w:before="120" w:after="120" w:line="360" w:lineRule="auto"/>
    </w:pPr>
    <w:rPr>
      <w:rFonts w:ascii="Times New Roman" w:hAnsi="Times New Roman" w:cs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114426"/>
    <w:pPr>
      <w:keepNext/>
      <w:numPr>
        <w:numId w:val="1"/>
      </w:numPr>
      <w:spacing w:before="360" w:line="240" w:lineRule="auto"/>
      <w:jc w:val="both"/>
      <w:outlineLvl w:val="0"/>
    </w:pPr>
    <w:rPr>
      <w:rFonts w:eastAsia="Calibri" w:cs="Arial"/>
      <w:b/>
      <w:smallCaps/>
      <w:lang w:val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14426"/>
    <w:pPr>
      <w:keepNext/>
      <w:numPr>
        <w:ilvl w:val="1"/>
        <w:numId w:val="1"/>
      </w:numPr>
      <w:spacing w:line="240" w:lineRule="auto"/>
      <w:jc w:val="both"/>
      <w:outlineLvl w:val="1"/>
    </w:pPr>
    <w:rPr>
      <w:rFonts w:eastAsia="Calibri" w:cs="Arial"/>
      <w:b/>
      <w:lang w:val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4426"/>
    <w:pPr>
      <w:keepNext/>
      <w:numPr>
        <w:ilvl w:val="2"/>
        <w:numId w:val="1"/>
      </w:numPr>
      <w:spacing w:line="240" w:lineRule="auto"/>
      <w:jc w:val="both"/>
      <w:outlineLvl w:val="2"/>
    </w:pPr>
    <w:rPr>
      <w:rFonts w:eastAsia="Calibri" w:cs="Arial"/>
      <w:i/>
      <w:lang w:val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14426"/>
    <w:pPr>
      <w:keepNext/>
      <w:numPr>
        <w:ilvl w:val="3"/>
        <w:numId w:val="1"/>
      </w:numPr>
      <w:spacing w:line="240" w:lineRule="auto"/>
      <w:jc w:val="both"/>
      <w:outlineLvl w:val="3"/>
    </w:pPr>
    <w:rPr>
      <w:rFonts w:eastAsia="Calibri" w:cs="Arial"/>
      <w:lang w:val="en-US"/>
    </w:rPr>
  </w:style>
  <w:style w:type="paragraph" w:styleId="Nadpis5">
    <w:name w:val="heading 5"/>
    <w:basedOn w:val="Normln"/>
    <w:next w:val="Normln"/>
    <w:link w:val="Nadpis5Char"/>
    <w:unhideWhenUsed/>
    <w:qFormat/>
    <w:rsid w:val="00114426"/>
    <w:pPr>
      <w:spacing w:before="240" w:after="60" w:line="240" w:lineRule="auto"/>
      <w:jc w:val="both"/>
      <w:outlineLvl w:val="4"/>
    </w:pPr>
    <w:rPr>
      <w:rFonts w:ascii="Arial" w:eastAsia="Calibri" w:hAnsi="Arial" w:cs="Arial"/>
      <w:sz w:val="22"/>
      <w:lang w:val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14426"/>
    <w:pPr>
      <w:spacing w:before="240" w:after="60" w:line="240" w:lineRule="auto"/>
      <w:jc w:val="both"/>
      <w:outlineLvl w:val="5"/>
    </w:pPr>
    <w:rPr>
      <w:rFonts w:ascii="Arial" w:eastAsia="Calibri" w:hAnsi="Arial" w:cs="Arial"/>
      <w:i/>
      <w:sz w:val="22"/>
      <w:lang w:val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114426"/>
    <w:pPr>
      <w:spacing w:before="240" w:after="60" w:line="240" w:lineRule="auto"/>
      <w:jc w:val="both"/>
      <w:outlineLvl w:val="6"/>
    </w:pPr>
    <w:rPr>
      <w:rFonts w:ascii="Arial" w:eastAsia="Calibri" w:hAnsi="Arial" w:cs="Arial"/>
      <w:sz w:val="20"/>
      <w:lang w:val="en-US"/>
    </w:rPr>
  </w:style>
  <w:style w:type="paragraph" w:styleId="Nadpis8">
    <w:name w:val="heading 8"/>
    <w:basedOn w:val="Normln"/>
    <w:next w:val="Normln"/>
    <w:link w:val="Nadpis8Char"/>
    <w:unhideWhenUsed/>
    <w:qFormat/>
    <w:rsid w:val="00114426"/>
    <w:pPr>
      <w:spacing w:before="240" w:after="60" w:line="240" w:lineRule="auto"/>
      <w:jc w:val="both"/>
      <w:outlineLvl w:val="7"/>
    </w:pPr>
    <w:rPr>
      <w:rFonts w:ascii="Arial" w:eastAsia="Calibri" w:hAnsi="Arial" w:cs="Arial"/>
      <w:i/>
      <w:sz w:val="20"/>
      <w:lang w:val="en-US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14426"/>
    <w:pPr>
      <w:spacing w:before="240" w:after="60" w:line="240" w:lineRule="auto"/>
      <w:jc w:val="both"/>
      <w:outlineLvl w:val="8"/>
    </w:pPr>
    <w:rPr>
      <w:rFonts w:ascii="Arial" w:eastAsia="Calibri" w:hAnsi="Arial" w:cs="Arial"/>
      <w:i/>
      <w:sz w:val="18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14426"/>
    <w:rPr>
      <w:rFonts w:ascii="Times New Roman" w:eastAsia="Calibri" w:hAnsi="Times New Roman" w:cs="Arial"/>
      <w:b/>
      <w:smallCaps/>
      <w:sz w:val="24"/>
      <w:lang w:val="en-US"/>
    </w:rPr>
  </w:style>
  <w:style w:type="character" w:customStyle="1" w:styleId="Nadpis2Char">
    <w:name w:val="Nadpis 2 Char"/>
    <w:basedOn w:val="Standardnpsmoodstavce"/>
    <w:link w:val="Nadpis2"/>
    <w:uiPriority w:val="9"/>
    <w:rsid w:val="00114426"/>
    <w:rPr>
      <w:rFonts w:ascii="Times New Roman" w:eastAsia="Calibri" w:hAnsi="Times New Roman" w:cs="Arial"/>
      <w:b/>
      <w:sz w:val="24"/>
      <w:lang w:val="en-US"/>
    </w:rPr>
  </w:style>
  <w:style w:type="character" w:customStyle="1" w:styleId="Nadpis3Char">
    <w:name w:val="Nadpis 3 Char"/>
    <w:basedOn w:val="Standardnpsmoodstavce"/>
    <w:link w:val="Nadpis3"/>
    <w:uiPriority w:val="9"/>
    <w:rsid w:val="00114426"/>
    <w:rPr>
      <w:rFonts w:ascii="Times New Roman" w:eastAsia="Calibri" w:hAnsi="Times New Roman" w:cs="Arial"/>
      <w:i/>
      <w:sz w:val="24"/>
      <w:lang w:val="en-US"/>
    </w:rPr>
  </w:style>
  <w:style w:type="character" w:customStyle="1" w:styleId="Nadpis4Char">
    <w:name w:val="Nadpis 4 Char"/>
    <w:basedOn w:val="Standardnpsmoodstavce"/>
    <w:link w:val="Nadpis4"/>
    <w:uiPriority w:val="9"/>
    <w:rsid w:val="00114426"/>
    <w:rPr>
      <w:rFonts w:ascii="Times New Roman" w:eastAsia="Calibri" w:hAnsi="Times New Roman" w:cs="Arial"/>
      <w:sz w:val="24"/>
      <w:lang w:val="en-US"/>
    </w:rPr>
  </w:style>
  <w:style w:type="character" w:customStyle="1" w:styleId="Nadpis5Char">
    <w:name w:val="Nadpis 5 Char"/>
    <w:basedOn w:val="Standardnpsmoodstavce"/>
    <w:link w:val="Nadpis5"/>
    <w:rsid w:val="00114426"/>
    <w:rPr>
      <w:rFonts w:ascii="Arial" w:eastAsia="Calibri" w:hAnsi="Arial" w:cs="Arial"/>
      <w:lang w:val="en-US"/>
    </w:rPr>
  </w:style>
  <w:style w:type="character" w:customStyle="1" w:styleId="Nadpis6Char">
    <w:name w:val="Nadpis 6 Char"/>
    <w:basedOn w:val="Standardnpsmoodstavce"/>
    <w:link w:val="Nadpis6"/>
    <w:rsid w:val="00114426"/>
    <w:rPr>
      <w:rFonts w:ascii="Arial" w:eastAsia="Calibri" w:hAnsi="Arial" w:cs="Arial"/>
      <w:i/>
      <w:lang w:val="en-US"/>
    </w:rPr>
  </w:style>
  <w:style w:type="character" w:customStyle="1" w:styleId="Nadpis7Char">
    <w:name w:val="Nadpis 7 Char"/>
    <w:basedOn w:val="Standardnpsmoodstavce"/>
    <w:link w:val="Nadpis7"/>
    <w:rsid w:val="00114426"/>
    <w:rPr>
      <w:rFonts w:ascii="Arial" w:eastAsia="Calibri" w:hAnsi="Arial" w:cs="Arial"/>
      <w:sz w:val="20"/>
      <w:lang w:val="en-US"/>
    </w:rPr>
  </w:style>
  <w:style w:type="character" w:customStyle="1" w:styleId="Nadpis8Char">
    <w:name w:val="Nadpis 8 Char"/>
    <w:basedOn w:val="Standardnpsmoodstavce"/>
    <w:link w:val="Nadpis8"/>
    <w:semiHidden/>
    <w:rsid w:val="00114426"/>
    <w:rPr>
      <w:rFonts w:ascii="Arial" w:eastAsia="Calibri" w:hAnsi="Arial" w:cs="Arial"/>
      <w:i/>
      <w:sz w:val="20"/>
      <w:lang w:val="en-US"/>
    </w:rPr>
  </w:style>
  <w:style w:type="character" w:customStyle="1" w:styleId="Nadpis9Char">
    <w:name w:val="Nadpis 9 Char"/>
    <w:basedOn w:val="Standardnpsmoodstavce"/>
    <w:link w:val="Nadpis9"/>
    <w:semiHidden/>
    <w:rsid w:val="00114426"/>
    <w:rPr>
      <w:rFonts w:ascii="Arial" w:eastAsia="Calibri" w:hAnsi="Arial" w:cs="Arial"/>
      <w:i/>
      <w:sz w:val="18"/>
      <w:lang w:val="en-US"/>
    </w:rPr>
  </w:style>
  <w:style w:type="character" w:styleId="Siln">
    <w:name w:val="Strong"/>
    <w:uiPriority w:val="99"/>
    <w:qFormat/>
    <w:rsid w:val="00114426"/>
    <w:rPr>
      <w:rFonts w:ascii="Times New Roman" w:hAnsi="Times New Roman" w:cs="Times New Roman" w:hint="default"/>
      <w:b/>
      <w:bCs/>
    </w:rPr>
  </w:style>
  <w:style w:type="paragraph" w:customStyle="1" w:styleId="msonormal0">
    <w:name w:val="msonormal"/>
    <w:basedOn w:val="Normln"/>
    <w:rsid w:val="00114426"/>
    <w:pPr>
      <w:suppressAutoHyphens/>
      <w:spacing w:before="100" w:after="100" w:line="240" w:lineRule="auto"/>
    </w:pPr>
    <w:rPr>
      <w:rFonts w:eastAsia="Times New Roman"/>
      <w:szCs w:val="24"/>
      <w:lang w:eastAsia="ar-SA"/>
    </w:rPr>
  </w:style>
  <w:style w:type="character" w:customStyle="1" w:styleId="TextpoznpodarouChar">
    <w:name w:val="Text pozn. pod čarou Char"/>
    <w:aliases w:val="Schriftart: 9 pt Char,Schriftart: 10 pt Char,Schriftart: 8 pt Char,WB-Fußnotentext Char,FoodNote Char,ft Char,Footnote text Char,Footnote Text Char Char Char,Footnote Text Char1 Char Char Char,fn Char,f Char,Char Char"/>
    <w:basedOn w:val="Standardnpsmoodstavce"/>
    <w:link w:val="Textpoznpodarou"/>
    <w:uiPriority w:val="99"/>
    <w:locked/>
    <w:rsid w:val="00114426"/>
    <w:rPr>
      <w:rFonts w:ascii="Times New Roman" w:hAnsi="Times New Roman" w:cs="Times New Roman"/>
      <w:sz w:val="24"/>
      <w:szCs w:val="20"/>
      <w:lang w:val="en-GB"/>
    </w:rPr>
  </w:style>
  <w:style w:type="paragraph" w:styleId="Textpoznpodarou">
    <w:name w:val="footnote text"/>
    <w:aliases w:val="Schriftart: 9 pt,Schriftart: 10 pt,Schriftart: 8 pt,WB-Fußnotentext,FoodNote,ft,Footnote text,Footnote Text Char Char,Footnote Text Char1 Char Char,Footnote Text Char Char Char Char,fn,f,Char,Voetnoottekst Char,Footnote Text Char1"/>
    <w:basedOn w:val="Normln"/>
    <w:link w:val="TextpoznpodarouChar"/>
    <w:uiPriority w:val="99"/>
    <w:unhideWhenUsed/>
    <w:qFormat/>
    <w:rsid w:val="00114426"/>
    <w:pPr>
      <w:spacing w:before="0" w:after="0" w:line="240" w:lineRule="auto"/>
      <w:ind w:left="720" w:hanging="720"/>
    </w:pPr>
    <w:rPr>
      <w:szCs w:val="20"/>
    </w:rPr>
  </w:style>
  <w:style w:type="character" w:customStyle="1" w:styleId="TextpoznpodarouChar1">
    <w:name w:val="Text pozn. pod čarou Char1"/>
    <w:aliases w:val="Schriftart: 9 pt Char1,Schriftart: 10 pt Char1,Schriftart: 8 pt Char1,WB-Fußnotentext Char1,FoodNote Char1,ft Char1,Footnote text Char1,Footnote Text Char Char Char1,Footnote Text Char1 Char Char Char1,fn Char1,f Char1"/>
    <w:basedOn w:val="Standardnpsmoodstavce"/>
    <w:semiHidden/>
    <w:rsid w:val="00114426"/>
    <w:rPr>
      <w:rFonts w:ascii="Times New Roman" w:hAnsi="Times New Roman" w:cs="Times New Roman"/>
      <w:sz w:val="20"/>
      <w:szCs w:val="20"/>
      <w:lang w:val="en-GB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114426"/>
    <w:pPr>
      <w:spacing w:before="0" w:after="0"/>
    </w:pPr>
    <w:rPr>
      <w:rFonts w:eastAsia="Calibri" w:cs="Arial"/>
      <w:sz w:val="20"/>
      <w:szCs w:val="20"/>
      <w:lang w:val="en-US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114426"/>
    <w:rPr>
      <w:rFonts w:ascii="Times New Roman" w:eastAsia="Calibri" w:hAnsi="Times New Roman" w:cs="Arial"/>
      <w:sz w:val="20"/>
      <w:szCs w:val="20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114426"/>
    <w:rPr>
      <w:rFonts w:ascii="Times New Roman" w:hAnsi="Times New Roman" w:cs="Times New Roman"/>
      <w:sz w:val="24"/>
      <w:lang w:val="en-GB"/>
    </w:rPr>
  </w:style>
  <w:style w:type="paragraph" w:styleId="Zhlav">
    <w:name w:val="header"/>
    <w:basedOn w:val="Normln"/>
    <w:link w:val="ZhlavChar"/>
    <w:uiPriority w:val="99"/>
    <w:unhideWhenUsed/>
    <w:rsid w:val="00114426"/>
    <w:pPr>
      <w:tabs>
        <w:tab w:val="right" w:pos="9638"/>
      </w:tabs>
    </w:pPr>
  </w:style>
  <w:style w:type="character" w:customStyle="1" w:styleId="ZpatChar">
    <w:name w:val="Zápatí Char"/>
    <w:basedOn w:val="Standardnpsmoodstavce"/>
    <w:link w:val="Zpat"/>
    <w:uiPriority w:val="99"/>
    <w:rsid w:val="00114426"/>
    <w:rPr>
      <w:rFonts w:ascii="Times New Roman" w:hAnsi="Times New Roman" w:cs="Times New Roman"/>
      <w:sz w:val="24"/>
      <w:lang w:val="en-GB"/>
    </w:rPr>
  </w:style>
  <w:style w:type="paragraph" w:styleId="Zpat">
    <w:name w:val="footer"/>
    <w:basedOn w:val="Normln"/>
    <w:link w:val="ZpatChar"/>
    <w:uiPriority w:val="99"/>
    <w:unhideWhenUsed/>
    <w:rsid w:val="00114426"/>
    <w:pPr>
      <w:tabs>
        <w:tab w:val="center" w:pos="4819"/>
        <w:tab w:val="center" w:pos="7370"/>
        <w:tab w:val="right" w:pos="9638"/>
      </w:tabs>
      <w:spacing w:before="0" w:after="0" w:line="240" w:lineRule="auto"/>
    </w:pPr>
  </w:style>
  <w:style w:type="character" w:customStyle="1" w:styleId="TextvysvtlivekChar">
    <w:name w:val="Text vysvětlivek Char"/>
    <w:basedOn w:val="Standardnpsmoodstavce"/>
    <w:link w:val="Textvysvtlivek"/>
    <w:semiHidden/>
    <w:rsid w:val="00114426"/>
    <w:rPr>
      <w:rFonts w:ascii="Times New Roman" w:hAnsi="Times New Roman" w:cs="Times New Roman"/>
      <w:sz w:val="20"/>
      <w:szCs w:val="20"/>
      <w:lang w:val="en-GB"/>
    </w:rPr>
  </w:style>
  <w:style w:type="paragraph" w:styleId="Textvysvtlivek">
    <w:name w:val="endnote text"/>
    <w:basedOn w:val="Normln"/>
    <w:link w:val="TextvysvtlivekChar"/>
    <w:semiHidden/>
    <w:unhideWhenUsed/>
    <w:rsid w:val="00114426"/>
    <w:pPr>
      <w:spacing w:before="0" w:after="0" w:line="240" w:lineRule="auto"/>
    </w:pPr>
    <w:rPr>
      <w:sz w:val="20"/>
      <w:szCs w:val="20"/>
    </w:rPr>
  </w:style>
  <w:style w:type="character" w:customStyle="1" w:styleId="TextmakraChar">
    <w:name w:val="Text makra Char"/>
    <w:basedOn w:val="Standardnpsmoodstavce"/>
    <w:link w:val="Textmakra"/>
    <w:semiHidden/>
    <w:rsid w:val="00114426"/>
    <w:rPr>
      <w:rFonts w:ascii="Courier New" w:eastAsia="Times New Roman" w:hAnsi="Courier New" w:cs="Times New Roman"/>
      <w:lang w:val="en-GB"/>
    </w:rPr>
  </w:style>
  <w:style w:type="paragraph" w:styleId="Textmakra">
    <w:name w:val="macro"/>
    <w:link w:val="TextmakraChar"/>
    <w:semiHidden/>
    <w:unhideWhenUsed/>
    <w:rsid w:val="0011442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76" w:lineRule="auto"/>
      <w:jc w:val="both"/>
    </w:pPr>
    <w:rPr>
      <w:rFonts w:ascii="Courier New" w:eastAsia="Times New Roman" w:hAnsi="Courier New" w:cs="Times New Roman"/>
      <w:lang w:val="en-GB"/>
    </w:rPr>
  </w:style>
  <w:style w:type="paragraph" w:styleId="Nzev">
    <w:name w:val="Title"/>
    <w:basedOn w:val="Normln"/>
    <w:link w:val="NzevChar"/>
    <w:uiPriority w:val="10"/>
    <w:qFormat/>
    <w:rsid w:val="00114426"/>
    <w:pPr>
      <w:spacing w:before="240" w:after="60" w:line="240" w:lineRule="auto"/>
      <w:jc w:val="center"/>
      <w:outlineLvl w:val="0"/>
    </w:pPr>
    <w:rPr>
      <w:rFonts w:ascii="Arial" w:eastAsia="Times New Roman" w:hAnsi="Arial"/>
      <w:b/>
      <w:kern w:val="28"/>
      <w:sz w:val="32"/>
      <w:lang w:eastAsia="en-GB"/>
    </w:rPr>
  </w:style>
  <w:style w:type="character" w:customStyle="1" w:styleId="NzevChar">
    <w:name w:val="Název Char"/>
    <w:basedOn w:val="Standardnpsmoodstavce"/>
    <w:link w:val="Nzev"/>
    <w:uiPriority w:val="10"/>
    <w:rsid w:val="00114426"/>
    <w:rPr>
      <w:rFonts w:ascii="Arial" w:eastAsia="Times New Roman" w:hAnsi="Arial" w:cs="Times New Roman"/>
      <w:b/>
      <w:kern w:val="28"/>
      <w:sz w:val="32"/>
      <w:lang w:val="en-GB" w:eastAsia="en-GB"/>
    </w:rPr>
  </w:style>
  <w:style w:type="character" w:customStyle="1" w:styleId="PodpisChar">
    <w:name w:val="Podpis Char"/>
    <w:basedOn w:val="Standardnpsmoodstavce"/>
    <w:link w:val="Podpis"/>
    <w:uiPriority w:val="99"/>
    <w:semiHidden/>
    <w:rsid w:val="00114426"/>
    <w:rPr>
      <w:rFonts w:ascii="Times New Roman" w:eastAsia="Times New Roman" w:hAnsi="Times New Roman" w:cs="Times New Roman"/>
      <w:sz w:val="24"/>
      <w:lang w:val="en-GB" w:eastAsia="en-GB"/>
    </w:rPr>
  </w:style>
  <w:style w:type="paragraph" w:styleId="Podpis">
    <w:name w:val="Signature"/>
    <w:basedOn w:val="Normln"/>
    <w:next w:val="Contact"/>
    <w:link w:val="PodpisChar"/>
    <w:uiPriority w:val="99"/>
    <w:semiHidden/>
    <w:unhideWhenUsed/>
    <w:rsid w:val="00114426"/>
    <w:pPr>
      <w:tabs>
        <w:tab w:val="left" w:pos="5103"/>
      </w:tabs>
      <w:spacing w:before="1200" w:after="0" w:line="240" w:lineRule="auto"/>
      <w:ind w:left="5103"/>
      <w:jc w:val="center"/>
    </w:pPr>
    <w:rPr>
      <w:rFonts w:eastAsia="Times New Roman"/>
      <w:lang w:eastAsia="en-GB"/>
    </w:rPr>
  </w:style>
  <w:style w:type="paragraph" w:customStyle="1" w:styleId="Contact">
    <w:name w:val="Contact"/>
    <w:basedOn w:val="Normln"/>
    <w:next w:val="Enclosures"/>
    <w:rsid w:val="00114426"/>
    <w:pPr>
      <w:spacing w:before="480" w:after="0" w:line="240" w:lineRule="auto"/>
      <w:ind w:left="567" w:hanging="567"/>
    </w:pPr>
    <w:rPr>
      <w:rFonts w:eastAsia="Times New Roman"/>
      <w:lang w:eastAsia="en-GB"/>
    </w:rPr>
  </w:style>
  <w:style w:type="paragraph" w:customStyle="1" w:styleId="Enclosures">
    <w:name w:val="Enclosures"/>
    <w:basedOn w:val="Normln"/>
    <w:next w:val="Participants"/>
    <w:rsid w:val="00114426"/>
    <w:pPr>
      <w:keepNext/>
      <w:keepLines/>
      <w:tabs>
        <w:tab w:val="left" w:pos="5670"/>
      </w:tabs>
      <w:spacing w:before="480" w:after="0" w:line="240" w:lineRule="auto"/>
      <w:ind w:left="1985" w:hanging="1985"/>
    </w:pPr>
    <w:rPr>
      <w:rFonts w:eastAsia="Times New Roman"/>
      <w:lang w:eastAsia="en-GB"/>
    </w:rPr>
  </w:style>
  <w:style w:type="paragraph" w:customStyle="1" w:styleId="Participants">
    <w:name w:val="Participants"/>
    <w:basedOn w:val="Normln"/>
    <w:next w:val="Copies"/>
    <w:rsid w:val="00114426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 w:line="240" w:lineRule="auto"/>
      <w:ind w:left="1985" w:hanging="1985"/>
    </w:pPr>
    <w:rPr>
      <w:rFonts w:eastAsia="Times New Roman"/>
      <w:lang w:eastAsia="en-GB"/>
    </w:rPr>
  </w:style>
  <w:style w:type="paragraph" w:customStyle="1" w:styleId="Copies">
    <w:name w:val="Copies"/>
    <w:basedOn w:val="Normln"/>
    <w:next w:val="Normln"/>
    <w:rsid w:val="00114426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 w:line="240" w:lineRule="auto"/>
      <w:ind w:left="1985" w:hanging="1985"/>
    </w:pPr>
    <w:rPr>
      <w:rFonts w:eastAsia="Times New Roman"/>
      <w:lang w:eastAsia="en-GB"/>
    </w:rPr>
  </w:style>
  <w:style w:type="character" w:customStyle="1" w:styleId="ZvrChar">
    <w:name w:val="Závěr Char"/>
    <w:basedOn w:val="Standardnpsmoodstavce"/>
    <w:link w:val="Zvr"/>
    <w:semiHidden/>
    <w:rsid w:val="00114426"/>
    <w:rPr>
      <w:rFonts w:ascii="Times New Roman" w:eastAsia="Times New Roman" w:hAnsi="Times New Roman" w:cs="Times New Roman"/>
      <w:sz w:val="24"/>
      <w:lang w:val="en-GB" w:eastAsia="en-GB"/>
    </w:rPr>
  </w:style>
  <w:style w:type="paragraph" w:styleId="Zvr">
    <w:name w:val="Closing"/>
    <w:basedOn w:val="Normln"/>
    <w:next w:val="Podpis"/>
    <w:link w:val="ZvrChar"/>
    <w:semiHidden/>
    <w:unhideWhenUsed/>
    <w:rsid w:val="00114426"/>
    <w:pPr>
      <w:tabs>
        <w:tab w:val="left" w:pos="5103"/>
      </w:tabs>
      <w:spacing w:before="240" w:after="240" w:line="240" w:lineRule="auto"/>
      <w:ind w:left="5103"/>
    </w:pPr>
    <w:rPr>
      <w:rFonts w:eastAsia="Times New Roman"/>
      <w:lang w:eastAsia="en-GB"/>
    </w:rPr>
  </w:style>
  <w:style w:type="character" w:customStyle="1" w:styleId="ZkladntextChar">
    <w:name w:val="Základní text Char"/>
    <w:aliases w:val="Document Char1,Doc Char1,Body Text2 Char1,doc Char1,Standard paragraph Char1,BodyText Char1,(Norm) Char1,Body Text 12 Char1,bt Char1,gl Char1,uvlaka 2 Char1,heading3 Char1,Body Text - Level 2 Char1,1body Char1,BodText Char1,- TF Char"/>
    <w:basedOn w:val="Standardnpsmoodstavce"/>
    <w:link w:val="Zkladntext"/>
    <w:semiHidden/>
    <w:locked/>
    <w:rsid w:val="00114426"/>
    <w:rPr>
      <w:rFonts w:ascii="Times New Roman" w:eastAsia="Times New Roman" w:hAnsi="Times New Roman" w:cs="Times New Roman"/>
      <w:sz w:val="24"/>
      <w:lang w:val="en-GB" w:eastAsia="en-GB"/>
    </w:rPr>
  </w:style>
  <w:style w:type="paragraph" w:styleId="Zkladntext">
    <w:name w:val="Body Text"/>
    <w:aliases w:val="Document,Doc,Body Text2,doc,Standard paragraph,BodyText,(Norm),Body Text 12,bt,gl,uvlaka 2,heading3,Body Text - Level 2,1body,BodText,body text,Body Txt,Body Text-10,Body Text Char2,Text Char1,Τίτλος Μελέτης,- TF,b.,b"/>
    <w:basedOn w:val="Normln"/>
    <w:link w:val="ZkladntextChar"/>
    <w:semiHidden/>
    <w:unhideWhenUsed/>
    <w:qFormat/>
    <w:rsid w:val="00114426"/>
    <w:pPr>
      <w:spacing w:before="0" w:line="240" w:lineRule="auto"/>
      <w:jc w:val="both"/>
    </w:pPr>
    <w:rPr>
      <w:rFonts w:eastAsia="Times New Roman"/>
      <w:lang w:eastAsia="en-GB"/>
    </w:rPr>
  </w:style>
  <w:style w:type="character" w:customStyle="1" w:styleId="ZkladntextChar1">
    <w:name w:val="Základní text Char1"/>
    <w:aliases w:val="Document Char,Doc Char,Body Text2 Char,doc Char,Standard paragraph Char,BodyText Char,(Norm) Char,Body Text 12 Char,bt Char,gl Char,uvlaka 2 Char,heading3 Char,Body Text - Level 2 Char,1body Char,BodText Char,body text Char,b. Char"/>
    <w:basedOn w:val="Standardnpsmoodstavce"/>
    <w:semiHidden/>
    <w:rsid w:val="00114426"/>
    <w:rPr>
      <w:rFonts w:ascii="Times New Roman" w:hAnsi="Times New Roman" w:cs="Times New Roman"/>
      <w:sz w:val="24"/>
      <w:lang w:val="en-GB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14426"/>
    <w:rPr>
      <w:rFonts w:ascii="Times New Roman" w:eastAsia="Times New Roman" w:hAnsi="Times New Roman" w:cs="Times New Roman"/>
      <w:sz w:val="24"/>
      <w:lang w:val="en-GB" w:eastAsia="en-GB"/>
    </w:rPr>
  </w:style>
  <w:style w:type="paragraph" w:styleId="Zkladntextodsazen">
    <w:name w:val="Body Text Indent"/>
    <w:basedOn w:val="Normln"/>
    <w:link w:val="ZkladntextodsazenChar"/>
    <w:semiHidden/>
    <w:unhideWhenUsed/>
    <w:rsid w:val="00114426"/>
    <w:pPr>
      <w:spacing w:before="0" w:line="240" w:lineRule="auto"/>
      <w:ind w:left="283"/>
      <w:jc w:val="both"/>
    </w:pPr>
    <w:rPr>
      <w:rFonts w:eastAsia="Times New Roman"/>
      <w:lang w:eastAsia="en-GB"/>
    </w:rPr>
  </w:style>
  <w:style w:type="character" w:customStyle="1" w:styleId="ZhlavzprvyChar">
    <w:name w:val="Záhlaví zprávy Char"/>
    <w:basedOn w:val="Standardnpsmoodstavce"/>
    <w:link w:val="Zhlavzprvy"/>
    <w:semiHidden/>
    <w:rsid w:val="00114426"/>
    <w:rPr>
      <w:rFonts w:ascii="Arial" w:eastAsia="Times New Roman" w:hAnsi="Arial" w:cs="Times New Roman"/>
      <w:sz w:val="24"/>
      <w:shd w:val="pct20" w:color="auto" w:fill="auto"/>
      <w:lang w:val="en-GB" w:eastAsia="en-GB"/>
    </w:rPr>
  </w:style>
  <w:style w:type="paragraph" w:styleId="Zhlavzprvy">
    <w:name w:val="Message Header"/>
    <w:basedOn w:val="Normln"/>
    <w:link w:val="ZhlavzprvyChar"/>
    <w:semiHidden/>
    <w:unhideWhenUsed/>
    <w:rsid w:val="0011442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240" w:line="240" w:lineRule="auto"/>
      <w:ind w:left="1134" w:hanging="1134"/>
      <w:jc w:val="both"/>
    </w:pPr>
    <w:rPr>
      <w:rFonts w:ascii="Arial" w:eastAsia="Times New Roman" w:hAnsi="Arial"/>
      <w:lang w:eastAsia="en-GB"/>
    </w:rPr>
  </w:style>
  <w:style w:type="paragraph" w:styleId="Podnadpis">
    <w:name w:val="Subtitle"/>
    <w:basedOn w:val="Normln"/>
    <w:link w:val="PodnadpisChar"/>
    <w:qFormat/>
    <w:rsid w:val="00114426"/>
    <w:pPr>
      <w:spacing w:before="0" w:after="60" w:line="240" w:lineRule="auto"/>
      <w:jc w:val="center"/>
      <w:outlineLvl w:val="1"/>
    </w:pPr>
    <w:rPr>
      <w:rFonts w:ascii="Arial" w:eastAsia="Times New Roman" w:hAnsi="Arial"/>
      <w:lang w:eastAsia="en-GB"/>
    </w:rPr>
  </w:style>
  <w:style w:type="character" w:customStyle="1" w:styleId="PodnadpisChar">
    <w:name w:val="Podnadpis Char"/>
    <w:basedOn w:val="Standardnpsmoodstavce"/>
    <w:link w:val="Podnadpis"/>
    <w:rsid w:val="00114426"/>
    <w:rPr>
      <w:rFonts w:ascii="Arial" w:eastAsia="Times New Roman" w:hAnsi="Arial" w:cs="Times New Roman"/>
      <w:sz w:val="24"/>
      <w:lang w:val="en-GB" w:eastAsia="en-GB"/>
    </w:rPr>
  </w:style>
  <w:style w:type="character" w:customStyle="1" w:styleId="OslovenChar">
    <w:name w:val="Oslovení Char"/>
    <w:basedOn w:val="Standardnpsmoodstavce"/>
    <w:link w:val="Osloven"/>
    <w:semiHidden/>
    <w:rsid w:val="00114426"/>
    <w:rPr>
      <w:rFonts w:ascii="Times New Roman" w:eastAsia="Times New Roman" w:hAnsi="Times New Roman" w:cs="Times New Roman"/>
      <w:sz w:val="24"/>
      <w:lang w:val="en-GB" w:eastAsia="en-GB"/>
    </w:rPr>
  </w:style>
  <w:style w:type="paragraph" w:styleId="Osloven">
    <w:name w:val="Salutation"/>
    <w:basedOn w:val="Normln"/>
    <w:next w:val="Normln"/>
    <w:link w:val="OslovenChar"/>
    <w:semiHidden/>
    <w:unhideWhenUsed/>
    <w:rsid w:val="00114426"/>
    <w:pPr>
      <w:spacing w:before="0" w:after="240" w:line="240" w:lineRule="auto"/>
      <w:jc w:val="both"/>
    </w:pPr>
    <w:rPr>
      <w:rFonts w:eastAsia="Times New Roman"/>
      <w:lang w:eastAsia="en-GB"/>
    </w:rPr>
  </w:style>
  <w:style w:type="paragraph" w:customStyle="1" w:styleId="References">
    <w:name w:val="References"/>
    <w:basedOn w:val="Normln"/>
    <w:next w:val="AddressTR"/>
    <w:rsid w:val="00114426"/>
    <w:pPr>
      <w:spacing w:before="0" w:after="240" w:line="240" w:lineRule="auto"/>
      <w:ind w:left="5103"/>
    </w:pPr>
    <w:rPr>
      <w:rFonts w:eastAsia="Times New Roman"/>
      <w:sz w:val="20"/>
      <w:lang w:eastAsia="en-GB"/>
    </w:rPr>
  </w:style>
  <w:style w:type="paragraph" w:customStyle="1" w:styleId="AddressTR">
    <w:name w:val="AddressTR"/>
    <w:basedOn w:val="Normln"/>
    <w:next w:val="Normln"/>
    <w:rsid w:val="00114426"/>
    <w:pPr>
      <w:spacing w:before="0" w:after="720" w:line="240" w:lineRule="auto"/>
      <w:ind w:left="5103"/>
    </w:pPr>
    <w:rPr>
      <w:rFonts w:eastAsia="Times New Roman"/>
      <w:lang w:eastAsia="en-GB"/>
    </w:rPr>
  </w:style>
  <w:style w:type="character" w:customStyle="1" w:styleId="DatumChar">
    <w:name w:val="Datum Char"/>
    <w:basedOn w:val="Standardnpsmoodstavce"/>
    <w:link w:val="Datum"/>
    <w:semiHidden/>
    <w:rsid w:val="00114426"/>
    <w:rPr>
      <w:rFonts w:ascii="Times New Roman" w:eastAsia="Times New Roman" w:hAnsi="Times New Roman" w:cs="Times New Roman"/>
      <w:sz w:val="24"/>
      <w:lang w:val="en-GB" w:eastAsia="en-GB"/>
    </w:rPr>
  </w:style>
  <w:style w:type="paragraph" w:styleId="Datum">
    <w:name w:val="Date"/>
    <w:basedOn w:val="Normln"/>
    <w:next w:val="References"/>
    <w:link w:val="DatumChar"/>
    <w:semiHidden/>
    <w:unhideWhenUsed/>
    <w:rsid w:val="00114426"/>
    <w:pPr>
      <w:spacing w:before="0" w:after="0" w:line="240" w:lineRule="auto"/>
      <w:ind w:left="5103" w:right="-567"/>
    </w:pPr>
    <w:rPr>
      <w:rFonts w:eastAsia="Times New Roman"/>
      <w:lang w:eastAsia="en-GB"/>
    </w:rPr>
  </w:style>
  <w:style w:type="paragraph" w:styleId="Zkladntext-prvnodsazen">
    <w:name w:val="Body Text First Indent"/>
    <w:basedOn w:val="Zkladntext"/>
    <w:link w:val="Zkladntext-prvnodsazenChar"/>
    <w:semiHidden/>
    <w:unhideWhenUsed/>
    <w:rsid w:val="00114426"/>
    <w:pPr>
      <w:ind w:firstLine="210"/>
    </w:pPr>
  </w:style>
  <w:style w:type="character" w:customStyle="1" w:styleId="Zkladntext-prvnodsazenChar">
    <w:name w:val="Základní text - první odsazený Char"/>
    <w:basedOn w:val="ZkladntextChar1"/>
    <w:link w:val="Zkladntext-prvnodsazen"/>
    <w:semiHidden/>
    <w:rsid w:val="00114426"/>
    <w:rPr>
      <w:rFonts w:ascii="Times New Roman" w:eastAsia="Times New Roman" w:hAnsi="Times New Roman" w:cs="Times New Roman"/>
      <w:sz w:val="24"/>
      <w:lang w:val="en-GB" w:eastAsia="en-GB"/>
    </w:rPr>
  </w:style>
  <w:style w:type="character" w:customStyle="1" w:styleId="Zkladntext-prvnodsazen2Char">
    <w:name w:val="Základní text - první odsazený 2 Char"/>
    <w:basedOn w:val="ZkladntextodsazenChar"/>
    <w:link w:val="Zkladntext-prvnodsazen2"/>
    <w:semiHidden/>
    <w:rsid w:val="00114426"/>
    <w:rPr>
      <w:rFonts w:ascii="Times New Roman" w:eastAsia="Times New Roman" w:hAnsi="Times New Roman" w:cs="Times New Roman"/>
      <w:sz w:val="24"/>
      <w:lang w:val="en-GB" w:eastAsia="en-GB"/>
    </w:rPr>
  </w:style>
  <w:style w:type="paragraph" w:styleId="Zkladntext-prvnodsazen2">
    <w:name w:val="Body Text First Indent 2"/>
    <w:basedOn w:val="Zkladntextodsazen"/>
    <w:link w:val="Zkladntext-prvnodsazen2Char"/>
    <w:semiHidden/>
    <w:unhideWhenUsed/>
    <w:rsid w:val="00114426"/>
    <w:pPr>
      <w:ind w:firstLine="210"/>
    </w:pPr>
  </w:style>
  <w:style w:type="character" w:customStyle="1" w:styleId="NadpispoznmkyChar">
    <w:name w:val="Nadpis poznámky Char"/>
    <w:basedOn w:val="Standardnpsmoodstavce"/>
    <w:link w:val="Nadpispoznmky"/>
    <w:semiHidden/>
    <w:rsid w:val="00114426"/>
    <w:rPr>
      <w:rFonts w:ascii="Times New Roman" w:eastAsia="Times New Roman" w:hAnsi="Times New Roman" w:cs="Times New Roman"/>
      <w:sz w:val="24"/>
      <w:lang w:val="en-GB" w:eastAsia="en-GB"/>
    </w:rPr>
  </w:style>
  <w:style w:type="paragraph" w:styleId="Nadpispoznmky">
    <w:name w:val="Note Heading"/>
    <w:basedOn w:val="Normln"/>
    <w:next w:val="Normln"/>
    <w:link w:val="NadpispoznmkyChar"/>
    <w:semiHidden/>
    <w:unhideWhenUsed/>
    <w:rsid w:val="00114426"/>
    <w:pPr>
      <w:spacing w:before="0" w:after="240" w:line="240" w:lineRule="auto"/>
      <w:jc w:val="both"/>
    </w:pPr>
    <w:rPr>
      <w:rFonts w:eastAsia="Times New Roman"/>
      <w:lang w:eastAsia="en-GB"/>
    </w:rPr>
  </w:style>
  <w:style w:type="character" w:customStyle="1" w:styleId="Zkladntext2Char">
    <w:name w:val="Základní text 2 Char"/>
    <w:basedOn w:val="Standardnpsmoodstavce"/>
    <w:link w:val="Zkladntext2"/>
    <w:semiHidden/>
    <w:rsid w:val="00114426"/>
    <w:rPr>
      <w:rFonts w:ascii="Times New Roman" w:eastAsia="Times New Roman" w:hAnsi="Times New Roman" w:cs="Times New Roman"/>
      <w:sz w:val="24"/>
      <w:lang w:val="en-GB" w:eastAsia="en-GB"/>
    </w:rPr>
  </w:style>
  <w:style w:type="paragraph" w:styleId="Zkladntext2">
    <w:name w:val="Body Text 2"/>
    <w:basedOn w:val="Normln"/>
    <w:link w:val="Zkladntext2Char"/>
    <w:semiHidden/>
    <w:unhideWhenUsed/>
    <w:rsid w:val="00114426"/>
    <w:pPr>
      <w:spacing w:before="0" w:line="480" w:lineRule="auto"/>
      <w:jc w:val="both"/>
    </w:pPr>
    <w:rPr>
      <w:rFonts w:eastAsia="Times New Roman"/>
      <w:lang w:eastAsia="en-GB"/>
    </w:rPr>
  </w:style>
  <w:style w:type="character" w:customStyle="1" w:styleId="Zkladntext3Char">
    <w:name w:val="Základní text 3 Char"/>
    <w:basedOn w:val="Standardnpsmoodstavce"/>
    <w:link w:val="Zkladntext3"/>
    <w:semiHidden/>
    <w:rsid w:val="00114426"/>
    <w:rPr>
      <w:rFonts w:ascii="Times New Roman" w:eastAsia="Times New Roman" w:hAnsi="Times New Roman" w:cs="Times New Roman"/>
      <w:sz w:val="16"/>
      <w:lang w:val="en-GB" w:eastAsia="en-GB"/>
    </w:rPr>
  </w:style>
  <w:style w:type="paragraph" w:styleId="Zkladntext3">
    <w:name w:val="Body Text 3"/>
    <w:basedOn w:val="Normln"/>
    <w:link w:val="Zkladntext3Char"/>
    <w:semiHidden/>
    <w:unhideWhenUsed/>
    <w:rsid w:val="00114426"/>
    <w:pPr>
      <w:spacing w:before="0" w:line="240" w:lineRule="auto"/>
      <w:jc w:val="both"/>
    </w:pPr>
    <w:rPr>
      <w:rFonts w:eastAsia="Times New Roman"/>
      <w:sz w:val="16"/>
      <w:lang w:eastAsia="en-GB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114426"/>
    <w:rPr>
      <w:rFonts w:ascii="Times New Roman" w:eastAsia="Times New Roman" w:hAnsi="Times New Roman" w:cs="Times New Roman"/>
      <w:sz w:val="24"/>
      <w:lang w:val="en-GB" w:eastAsia="en-GB"/>
    </w:rPr>
  </w:style>
  <w:style w:type="paragraph" w:styleId="Zkladntextodsazen2">
    <w:name w:val="Body Text Indent 2"/>
    <w:basedOn w:val="Normln"/>
    <w:link w:val="Zkladntextodsazen2Char"/>
    <w:semiHidden/>
    <w:unhideWhenUsed/>
    <w:rsid w:val="00114426"/>
    <w:pPr>
      <w:spacing w:before="0" w:line="480" w:lineRule="auto"/>
      <w:ind w:left="283"/>
      <w:jc w:val="both"/>
    </w:pPr>
    <w:rPr>
      <w:rFonts w:eastAsia="Times New Roman"/>
      <w:lang w:eastAsia="en-GB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114426"/>
    <w:rPr>
      <w:rFonts w:ascii="Times New Roman" w:eastAsia="Times New Roman" w:hAnsi="Times New Roman" w:cs="Times New Roman"/>
      <w:sz w:val="16"/>
      <w:lang w:val="en-GB" w:eastAsia="en-GB"/>
    </w:rPr>
  </w:style>
  <w:style w:type="paragraph" w:styleId="Zkladntextodsazen3">
    <w:name w:val="Body Text Indent 3"/>
    <w:basedOn w:val="Normln"/>
    <w:link w:val="Zkladntextodsazen3Char"/>
    <w:semiHidden/>
    <w:unhideWhenUsed/>
    <w:rsid w:val="00114426"/>
    <w:pPr>
      <w:spacing w:before="0" w:line="240" w:lineRule="auto"/>
      <w:ind w:left="283"/>
      <w:jc w:val="both"/>
    </w:pPr>
    <w:rPr>
      <w:rFonts w:eastAsia="Times New Roman"/>
      <w:sz w:val="16"/>
      <w:lang w:eastAsia="en-GB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14426"/>
    <w:rPr>
      <w:rFonts w:ascii="Tahoma" w:eastAsia="Times New Roman" w:hAnsi="Tahoma" w:cs="Times New Roman"/>
      <w:sz w:val="24"/>
      <w:shd w:val="clear" w:color="auto" w:fill="000080"/>
      <w:lang w:val="en-GB" w:eastAsia="en-GB"/>
    </w:rPr>
  </w:style>
  <w:style w:type="paragraph" w:styleId="Rozloendokumentu">
    <w:name w:val="Document Map"/>
    <w:basedOn w:val="Normln"/>
    <w:link w:val="RozloendokumentuChar"/>
    <w:semiHidden/>
    <w:unhideWhenUsed/>
    <w:rsid w:val="00114426"/>
    <w:pPr>
      <w:shd w:val="clear" w:color="auto" w:fill="000080"/>
      <w:spacing w:before="0" w:after="240" w:line="240" w:lineRule="auto"/>
      <w:jc w:val="both"/>
    </w:pPr>
    <w:rPr>
      <w:rFonts w:ascii="Tahoma" w:eastAsia="Times New Roman" w:hAnsi="Tahoma"/>
      <w:lang w:eastAsia="en-GB"/>
    </w:rPr>
  </w:style>
  <w:style w:type="character" w:customStyle="1" w:styleId="ProsttextChar">
    <w:name w:val="Prostý text Char"/>
    <w:basedOn w:val="Standardnpsmoodstavce"/>
    <w:link w:val="Prosttext"/>
    <w:semiHidden/>
    <w:rsid w:val="00114426"/>
    <w:rPr>
      <w:rFonts w:ascii="Courier New" w:eastAsia="Times New Roman" w:hAnsi="Courier New" w:cs="Times New Roman"/>
      <w:sz w:val="20"/>
      <w:lang w:val="en-GB" w:eastAsia="en-GB"/>
    </w:rPr>
  </w:style>
  <w:style w:type="paragraph" w:styleId="Prosttext">
    <w:name w:val="Plain Text"/>
    <w:basedOn w:val="Normln"/>
    <w:link w:val="ProsttextChar"/>
    <w:semiHidden/>
    <w:unhideWhenUsed/>
    <w:rsid w:val="00114426"/>
    <w:pPr>
      <w:spacing w:before="0" w:after="240" w:line="240" w:lineRule="auto"/>
      <w:jc w:val="both"/>
    </w:pPr>
    <w:rPr>
      <w:rFonts w:ascii="Courier New" w:eastAsia="Times New Roman" w:hAnsi="Courier New"/>
      <w:sz w:val="20"/>
      <w:lang w:eastAsia="en-GB"/>
    </w:rPr>
  </w:style>
  <w:style w:type="character" w:customStyle="1" w:styleId="PedmtkomenteChar">
    <w:name w:val="Předmět komentáře Char"/>
    <w:basedOn w:val="TextkomenteChar"/>
    <w:link w:val="Pedmtkomente"/>
    <w:semiHidden/>
    <w:rsid w:val="00114426"/>
    <w:rPr>
      <w:rFonts w:ascii="Times New Roman" w:eastAsia="Calibri" w:hAnsi="Times New Roman" w:cs="Arial"/>
      <w:b/>
      <w:bCs/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114426"/>
    <w:rPr>
      <w:b/>
      <w:bCs/>
    </w:rPr>
  </w:style>
  <w:style w:type="character" w:customStyle="1" w:styleId="TextbublinyChar">
    <w:name w:val="Text bubliny Char"/>
    <w:basedOn w:val="Standardnpsmoodstavce"/>
    <w:link w:val="Textbubliny"/>
    <w:semiHidden/>
    <w:rsid w:val="00114426"/>
    <w:rPr>
      <w:rFonts w:ascii="Tahoma" w:eastAsia="Calibri" w:hAnsi="Tahoma" w:cs="Tahoma"/>
      <w:sz w:val="16"/>
      <w:szCs w:val="16"/>
      <w:lang w:val="en-US"/>
    </w:rPr>
  </w:style>
  <w:style w:type="paragraph" w:styleId="Textbubliny">
    <w:name w:val="Balloon Text"/>
    <w:basedOn w:val="Normln"/>
    <w:link w:val="TextbublinyChar"/>
    <w:semiHidden/>
    <w:unhideWhenUsed/>
    <w:rsid w:val="00114426"/>
    <w:pPr>
      <w:spacing w:before="0" w:after="0"/>
    </w:pPr>
    <w:rPr>
      <w:rFonts w:ascii="Tahoma" w:eastAsia="Calibri" w:hAnsi="Tahoma" w:cs="Tahoma"/>
      <w:sz w:val="16"/>
      <w:szCs w:val="16"/>
      <w:lang w:val="en-US"/>
    </w:rPr>
  </w:style>
  <w:style w:type="paragraph" w:styleId="Bezmezer">
    <w:name w:val="No Spacing"/>
    <w:aliases w:val="Text v tabulkách,text"/>
    <w:link w:val="BezmezerChar"/>
    <w:uiPriority w:val="1"/>
    <w:qFormat/>
    <w:rsid w:val="00114426"/>
    <w:pPr>
      <w:spacing w:after="0" w:line="240" w:lineRule="auto"/>
    </w:pPr>
    <w:rPr>
      <w:lang w:val="en-GB"/>
    </w:rPr>
  </w:style>
  <w:style w:type="character" w:customStyle="1" w:styleId="OdstavecseseznamemChar">
    <w:name w:val="Odstavec se seznamem Char"/>
    <w:aliases w:val="List Paragraph compact Char,Normal bullet 2 Char,Paragraphe de liste 2 Char,Reference list Char,Bullet list Char,Numbered List Char,List Paragraph1 Char,1st level - Bullet List Paragraph Char,Lettre d'introduction Char,L Char"/>
    <w:link w:val="Odstavecseseznamem"/>
    <w:uiPriority w:val="34"/>
    <w:qFormat/>
    <w:locked/>
    <w:rsid w:val="00114426"/>
    <w:rPr>
      <w:rFonts w:ascii="Times New Roman" w:eastAsia="Calibri" w:hAnsi="Times New Roman" w:cs="Arial"/>
      <w:sz w:val="24"/>
    </w:rPr>
  </w:style>
  <w:style w:type="paragraph" w:styleId="Odstavecseseznamem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"/>
    <w:basedOn w:val="Normln"/>
    <w:link w:val="OdstavecseseznamemChar"/>
    <w:uiPriority w:val="34"/>
    <w:qFormat/>
    <w:rsid w:val="00114426"/>
    <w:pPr>
      <w:spacing w:before="0" w:after="0"/>
      <w:ind w:left="720"/>
      <w:contextualSpacing/>
    </w:pPr>
    <w:rPr>
      <w:rFonts w:eastAsia="Calibri" w:cs="Arial"/>
    </w:rPr>
  </w:style>
  <w:style w:type="paragraph" w:styleId="Citt">
    <w:name w:val="Quote"/>
    <w:basedOn w:val="Normln"/>
    <w:next w:val="Normln"/>
    <w:link w:val="CittChar"/>
    <w:uiPriority w:val="29"/>
    <w:qFormat/>
    <w:rsid w:val="00114426"/>
    <w:pPr>
      <w:spacing w:before="0" w:after="240" w:line="240" w:lineRule="auto"/>
      <w:jc w:val="both"/>
    </w:pPr>
    <w:rPr>
      <w:rFonts w:eastAsia="Times New Roman"/>
      <w:i/>
      <w:iCs/>
      <w:color w:val="000000"/>
      <w:szCs w:val="20"/>
      <w:lang w:eastAsia="en-GB"/>
    </w:rPr>
  </w:style>
  <w:style w:type="character" w:customStyle="1" w:styleId="CittChar">
    <w:name w:val="Citát Char"/>
    <w:basedOn w:val="Standardnpsmoodstavce"/>
    <w:link w:val="Citt"/>
    <w:uiPriority w:val="29"/>
    <w:rsid w:val="00114426"/>
    <w:rPr>
      <w:rFonts w:ascii="Times New Roman" w:eastAsia="Times New Roman" w:hAnsi="Times New Roman" w:cs="Times New Roman"/>
      <w:i/>
      <w:iCs/>
      <w:color w:val="000000"/>
      <w:sz w:val="24"/>
      <w:szCs w:val="20"/>
      <w:lang w:val="en-GB" w:eastAsia="en-GB"/>
    </w:rPr>
  </w:style>
  <w:style w:type="paragraph" w:customStyle="1" w:styleId="NormalCentered">
    <w:name w:val="Normal Centered"/>
    <w:basedOn w:val="Normln"/>
    <w:rsid w:val="00114426"/>
    <w:pPr>
      <w:spacing w:before="200"/>
      <w:jc w:val="center"/>
    </w:pPr>
  </w:style>
  <w:style w:type="paragraph" w:customStyle="1" w:styleId="NormalRight">
    <w:name w:val="Normal Right"/>
    <w:basedOn w:val="Normln"/>
    <w:rsid w:val="00114426"/>
    <w:pPr>
      <w:spacing w:before="200"/>
      <w:jc w:val="right"/>
    </w:pPr>
  </w:style>
  <w:style w:type="paragraph" w:customStyle="1" w:styleId="NormalJustified">
    <w:name w:val="Normal Justified"/>
    <w:basedOn w:val="Normln"/>
    <w:rsid w:val="00114426"/>
    <w:pPr>
      <w:spacing w:before="200"/>
      <w:jc w:val="both"/>
    </w:pPr>
  </w:style>
  <w:style w:type="paragraph" w:customStyle="1" w:styleId="HeaderLandscape">
    <w:name w:val="HeaderLandscape"/>
    <w:basedOn w:val="Normln"/>
    <w:rsid w:val="00114426"/>
    <w:pPr>
      <w:tabs>
        <w:tab w:val="right" w:pos="14570"/>
      </w:tabs>
    </w:pPr>
  </w:style>
  <w:style w:type="paragraph" w:customStyle="1" w:styleId="FooterLandscape">
    <w:name w:val="FooterLandscape"/>
    <w:basedOn w:val="Normln"/>
    <w:rsid w:val="00114426"/>
    <w:pPr>
      <w:tabs>
        <w:tab w:val="center" w:pos="7285"/>
        <w:tab w:val="center" w:pos="10930"/>
        <w:tab w:val="right" w:pos="14570"/>
      </w:tabs>
      <w:spacing w:before="0" w:after="0" w:line="240" w:lineRule="auto"/>
    </w:pPr>
  </w:style>
  <w:style w:type="character" w:customStyle="1" w:styleId="HeaderCouncilChar">
    <w:name w:val="Header Council Char"/>
    <w:link w:val="HeaderCouncil"/>
    <w:locked/>
    <w:rsid w:val="00114426"/>
    <w:rPr>
      <w:rFonts w:ascii="Times New Roman" w:hAnsi="Times New Roman" w:cs="Times New Roman"/>
      <w:sz w:val="2"/>
      <w:lang w:val="en-GB"/>
    </w:rPr>
  </w:style>
  <w:style w:type="paragraph" w:customStyle="1" w:styleId="HeaderCouncil">
    <w:name w:val="Header Council"/>
    <w:basedOn w:val="Normln"/>
    <w:link w:val="HeaderCouncilChar"/>
    <w:rsid w:val="00114426"/>
    <w:pPr>
      <w:spacing w:before="0" w:after="0" w:line="240" w:lineRule="auto"/>
    </w:pPr>
    <w:rPr>
      <w:sz w:val="2"/>
    </w:rPr>
  </w:style>
  <w:style w:type="character" w:customStyle="1" w:styleId="FooterCouncilChar">
    <w:name w:val="Footer Council Char"/>
    <w:link w:val="FooterCouncil"/>
    <w:locked/>
    <w:rsid w:val="00114426"/>
    <w:rPr>
      <w:rFonts w:ascii="Times New Roman" w:hAnsi="Times New Roman" w:cs="Times New Roman"/>
      <w:sz w:val="2"/>
      <w:lang w:val="en-GB"/>
    </w:rPr>
  </w:style>
  <w:style w:type="paragraph" w:customStyle="1" w:styleId="FooterCouncil">
    <w:name w:val="Footer Council"/>
    <w:basedOn w:val="Normln"/>
    <w:link w:val="FooterCouncilChar"/>
    <w:rsid w:val="00114426"/>
    <w:pPr>
      <w:spacing w:before="0" w:after="0" w:line="240" w:lineRule="auto"/>
    </w:pPr>
    <w:rPr>
      <w:sz w:val="2"/>
    </w:rPr>
  </w:style>
  <w:style w:type="character" w:customStyle="1" w:styleId="TechnicalBlockChar">
    <w:name w:val="Technical Block Char"/>
    <w:basedOn w:val="Standardnpsmoodstavce"/>
    <w:link w:val="TechnicalBlock"/>
    <w:locked/>
    <w:rsid w:val="00114426"/>
    <w:rPr>
      <w:rFonts w:ascii="Times New Roman" w:hAnsi="Times New Roman" w:cs="Times New Roman"/>
      <w:sz w:val="24"/>
      <w:lang w:val="en-GB"/>
    </w:rPr>
  </w:style>
  <w:style w:type="paragraph" w:customStyle="1" w:styleId="TechnicalBlock">
    <w:name w:val="Technical Block"/>
    <w:basedOn w:val="Normln"/>
    <w:next w:val="Normln"/>
    <w:link w:val="TechnicalBlockChar"/>
    <w:rsid w:val="00114426"/>
    <w:pPr>
      <w:spacing w:before="0" w:after="240" w:line="240" w:lineRule="auto"/>
      <w:jc w:val="center"/>
    </w:pPr>
  </w:style>
  <w:style w:type="paragraph" w:customStyle="1" w:styleId="FinalLine">
    <w:name w:val="Final Line"/>
    <w:basedOn w:val="Normln"/>
    <w:next w:val="Normln"/>
    <w:rsid w:val="00114426"/>
    <w:pPr>
      <w:pBdr>
        <w:bottom w:val="single" w:sz="4" w:space="0" w:color="000000"/>
      </w:pBdr>
      <w:spacing w:before="360"/>
      <w:ind w:left="3400" w:right="3400"/>
      <w:jc w:val="center"/>
    </w:pPr>
    <w:rPr>
      <w:b/>
    </w:rPr>
  </w:style>
  <w:style w:type="paragraph" w:customStyle="1" w:styleId="FinalLineLandscape">
    <w:name w:val="Final Line (Landscape)"/>
    <w:basedOn w:val="Normln"/>
    <w:next w:val="Normln"/>
    <w:rsid w:val="00114426"/>
    <w:pPr>
      <w:pBdr>
        <w:bottom w:val="single" w:sz="4" w:space="0" w:color="000000"/>
      </w:pBdr>
      <w:spacing w:before="360"/>
      <w:ind w:left="5868" w:right="5868"/>
      <w:jc w:val="center"/>
    </w:pPr>
    <w:rPr>
      <w:b/>
    </w:rPr>
  </w:style>
  <w:style w:type="character" w:customStyle="1" w:styleId="Text1Char">
    <w:name w:val="Text 1 Char"/>
    <w:link w:val="Text1"/>
    <w:locked/>
    <w:rsid w:val="00114426"/>
    <w:rPr>
      <w:rFonts w:ascii="Times New Roman" w:hAnsi="Times New Roman" w:cs="Times New Roman"/>
      <w:sz w:val="24"/>
      <w:lang w:val="en-GB"/>
    </w:rPr>
  </w:style>
  <w:style w:type="paragraph" w:customStyle="1" w:styleId="Text1">
    <w:name w:val="Text 1"/>
    <w:basedOn w:val="Normln"/>
    <w:link w:val="Text1Char"/>
    <w:rsid w:val="00114426"/>
    <w:pPr>
      <w:ind w:left="567"/>
    </w:pPr>
  </w:style>
  <w:style w:type="paragraph" w:customStyle="1" w:styleId="Text2">
    <w:name w:val="Text 2"/>
    <w:basedOn w:val="Normln"/>
    <w:rsid w:val="00114426"/>
    <w:pPr>
      <w:ind w:left="1134"/>
    </w:pPr>
  </w:style>
  <w:style w:type="paragraph" w:customStyle="1" w:styleId="Text3">
    <w:name w:val="Text 3"/>
    <w:basedOn w:val="Normln"/>
    <w:rsid w:val="00114426"/>
    <w:pPr>
      <w:ind w:left="1701"/>
    </w:pPr>
  </w:style>
  <w:style w:type="paragraph" w:customStyle="1" w:styleId="Text4">
    <w:name w:val="Text 4"/>
    <w:basedOn w:val="Normln"/>
    <w:rsid w:val="00114426"/>
    <w:pPr>
      <w:ind w:left="2268"/>
    </w:pPr>
  </w:style>
  <w:style w:type="paragraph" w:customStyle="1" w:styleId="Text5">
    <w:name w:val="Text 5"/>
    <w:basedOn w:val="Normln"/>
    <w:rsid w:val="00114426"/>
    <w:pPr>
      <w:ind w:left="2835"/>
    </w:pPr>
  </w:style>
  <w:style w:type="paragraph" w:customStyle="1" w:styleId="Text6">
    <w:name w:val="Text 6"/>
    <w:basedOn w:val="Normln"/>
    <w:rsid w:val="00114426"/>
    <w:pPr>
      <w:ind w:left="3402"/>
    </w:pPr>
  </w:style>
  <w:style w:type="paragraph" w:customStyle="1" w:styleId="PointManual">
    <w:name w:val="Point Manual"/>
    <w:basedOn w:val="Normln"/>
    <w:rsid w:val="00114426"/>
    <w:pPr>
      <w:ind w:left="567" w:hanging="567"/>
    </w:pPr>
  </w:style>
  <w:style w:type="paragraph" w:customStyle="1" w:styleId="PointManual1">
    <w:name w:val="Point Manual (1)"/>
    <w:basedOn w:val="Normln"/>
    <w:rsid w:val="00114426"/>
    <w:pPr>
      <w:ind w:left="1134" w:hanging="567"/>
    </w:pPr>
  </w:style>
  <w:style w:type="paragraph" w:customStyle="1" w:styleId="PointManual2">
    <w:name w:val="Point Manual (2)"/>
    <w:basedOn w:val="Normln"/>
    <w:rsid w:val="00114426"/>
    <w:pPr>
      <w:ind w:left="1701" w:hanging="567"/>
    </w:pPr>
  </w:style>
  <w:style w:type="paragraph" w:customStyle="1" w:styleId="PointManual3">
    <w:name w:val="Point Manual (3)"/>
    <w:basedOn w:val="Normln"/>
    <w:rsid w:val="00114426"/>
    <w:pPr>
      <w:ind w:left="2268" w:hanging="567"/>
    </w:pPr>
  </w:style>
  <w:style w:type="paragraph" w:customStyle="1" w:styleId="PointManual4">
    <w:name w:val="Point Manual (4)"/>
    <w:basedOn w:val="Normln"/>
    <w:rsid w:val="00114426"/>
    <w:pPr>
      <w:ind w:left="2835" w:hanging="567"/>
    </w:pPr>
  </w:style>
  <w:style w:type="paragraph" w:customStyle="1" w:styleId="PointDoubleManual">
    <w:name w:val="Point Double Manual"/>
    <w:basedOn w:val="Normln"/>
    <w:rsid w:val="00114426"/>
    <w:pPr>
      <w:tabs>
        <w:tab w:val="left" w:pos="567"/>
      </w:tabs>
      <w:ind w:left="1134" w:hanging="1134"/>
    </w:pPr>
  </w:style>
  <w:style w:type="paragraph" w:customStyle="1" w:styleId="PointDoubleManual1">
    <w:name w:val="Point Double Manual (1)"/>
    <w:basedOn w:val="Normln"/>
    <w:rsid w:val="00114426"/>
    <w:pPr>
      <w:tabs>
        <w:tab w:val="left" w:pos="1134"/>
      </w:tabs>
      <w:ind w:left="1701" w:hanging="1134"/>
    </w:pPr>
  </w:style>
  <w:style w:type="paragraph" w:customStyle="1" w:styleId="PointDoubleManual2">
    <w:name w:val="Point Double Manual (2)"/>
    <w:basedOn w:val="Normln"/>
    <w:rsid w:val="00114426"/>
    <w:pPr>
      <w:tabs>
        <w:tab w:val="left" w:pos="1701"/>
      </w:tabs>
      <w:ind w:left="2268" w:hanging="1134"/>
    </w:pPr>
  </w:style>
  <w:style w:type="paragraph" w:customStyle="1" w:styleId="PointDoubleManual3">
    <w:name w:val="Point Double Manual (3)"/>
    <w:basedOn w:val="Normln"/>
    <w:rsid w:val="00114426"/>
    <w:pPr>
      <w:tabs>
        <w:tab w:val="left" w:pos="2268"/>
      </w:tabs>
      <w:ind w:left="2835" w:hanging="1134"/>
    </w:pPr>
  </w:style>
  <w:style w:type="paragraph" w:customStyle="1" w:styleId="PointDoubleManual4">
    <w:name w:val="Point Double Manual (4)"/>
    <w:basedOn w:val="Normln"/>
    <w:rsid w:val="00114426"/>
    <w:pPr>
      <w:tabs>
        <w:tab w:val="left" w:pos="2835"/>
      </w:tabs>
      <w:ind w:left="3402" w:hanging="1134"/>
    </w:pPr>
  </w:style>
  <w:style w:type="paragraph" w:customStyle="1" w:styleId="Pointabc">
    <w:name w:val="Point abc"/>
    <w:basedOn w:val="Normln"/>
    <w:rsid w:val="00114426"/>
    <w:pPr>
      <w:numPr>
        <w:ilvl w:val="1"/>
        <w:numId w:val="3"/>
      </w:numPr>
    </w:pPr>
  </w:style>
  <w:style w:type="paragraph" w:customStyle="1" w:styleId="Pointabc1">
    <w:name w:val="Point abc (1)"/>
    <w:basedOn w:val="Normln"/>
    <w:rsid w:val="00114426"/>
    <w:pPr>
      <w:numPr>
        <w:ilvl w:val="3"/>
        <w:numId w:val="3"/>
      </w:numPr>
    </w:pPr>
  </w:style>
  <w:style w:type="paragraph" w:customStyle="1" w:styleId="Pointabc2">
    <w:name w:val="Point abc (2)"/>
    <w:basedOn w:val="Normln"/>
    <w:rsid w:val="00114426"/>
    <w:pPr>
      <w:numPr>
        <w:ilvl w:val="5"/>
        <w:numId w:val="3"/>
      </w:numPr>
    </w:pPr>
  </w:style>
  <w:style w:type="paragraph" w:customStyle="1" w:styleId="Pointabc3">
    <w:name w:val="Point abc (3)"/>
    <w:basedOn w:val="Normln"/>
    <w:rsid w:val="00114426"/>
    <w:pPr>
      <w:numPr>
        <w:ilvl w:val="7"/>
        <w:numId w:val="3"/>
      </w:numPr>
    </w:pPr>
  </w:style>
  <w:style w:type="paragraph" w:customStyle="1" w:styleId="Pointabc4">
    <w:name w:val="Point abc (4)"/>
    <w:basedOn w:val="Normln"/>
    <w:rsid w:val="00114426"/>
    <w:pPr>
      <w:numPr>
        <w:ilvl w:val="8"/>
        <w:numId w:val="3"/>
      </w:numPr>
    </w:pPr>
  </w:style>
  <w:style w:type="paragraph" w:customStyle="1" w:styleId="Point123">
    <w:name w:val="Point 123"/>
    <w:basedOn w:val="Normln"/>
    <w:rsid w:val="00114426"/>
    <w:pPr>
      <w:numPr>
        <w:numId w:val="3"/>
      </w:numPr>
    </w:pPr>
  </w:style>
  <w:style w:type="paragraph" w:customStyle="1" w:styleId="Point1231">
    <w:name w:val="Point 123 (1)"/>
    <w:basedOn w:val="Normln"/>
    <w:rsid w:val="00114426"/>
    <w:pPr>
      <w:numPr>
        <w:ilvl w:val="2"/>
        <w:numId w:val="3"/>
      </w:numPr>
    </w:pPr>
  </w:style>
  <w:style w:type="paragraph" w:customStyle="1" w:styleId="Point1232">
    <w:name w:val="Point 123 (2)"/>
    <w:basedOn w:val="Normln"/>
    <w:rsid w:val="00114426"/>
    <w:pPr>
      <w:numPr>
        <w:ilvl w:val="4"/>
        <w:numId w:val="3"/>
      </w:numPr>
    </w:pPr>
  </w:style>
  <w:style w:type="paragraph" w:customStyle="1" w:styleId="Point1233">
    <w:name w:val="Point 123 (3)"/>
    <w:basedOn w:val="Normln"/>
    <w:rsid w:val="00114426"/>
    <w:pPr>
      <w:numPr>
        <w:ilvl w:val="6"/>
        <w:numId w:val="3"/>
      </w:numPr>
    </w:pPr>
  </w:style>
  <w:style w:type="paragraph" w:customStyle="1" w:styleId="Pointivx">
    <w:name w:val="Point ivx"/>
    <w:basedOn w:val="Normln"/>
    <w:rsid w:val="00114426"/>
    <w:pPr>
      <w:numPr>
        <w:numId w:val="4"/>
      </w:numPr>
    </w:pPr>
  </w:style>
  <w:style w:type="paragraph" w:customStyle="1" w:styleId="Pointivx1">
    <w:name w:val="Point ivx (1)"/>
    <w:basedOn w:val="Normln"/>
    <w:rsid w:val="00114426"/>
    <w:pPr>
      <w:numPr>
        <w:ilvl w:val="1"/>
        <w:numId w:val="4"/>
      </w:numPr>
    </w:pPr>
  </w:style>
  <w:style w:type="paragraph" w:customStyle="1" w:styleId="Pointivx2">
    <w:name w:val="Point ivx (2)"/>
    <w:basedOn w:val="Normln"/>
    <w:rsid w:val="00114426"/>
    <w:pPr>
      <w:numPr>
        <w:ilvl w:val="2"/>
        <w:numId w:val="4"/>
      </w:numPr>
    </w:pPr>
  </w:style>
  <w:style w:type="paragraph" w:customStyle="1" w:styleId="Pointivx3">
    <w:name w:val="Point ivx (3)"/>
    <w:basedOn w:val="Normln"/>
    <w:rsid w:val="00114426"/>
    <w:pPr>
      <w:numPr>
        <w:ilvl w:val="3"/>
        <w:numId w:val="4"/>
      </w:numPr>
    </w:pPr>
  </w:style>
  <w:style w:type="paragraph" w:customStyle="1" w:styleId="Pointivx4">
    <w:name w:val="Point ivx (4)"/>
    <w:basedOn w:val="Normln"/>
    <w:rsid w:val="00114426"/>
    <w:pPr>
      <w:numPr>
        <w:ilvl w:val="4"/>
        <w:numId w:val="4"/>
      </w:numPr>
    </w:pPr>
  </w:style>
  <w:style w:type="paragraph" w:customStyle="1" w:styleId="Bullet">
    <w:name w:val="Bullet"/>
    <w:basedOn w:val="Normln"/>
    <w:rsid w:val="00114426"/>
    <w:pPr>
      <w:numPr>
        <w:numId w:val="5"/>
      </w:numPr>
    </w:pPr>
  </w:style>
  <w:style w:type="paragraph" w:customStyle="1" w:styleId="Bullet1">
    <w:name w:val="Bullet 1"/>
    <w:basedOn w:val="Normln"/>
    <w:rsid w:val="00114426"/>
    <w:pPr>
      <w:numPr>
        <w:numId w:val="6"/>
      </w:numPr>
    </w:pPr>
  </w:style>
  <w:style w:type="paragraph" w:customStyle="1" w:styleId="Bullet2">
    <w:name w:val="Bullet 2"/>
    <w:basedOn w:val="Normln"/>
    <w:rsid w:val="00114426"/>
    <w:pPr>
      <w:numPr>
        <w:numId w:val="7"/>
      </w:numPr>
    </w:pPr>
  </w:style>
  <w:style w:type="paragraph" w:customStyle="1" w:styleId="Bullet3">
    <w:name w:val="Bullet 3"/>
    <w:basedOn w:val="Normln"/>
    <w:rsid w:val="00114426"/>
    <w:pPr>
      <w:numPr>
        <w:numId w:val="8"/>
      </w:numPr>
    </w:pPr>
  </w:style>
  <w:style w:type="paragraph" w:customStyle="1" w:styleId="Bullet4">
    <w:name w:val="Bullet 4"/>
    <w:basedOn w:val="Normln"/>
    <w:rsid w:val="00114426"/>
    <w:pPr>
      <w:numPr>
        <w:numId w:val="9"/>
      </w:numPr>
    </w:pPr>
  </w:style>
  <w:style w:type="paragraph" w:customStyle="1" w:styleId="Dash">
    <w:name w:val="Dash"/>
    <w:basedOn w:val="Normln"/>
    <w:rsid w:val="00114426"/>
    <w:pPr>
      <w:numPr>
        <w:numId w:val="10"/>
      </w:numPr>
    </w:pPr>
  </w:style>
  <w:style w:type="paragraph" w:customStyle="1" w:styleId="Dash1">
    <w:name w:val="Dash 1"/>
    <w:basedOn w:val="Normln"/>
    <w:rsid w:val="00114426"/>
    <w:pPr>
      <w:numPr>
        <w:numId w:val="11"/>
      </w:numPr>
    </w:pPr>
  </w:style>
  <w:style w:type="paragraph" w:customStyle="1" w:styleId="Dash2">
    <w:name w:val="Dash 2"/>
    <w:basedOn w:val="Normln"/>
    <w:rsid w:val="00114426"/>
    <w:pPr>
      <w:numPr>
        <w:numId w:val="12"/>
      </w:numPr>
    </w:pPr>
  </w:style>
  <w:style w:type="paragraph" w:customStyle="1" w:styleId="Dash3">
    <w:name w:val="Dash 3"/>
    <w:basedOn w:val="Normln"/>
    <w:rsid w:val="00114426"/>
    <w:pPr>
      <w:numPr>
        <w:numId w:val="13"/>
      </w:numPr>
    </w:pPr>
  </w:style>
  <w:style w:type="paragraph" w:customStyle="1" w:styleId="Dash4">
    <w:name w:val="Dash 4"/>
    <w:basedOn w:val="Normln"/>
    <w:rsid w:val="00114426"/>
    <w:pPr>
      <w:numPr>
        <w:numId w:val="14"/>
      </w:numPr>
    </w:pPr>
  </w:style>
  <w:style w:type="paragraph" w:customStyle="1" w:styleId="DashEqual">
    <w:name w:val="Dash Equal"/>
    <w:basedOn w:val="Dash"/>
    <w:rsid w:val="00114426"/>
    <w:pPr>
      <w:numPr>
        <w:numId w:val="15"/>
      </w:numPr>
    </w:pPr>
  </w:style>
  <w:style w:type="paragraph" w:customStyle="1" w:styleId="DashEqual1">
    <w:name w:val="Dash Equal 1"/>
    <w:basedOn w:val="Dash1"/>
    <w:rsid w:val="00114426"/>
    <w:pPr>
      <w:numPr>
        <w:numId w:val="16"/>
      </w:numPr>
    </w:pPr>
  </w:style>
  <w:style w:type="paragraph" w:customStyle="1" w:styleId="DashEqual2">
    <w:name w:val="Dash Equal 2"/>
    <w:basedOn w:val="Dash2"/>
    <w:rsid w:val="00114426"/>
    <w:pPr>
      <w:numPr>
        <w:numId w:val="17"/>
      </w:numPr>
    </w:pPr>
  </w:style>
  <w:style w:type="paragraph" w:customStyle="1" w:styleId="DashEqual3">
    <w:name w:val="Dash Equal 3"/>
    <w:basedOn w:val="Dash3"/>
    <w:rsid w:val="00114426"/>
    <w:pPr>
      <w:numPr>
        <w:numId w:val="18"/>
      </w:numPr>
    </w:pPr>
  </w:style>
  <w:style w:type="paragraph" w:customStyle="1" w:styleId="DashEqual4">
    <w:name w:val="Dash Equal 4"/>
    <w:basedOn w:val="Dash4"/>
    <w:rsid w:val="00114426"/>
    <w:pPr>
      <w:numPr>
        <w:numId w:val="19"/>
      </w:numPr>
    </w:pPr>
  </w:style>
  <w:style w:type="paragraph" w:customStyle="1" w:styleId="HeadingLeft">
    <w:name w:val="Heading Left"/>
    <w:basedOn w:val="Normln"/>
    <w:next w:val="Normln"/>
    <w:rsid w:val="00114426"/>
    <w:pPr>
      <w:spacing w:before="360"/>
      <w:outlineLvl w:val="0"/>
    </w:pPr>
    <w:rPr>
      <w:b/>
      <w:caps/>
      <w:u w:val="single"/>
    </w:rPr>
  </w:style>
  <w:style w:type="paragraph" w:customStyle="1" w:styleId="HeadingIVX">
    <w:name w:val="Heading IVX"/>
    <w:basedOn w:val="HeadingLeft"/>
    <w:next w:val="Normln"/>
    <w:rsid w:val="00114426"/>
    <w:pPr>
      <w:numPr>
        <w:numId w:val="20"/>
      </w:numPr>
    </w:pPr>
  </w:style>
  <w:style w:type="paragraph" w:customStyle="1" w:styleId="Heading123">
    <w:name w:val="Heading 123"/>
    <w:basedOn w:val="HeadingLeft"/>
    <w:next w:val="Normln"/>
    <w:rsid w:val="00114426"/>
    <w:pPr>
      <w:numPr>
        <w:numId w:val="21"/>
      </w:numPr>
    </w:pPr>
  </w:style>
  <w:style w:type="paragraph" w:customStyle="1" w:styleId="HeadingABC">
    <w:name w:val="Heading ABC"/>
    <w:basedOn w:val="HeadingLeft"/>
    <w:next w:val="Normln"/>
    <w:rsid w:val="00114426"/>
    <w:pPr>
      <w:numPr>
        <w:numId w:val="22"/>
      </w:numPr>
    </w:pPr>
  </w:style>
  <w:style w:type="paragraph" w:customStyle="1" w:styleId="HeadingCentered">
    <w:name w:val="Heading Centered"/>
    <w:basedOn w:val="HeadingLeft"/>
    <w:next w:val="Normln"/>
    <w:rsid w:val="00114426"/>
    <w:pPr>
      <w:jc w:val="center"/>
    </w:pPr>
  </w:style>
  <w:style w:type="paragraph" w:customStyle="1" w:styleId="Jardin">
    <w:name w:val="Jardin"/>
    <w:basedOn w:val="Normln"/>
    <w:rsid w:val="00114426"/>
    <w:pPr>
      <w:spacing w:before="200" w:after="0" w:line="240" w:lineRule="auto"/>
      <w:jc w:val="center"/>
    </w:pPr>
  </w:style>
  <w:style w:type="paragraph" w:customStyle="1" w:styleId="Amendment">
    <w:name w:val="Amendment"/>
    <w:basedOn w:val="Normln"/>
    <w:next w:val="Normln"/>
    <w:rsid w:val="00114426"/>
    <w:rPr>
      <w:i/>
      <w:u w:val="single"/>
    </w:rPr>
  </w:style>
  <w:style w:type="paragraph" w:customStyle="1" w:styleId="AmendmentList">
    <w:name w:val="Amendment List"/>
    <w:basedOn w:val="Normln"/>
    <w:rsid w:val="00114426"/>
    <w:pPr>
      <w:ind w:left="2268" w:hanging="2268"/>
    </w:pPr>
  </w:style>
  <w:style w:type="paragraph" w:customStyle="1" w:styleId="ReplyRE">
    <w:name w:val="Reply RE"/>
    <w:basedOn w:val="Normln"/>
    <w:next w:val="Normln"/>
    <w:rsid w:val="00114426"/>
    <w:pPr>
      <w:spacing w:after="480" w:line="240" w:lineRule="auto"/>
      <w:contextualSpacing/>
    </w:pPr>
  </w:style>
  <w:style w:type="paragraph" w:customStyle="1" w:styleId="ReplyBold">
    <w:name w:val="Reply Bold"/>
    <w:basedOn w:val="ReplyRE"/>
    <w:next w:val="Normln"/>
    <w:rsid w:val="00114426"/>
    <w:rPr>
      <w:b/>
    </w:rPr>
  </w:style>
  <w:style w:type="paragraph" w:customStyle="1" w:styleId="Annex">
    <w:name w:val="Annex"/>
    <w:basedOn w:val="Normln"/>
    <w:next w:val="Normln"/>
    <w:rsid w:val="00114426"/>
    <w:pPr>
      <w:jc w:val="right"/>
    </w:pPr>
    <w:rPr>
      <w:b/>
      <w:u w:val="single"/>
    </w:rPr>
  </w:style>
  <w:style w:type="paragraph" w:customStyle="1" w:styleId="Sign">
    <w:name w:val="Sign"/>
    <w:basedOn w:val="Normln"/>
    <w:rsid w:val="00114426"/>
    <w:pPr>
      <w:tabs>
        <w:tab w:val="center" w:pos="7087"/>
      </w:tabs>
      <w:contextualSpacing/>
    </w:pPr>
  </w:style>
  <w:style w:type="paragraph" w:customStyle="1" w:styleId="NotDeclassified">
    <w:name w:val="Not Declassified"/>
    <w:basedOn w:val="Normln"/>
    <w:next w:val="Normln"/>
    <w:rsid w:val="00114426"/>
    <w:pPr>
      <w:shd w:val="clear" w:color="auto" w:fill="CCCCCC"/>
    </w:pPr>
    <w:rPr>
      <w:b/>
    </w:rPr>
  </w:style>
  <w:style w:type="paragraph" w:customStyle="1" w:styleId="NormalCompact">
    <w:name w:val="Normal Compact"/>
    <w:basedOn w:val="Normln"/>
    <w:next w:val="Normln"/>
    <w:rsid w:val="00114426"/>
    <w:pPr>
      <w:spacing w:line="240" w:lineRule="auto"/>
    </w:pPr>
  </w:style>
  <w:style w:type="character" w:customStyle="1" w:styleId="HeaderCouncilLargeChar">
    <w:name w:val="Header Council Large Char"/>
    <w:basedOn w:val="TechnicalBlockChar"/>
    <w:link w:val="HeaderCouncilLarge"/>
    <w:locked/>
    <w:rsid w:val="00114426"/>
    <w:rPr>
      <w:rFonts w:ascii="Times New Roman" w:hAnsi="Times New Roman" w:cs="Times New Roman"/>
      <w:sz w:val="2"/>
      <w:lang w:val="en-GB"/>
    </w:rPr>
  </w:style>
  <w:style w:type="paragraph" w:customStyle="1" w:styleId="HeaderCouncilLarge">
    <w:name w:val="Header Council Large"/>
    <w:basedOn w:val="Normln"/>
    <w:link w:val="HeaderCouncilLargeChar"/>
    <w:rsid w:val="00114426"/>
    <w:pPr>
      <w:spacing w:before="0" w:after="440"/>
      <w:ind w:left="-1134" w:right="-1134"/>
    </w:pPr>
    <w:rPr>
      <w:sz w:val="2"/>
    </w:rPr>
  </w:style>
  <w:style w:type="paragraph" w:customStyle="1" w:styleId="FooterText">
    <w:name w:val="Footer Text"/>
    <w:basedOn w:val="Normln"/>
    <w:rsid w:val="00114426"/>
    <w:pPr>
      <w:spacing w:before="0" w:after="0" w:line="240" w:lineRule="auto"/>
    </w:pPr>
    <w:rPr>
      <w:rFonts w:eastAsia="Times New Roman"/>
      <w:szCs w:val="24"/>
    </w:rPr>
  </w:style>
  <w:style w:type="paragraph" w:customStyle="1" w:styleId="EntInstit">
    <w:name w:val="EntInstit"/>
    <w:basedOn w:val="Normln"/>
    <w:rsid w:val="00114426"/>
    <w:pPr>
      <w:spacing w:before="0" w:after="0" w:line="240" w:lineRule="auto"/>
      <w:jc w:val="right"/>
    </w:pPr>
    <w:rPr>
      <w:rFonts w:eastAsia="Calibri" w:cs="Arial"/>
      <w:b/>
      <w:lang w:val="en-US"/>
    </w:rPr>
  </w:style>
  <w:style w:type="paragraph" w:customStyle="1" w:styleId="EntRefer">
    <w:name w:val="EntRefer"/>
    <w:basedOn w:val="Normln"/>
    <w:rsid w:val="00114426"/>
    <w:pPr>
      <w:spacing w:before="0" w:after="0" w:line="240" w:lineRule="auto"/>
    </w:pPr>
    <w:rPr>
      <w:rFonts w:eastAsia="Calibri" w:cs="Arial"/>
      <w:b/>
      <w:lang w:val="en-US"/>
    </w:rPr>
  </w:style>
  <w:style w:type="paragraph" w:customStyle="1" w:styleId="Par-number10">
    <w:name w:val="Par-number 1)"/>
    <w:basedOn w:val="Normln"/>
    <w:next w:val="Normln"/>
    <w:rsid w:val="00114426"/>
    <w:pPr>
      <w:numPr>
        <w:numId w:val="23"/>
      </w:numPr>
      <w:spacing w:before="0" w:after="0"/>
    </w:pPr>
    <w:rPr>
      <w:rFonts w:eastAsia="Calibri" w:cs="Arial"/>
      <w:lang w:val="en-US"/>
    </w:rPr>
  </w:style>
  <w:style w:type="paragraph" w:customStyle="1" w:styleId="EntEmet">
    <w:name w:val="EntEmet"/>
    <w:basedOn w:val="Normln"/>
    <w:rsid w:val="00114426"/>
    <w:pPr>
      <w:tabs>
        <w:tab w:val="left" w:pos="284"/>
        <w:tab w:val="left" w:pos="567"/>
        <w:tab w:val="left" w:pos="851"/>
        <w:tab w:val="left" w:pos="1134"/>
        <w:tab w:val="left" w:pos="1418"/>
      </w:tabs>
      <w:spacing w:before="40" w:after="0" w:line="240" w:lineRule="auto"/>
    </w:pPr>
    <w:rPr>
      <w:rFonts w:eastAsia="Calibri" w:cs="Arial"/>
      <w:lang w:val="en-US"/>
    </w:rPr>
  </w:style>
  <w:style w:type="paragraph" w:customStyle="1" w:styleId="Par-bullet">
    <w:name w:val="Par-bullet"/>
    <w:basedOn w:val="Normln"/>
    <w:next w:val="Normln"/>
    <w:rsid w:val="00114426"/>
    <w:pPr>
      <w:numPr>
        <w:numId w:val="24"/>
      </w:numPr>
      <w:spacing w:before="0" w:after="0"/>
    </w:pPr>
    <w:rPr>
      <w:rFonts w:eastAsia="Calibri" w:cs="Arial"/>
      <w:lang w:val="en-US"/>
    </w:rPr>
  </w:style>
  <w:style w:type="paragraph" w:customStyle="1" w:styleId="Par-equal">
    <w:name w:val="Par-equal"/>
    <w:basedOn w:val="Normln"/>
    <w:next w:val="Normln"/>
    <w:rsid w:val="00114426"/>
    <w:pPr>
      <w:numPr>
        <w:numId w:val="25"/>
      </w:numPr>
      <w:spacing w:before="0" w:after="0"/>
    </w:pPr>
    <w:rPr>
      <w:rFonts w:eastAsia="Calibri" w:cs="Arial"/>
      <w:lang w:val="en-US"/>
    </w:rPr>
  </w:style>
  <w:style w:type="paragraph" w:customStyle="1" w:styleId="Par-number1">
    <w:name w:val="Par-number (1)"/>
    <w:basedOn w:val="Normln"/>
    <w:next w:val="Normln"/>
    <w:rsid w:val="00114426"/>
    <w:pPr>
      <w:numPr>
        <w:numId w:val="26"/>
      </w:numPr>
      <w:spacing w:before="0" w:after="0"/>
    </w:pPr>
    <w:rPr>
      <w:rFonts w:eastAsia="Calibri" w:cs="Arial"/>
      <w:lang w:val="en-US"/>
    </w:rPr>
  </w:style>
  <w:style w:type="paragraph" w:customStyle="1" w:styleId="Par-number11">
    <w:name w:val="Par-number 1."/>
    <w:basedOn w:val="Normln"/>
    <w:next w:val="Normln"/>
    <w:rsid w:val="00114426"/>
    <w:pPr>
      <w:numPr>
        <w:numId w:val="27"/>
      </w:numPr>
      <w:spacing w:before="0" w:after="0"/>
    </w:pPr>
    <w:rPr>
      <w:rFonts w:eastAsia="Calibri" w:cs="Arial"/>
      <w:lang w:val="en-US"/>
    </w:rPr>
  </w:style>
  <w:style w:type="paragraph" w:customStyle="1" w:styleId="Par-numberI">
    <w:name w:val="Par-number I."/>
    <w:basedOn w:val="Normln"/>
    <w:next w:val="Normln"/>
    <w:rsid w:val="00114426"/>
    <w:pPr>
      <w:numPr>
        <w:numId w:val="28"/>
      </w:numPr>
      <w:spacing w:before="0" w:after="0"/>
    </w:pPr>
    <w:rPr>
      <w:rFonts w:eastAsia="Calibri" w:cs="Arial"/>
      <w:lang w:val="en-US"/>
    </w:rPr>
  </w:style>
  <w:style w:type="paragraph" w:customStyle="1" w:styleId="Par-dash">
    <w:name w:val="Par-dash"/>
    <w:basedOn w:val="Normln"/>
    <w:next w:val="Normln"/>
    <w:rsid w:val="00114426"/>
    <w:pPr>
      <w:numPr>
        <w:numId w:val="29"/>
      </w:numPr>
      <w:spacing w:before="0" w:after="0"/>
    </w:pPr>
    <w:rPr>
      <w:rFonts w:eastAsia="Calibri" w:cs="Arial"/>
      <w:lang w:val="en-US"/>
    </w:rPr>
  </w:style>
  <w:style w:type="paragraph" w:customStyle="1" w:styleId="EntLogo">
    <w:name w:val="EntLogo"/>
    <w:basedOn w:val="Normln"/>
    <w:next w:val="EntInstit"/>
    <w:rsid w:val="00114426"/>
    <w:pPr>
      <w:spacing w:before="0" w:after="0"/>
    </w:pPr>
    <w:rPr>
      <w:rFonts w:eastAsia="Calibri" w:cs="Arial"/>
      <w:b/>
      <w:lang w:val="en-US"/>
    </w:rPr>
  </w:style>
  <w:style w:type="paragraph" w:customStyle="1" w:styleId="Par-numberA">
    <w:name w:val="Par-number A."/>
    <w:basedOn w:val="Normln"/>
    <w:next w:val="Normln"/>
    <w:rsid w:val="00114426"/>
    <w:pPr>
      <w:numPr>
        <w:numId w:val="30"/>
      </w:numPr>
      <w:spacing w:before="0" w:after="0"/>
    </w:pPr>
    <w:rPr>
      <w:rFonts w:eastAsia="Calibri" w:cs="Arial"/>
      <w:lang w:val="en-US"/>
    </w:rPr>
  </w:style>
  <w:style w:type="paragraph" w:customStyle="1" w:styleId="AC">
    <w:name w:val="AC"/>
    <w:basedOn w:val="Normln"/>
    <w:next w:val="Normln"/>
    <w:rsid w:val="00114426"/>
    <w:pPr>
      <w:spacing w:before="0" w:after="0"/>
    </w:pPr>
    <w:rPr>
      <w:rFonts w:eastAsia="Calibri" w:cs="Arial"/>
      <w:b/>
      <w:sz w:val="40"/>
      <w:lang w:val="en-US"/>
    </w:rPr>
  </w:style>
  <w:style w:type="paragraph" w:customStyle="1" w:styleId="Par-numberi0">
    <w:name w:val="Par-number (i)"/>
    <w:basedOn w:val="Normln"/>
    <w:next w:val="Normln"/>
    <w:rsid w:val="00114426"/>
    <w:pPr>
      <w:numPr>
        <w:numId w:val="31"/>
      </w:numPr>
      <w:tabs>
        <w:tab w:val="left" w:pos="567"/>
      </w:tabs>
      <w:spacing w:before="0" w:after="0"/>
    </w:pPr>
    <w:rPr>
      <w:rFonts w:eastAsia="Calibri" w:cs="Arial"/>
      <w:lang w:val="en-US"/>
    </w:rPr>
  </w:style>
  <w:style w:type="paragraph" w:customStyle="1" w:styleId="Par-numbera0">
    <w:name w:val="Par-number (a)"/>
    <w:basedOn w:val="Normln"/>
    <w:next w:val="Normln"/>
    <w:rsid w:val="00114426"/>
    <w:pPr>
      <w:numPr>
        <w:numId w:val="32"/>
      </w:numPr>
      <w:spacing w:before="0" w:after="0"/>
    </w:pPr>
    <w:rPr>
      <w:rFonts w:eastAsia="Calibri" w:cs="Arial"/>
      <w:lang w:val="en-US"/>
    </w:rPr>
  </w:style>
  <w:style w:type="paragraph" w:customStyle="1" w:styleId="AddReference">
    <w:name w:val="Add Reference"/>
    <w:basedOn w:val="Normln"/>
    <w:rsid w:val="0011442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 w:line="240" w:lineRule="auto"/>
      <w:ind w:left="7655" w:right="-454"/>
    </w:pPr>
    <w:rPr>
      <w:rFonts w:eastAsia="Calibri" w:cs="Arial"/>
      <w:i/>
      <w:sz w:val="20"/>
      <w:lang w:val="en-US"/>
    </w:rPr>
  </w:style>
  <w:style w:type="paragraph" w:customStyle="1" w:styleId="ChapterTitle">
    <w:name w:val="ChapterTitle"/>
    <w:basedOn w:val="Normln"/>
    <w:next w:val="Normln"/>
    <w:rsid w:val="00114426"/>
    <w:pPr>
      <w:keepNext/>
      <w:spacing w:after="360" w:line="240" w:lineRule="auto"/>
      <w:jc w:val="center"/>
    </w:pPr>
    <w:rPr>
      <w:rFonts w:eastAsia="Calibri"/>
      <w:b/>
      <w:sz w:val="32"/>
    </w:rPr>
  </w:style>
  <w:style w:type="paragraph" w:customStyle="1" w:styleId="SectionTitle">
    <w:name w:val="SectionTitle"/>
    <w:basedOn w:val="Normln"/>
    <w:next w:val="Nadpis1"/>
    <w:rsid w:val="00114426"/>
    <w:pPr>
      <w:keepNext/>
      <w:spacing w:after="360" w:line="240" w:lineRule="auto"/>
      <w:jc w:val="center"/>
    </w:pPr>
    <w:rPr>
      <w:rFonts w:eastAsia="Calibri"/>
      <w:b/>
      <w:smallCaps/>
      <w:sz w:val="28"/>
    </w:rPr>
  </w:style>
  <w:style w:type="paragraph" w:customStyle="1" w:styleId="ManualNumPar1">
    <w:name w:val="Manual NumPar 1"/>
    <w:basedOn w:val="Normln"/>
    <w:next w:val="Normln"/>
    <w:rsid w:val="00114426"/>
    <w:pPr>
      <w:spacing w:line="240" w:lineRule="auto"/>
      <w:ind w:left="850" w:hanging="850"/>
      <w:jc w:val="both"/>
    </w:pPr>
    <w:rPr>
      <w:rFonts w:eastAsia="Calibri"/>
    </w:rPr>
  </w:style>
  <w:style w:type="paragraph" w:customStyle="1" w:styleId="Titrearticle">
    <w:name w:val="Titre article"/>
    <w:basedOn w:val="Normln"/>
    <w:next w:val="Normln"/>
    <w:rsid w:val="00114426"/>
    <w:pPr>
      <w:keepNext/>
      <w:spacing w:before="360" w:line="240" w:lineRule="auto"/>
      <w:jc w:val="center"/>
    </w:pPr>
    <w:rPr>
      <w:rFonts w:eastAsia="Calibri"/>
      <w:i/>
    </w:rPr>
  </w:style>
  <w:style w:type="paragraph" w:customStyle="1" w:styleId="Point2">
    <w:name w:val="Point 2"/>
    <w:basedOn w:val="Normln"/>
    <w:rsid w:val="00114426"/>
    <w:pPr>
      <w:spacing w:line="240" w:lineRule="auto"/>
      <w:ind w:left="1984" w:hanging="567"/>
      <w:jc w:val="both"/>
    </w:pPr>
    <w:rPr>
      <w:rFonts w:eastAsia="Calibri"/>
    </w:rPr>
  </w:style>
  <w:style w:type="paragraph" w:customStyle="1" w:styleId="Point0number">
    <w:name w:val="Point 0 (number)"/>
    <w:basedOn w:val="Normln"/>
    <w:rsid w:val="00114426"/>
    <w:pPr>
      <w:numPr>
        <w:numId w:val="33"/>
      </w:numPr>
      <w:tabs>
        <w:tab w:val="num" w:pos="360"/>
      </w:tabs>
      <w:spacing w:line="240" w:lineRule="auto"/>
      <w:ind w:left="0" w:firstLine="0"/>
      <w:jc w:val="both"/>
    </w:pPr>
    <w:rPr>
      <w:rFonts w:eastAsia="Calibri"/>
    </w:rPr>
  </w:style>
  <w:style w:type="paragraph" w:customStyle="1" w:styleId="Point1number">
    <w:name w:val="Point 1 (number)"/>
    <w:basedOn w:val="Normln"/>
    <w:rsid w:val="00114426"/>
    <w:pPr>
      <w:numPr>
        <w:ilvl w:val="2"/>
        <w:numId w:val="33"/>
      </w:numPr>
      <w:tabs>
        <w:tab w:val="num" w:pos="360"/>
      </w:tabs>
      <w:spacing w:line="240" w:lineRule="auto"/>
      <w:ind w:left="0" w:firstLine="0"/>
      <w:jc w:val="both"/>
    </w:pPr>
    <w:rPr>
      <w:rFonts w:eastAsia="Calibri"/>
    </w:rPr>
  </w:style>
  <w:style w:type="paragraph" w:customStyle="1" w:styleId="Point2number">
    <w:name w:val="Point 2 (number)"/>
    <w:basedOn w:val="Normln"/>
    <w:rsid w:val="00114426"/>
    <w:pPr>
      <w:numPr>
        <w:ilvl w:val="4"/>
        <w:numId w:val="33"/>
      </w:numPr>
      <w:tabs>
        <w:tab w:val="num" w:pos="360"/>
      </w:tabs>
      <w:spacing w:line="240" w:lineRule="auto"/>
      <w:ind w:left="0" w:firstLine="0"/>
      <w:jc w:val="both"/>
    </w:pPr>
    <w:rPr>
      <w:rFonts w:eastAsia="Calibri"/>
    </w:rPr>
  </w:style>
  <w:style w:type="paragraph" w:customStyle="1" w:styleId="Point3number">
    <w:name w:val="Point 3 (number)"/>
    <w:basedOn w:val="Normln"/>
    <w:rsid w:val="00114426"/>
    <w:pPr>
      <w:numPr>
        <w:ilvl w:val="6"/>
        <w:numId w:val="33"/>
      </w:numPr>
      <w:tabs>
        <w:tab w:val="num" w:pos="360"/>
      </w:tabs>
      <w:spacing w:line="240" w:lineRule="auto"/>
      <w:ind w:left="0" w:firstLine="0"/>
      <w:jc w:val="both"/>
    </w:pPr>
    <w:rPr>
      <w:rFonts w:eastAsia="Calibri"/>
    </w:rPr>
  </w:style>
  <w:style w:type="paragraph" w:customStyle="1" w:styleId="Point0letter">
    <w:name w:val="Point 0 (letter)"/>
    <w:basedOn w:val="Normln"/>
    <w:rsid w:val="00114426"/>
    <w:pPr>
      <w:numPr>
        <w:ilvl w:val="1"/>
        <w:numId w:val="33"/>
      </w:numPr>
      <w:tabs>
        <w:tab w:val="num" w:pos="360"/>
      </w:tabs>
      <w:spacing w:line="240" w:lineRule="auto"/>
      <w:ind w:left="0" w:firstLine="0"/>
      <w:jc w:val="both"/>
    </w:pPr>
    <w:rPr>
      <w:rFonts w:eastAsia="Calibri"/>
    </w:rPr>
  </w:style>
  <w:style w:type="paragraph" w:customStyle="1" w:styleId="Point1letter">
    <w:name w:val="Point 1 (letter)"/>
    <w:basedOn w:val="Normln"/>
    <w:rsid w:val="00114426"/>
    <w:pPr>
      <w:spacing w:line="240" w:lineRule="auto"/>
      <w:jc w:val="both"/>
    </w:pPr>
    <w:rPr>
      <w:rFonts w:eastAsia="Calibri"/>
    </w:rPr>
  </w:style>
  <w:style w:type="paragraph" w:customStyle="1" w:styleId="Point2letter">
    <w:name w:val="Point 2 (letter)"/>
    <w:basedOn w:val="Normln"/>
    <w:rsid w:val="00114426"/>
    <w:pPr>
      <w:numPr>
        <w:ilvl w:val="5"/>
        <w:numId w:val="33"/>
      </w:numPr>
      <w:tabs>
        <w:tab w:val="num" w:pos="360"/>
      </w:tabs>
      <w:spacing w:line="240" w:lineRule="auto"/>
      <w:ind w:left="0" w:firstLine="0"/>
      <w:jc w:val="both"/>
    </w:pPr>
    <w:rPr>
      <w:rFonts w:eastAsia="Calibri"/>
    </w:rPr>
  </w:style>
  <w:style w:type="paragraph" w:customStyle="1" w:styleId="Point3letter">
    <w:name w:val="Point 3 (letter)"/>
    <w:basedOn w:val="Normln"/>
    <w:rsid w:val="00114426"/>
    <w:pPr>
      <w:numPr>
        <w:ilvl w:val="7"/>
        <w:numId w:val="33"/>
      </w:numPr>
      <w:tabs>
        <w:tab w:val="num" w:pos="360"/>
      </w:tabs>
      <w:spacing w:line="240" w:lineRule="auto"/>
      <w:ind w:left="0" w:firstLine="0"/>
      <w:jc w:val="both"/>
    </w:pPr>
    <w:rPr>
      <w:rFonts w:eastAsia="Calibri"/>
    </w:rPr>
  </w:style>
  <w:style w:type="paragraph" w:customStyle="1" w:styleId="Point4letter">
    <w:name w:val="Point 4 (letter)"/>
    <w:basedOn w:val="Normln"/>
    <w:rsid w:val="00114426"/>
    <w:pPr>
      <w:numPr>
        <w:ilvl w:val="8"/>
        <w:numId w:val="33"/>
      </w:numPr>
      <w:tabs>
        <w:tab w:val="num" w:pos="360"/>
      </w:tabs>
      <w:spacing w:line="240" w:lineRule="auto"/>
      <w:ind w:left="0" w:firstLine="0"/>
      <w:jc w:val="both"/>
    </w:pPr>
    <w:rPr>
      <w:rFonts w:eastAsia="Calibri"/>
    </w:rPr>
  </w:style>
  <w:style w:type="paragraph" w:customStyle="1" w:styleId="Considerant">
    <w:name w:val="Considerant"/>
    <w:basedOn w:val="Odstavecseseznamem"/>
    <w:rsid w:val="00114426"/>
    <w:pPr>
      <w:numPr>
        <w:numId w:val="34"/>
      </w:numPr>
      <w:spacing w:after="200" w:line="276" w:lineRule="auto"/>
    </w:pPr>
    <w:rPr>
      <w:rFonts w:eastAsia="Times New Roman" w:cs="Times New Roman"/>
      <w:sz w:val="22"/>
      <w:lang w:val="en-GB" w:eastAsia="en-GB"/>
    </w:rPr>
  </w:style>
  <w:style w:type="paragraph" w:customStyle="1" w:styleId="ManualConsidrant">
    <w:name w:val="Manual Considérant"/>
    <w:basedOn w:val="Normln"/>
    <w:rsid w:val="00114426"/>
    <w:pPr>
      <w:spacing w:line="240" w:lineRule="auto"/>
      <w:ind w:left="709" w:hanging="709"/>
      <w:jc w:val="both"/>
    </w:pPr>
    <w:rPr>
      <w:rFonts w:eastAsia="Calibri"/>
    </w:rPr>
  </w:style>
  <w:style w:type="paragraph" w:customStyle="1" w:styleId="Default">
    <w:name w:val="Default"/>
    <w:rsid w:val="0011442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customStyle="1" w:styleId="CM3">
    <w:name w:val="CM3"/>
    <w:basedOn w:val="Normln"/>
    <w:next w:val="Normln"/>
    <w:uiPriority w:val="99"/>
    <w:rsid w:val="00114426"/>
    <w:pPr>
      <w:autoSpaceDE w:val="0"/>
      <w:autoSpaceDN w:val="0"/>
      <w:adjustRightInd w:val="0"/>
      <w:spacing w:before="0" w:after="0" w:line="240" w:lineRule="auto"/>
    </w:pPr>
    <w:rPr>
      <w:rFonts w:ascii="EUAlbertina" w:eastAsia="Times New Roman" w:hAnsi="EUAlbertina"/>
      <w:szCs w:val="24"/>
      <w:lang w:eastAsia="en-GB"/>
    </w:rPr>
  </w:style>
  <w:style w:type="character" w:customStyle="1" w:styleId="AnnexetitreChar">
    <w:name w:val="Annexe titre Char"/>
    <w:link w:val="Annexetitre"/>
    <w:locked/>
    <w:rsid w:val="00114426"/>
    <w:rPr>
      <w:rFonts w:ascii="Times New Roman" w:eastAsia="Calibri" w:hAnsi="Times New Roman" w:cs="Times New Roman"/>
      <w:b/>
      <w:sz w:val="24"/>
      <w:szCs w:val="20"/>
      <w:u w:val="single"/>
      <w:lang w:val="en-GB" w:eastAsia="en-GB"/>
    </w:rPr>
  </w:style>
  <w:style w:type="paragraph" w:customStyle="1" w:styleId="Annexetitre">
    <w:name w:val="Annexe titre"/>
    <w:basedOn w:val="Normln"/>
    <w:next w:val="Normln"/>
    <w:link w:val="AnnexetitreChar"/>
    <w:rsid w:val="00114426"/>
    <w:pPr>
      <w:spacing w:line="240" w:lineRule="auto"/>
      <w:jc w:val="center"/>
    </w:pPr>
    <w:rPr>
      <w:rFonts w:eastAsia="Calibri"/>
      <w:b/>
      <w:szCs w:val="20"/>
      <w:u w:val="single"/>
      <w:lang w:eastAsia="en-GB"/>
    </w:rPr>
  </w:style>
  <w:style w:type="paragraph" w:customStyle="1" w:styleId="Pagedecouverture">
    <w:name w:val="Page de couverture"/>
    <w:basedOn w:val="Normln"/>
    <w:next w:val="Normln"/>
    <w:rsid w:val="00114426"/>
    <w:pPr>
      <w:spacing w:before="0" w:after="0" w:line="240" w:lineRule="auto"/>
      <w:jc w:val="both"/>
    </w:pPr>
    <w:rPr>
      <w:rFonts w:eastAsia="Calibri"/>
      <w:szCs w:val="20"/>
      <w:lang w:eastAsia="en-GB"/>
    </w:rPr>
  </w:style>
  <w:style w:type="character" w:customStyle="1" w:styleId="FooterCoverPageChar">
    <w:name w:val="Footer Cover Page Char"/>
    <w:basedOn w:val="AnnexetitreChar"/>
    <w:link w:val="FooterCoverPage"/>
    <w:locked/>
    <w:rsid w:val="00114426"/>
    <w:rPr>
      <w:rFonts w:ascii="Times New Roman" w:eastAsia="Calibri" w:hAnsi="Times New Roman" w:cs="Times New Roman"/>
      <w:b w:val="0"/>
      <w:sz w:val="24"/>
      <w:szCs w:val="20"/>
      <w:u w:val="single"/>
      <w:lang w:val="en-GB" w:eastAsia="en-GB"/>
    </w:rPr>
  </w:style>
  <w:style w:type="paragraph" w:customStyle="1" w:styleId="FooterCoverPage">
    <w:name w:val="Footer Cover Page"/>
    <w:basedOn w:val="Normln"/>
    <w:link w:val="FooterCoverPageChar"/>
    <w:rsid w:val="00114426"/>
    <w:pPr>
      <w:tabs>
        <w:tab w:val="center" w:pos="4535"/>
        <w:tab w:val="right" w:pos="9071"/>
        <w:tab w:val="right" w:pos="9921"/>
      </w:tabs>
      <w:spacing w:before="360" w:after="0" w:line="240" w:lineRule="auto"/>
      <w:ind w:left="-850" w:right="-850"/>
    </w:pPr>
    <w:rPr>
      <w:rFonts w:eastAsia="Calibri"/>
      <w:szCs w:val="20"/>
      <w:u w:val="single"/>
      <w:lang w:eastAsia="en-GB"/>
    </w:rPr>
  </w:style>
  <w:style w:type="character" w:customStyle="1" w:styleId="FooterSensitivityChar">
    <w:name w:val="Footer Sensitivity Char"/>
    <w:basedOn w:val="AnnexetitreChar"/>
    <w:link w:val="FooterSensitivity"/>
    <w:locked/>
    <w:rsid w:val="00114426"/>
    <w:rPr>
      <w:rFonts w:ascii="Times New Roman" w:eastAsia="Calibri" w:hAnsi="Times New Roman" w:cs="Times New Roman"/>
      <w:b/>
      <w:sz w:val="32"/>
      <w:szCs w:val="20"/>
      <w:u w:val="single"/>
      <w:lang w:val="en-GB" w:eastAsia="en-GB"/>
    </w:rPr>
  </w:style>
  <w:style w:type="paragraph" w:customStyle="1" w:styleId="FooterSensitivity">
    <w:name w:val="Footer Sensitivity"/>
    <w:basedOn w:val="Normln"/>
    <w:link w:val="FooterSensitivityChar"/>
    <w:rsid w:val="0011442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 w:line="240" w:lineRule="auto"/>
      <w:ind w:left="113" w:right="113"/>
      <w:jc w:val="center"/>
    </w:pPr>
    <w:rPr>
      <w:rFonts w:eastAsia="Calibri"/>
      <w:b/>
      <w:sz w:val="32"/>
      <w:szCs w:val="20"/>
      <w:u w:val="single"/>
      <w:lang w:eastAsia="en-GB"/>
    </w:rPr>
  </w:style>
  <w:style w:type="character" w:customStyle="1" w:styleId="HeaderCoverPageChar">
    <w:name w:val="Header Cover Page Char"/>
    <w:basedOn w:val="AnnexetitreChar"/>
    <w:link w:val="HeaderCoverPage"/>
    <w:locked/>
    <w:rsid w:val="00114426"/>
    <w:rPr>
      <w:rFonts w:ascii="Times New Roman" w:eastAsia="Calibri" w:hAnsi="Times New Roman" w:cs="Times New Roman"/>
      <w:b w:val="0"/>
      <w:sz w:val="24"/>
      <w:szCs w:val="20"/>
      <w:u w:val="single"/>
      <w:lang w:val="en-GB" w:eastAsia="en-GB"/>
    </w:rPr>
  </w:style>
  <w:style w:type="paragraph" w:customStyle="1" w:styleId="HeaderCoverPage">
    <w:name w:val="Header Cover Page"/>
    <w:basedOn w:val="Normln"/>
    <w:link w:val="HeaderCoverPageChar"/>
    <w:rsid w:val="00114426"/>
    <w:pPr>
      <w:tabs>
        <w:tab w:val="center" w:pos="4535"/>
        <w:tab w:val="right" w:pos="9071"/>
      </w:tabs>
      <w:spacing w:before="0" w:line="240" w:lineRule="auto"/>
      <w:jc w:val="both"/>
    </w:pPr>
    <w:rPr>
      <w:rFonts w:eastAsia="Calibri"/>
      <w:szCs w:val="20"/>
      <w:u w:val="single"/>
      <w:lang w:eastAsia="en-GB"/>
    </w:rPr>
  </w:style>
  <w:style w:type="character" w:customStyle="1" w:styleId="HeaderSensitivityChar">
    <w:name w:val="Header Sensitivity Char"/>
    <w:basedOn w:val="AnnexetitreChar"/>
    <w:link w:val="HeaderSensitivity"/>
    <w:locked/>
    <w:rsid w:val="00114426"/>
    <w:rPr>
      <w:rFonts w:ascii="Times New Roman" w:eastAsia="Calibri" w:hAnsi="Times New Roman" w:cs="Times New Roman"/>
      <w:b/>
      <w:sz w:val="32"/>
      <w:szCs w:val="20"/>
      <w:u w:val="single"/>
      <w:lang w:val="en-GB" w:eastAsia="en-GB"/>
    </w:rPr>
  </w:style>
  <w:style w:type="paragraph" w:customStyle="1" w:styleId="HeaderSensitivity">
    <w:name w:val="Header Sensitivity"/>
    <w:basedOn w:val="Normln"/>
    <w:link w:val="HeaderSensitivityChar"/>
    <w:rsid w:val="0011442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line="240" w:lineRule="auto"/>
      <w:ind w:left="113" w:right="113"/>
      <w:jc w:val="center"/>
    </w:pPr>
    <w:rPr>
      <w:rFonts w:eastAsia="Calibri"/>
      <w:b/>
      <w:sz w:val="32"/>
      <w:szCs w:val="20"/>
      <w:u w:val="single"/>
      <w:lang w:eastAsia="en-GB"/>
    </w:rPr>
  </w:style>
  <w:style w:type="paragraph" w:customStyle="1" w:styleId="CM4">
    <w:name w:val="CM4"/>
    <w:basedOn w:val="Normln"/>
    <w:next w:val="Normln"/>
    <w:uiPriority w:val="99"/>
    <w:rsid w:val="00114426"/>
    <w:pPr>
      <w:autoSpaceDE w:val="0"/>
      <w:autoSpaceDN w:val="0"/>
      <w:adjustRightInd w:val="0"/>
      <w:spacing w:before="0" w:after="0" w:line="240" w:lineRule="auto"/>
    </w:pPr>
    <w:rPr>
      <w:rFonts w:ascii="EUAlbertina" w:eastAsia="Times New Roman" w:hAnsi="EUAlbertina"/>
      <w:szCs w:val="24"/>
      <w:lang w:eastAsia="en-GB"/>
    </w:rPr>
  </w:style>
  <w:style w:type="paragraph" w:customStyle="1" w:styleId="NumPar1">
    <w:name w:val="NumPar 1"/>
    <w:basedOn w:val="Normln"/>
    <w:next w:val="Normln"/>
    <w:rsid w:val="00114426"/>
    <w:pPr>
      <w:spacing w:line="240" w:lineRule="auto"/>
      <w:ind w:left="850"/>
      <w:jc w:val="both"/>
    </w:pPr>
    <w:rPr>
      <w:lang w:eastAsia="en-GB"/>
    </w:rPr>
  </w:style>
  <w:style w:type="paragraph" w:customStyle="1" w:styleId="AddressTL">
    <w:name w:val="AddressTL"/>
    <w:basedOn w:val="Normln"/>
    <w:next w:val="Normln"/>
    <w:rsid w:val="00114426"/>
    <w:pPr>
      <w:spacing w:before="0" w:after="720" w:line="240" w:lineRule="auto"/>
    </w:pPr>
    <w:rPr>
      <w:rFonts w:eastAsia="Times New Roman"/>
      <w:lang w:eastAsia="en-GB"/>
    </w:rPr>
  </w:style>
  <w:style w:type="paragraph" w:customStyle="1" w:styleId="DoubSign">
    <w:name w:val="DoubSign"/>
    <w:basedOn w:val="Normln"/>
    <w:next w:val="Contact"/>
    <w:rsid w:val="00114426"/>
    <w:pPr>
      <w:tabs>
        <w:tab w:val="left" w:pos="5103"/>
      </w:tabs>
      <w:spacing w:before="1200" w:after="0" w:line="240" w:lineRule="auto"/>
    </w:pPr>
    <w:rPr>
      <w:rFonts w:eastAsia="Times New Roman"/>
      <w:lang w:eastAsia="en-GB"/>
    </w:rPr>
  </w:style>
  <w:style w:type="paragraph" w:customStyle="1" w:styleId="Subject">
    <w:name w:val="Subject"/>
    <w:basedOn w:val="Normln"/>
    <w:next w:val="Normln"/>
    <w:rsid w:val="00114426"/>
    <w:pPr>
      <w:spacing w:before="0" w:after="480" w:line="240" w:lineRule="auto"/>
      <w:ind w:left="1531" w:hanging="1531"/>
    </w:pPr>
    <w:rPr>
      <w:rFonts w:eastAsia="Times New Roman"/>
      <w:b/>
      <w:lang w:eastAsia="en-GB"/>
    </w:rPr>
  </w:style>
  <w:style w:type="paragraph" w:customStyle="1" w:styleId="NoteHead">
    <w:name w:val="NoteHead"/>
    <w:basedOn w:val="Normln"/>
    <w:next w:val="Subject"/>
    <w:rsid w:val="00114426"/>
    <w:pPr>
      <w:spacing w:before="720" w:after="720" w:line="240" w:lineRule="auto"/>
      <w:jc w:val="center"/>
    </w:pPr>
    <w:rPr>
      <w:rFonts w:eastAsia="Times New Roman"/>
      <w:b/>
      <w:smallCaps/>
      <w:lang w:eastAsia="en-GB"/>
    </w:rPr>
  </w:style>
  <w:style w:type="paragraph" w:customStyle="1" w:styleId="NoteList">
    <w:name w:val="NoteList"/>
    <w:basedOn w:val="Normln"/>
    <w:next w:val="Subject"/>
    <w:rsid w:val="00114426"/>
    <w:pPr>
      <w:tabs>
        <w:tab w:val="left" w:pos="5823"/>
      </w:tabs>
      <w:spacing w:before="720" w:after="720" w:line="240" w:lineRule="auto"/>
      <w:ind w:left="5104" w:hanging="3119"/>
    </w:pPr>
    <w:rPr>
      <w:rFonts w:eastAsia="Times New Roman"/>
      <w:b/>
      <w:smallCaps/>
      <w:lang w:eastAsia="en-GB"/>
    </w:rPr>
  </w:style>
  <w:style w:type="paragraph" w:customStyle="1" w:styleId="YReferences">
    <w:name w:val="YReferences"/>
    <w:basedOn w:val="Normln"/>
    <w:next w:val="Normln"/>
    <w:rsid w:val="00114426"/>
    <w:pPr>
      <w:spacing w:before="0" w:after="480" w:line="240" w:lineRule="auto"/>
      <w:ind w:left="1531" w:hanging="1531"/>
      <w:jc w:val="both"/>
    </w:pPr>
    <w:rPr>
      <w:rFonts w:eastAsia="Times New Roman"/>
      <w:lang w:eastAsia="en-GB"/>
    </w:rPr>
  </w:style>
  <w:style w:type="paragraph" w:customStyle="1" w:styleId="ListBullet1">
    <w:name w:val="List Bullet 1"/>
    <w:basedOn w:val="Text1"/>
    <w:rsid w:val="00114426"/>
    <w:pPr>
      <w:tabs>
        <w:tab w:val="num" w:pos="765"/>
      </w:tabs>
      <w:spacing w:before="0" w:after="240" w:line="240" w:lineRule="auto"/>
      <w:ind w:left="765" w:hanging="283"/>
      <w:jc w:val="both"/>
    </w:pPr>
    <w:rPr>
      <w:rFonts w:eastAsia="Times New Roman"/>
      <w:lang w:val="en-US" w:eastAsia="en-GB"/>
    </w:rPr>
  </w:style>
  <w:style w:type="paragraph" w:customStyle="1" w:styleId="ListDash">
    <w:name w:val="List Dash"/>
    <w:basedOn w:val="Normln"/>
    <w:rsid w:val="00114426"/>
    <w:pPr>
      <w:numPr>
        <w:numId w:val="35"/>
      </w:numPr>
      <w:spacing w:before="0" w:after="240" w:line="240" w:lineRule="auto"/>
      <w:jc w:val="both"/>
    </w:pPr>
    <w:rPr>
      <w:rFonts w:eastAsia="Times New Roman"/>
      <w:lang w:eastAsia="en-GB"/>
    </w:rPr>
  </w:style>
  <w:style w:type="paragraph" w:customStyle="1" w:styleId="ListDash1">
    <w:name w:val="List Dash 1"/>
    <w:basedOn w:val="Text1"/>
    <w:rsid w:val="00114426"/>
    <w:pPr>
      <w:numPr>
        <w:numId w:val="36"/>
      </w:numPr>
      <w:spacing w:before="0" w:after="240" w:line="240" w:lineRule="auto"/>
      <w:jc w:val="both"/>
    </w:pPr>
    <w:rPr>
      <w:rFonts w:eastAsia="Times New Roman"/>
      <w:lang w:val="en-US" w:eastAsia="en-GB"/>
    </w:rPr>
  </w:style>
  <w:style w:type="paragraph" w:customStyle="1" w:styleId="ListDash2">
    <w:name w:val="List Dash 2"/>
    <w:basedOn w:val="Text2"/>
    <w:rsid w:val="00114426"/>
    <w:pPr>
      <w:numPr>
        <w:numId w:val="37"/>
      </w:numPr>
      <w:spacing w:before="0" w:after="240" w:line="240" w:lineRule="auto"/>
      <w:jc w:val="both"/>
    </w:pPr>
    <w:rPr>
      <w:rFonts w:eastAsia="Times New Roman"/>
      <w:lang w:eastAsia="en-GB"/>
    </w:rPr>
  </w:style>
  <w:style w:type="paragraph" w:customStyle="1" w:styleId="ListDash3">
    <w:name w:val="List Dash 3"/>
    <w:basedOn w:val="Text3"/>
    <w:rsid w:val="00114426"/>
    <w:pPr>
      <w:numPr>
        <w:numId w:val="38"/>
      </w:numPr>
      <w:spacing w:before="0" w:after="240" w:line="240" w:lineRule="auto"/>
      <w:jc w:val="both"/>
    </w:pPr>
    <w:rPr>
      <w:rFonts w:eastAsia="Times New Roman"/>
      <w:lang w:eastAsia="en-GB"/>
    </w:rPr>
  </w:style>
  <w:style w:type="paragraph" w:customStyle="1" w:styleId="ListDash4">
    <w:name w:val="List Dash 4"/>
    <w:basedOn w:val="Text4"/>
    <w:rsid w:val="00114426"/>
    <w:pPr>
      <w:numPr>
        <w:numId w:val="39"/>
      </w:numPr>
      <w:spacing w:before="0" w:after="240" w:line="240" w:lineRule="auto"/>
      <w:jc w:val="both"/>
    </w:pPr>
    <w:rPr>
      <w:rFonts w:eastAsia="Times New Roman"/>
      <w:lang w:eastAsia="en-GB"/>
    </w:rPr>
  </w:style>
  <w:style w:type="paragraph" w:customStyle="1" w:styleId="ListNumberLevel2">
    <w:name w:val="List Number (Level 2)"/>
    <w:basedOn w:val="Normln"/>
    <w:rsid w:val="00114426"/>
    <w:pPr>
      <w:numPr>
        <w:ilvl w:val="1"/>
        <w:numId w:val="2"/>
      </w:numPr>
      <w:spacing w:before="0" w:after="240" w:line="240" w:lineRule="auto"/>
      <w:jc w:val="both"/>
    </w:pPr>
    <w:rPr>
      <w:rFonts w:eastAsia="Times New Roman"/>
      <w:lang w:eastAsia="en-GB"/>
    </w:rPr>
  </w:style>
  <w:style w:type="paragraph" w:customStyle="1" w:styleId="ListNumberLevel3">
    <w:name w:val="List Number (Level 3)"/>
    <w:basedOn w:val="Normln"/>
    <w:rsid w:val="00114426"/>
    <w:pPr>
      <w:numPr>
        <w:ilvl w:val="2"/>
        <w:numId w:val="2"/>
      </w:numPr>
      <w:spacing w:before="0" w:after="240" w:line="240" w:lineRule="auto"/>
      <w:jc w:val="both"/>
    </w:pPr>
    <w:rPr>
      <w:rFonts w:eastAsia="Times New Roman"/>
      <w:lang w:eastAsia="en-GB"/>
    </w:rPr>
  </w:style>
  <w:style w:type="paragraph" w:customStyle="1" w:styleId="ListNumberLevel4">
    <w:name w:val="List Number (Level 4)"/>
    <w:basedOn w:val="Normln"/>
    <w:rsid w:val="00114426"/>
    <w:pPr>
      <w:numPr>
        <w:ilvl w:val="3"/>
        <w:numId w:val="2"/>
      </w:numPr>
      <w:spacing w:before="0" w:after="240" w:line="240" w:lineRule="auto"/>
      <w:jc w:val="both"/>
    </w:pPr>
    <w:rPr>
      <w:rFonts w:eastAsia="Times New Roman"/>
      <w:lang w:eastAsia="en-GB"/>
    </w:rPr>
  </w:style>
  <w:style w:type="paragraph" w:customStyle="1" w:styleId="ListNumber1">
    <w:name w:val="List Number 1"/>
    <w:basedOn w:val="Text1"/>
    <w:rsid w:val="00114426"/>
    <w:pPr>
      <w:numPr>
        <w:numId w:val="40"/>
      </w:numPr>
      <w:spacing w:before="0" w:after="240" w:line="240" w:lineRule="auto"/>
      <w:jc w:val="both"/>
    </w:pPr>
    <w:rPr>
      <w:rFonts w:eastAsia="Times New Roman"/>
      <w:lang w:val="en-US" w:eastAsia="en-GB"/>
    </w:rPr>
  </w:style>
  <w:style w:type="paragraph" w:customStyle="1" w:styleId="ListNumber1Level2">
    <w:name w:val="List Number 1 (Level 2)"/>
    <w:basedOn w:val="Text1"/>
    <w:rsid w:val="00114426"/>
    <w:pPr>
      <w:numPr>
        <w:ilvl w:val="1"/>
        <w:numId w:val="40"/>
      </w:numPr>
      <w:spacing w:before="0" w:after="240" w:line="240" w:lineRule="auto"/>
      <w:jc w:val="both"/>
    </w:pPr>
    <w:rPr>
      <w:rFonts w:eastAsia="Times New Roman"/>
      <w:lang w:val="en-US" w:eastAsia="en-GB"/>
    </w:rPr>
  </w:style>
  <w:style w:type="paragraph" w:customStyle="1" w:styleId="ListNumber1Level3">
    <w:name w:val="List Number 1 (Level 3)"/>
    <w:basedOn w:val="Text1"/>
    <w:rsid w:val="00114426"/>
    <w:pPr>
      <w:numPr>
        <w:ilvl w:val="2"/>
        <w:numId w:val="40"/>
      </w:numPr>
      <w:spacing w:before="0" w:after="240" w:line="240" w:lineRule="auto"/>
      <w:jc w:val="both"/>
    </w:pPr>
    <w:rPr>
      <w:rFonts w:eastAsia="Times New Roman"/>
      <w:lang w:val="en-US" w:eastAsia="en-GB"/>
    </w:rPr>
  </w:style>
  <w:style w:type="paragraph" w:customStyle="1" w:styleId="ListNumber1Level4">
    <w:name w:val="List Number 1 (Level 4)"/>
    <w:basedOn w:val="Text1"/>
    <w:rsid w:val="00114426"/>
    <w:pPr>
      <w:numPr>
        <w:ilvl w:val="3"/>
        <w:numId w:val="40"/>
      </w:numPr>
      <w:spacing w:before="0" w:after="240" w:line="240" w:lineRule="auto"/>
      <w:jc w:val="both"/>
    </w:pPr>
    <w:rPr>
      <w:rFonts w:eastAsia="Times New Roman"/>
      <w:lang w:val="en-US" w:eastAsia="en-GB"/>
    </w:rPr>
  </w:style>
  <w:style w:type="paragraph" w:customStyle="1" w:styleId="ListNumber2Level2">
    <w:name w:val="List Number 2 (Level 2)"/>
    <w:basedOn w:val="Text2"/>
    <w:rsid w:val="00114426"/>
    <w:pPr>
      <w:numPr>
        <w:ilvl w:val="1"/>
        <w:numId w:val="41"/>
      </w:numPr>
      <w:spacing w:before="0" w:after="240" w:line="240" w:lineRule="auto"/>
      <w:jc w:val="both"/>
    </w:pPr>
    <w:rPr>
      <w:rFonts w:eastAsia="Times New Roman"/>
      <w:lang w:eastAsia="en-GB"/>
    </w:rPr>
  </w:style>
  <w:style w:type="paragraph" w:customStyle="1" w:styleId="ListNumber2Level3">
    <w:name w:val="List Number 2 (Level 3)"/>
    <w:basedOn w:val="Text2"/>
    <w:rsid w:val="00114426"/>
    <w:pPr>
      <w:numPr>
        <w:ilvl w:val="2"/>
        <w:numId w:val="41"/>
      </w:numPr>
      <w:spacing w:before="0" w:after="240" w:line="240" w:lineRule="auto"/>
      <w:jc w:val="both"/>
    </w:pPr>
    <w:rPr>
      <w:rFonts w:eastAsia="Times New Roman"/>
      <w:lang w:eastAsia="en-GB"/>
    </w:rPr>
  </w:style>
  <w:style w:type="paragraph" w:customStyle="1" w:styleId="ListNumber2Level4">
    <w:name w:val="List Number 2 (Level 4)"/>
    <w:basedOn w:val="Text2"/>
    <w:rsid w:val="00114426"/>
    <w:pPr>
      <w:numPr>
        <w:ilvl w:val="3"/>
        <w:numId w:val="41"/>
      </w:numPr>
      <w:spacing w:before="0" w:after="240" w:line="240" w:lineRule="auto"/>
      <w:ind w:left="3901" w:hanging="703"/>
      <w:jc w:val="both"/>
    </w:pPr>
    <w:rPr>
      <w:rFonts w:eastAsia="Times New Roman"/>
      <w:lang w:eastAsia="en-GB"/>
    </w:rPr>
  </w:style>
  <w:style w:type="paragraph" w:customStyle="1" w:styleId="ListNumber3Level2">
    <w:name w:val="List Number 3 (Level 2)"/>
    <w:basedOn w:val="Text3"/>
    <w:rsid w:val="00114426"/>
    <w:pPr>
      <w:numPr>
        <w:ilvl w:val="1"/>
        <w:numId w:val="42"/>
      </w:numPr>
      <w:spacing w:before="0" w:after="240" w:line="240" w:lineRule="auto"/>
      <w:jc w:val="both"/>
    </w:pPr>
    <w:rPr>
      <w:rFonts w:eastAsia="Times New Roman"/>
      <w:lang w:eastAsia="en-GB"/>
    </w:rPr>
  </w:style>
  <w:style w:type="paragraph" w:customStyle="1" w:styleId="ListNumber3Level3">
    <w:name w:val="List Number 3 (Level 3)"/>
    <w:basedOn w:val="Text3"/>
    <w:rsid w:val="00114426"/>
    <w:pPr>
      <w:numPr>
        <w:ilvl w:val="2"/>
        <w:numId w:val="42"/>
      </w:numPr>
      <w:spacing w:before="0" w:after="240" w:line="240" w:lineRule="auto"/>
      <w:jc w:val="both"/>
    </w:pPr>
    <w:rPr>
      <w:rFonts w:eastAsia="Times New Roman"/>
      <w:lang w:eastAsia="en-GB"/>
    </w:rPr>
  </w:style>
  <w:style w:type="paragraph" w:customStyle="1" w:styleId="ListNumber3Level4">
    <w:name w:val="List Number 3 (Level 4)"/>
    <w:basedOn w:val="Text3"/>
    <w:rsid w:val="00114426"/>
    <w:pPr>
      <w:numPr>
        <w:ilvl w:val="3"/>
        <w:numId w:val="42"/>
      </w:numPr>
      <w:spacing w:before="0" w:after="240" w:line="240" w:lineRule="auto"/>
      <w:jc w:val="both"/>
    </w:pPr>
    <w:rPr>
      <w:rFonts w:eastAsia="Times New Roman"/>
      <w:lang w:eastAsia="en-GB"/>
    </w:rPr>
  </w:style>
  <w:style w:type="paragraph" w:customStyle="1" w:styleId="ListNumber4Level2">
    <w:name w:val="List Number 4 (Level 2)"/>
    <w:basedOn w:val="Text4"/>
    <w:rsid w:val="00114426"/>
    <w:pPr>
      <w:numPr>
        <w:ilvl w:val="1"/>
        <w:numId w:val="43"/>
      </w:numPr>
      <w:spacing w:before="0" w:after="240" w:line="240" w:lineRule="auto"/>
      <w:jc w:val="both"/>
    </w:pPr>
    <w:rPr>
      <w:rFonts w:eastAsia="Times New Roman"/>
      <w:lang w:eastAsia="en-GB"/>
    </w:rPr>
  </w:style>
  <w:style w:type="paragraph" w:customStyle="1" w:styleId="ListNumber4Level3">
    <w:name w:val="List Number 4 (Level 3)"/>
    <w:basedOn w:val="Text4"/>
    <w:rsid w:val="00114426"/>
    <w:pPr>
      <w:numPr>
        <w:ilvl w:val="2"/>
        <w:numId w:val="43"/>
      </w:numPr>
      <w:spacing w:before="0" w:after="240" w:line="240" w:lineRule="auto"/>
      <w:jc w:val="both"/>
    </w:pPr>
    <w:rPr>
      <w:rFonts w:eastAsia="Times New Roman"/>
      <w:lang w:eastAsia="en-GB"/>
    </w:rPr>
  </w:style>
  <w:style w:type="paragraph" w:customStyle="1" w:styleId="ListNumber4Level4">
    <w:name w:val="List Number 4 (Level 4)"/>
    <w:basedOn w:val="Text4"/>
    <w:rsid w:val="00114426"/>
    <w:pPr>
      <w:numPr>
        <w:ilvl w:val="3"/>
        <w:numId w:val="43"/>
      </w:numPr>
      <w:spacing w:before="0" w:after="240" w:line="240" w:lineRule="auto"/>
      <w:jc w:val="both"/>
    </w:pPr>
    <w:rPr>
      <w:rFonts w:eastAsia="Times New Roman"/>
      <w:lang w:eastAsia="en-GB"/>
    </w:rPr>
  </w:style>
  <w:style w:type="paragraph" w:customStyle="1" w:styleId="DisclaimerNotice">
    <w:name w:val="Disclaimer Notice"/>
    <w:basedOn w:val="Normln"/>
    <w:next w:val="AddressTR"/>
    <w:rsid w:val="00114426"/>
    <w:pPr>
      <w:spacing w:before="0" w:after="240" w:line="240" w:lineRule="auto"/>
      <w:ind w:left="5103"/>
    </w:pPr>
    <w:rPr>
      <w:rFonts w:eastAsia="Times New Roman"/>
      <w:i/>
      <w:sz w:val="20"/>
      <w:lang w:eastAsia="en-GB"/>
    </w:rPr>
  </w:style>
  <w:style w:type="paragraph" w:customStyle="1" w:styleId="Disclaimer">
    <w:name w:val="Disclaimer"/>
    <w:basedOn w:val="Normln"/>
    <w:rsid w:val="00114426"/>
    <w:pPr>
      <w:keepLines/>
      <w:pBdr>
        <w:top w:val="single" w:sz="4" w:space="1" w:color="auto"/>
      </w:pBdr>
      <w:spacing w:before="480" w:after="0" w:line="240" w:lineRule="auto"/>
      <w:jc w:val="both"/>
    </w:pPr>
    <w:rPr>
      <w:rFonts w:eastAsia="Times New Roman"/>
      <w:i/>
      <w:lang w:eastAsia="en-GB"/>
    </w:rPr>
  </w:style>
  <w:style w:type="paragraph" w:customStyle="1" w:styleId="DisclaimerSJ">
    <w:name w:val="Disclaimer_SJ"/>
    <w:basedOn w:val="Normln"/>
    <w:next w:val="Normln"/>
    <w:rsid w:val="00114426"/>
    <w:pPr>
      <w:spacing w:before="0" w:after="0" w:line="240" w:lineRule="auto"/>
      <w:jc w:val="both"/>
    </w:pPr>
    <w:rPr>
      <w:rFonts w:ascii="Arial" w:eastAsia="Times New Roman" w:hAnsi="Arial"/>
      <w:b/>
      <w:sz w:val="16"/>
      <w:lang w:eastAsia="en-GB"/>
    </w:rPr>
  </w:style>
  <w:style w:type="paragraph" w:customStyle="1" w:styleId="StyleHeading3BoldNotItalic">
    <w:name w:val="Style Heading 3 + Bold Not Italic"/>
    <w:basedOn w:val="Nadpis3"/>
    <w:autoRedefine/>
    <w:rsid w:val="00114426"/>
    <w:pPr>
      <w:numPr>
        <w:numId w:val="44"/>
      </w:numPr>
      <w:tabs>
        <w:tab w:val="num" w:pos="850"/>
      </w:tabs>
      <w:spacing w:before="0" w:after="240"/>
      <w:ind w:left="720" w:hanging="720"/>
    </w:pPr>
    <w:rPr>
      <w:rFonts w:ascii="Times New Roman Bold" w:eastAsia="Times New Roman" w:hAnsi="Times New Roman Bold" w:cs="Times New Roman"/>
      <w:bCs/>
      <w:lang w:val="en-GB" w:eastAsia="en-GB"/>
    </w:rPr>
  </w:style>
  <w:style w:type="paragraph" w:customStyle="1" w:styleId="Annextitle">
    <w:name w:val="Annex title"/>
    <w:basedOn w:val="Normln"/>
    <w:autoRedefine/>
    <w:rsid w:val="00114426"/>
    <w:pPr>
      <w:spacing w:after="240" w:line="240" w:lineRule="auto"/>
      <w:jc w:val="center"/>
    </w:pPr>
    <w:rPr>
      <w:rFonts w:ascii="Times New Roman Bold" w:eastAsia="Times New Roman" w:hAnsi="Times New Roman Bold"/>
      <w:b/>
      <w:iCs/>
      <w:smallCaps/>
      <w:szCs w:val="24"/>
      <w:lang w:eastAsia="en-GB"/>
    </w:rPr>
  </w:style>
  <w:style w:type="paragraph" w:customStyle="1" w:styleId="StyleHeading1Hanging085cm">
    <w:name w:val="Style Heading 1 + Hanging:  0.85 cm"/>
    <w:basedOn w:val="Nadpis1"/>
    <w:autoRedefine/>
    <w:rsid w:val="00114426"/>
    <w:pPr>
      <w:numPr>
        <w:numId w:val="0"/>
      </w:numPr>
      <w:tabs>
        <w:tab w:val="left" w:pos="1134"/>
        <w:tab w:val="left" w:pos="1560"/>
      </w:tabs>
      <w:spacing w:after="240"/>
    </w:pPr>
    <w:rPr>
      <w:rFonts w:eastAsia="Times New Roman" w:cs="Times New Roman"/>
      <w:i/>
      <w:szCs w:val="24"/>
      <w:lang w:val="en-GB" w:eastAsia="en-GB"/>
    </w:rPr>
  </w:style>
  <w:style w:type="paragraph" w:customStyle="1" w:styleId="StyleHeading1Left0cm">
    <w:name w:val="Style Heading 1 + Left:  0 cm"/>
    <w:basedOn w:val="Nadpis1"/>
    <w:autoRedefine/>
    <w:rsid w:val="00114426"/>
    <w:pPr>
      <w:numPr>
        <w:numId w:val="45"/>
      </w:numPr>
      <w:tabs>
        <w:tab w:val="left" w:pos="1134"/>
        <w:tab w:val="left" w:pos="1560"/>
      </w:tabs>
      <w:spacing w:after="240"/>
    </w:pPr>
    <w:rPr>
      <w:rFonts w:ascii="Times New Roman Bold" w:eastAsia="Times New Roman" w:hAnsi="Times New Roman Bold" w:cs="Times New Roman"/>
      <w:i/>
      <w:szCs w:val="24"/>
      <w:lang w:val="en-GB" w:eastAsia="en-GB"/>
    </w:rPr>
  </w:style>
  <w:style w:type="paragraph" w:customStyle="1" w:styleId="CM1">
    <w:name w:val="CM1"/>
    <w:basedOn w:val="Default"/>
    <w:next w:val="Default"/>
    <w:uiPriority w:val="99"/>
    <w:rsid w:val="00114426"/>
    <w:pPr>
      <w:spacing w:after="200" w:line="276" w:lineRule="auto"/>
    </w:pPr>
    <w:rPr>
      <w:rFonts w:ascii="EUAlbertina" w:eastAsia="Calibri" w:hAnsi="EUAlbertina" w:cs="Times New Roman"/>
      <w:color w:val="auto"/>
    </w:rPr>
  </w:style>
  <w:style w:type="paragraph" w:customStyle="1" w:styleId="Annextitre">
    <w:name w:val="Annex titre"/>
    <w:basedOn w:val="Normln"/>
    <w:rsid w:val="00114426"/>
    <w:pPr>
      <w:spacing w:line="240" w:lineRule="auto"/>
      <w:jc w:val="both"/>
    </w:pPr>
    <w:rPr>
      <w:rFonts w:eastAsia="Calibri"/>
      <w:lang w:eastAsia="en-GB"/>
    </w:rPr>
  </w:style>
  <w:style w:type="paragraph" w:customStyle="1" w:styleId="NormalLeft">
    <w:name w:val="Normal Left"/>
    <w:basedOn w:val="Normln"/>
    <w:rsid w:val="00114426"/>
    <w:pPr>
      <w:spacing w:line="240" w:lineRule="auto"/>
    </w:pPr>
    <w:rPr>
      <w:rFonts w:eastAsia="Calibri"/>
      <w:lang w:eastAsia="en-GB"/>
    </w:rPr>
  </w:style>
  <w:style w:type="paragraph" w:customStyle="1" w:styleId="QuotedText">
    <w:name w:val="Quoted Text"/>
    <w:basedOn w:val="Normln"/>
    <w:rsid w:val="00114426"/>
    <w:pPr>
      <w:spacing w:line="240" w:lineRule="auto"/>
      <w:ind w:left="1417"/>
      <w:jc w:val="both"/>
    </w:pPr>
    <w:rPr>
      <w:rFonts w:eastAsia="Calibri"/>
      <w:lang w:eastAsia="en-GB"/>
    </w:rPr>
  </w:style>
  <w:style w:type="paragraph" w:customStyle="1" w:styleId="Point0">
    <w:name w:val="Point 0"/>
    <w:basedOn w:val="Normln"/>
    <w:rsid w:val="00114426"/>
    <w:pPr>
      <w:spacing w:line="240" w:lineRule="auto"/>
      <w:ind w:left="850" w:hanging="850"/>
      <w:jc w:val="both"/>
    </w:pPr>
    <w:rPr>
      <w:rFonts w:eastAsia="Calibri"/>
      <w:lang w:eastAsia="en-GB"/>
    </w:rPr>
  </w:style>
  <w:style w:type="paragraph" w:customStyle="1" w:styleId="Point1">
    <w:name w:val="Point 1"/>
    <w:basedOn w:val="Normln"/>
    <w:rsid w:val="00114426"/>
    <w:pPr>
      <w:spacing w:line="240" w:lineRule="auto"/>
      <w:ind w:left="1417" w:hanging="567"/>
      <w:jc w:val="both"/>
    </w:pPr>
    <w:rPr>
      <w:rFonts w:eastAsia="Calibri"/>
      <w:lang w:eastAsia="en-GB"/>
    </w:rPr>
  </w:style>
  <w:style w:type="paragraph" w:customStyle="1" w:styleId="Point3">
    <w:name w:val="Point 3"/>
    <w:basedOn w:val="Normln"/>
    <w:rsid w:val="00114426"/>
    <w:pPr>
      <w:spacing w:line="240" w:lineRule="auto"/>
      <w:ind w:left="2551" w:hanging="567"/>
      <w:jc w:val="both"/>
    </w:pPr>
    <w:rPr>
      <w:rFonts w:eastAsia="Calibri"/>
      <w:lang w:eastAsia="en-GB"/>
    </w:rPr>
  </w:style>
  <w:style w:type="paragraph" w:customStyle="1" w:styleId="Point4">
    <w:name w:val="Point 4"/>
    <w:basedOn w:val="Normln"/>
    <w:rsid w:val="00114426"/>
    <w:pPr>
      <w:spacing w:line="240" w:lineRule="auto"/>
      <w:ind w:left="3118" w:hanging="567"/>
      <w:jc w:val="both"/>
    </w:pPr>
    <w:rPr>
      <w:rFonts w:eastAsia="Calibri"/>
      <w:lang w:eastAsia="en-GB"/>
    </w:rPr>
  </w:style>
  <w:style w:type="paragraph" w:customStyle="1" w:styleId="Tiret0">
    <w:name w:val="Tiret 0"/>
    <w:basedOn w:val="Point0"/>
    <w:rsid w:val="00114426"/>
    <w:pPr>
      <w:numPr>
        <w:numId w:val="46"/>
      </w:numPr>
    </w:pPr>
  </w:style>
  <w:style w:type="paragraph" w:customStyle="1" w:styleId="Tiret1">
    <w:name w:val="Tiret 1"/>
    <w:basedOn w:val="Point1"/>
    <w:rsid w:val="00114426"/>
    <w:pPr>
      <w:numPr>
        <w:numId w:val="47"/>
      </w:numPr>
    </w:pPr>
  </w:style>
  <w:style w:type="paragraph" w:customStyle="1" w:styleId="Tiret2">
    <w:name w:val="Tiret 2"/>
    <w:basedOn w:val="Point2"/>
    <w:rsid w:val="00114426"/>
    <w:pPr>
      <w:numPr>
        <w:numId w:val="48"/>
      </w:numPr>
    </w:pPr>
    <w:rPr>
      <w:lang w:eastAsia="en-GB"/>
    </w:rPr>
  </w:style>
  <w:style w:type="paragraph" w:customStyle="1" w:styleId="Tiret3">
    <w:name w:val="Tiret 3"/>
    <w:basedOn w:val="Point3"/>
    <w:rsid w:val="00114426"/>
    <w:pPr>
      <w:numPr>
        <w:numId w:val="49"/>
      </w:numPr>
    </w:pPr>
  </w:style>
  <w:style w:type="paragraph" w:customStyle="1" w:styleId="Tiret4">
    <w:name w:val="Tiret 4"/>
    <w:basedOn w:val="Point4"/>
    <w:rsid w:val="00114426"/>
    <w:pPr>
      <w:numPr>
        <w:numId w:val="50"/>
      </w:numPr>
    </w:pPr>
  </w:style>
  <w:style w:type="paragraph" w:customStyle="1" w:styleId="PointDouble0">
    <w:name w:val="PointDouble 0"/>
    <w:basedOn w:val="Normln"/>
    <w:rsid w:val="00114426"/>
    <w:pPr>
      <w:tabs>
        <w:tab w:val="left" w:pos="850"/>
      </w:tabs>
      <w:spacing w:line="240" w:lineRule="auto"/>
      <w:ind w:left="1417" w:hanging="1417"/>
      <w:jc w:val="both"/>
    </w:pPr>
    <w:rPr>
      <w:rFonts w:eastAsia="Calibri"/>
      <w:lang w:eastAsia="en-GB"/>
    </w:rPr>
  </w:style>
  <w:style w:type="paragraph" w:customStyle="1" w:styleId="PointDouble1">
    <w:name w:val="PointDouble 1"/>
    <w:basedOn w:val="Normln"/>
    <w:rsid w:val="00114426"/>
    <w:pPr>
      <w:tabs>
        <w:tab w:val="left" w:pos="1417"/>
      </w:tabs>
      <w:spacing w:line="240" w:lineRule="auto"/>
      <w:ind w:left="1984" w:hanging="1134"/>
      <w:jc w:val="both"/>
    </w:pPr>
    <w:rPr>
      <w:rFonts w:eastAsia="Calibri"/>
      <w:lang w:eastAsia="en-GB"/>
    </w:rPr>
  </w:style>
  <w:style w:type="paragraph" w:customStyle="1" w:styleId="PointDouble2">
    <w:name w:val="PointDouble 2"/>
    <w:basedOn w:val="Normln"/>
    <w:rsid w:val="00114426"/>
    <w:pPr>
      <w:tabs>
        <w:tab w:val="left" w:pos="1984"/>
      </w:tabs>
      <w:spacing w:line="240" w:lineRule="auto"/>
      <w:ind w:left="2551" w:hanging="1134"/>
      <w:jc w:val="both"/>
    </w:pPr>
    <w:rPr>
      <w:rFonts w:eastAsia="Calibri"/>
      <w:lang w:eastAsia="en-GB"/>
    </w:rPr>
  </w:style>
  <w:style w:type="paragraph" w:customStyle="1" w:styleId="PointDouble3">
    <w:name w:val="PointDouble 3"/>
    <w:basedOn w:val="Normln"/>
    <w:rsid w:val="00114426"/>
    <w:pPr>
      <w:tabs>
        <w:tab w:val="left" w:pos="2551"/>
      </w:tabs>
      <w:spacing w:line="240" w:lineRule="auto"/>
      <w:ind w:left="3118" w:hanging="1134"/>
      <w:jc w:val="both"/>
    </w:pPr>
    <w:rPr>
      <w:rFonts w:eastAsia="Calibri"/>
      <w:lang w:eastAsia="en-GB"/>
    </w:rPr>
  </w:style>
  <w:style w:type="paragraph" w:customStyle="1" w:styleId="PointDouble4">
    <w:name w:val="PointDouble 4"/>
    <w:basedOn w:val="Normln"/>
    <w:rsid w:val="00114426"/>
    <w:pPr>
      <w:tabs>
        <w:tab w:val="left" w:pos="3118"/>
      </w:tabs>
      <w:spacing w:line="240" w:lineRule="auto"/>
      <w:ind w:left="3685" w:hanging="1134"/>
      <w:jc w:val="both"/>
    </w:pPr>
    <w:rPr>
      <w:rFonts w:eastAsia="Calibri"/>
      <w:lang w:eastAsia="en-GB"/>
    </w:rPr>
  </w:style>
  <w:style w:type="paragraph" w:customStyle="1" w:styleId="PointTriple0">
    <w:name w:val="PointTriple 0"/>
    <w:basedOn w:val="Normln"/>
    <w:rsid w:val="00114426"/>
    <w:pPr>
      <w:tabs>
        <w:tab w:val="left" w:pos="850"/>
        <w:tab w:val="left" w:pos="1417"/>
      </w:tabs>
      <w:spacing w:line="240" w:lineRule="auto"/>
      <w:ind w:left="1984" w:hanging="1984"/>
      <w:jc w:val="both"/>
    </w:pPr>
    <w:rPr>
      <w:rFonts w:eastAsia="Calibri"/>
      <w:lang w:eastAsia="en-GB"/>
    </w:rPr>
  </w:style>
  <w:style w:type="paragraph" w:customStyle="1" w:styleId="PointTriple1">
    <w:name w:val="PointTriple 1"/>
    <w:basedOn w:val="Normln"/>
    <w:rsid w:val="00114426"/>
    <w:pPr>
      <w:tabs>
        <w:tab w:val="left" w:pos="1417"/>
        <w:tab w:val="left" w:pos="1984"/>
      </w:tabs>
      <w:spacing w:line="240" w:lineRule="auto"/>
      <w:ind w:left="2551" w:hanging="1701"/>
      <w:jc w:val="both"/>
    </w:pPr>
    <w:rPr>
      <w:rFonts w:eastAsia="Calibri"/>
      <w:lang w:eastAsia="en-GB"/>
    </w:rPr>
  </w:style>
  <w:style w:type="paragraph" w:customStyle="1" w:styleId="PointTriple2">
    <w:name w:val="PointTriple 2"/>
    <w:basedOn w:val="Normln"/>
    <w:rsid w:val="00114426"/>
    <w:pPr>
      <w:tabs>
        <w:tab w:val="left" w:pos="1984"/>
        <w:tab w:val="left" w:pos="2551"/>
      </w:tabs>
      <w:spacing w:line="240" w:lineRule="auto"/>
      <w:ind w:left="3118" w:hanging="1701"/>
      <w:jc w:val="both"/>
    </w:pPr>
    <w:rPr>
      <w:rFonts w:eastAsia="Calibri"/>
      <w:lang w:eastAsia="en-GB"/>
    </w:rPr>
  </w:style>
  <w:style w:type="paragraph" w:customStyle="1" w:styleId="PointTriple3">
    <w:name w:val="PointTriple 3"/>
    <w:basedOn w:val="Normln"/>
    <w:rsid w:val="00114426"/>
    <w:pPr>
      <w:tabs>
        <w:tab w:val="left" w:pos="2551"/>
        <w:tab w:val="left" w:pos="3118"/>
      </w:tabs>
      <w:spacing w:line="240" w:lineRule="auto"/>
      <w:ind w:left="3685" w:hanging="1701"/>
      <w:jc w:val="both"/>
    </w:pPr>
    <w:rPr>
      <w:rFonts w:eastAsia="Calibri"/>
      <w:lang w:eastAsia="en-GB"/>
    </w:rPr>
  </w:style>
  <w:style w:type="paragraph" w:customStyle="1" w:styleId="PointTriple4">
    <w:name w:val="PointTriple 4"/>
    <w:basedOn w:val="Normln"/>
    <w:rsid w:val="00114426"/>
    <w:pPr>
      <w:tabs>
        <w:tab w:val="left" w:pos="3118"/>
        <w:tab w:val="left" w:pos="3685"/>
      </w:tabs>
      <w:spacing w:line="240" w:lineRule="auto"/>
      <w:ind w:left="4252" w:hanging="1701"/>
      <w:jc w:val="both"/>
    </w:pPr>
    <w:rPr>
      <w:rFonts w:eastAsia="Calibri"/>
      <w:lang w:eastAsia="en-GB"/>
    </w:rPr>
  </w:style>
  <w:style w:type="paragraph" w:customStyle="1" w:styleId="NumPar2">
    <w:name w:val="NumPar 2"/>
    <w:basedOn w:val="Normln"/>
    <w:next w:val="Text1"/>
    <w:rsid w:val="00114426"/>
    <w:pPr>
      <w:tabs>
        <w:tab w:val="num" w:pos="850"/>
      </w:tabs>
      <w:spacing w:line="240" w:lineRule="auto"/>
      <w:ind w:left="850" w:hanging="850"/>
      <w:jc w:val="both"/>
    </w:pPr>
    <w:rPr>
      <w:rFonts w:eastAsia="Calibri"/>
      <w:lang w:eastAsia="en-GB"/>
    </w:rPr>
  </w:style>
  <w:style w:type="paragraph" w:customStyle="1" w:styleId="NumPar3">
    <w:name w:val="NumPar 3"/>
    <w:basedOn w:val="Normln"/>
    <w:next w:val="Text1"/>
    <w:rsid w:val="00114426"/>
    <w:pPr>
      <w:tabs>
        <w:tab w:val="num" w:pos="850"/>
      </w:tabs>
      <w:spacing w:line="240" w:lineRule="auto"/>
      <w:ind w:left="850" w:hanging="850"/>
      <w:jc w:val="both"/>
    </w:pPr>
    <w:rPr>
      <w:rFonts w:eastAsia="Calibri"/>
      <w:lang w:eastAsia="en-GB"/>
    </w:rPr>
  </w:style>
  <w:style w:type="paragraph" w:customStyle="1" w:styleId="NumPar4">
    <w:name w:val="NumPar 4"/>
    <w:basedOn w:val="Normln"/>
    <w:next w:val="Text1"/>
    <w:rsid w:val="00114426"/>
    <w:pPr>
      <w:tabs>
        <w:tab w:val="num" w:pos="850"/>
      </w:tabs>
      <w:spacing w:line="240" w:lineRule="auto"/>
      <w:ind w:left="850" w:hanging="850"/>
      <w:jc w:val="both"/>
    </w:pPr>
    <w:rPr>
      <w:rFonts w:eastAsia="Calibri"/>
      <w:lang w:eastAsia="en-GB"/>
    </w:rPr>
  </w:style>
  <w:style w:type="paragraph" w:customStyle="1" w:styleId="ManualNumPar2">
    <w:name w:val="Manual NumPar 2"/>
    <w:basedOn w:val="Normln"/>
    <w:next w:val="Text1"/>
    <w:rsid w:val="00114426"/>
    <w:pPr>
      <w:spacing w:line="240" w:lineRule="auto"/>
      <w:ind w:left="850" w:hanging="850"/>
      <w:jc w:val="both"/>
    </w:pPr>
    <w:rPr>
      <w:rFonts w:eastAsia="Calibri"/>
      <w:lang w:eastAsia="en-GB"/>
    </w:rPr>
  </w:style>
  <w:style w:type="paragraph" w:customStyle="1" w:styleId="ManualNumPar3">
    <w:name w:val="Manual NumPar 3"/>
    <w:basedOn w:val="Normln"/>
    <w:next w:val="Text1"/>
    <w:rsid w:val="00114426"/>
    <w:pPr>
      <w:spacing w:line="240" w:lineRule="auto"/>
      <w:ind w:left="850" w:hanging="850"/>
      <w:jc w:val="both"/>
    </w:pPr>
    <w:rPr>
      <w:rFonts w:eastAsia="Calibri"/>
      <w:lang w:eastAsia="en-GB"/>
    </w:rPr>
  </w:style>
  <w:style w:type="paragraph" w:customStyle="1" w:styleId="ManualNumPar4">
    <w:name w:val="Manual NumPar 4"/>
    <w:basedOn w:val="Normln"/>
    <w:next w:val="Text1"/>
    <w:rsid w:val="00114426"/>
    <w:pPr>
      <w:spacing w:line="240" w:lineRule="auto"/>
      <w:ind w:left="850" w:hanging="850"/>
      <w:jc w:val="both"/>
    </w:pPr>
    <w:rPr>
      <w:rFonts w:eastAsia="Calibri"/>
      <w:lang w:eastAsia="en-GB"/>
    </w:rPr>
  </w:style>
  <w:style w:type="paragraph" w:customStyle="1" w:styleId="QuotedNumPar">
    <w:name w:val="Quoted NumPar"/>
    <w:basedOn w:val="Normln"/>
    <w:rsid w:val="00114426"/>
    <w:pPr>
      <w:spacing w:line="240" w:lineRule="auto"/>
      <w:ind w:left="1417" w:hanging="567"/>
      <w:jc w:val="both"/>
    </w:pPr>
    <w:rPr>
      <w:rFonts w:eastAsia="Calibri"/>
      <w:lang w:eastAsia="en-GB"/>
    </w:rPr>
  </w:style>
  <w:style w:type="paragraph" w:customStyle="1" w:styleId="ManualHeading1">
    <w:name w:val="Manual Heading 1"/>
    <w:basedOn w:val="Normln"/>
    <w:next w:val="Text1"/>
    <w:rsid w:val="00114426"/>
    <w:pPr>
      <w:keepNext/>
      <w:tabs>
        <w:tab w:val="left" w:pos="850"/>
      </w:tabs>
      <w:spacing w:before="360" w:line="240" w:lineRule="auto"/>
      <w:ind w:left="850" w:hanging="850"/>
      <w:jc w:val="both"/>
      <w:outlineLvl w:val="0"/>
    </w:pPr>
    <w:rPr>
      <w:rFonts w:eastAsia="Calibri"/>
      <w:b/>
      <w:smallCaps/>
      <w:lang w:eastAsia="en-GB"/>
    </w:rPr>
  </w:style>
  <w:style w:type="paragraph" w:customStyle="1" w:styleId="ManualHeading2">
    <w:name w:val="Manual Heading 2"/>
    <w:basedOn w:val="Normln"/>
    <w:next w:val="Text1"/>
    <w:rsid w:val="00114426"/>
    <w:pPr>
      <w:keepNext/>
      <w:tabs>
        <w:tab w:val="left" w:pos="850"/>
      </w:tabs>
      <w:spacing w:line="240" w:lineRule="auto"/>
      <w:ind w:left="850" w:hanging="850"/>
      <w:jc w:val="both"/>
      <w:outlineLvl w:val="1"/>
    </w:pPr>
    <w:rPr>
      <w:rFonts w:eastAsia="Calibri"/>
      <w:b/>
      <w:lang w:eastAsia="en-GB"/>
    </w:rPr>
  </w:style>
  <w:style w:type="paragraph" w:customStyle="1" w:styleId="ManualHeading3">
    <w:name w:val="Manual Heading 3"/>
    <w:basedOn w:val="Normln"/>
    <w:next w:val="Text1"/>
    <w:rsid w:val="00114426"/>
    <w:pPr>
      <w:keepNext/>
      <w:tabs>
        <w:tab w:val="left" w:pos="850"/>
      </w:tabs>
      <w:spacing w:line="240" w:lineRule="auto"/>
      <w:ind w:left="850" w:hanging="850"/>
      <w:jc w:val="both"/>
      <w:outlineLvl w:val="2"/>
    </w:pPr>
    <w:rPr>
      <w:rFonts w:eastAsia="Calibri"/>
      <w:i/>
      <w:lang w:eastAsia="en-GB"/>
    </w:rPr>
  </w:style>
  <w:style w:type="paragraph" w:customStyle="1" w:styleId="ManualHeading4">
    <w:name w:val="Manual Heading 4"/>
    <w:basedOn w:val="Normln"/>
    <w:next w:val="Text1"/>
    <w:rsid w:val="00114426"/>
    <w:pPr>
      <w:keepNext/>
      <w:tabs>
        <w:tab w:val="left" w:pos="850"/>
      </w:tabs>
      <w:spacing w:line="240" w:lineRule="auto"/>
      <w:ind w:left="850" w:hanging="850"/>
      <w:jc w:val="both"/>
      <w:outlineLvl w:val="3"/>
    </w:pPr>
    <w:rPr>
      <w:rFonts w:eastAsia="Calibri"/>
      <w:lang w:eastAsia="en-GB"/>
    </w:rPr>
  </w:style>
  <w:style w:type="paragraph" w:customStyle="1" w:styleId="PartTitle">
    <w:name w:val="PartTitle"/>
    <w:basedOn w:val="Normln"/>
    <w:next w:val="ChapterTitle"/>
    <w:rsid w:val="00114426"/>
    <w:pPr>
      <w:keepNext/>
      <w:pageBreakBefore/>
      <w:spacing w:after="360" w:line="240" w:lineRule="auto"/>
      <w:jc w:val="center"/>
    </w:pPr>
    <w:rPr>
      <w:rFonts w:eastAsia="Calibri"/>
      <w:b/>
      <w:sz w:val="36"/>
      <w:lang w:eastAsia="en-GB"/>
    </w:rPr>
  </w:style>
  <w:style w:type="paragraph" w:customStyle="1" w:styleId="TableTitle">
    <w:name w:val="Table Title"/>
    <w:basedOn w:val="Normln"/>
    <w:next w:val="Normln"/>
    <w:rsid w:val="00114426"/>
    <w:pPr>
      <w:spacing w:line="240" w:lineRule="auto"/>
      <w:jc w:val="center"/>
    </w:pPr>
    <w:rPr>
      <w:rFonts w:eastAsia="Calibri"/>
      <w:b/>
      <w:lang w:eastAsia="en-GB"/>
    </w:rPr>
  </w:style>
  <w:style w:type="paragraph" w:customStyle="1" w:styleId="Bullet0">
    <w:name w:val="Bullet 0"/>
    <w:basedOn w:val="Normln"/>
    <w:rsid w:val="00114426"/>
    <w:pPr>
      <w:numPr>
        <w:numId w:val="51"/>
      </w:numPr>
      <w:spacing w:line="240" w:lineRule="auto"/>
      <w:jc w:val="both"/>
    </w:pPr>
    <w:rPr>
      <w:rFonts w:eastAsia="Calibri"/>
      <w:lang w:eastAsia="en-GB"/>
    </w:rPr>
  </w:style>
  <w:style w:type="paragraph" w:customStyle="1" w:styleId="Annexetitreexpos">
    <w:name w:val="Annexe titre (exposé)"/>
    <w:basedOn w:val="Normln"/>
    <w:next w:val="Normln"/>
    <w:rsid w:val="00114426"/>
    <w:pPr>
      <w:spacing w:line="240" w:lineRule="auto"/>
      <w:jc w:val="center"/>
    </w:pPr>
    <w:rPr>
      <w:rFonts w:eastAsia="Calibri"/>
      <w:b/>
      <w:u w:val="single"/>
      <w:lang w:eastAsia="en-GB"/>
    </w:rPr>
  </w:style>
  <w:style w:type="paragraph" w:customStyle="1" w:styleId="Annexetitrefichefinancire">
    <w:name w:val="Annexe titre (fiche financière)"/>
    <w:basedOn w:val="Normln"/>
    <w:next w:val="Normln"/>
    <w:rsid w:val="00114426"/>
    <w:pPr>
      <w:spacing w:line="240" w:lineRule="auto"/>
      <w:jc w:val="center"/>
    </w:pPr>
    <w:rPr>
      <w:rFonts w:eastAsia="Calibri"/>
      <w:b/>
      <w:u w:val="single"/>
      <w:lang w:eastAsia="en-GB"/>
    </w:rPr>
  </w:style>
  <w:style w:type="paragraph" w:customStyle="1" w:styleId="Fait">
    <w:name w:val="Fait à"/>
    <w:basedOn w:val="Normln"/>
    <w:next w:val="Institutionquisigne"/>
    <w:rsid w:val="00114426"/>
    <w:pPr>
      <w:keepNext/>
      <w:spacing w:after="0" w:line="240" w:lineRule="auto"/>
      <w:jc w:val="both"/>
    </w:pPr>
    <w:rPr>
      <w:rFonts w:eastAsia="Calibri"/>
      <w:lang w:eastAsia="en-GB"/>
    </w:rPr>
  </w:style>
  <w:style w:type="paragraph" w:customStyle="1" w:styleId="Institutionquisigne">
    <w:name w:val="Institution qui signe"/>
    <w:basedOn w:val="Normln"/>
    <w:next w:val="Personnequisigne"/>
    <w:rsid w:val="00114426"/>
    <w:pPr>
      <w:keepNext/>
      <w:tabs>
        <w:tab w:val="left" w:pos="4252"/>
      </w:tabs>
      <w:spacing w:before="720" w:after="0" w:line="240" w:lineRule="auto"/>
      <w:jc w:val="both"/>
    </w:pPr>
    <w:rPr>
      <w:rFonts w:eastAsia="Calibri"/>
      <w:i/>
      <w:lang w:eastAsia="en-GB"/>
    </w:rPr>
  </w:style>
  <w:style w:type="paragraph" w:customStyle="1" w:styleId="Personnequisigne">
    <w:name w:val="Personne qui signe"/>
    <w:basedOn w:val="Normln"/>
    <w:next w:val="Institutionquisigne"/>
    <w:rsid w:val="00114426"/>
    <w:pPr>
      <w:tabs>
        <w:tab w:val="left" w:pos="4252"/>
      </w:tabs>
      <w:spacing w:before="0" w:after="0" w:line="240" w:lineRule="auto"/>
    </w:pPr>
    <w:rPr>
      <w:rFonts w:eastAsia="Calibri"/>
      <w:i/>
      <w:lang w:eastAsia="en-GB"/>
    </w:rPr>
  </w:style>
  <w:style w:type="paragraph" w:customStyle="1" w:styleId="Applicationdirecte">
    <w:name w:val="Application directe"/>
    <w:basedOn w:val="Normln"/>
    <w:next w:val="Fait"/>
    <w:rsid w:val="00114426"/>
    <w:pPr>
      <w:spacing w:before="480" w:line="240" w:lineRule="auto"/>
      <w:jc w:val="both"/>
    </w:pPr>
    <w:rPr>
      <w:rFonts w:eastAsia="Calibri"/>
      <w:lang w:eastAsia="en-GB"/>
    </w:rPr>
  </w:style>
  <w:style w:type="paragraph" w:customStyle="1" w:styleId="Avertissementtitre">
    <w:name w:val="Avertissement titre"/>
    <w:basedOn w:val="Normln"/>
    <w:next w:val="Normln"/>
    <w:rsid w:val="00114426"/>
    <w:pPr>
      <w:keepNext/>
      <w:spacing w:before="480" w:line="240" w:lineRule="auto"/>
      <w:jc w:val="both"/>
    </w:pPr>
    <w:rPr>
      <w:rFonts w:eastAsia="Calibri"/>
      <w:u w:val="single"/>
      <w:lang w:eastAsia="en-GB"/>
    </w:rPr>
  </w:style>
  <w:style w:type="paragraph" w:customStyle="1" w:styleId="Confidence">
    <w:name w:val="Confidence"/>
    <w:basedOn w:val="Normln"/>
    <w:next w:val="Normln"/>
    <w:rsid w:val="00114426"/>
    <w:pPr>
      <w:spacing w:before="360" w:line="240" w:lineRule="auto"/>
      <w:jc w:val="center"/>
    </w:pPr>
    <w:rPr>
      <w:rFonts w:eastAsia="Calibri"/>
      <w:lang w:eastAsia="en-GB"/>
    </w:rPr>
  </w:style>
  <w:style w:type="paragraph" w:customStyle="1" w:styleId="TypedudocumentPagedecouverture">
    <w:name w:val="Type du document (Page de couverture)"/>
    <w:basedOn w:val="Typedudocument"/>
    <w:next w:val="TitreobjetPagedecouverture"/>
    <w:rsid w:val="00114426"/>
  </w:style>
  <w:style w:type="paragraph" w:customStyle="1" w:styleId="Typedudocument">
    <w:name w:val="Type du document"/>
    <w:basedOn w:val="Normln"/>
    <w:next w:val="Titreobjet"/>
    <w:rsid w:val="00114426"/>
    <w:pPr>
      <w:spacing w:before="360" w:after="180" w:line="240" w:lineRule="auto"/>
      <w:jc w:val="center"/>
    </w:pPr>
    <w:rPr>
      <w:rFonts w:eastAsia="Calibri"/>
      <w:b/>
      <w:lang w:eastAsia="en-GB"/>
    </w:rPr>
  </w:style>
  <w:style w:type="paragraph" w:customStyle="1" w:styleId="Titreobjet">
    <w:name w:val="Titre objet"/>
    <w:basedOn w:val="Normln"/>
    <w:next w:val="Sous-titreobjet"/>
    <w:rsid w:val="00114426"/>
    <w:pPr>
      <w:spacing w:before="180" w:after="180" w:line="240" w:lineRule="auto"/>
      <w:jc w:val="center"/>
    </w:pPr>
    <w:rPr>
      <w:rFonts w:eastAsia="Calibri"/>
      <w:b/>
      <w:lang w:eastAsia="en-GB"/>
    </w:rPr>
  </w:style>
  <w:style w:type="paragraph" w:customStyle="1" w:styleId="Sous-titreobjet">
    <w:name w:val="Sous-titre objet"/>
    <w:basedOn w:val="Normln"/>
    <w:rsid w:val="00114426"/>
    <w:pPr>
      <w:spacing w:before="0" w:after="0" w:line="240" w:lineRule="auto"/>
      <w:jc w:val="center"/>
    </w:pPr>
    <w:rPr>
      <w:rFonts w:eastAsia="Calibri"/>
      <w:b/>
      <w:lang w:eastAsia="en-GB"/>
    </w:rPr>
  </w:style>
  <w:style w:type="paragraph" w:customStyle="1" w:styleId="TitreobjetPagedecouverture">
    <w:name w:val="Titre objet (Page de couverture)"/>
    <w:basedOn w:val="Titreobjet"/>
    <w:next w:val="Sous-titreobjetPagedecouverture"/>
    <w:rsid w:val="00114426"/>
  </w:style>
  <w:style w:type="paragraph" w:customStyle="1" w:styleId="Sous-titreobjetPagedecouverture">
    <w:name w:val="Sous-titre objet (Page de couverture)"/>
    <w:basedOn w:val="Sous-titreobjet"/>
    <w:rsid w:val="00114426"/>
  </w:style>
  <w:style w:type="paragraph" w:customStyle="1" w:styleId="Confidentialit">
    <w:name w:val="Confidentialité"/>
    <w:basedOn w:val="Normln"/>
    <w:next w:val="TypedudocumentPagedecouverture"/>
    <w:rsid w:val="00114426"/>
    <w:pPr>
      <w:spacing w:before="240" w:after="240" w:line="240" w:lineRule="auto"/>
      <w:ind w:left="5103"/>
    </w:pPr>
    <w:rPr>
      <w:rFonts w:eastAsia="Calibri"/>
      <w:i/>
      <w:sz w:val="32"/>
      <w:lang w:eastAsia="en-GB"/>
    </w:rPr>
  </w:style>
  <w:style w:type="paragraph" w:customStyle="1" w:styleId="Considrant">
    <w:name w:val="Considérant"/>
    <w:basedOn w:val="Normln"/>
    <w:rsid w:val="00114426"/>
    <w:pPr>
      <w:numPr>
        <w:numId w:val="52"/>
      </w:numPr>
      <w:spacing w:line="240" w:lineRule="auto"/>
      <w:jc w:val="both"/>
    </w:pPr>
    <w:rPr>
      <w:rFonts w:eastAsia="Calibri"/>
      <w:lang w:eastAsia="en-GB"/>
    </w:rPr>
  </w:style>
  <w:style w:type="paragraph" w:customStyle="1" w:styleId="Corrigendum">
    <w:name w:val="Corrigendum"/>
    <w:basedOn w:val="Normln"/>
    <w:next w:val="Normln"/>
    <w:rsid w:val="00114426"/>
    <w:pPr>
      <w:spacing w:before="0" w:after="240" w:line="240" w:lineRule="auto"/>
    </w:pPr>
    <w:rPr>
      <w:rFonts w:eastAsia="Calibri"/>
      <w:lang w:eastAsia="en-GB"/>
    </w:rPr>
  </w:style>
  <w:style w:type="paragraph" w:customStyle="1" w:styleId="Datedadoption">
    <w:name w:val="Date d'adoption"/>
    <w:basedOn w:val="Normln"/>
    <w:next w:val="Titreobjet"/>
    <w:rsid w:val="00114426"/>
    <w:pPr>
      <w:spacing w:before="360" w:after="0" w:line="240" w:lineRule="auto"/>
      <w:jc w:val="center"/>
    </w:pPr>
    <w:rPr>
      <w:rFonts w:eastAsia="Calibri"/>
      <w:b/>
      <w:lang w:eastAsia="en-GB"/>
    </w:rPr>
  </w:style>
  <w:style w:type="paragraph" w:customStyle="1" w:styleId="Rfrenceinstitutionnelle">
    <w:name w:val="Référence institutionnelle"/>
    <w:basedOn w:val="Normln"/>
    <w:next w:val="Confidentialit"/>
    <w:rsid w:val="00114426"/>
    <w:pPr>
      <w:spacing w:before="0" w:after="240" w:line="240" w:lineRule="auto"/>
      <w:ind w:left="5103"/>
    </w:pPr>
    <w:rPr>
      <w:rFonts w:eastAsia="Calibri"/>
      <w:lang w:eastAsia="en-GB"/>
    </w:rPr>
  </w:style>
  <w:style w:type="paragraph" w:customStyle="1" w:styleId="Emission">
    <w:name w:val="Emission"/>
    <w:basedOn w:val="Normln"/>
    <w:next w:val="Rfrenceinstitutionnelle"/>
    <w:rsid w:val="00114426"/>
    <w:pPr>
      <w:spacing w:before="0" w:after="0" w:line="240" w:lineRule="auto"/>
      <w:ind w:left="5103"/>
    </w:pPr>
    <w:rPr>
      <w:rFonts w:eastAsia="Calibri"/>
      <w:lang w:eastAsia="en-GB"/>
    </w:rPr>
  </w:style>
  <w:style w:type="paragraph" w:customStyle="1" w:styleId="Exposdesmotifstitre">
    <w:name w:val="Exposé des motifs titre"/>
    <w:basedOn w:val="Normln"/>
    <w:next w:val="Normln"/>
    <w:rsid w:val="00114426"/>
    <w:pPr>
      <w:spacing w:line="240" w:lineRule="auto"/>
      <w:jc w:val="center"/>
    </w:pPr>
    <w:rPr>
      <w:rFonts w:eastAsia="Calibri"/>
      <w:b/>
      <w:u w:val="single"/>
      <w:lang w:eastAsia="en-GB"/>
    </w:rPr>
  </w:style>
  <w:style w:type="paragraph" w:customStyle="1" w:styleId="Formuledadoption">
    <w:name w:val="Formule d'adoption"/>
    <w:basedOn w:val="Normln"/>
    <w:next w:val="Titrearticle"/>
    <w:rsid w:val="00114426"/>
    <w:pPr>
      <w:keepNext/>
      <w:spacing w:line="240" w:lineRule="auto"/>
      <w:jc w:val="both"/>
    </w:pPr>
    <w:rPr>
      <w:rFonts w:eastAsia="Calibri"/>
      <w:lang w:eastAsia="en-GB"/>
    </w:rPr>
  </w:style>
  <w:style w:type="paragraph" w:customStyle="1" w:styleId="Institutionquiagit">
    <w:name w:val="Institution qui agit"/>
    <w:basedOn w:val="Normln"/>
    <w:next w:val="Normln"/>
    <w:rsid w:val="00114426"/>
    <w:pPr>
      <w:keepNext/>
      <w:spacing w:before="600" w:line="240" w:lineRule="auto"/>
      <w:jc w:val="both"/>
    </w:pPr>
    <w:rPr>
      <w:rFonts w:eastAsia="Calibri"/>
      <w:lang w:eastAsia="en-GB"/>
    </w:rPr>
  </w:style>
  <w:style w:type="paragraph" w:customStyle="1" w:styleId="Rfrenceinterne">
    <w:name w:val="Référence interne"/>
    <w:basedOn w:val="Normln"/>
    <w:next w:val="Rfrenceinterinstitutionnelle"/>
    <w:rsid w:val="00114426"/>
    <w:pPr>
      <w:spacing w:before="0" w:after="0" w:line="240" w:lineRule="auto"/>
      <w:ind w:left="5103"/>
    </w:pPr>
    <w:rPr>
      <w:rFonts w:eastAsia="Calibri"/>
      <w:lang w:eastAsia="en-GB"/>
    </w:rPr>
  </w:style>
  <w:style w:type="paragraph" w:customStyle="1" w:styleId="Rfrenceinterinstitutionnelle">
    <w:name w:val="Référence interinstitutionnelle"/>
    <w:basedOn w:val="Normln"/>
    <w:next w:val="Statut"/>
    <w:rsid w:val="00114426"/>
    <w:pPr>
      <w:spacing w:before="0" w:after="0" w:line="240" w:lineRule="auto"/>
      <w:ind w:left="5103"/>
    </w:pPr>
    <w:rPr>
      <w:rFonts w:eastAsia="Calibri"/>
      <w:lang w:eastAsia="en-GB"/>
    </w:rPr>
  </w:style>
  <w:style w:type="paragraph" w:customStyle="1" w:styleId="Statut">
    <w:name w:val="Statut"/>
    <w:basedOn w:val="Normln"/>
    <w:next w:val="Typedudocument"/>
    <w:rsid w:val="00114426"/>
    <w:pPr>
      <w:spacing w:before="360" w:after="0" w:line="240" w:lineRule="auto"/>
      <w:jc w:val="center"/>
    </w:pPr>
    <w:rPr>
      <w:rFonts w:eastAsia="Calibri"/>
      <w:lang w:eastAsia="en-GB"/>
    </w:rPr>
  </w:style>
  <w:style w:type="paragraph" w:customStyle="1" w:styleId="Langue">
    <w:name w:val="Langue"/>
    <w:basedOn w:val="Normln"/>
    <w:next w:val="Rfrenceinterne"/>
    <w:rsid w:val="00114426"/>
    <w:pPr>
      <w:framePr w:wrap="around" w:vAnchor="page" w:hAnchor="text" w:xAlign="center" w:y="14741"/>
      <w:spacing w:before="0" w:after="600" w:line="240" w:lineRule="auto"/>
      <w:jc w:val="center"/>
    </w:pPr>
    <w:rPr>
      <w:rFonts w:eastAsia="Calibri"/>
      <w:b/>
      <w:caps/>
      <w:lang w:eastAsia="en-GB"/>
    </w:rPr>
  </w:style>
  <w:style w:type="paragraph" w:customStyle="1" w:styleId="Nomdelinstitution">
    <w:name w:val="Nom de l'institution"/>
    <w:basedOn w:val="Normln"/>
    <w:next w:val="Emission"/>
    <w:rsid w:val="00114426"/>
    <w:pPr>
      <w:spacing w:before="0" w:after="0" w:line="240" w:lineRule="auto"/>
    </w:pPr>
    <w:rPr>
      <w:rFonts w:ascii="Arial" w:eastAsia="Calibri" w:hAnsi="Arial" w:cs="Arial"/>
      <w:lang w:eastAsia="en-GB"/>
    </w:rPr>
  </w:style>
  <w:style w:type="paragraph" w:customStyle="1" w:styleId="Address">
    <w:name w:val="Address"/>
    <w:basedOn w:val="Normln"/>
    <w:next w:val="Normln"/>
    <w:rsid w:val="00114426"/>
    <w:pPr>
      <w:keepLines/>
      <w:ind w:left="3402"/>
    </w:pPr>
    <w:rPr>
      <w:rFonts w:eastAsia="Calibri"/>
      <w:lang w:eastAsia="en-GB"/>
    </w:rPr>
  </w:style>
  <w:style w:type="paragraph" w:customStyle="1" w:styleId="Objetexterne">
    <w:name w:val="Objet externe"/>
    <w:basedOn w:val="Normln"/>
    <w:next w:val="Normln"/>
    <w:rsid w:val="00114426"/>
    <w:pPr>
      <w:spacing w:line="240" w:lineRule="auto"/>
      <w:jc w:val="both"/>
    </w:pPr>
    <w:rPr>
      <w:rFonts w:eastAsia="Calibri"/>
      <w:i/>
      <w:caps/>
      <w:lang w:eastAsia="en-GB"/>
    </w:rPr>
  </w:style>
  <w:style w:type="paragraph" w:customStyle="1" w:styleId="Supertitre">
    <w:name w:val="Supertitre"/>
    <w:basedOn w:val="Normln"/>
    <w:next w:val="Normln"/>
    <w:rsid w:val="00114426"/>
    <w:pPr>
      <w:spacing w:before="0" w:after="600" w:line="240" w:lineRule="auto"/>
      <w:jc w:val="center"/>
    </w:pPr>
    <w:rPr>
      <w:rFonts w:eastAsia="Calibri"/>
      <w:b/>
      <w:lang w:eastAsia="en-GB"/>
    </w:rPr>
  </w:style>
  <w:style w:type="paragraph" w:customStyle="1" w:styleId="Languesfaisantfoi">
    <w:name w:val="Langues faisant foi"/>
    <w:basedOn w:val="Normln"/>
    <w:next w:val="Normln"/>
    <w:rsid w:val="00114426"/>
    <w:pPr>
      <w:spacing w:before="360" w:after="0" w:line="240" w:lineRule="auto"/>
      <w:jc w:val="center"/>
    </w:pPr>
    <w:rPr>
      <w:rFonts w:eastAsia="Calibri"/>
      <w:lang w:eastAsia="en-GB"/>
    </w:rPr>
  </w:style>
  <w:style w:type="paragraph" w:customStyle="1" w:styleId="Rfrencecroise">
    <w:name w:val="Référence croisée"/>
    <w:basedOn w:val="Normln"/>
    <w:rsid w:val="00114426"/>
    <w:pPr>
      <w:spacing w:before="0" w:after="0" w:line="240" w:lineRule="auto"/>
      <w:jc w:val="center"/>
    </w:pPr>
    <w:rPr>
      <w:rFonts w:eastAsia="Calibri"/>
      <w:lang w:eastAsia="en-GB"/>
    </w:rPr>
  </w:style>
  <w:style w:type="paragraph" w:customStyle="1" w:styleId="Fichefinanciretitre">
    <w:name w:val="Fiche financière titre"/>
    <w:basedOn w:val="Normln"/>
    <w:next w:val="Normln"/>
    <w:rsid w:val="00114426"/>
    <w:pPr>
      <w:spacing w:line="240" w:lineRule="auto"/>
      <w:jc w:val="center"/>
    </w:pPr>
    <w:rPr>
      <w:rFonts w:eastAsia="Calibri"/>
      <w:b/>
      <w:u w:val="single"/>
      <w:lang w:eastAsia="en-GB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114426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114426"/>
  </w:style>
  <w:style w:type="paragraph" w:customStyle="1" w:styleId="StatutPagedecouverture">
    <w:name w:val="Statut (Page de couverture)"/>
    <w:basedOn w:val="Statut"/>
    <w:next w:val="TypedudocumentPagedecouverture"/>
    <w:rsid w:val="00114426"/>
  </w:style>
  <w:style w:type="paragraph" w:customStyle="1" w:styleId="Volume">
    <w:name w:val="Volume"/>
    <w:basedOn w:val="Normln"/>
    <w:next w:val="Confidentialit"/>
    <w:rsid w:val="00114426"/>
    <w:pPr>
      <w:spacing w:before="0" w:after="240" w:line="240" w:lineRule="auto"/>
      <w:ind w:left="5103"/>
    </w:pPr>
    <w:rPr>
      <w:rFonts w:eastAsia="Calibri"/>
      <w:lang w:eastAsia="en-GB"/>
    </w:rPr>
  </w:style>
  <w:style w:type="paragraph" w:customStyle="1" w:styleId="IntrtEEE">
    <w:name w:val="Intérêt EEE"/>
    <w:basedOn w:val="Languesfaisantfoi"/>
    <w:next w:val="Normln"/>
    <w:rsid w:val="00114426"/>
    <w:pPr>
      <w:spacing w:after="240"/>
    </w:pPr>
  </w:style>
  <w:style w:type="paragraph" w:customStyle="1" w:styleId="Typeacteprincipal">
    <w:name w:val="Type acte principal"/>
    <w:basedOn w:val="Normln"/>
    <w:next w:val="Objetacteprincipal"/>
    <w:rsid w:val="00114426"/>
    <w:pPr>
      <w:spacing w:before="0" w:after="240" w:line="240" w:lineRule="auto"/>
      <w:jc w:val="center"/>
    </w:pPr>
    <w:rPr>
      <w:rFonts w:eastAsia="Calibri"/>
      <w:b/>
      <w:lang w:eastAsia="en-GB"/>
    </w:rPr>
  </w:style>
  <w:style w:type="paragraph" w:customStyle="1" w:styleId="Objetacteprincipal">
    <w:name w:val="Objet acte principal"/>
    <w:basedOn w:val="Normln"/>
    <w:next w:val="Titrearticle"/>
    <w:rsid w:val="00114426"/>
    <w:pPr>
      <w:spacing w:before="0" w:after="360" w:line="240" w:lineRule="auto"/>
      <w:jc w:val="center"/>
    </w:pPr>
    <w:rPr>
      <w:rFonts w:eastAsia="Calibri"/>
      <w:b/>
      <w:lang w:eastAsia="en-GB"/>
    </w:rPr>
  </w:style>
  <w:style w:type="paragraph" w:customStyle="1" w:styleId="Accompagnant">
    <w:name w:val="Accompagnant"/>
    <w:basedOn w:val="Normln"/>
    <w:next w:val="Typeacteprincipal"/>
    <w:rsid w:val="00114426"/>
    <w:pPr>
      <w:spacing w:before="180" w:after="240" w:line="240" w:lineRule="auto"/>
      <w:jc w:val="center"/>
    </w:pPr>
    <w:rPr>
      <w:rFonts w:eastAsia="Calibri"/>
      <w:b/>
      <w:lang w:eastAsia="en-GB"/>
    </w:rPr>
  </w:style>
  <w:style w:type="paragraph" w:customStyle="1" w:styleId="IntrtEEEPagedecouverture">
    <w:name w:val="Intérêt EEE (Page de couverture)"/>
    <w:basedOn w:val="IntrtEEE"/>
    <w:next w:val="Rfrencecroise"/>
    <w:rsid w:val="00114426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114426"/>
  </w:style>
  <w:style w:type="paragraph" w:customStyle="1" w:styleId="ObjetacteprincipalPagedecouverture">
    <w:name w:val="Objet acte principal (Page de couverture)"/>
    <w:basedOn w:val="Objetacteprincipal"/>
    <w:next w:val="Rfrencecroise"/>
    <w:rsid w:val="00114426"/>
  </w:style>
  <w:style w:type="paragraph" w:customStyle="1" w:styleId="AccompagnantPagedecouverture">
    <w:name w:val="Accompagnant (Page de couverture)"/>
    <w:basedOn w:val="Accompagnant"/>
    <w:next w:val="TypeacteprincipalPagedecouverture"/>
    <w:rsid w:val="00114426"/>
  </w:style>
  <w:style w:type="paragraph" w:customStyle="1" w:styleId="LanguesfaisantfoiPagedecouverture">
    <w:name w:val="Langues faisant foi (Page de couverture)"/>
    <w:basedOn w:val="Normln"/>
    <w:next w:val="Normln"/>
    <w:rsid w:val="00114426"/>
    <w:pPr>
      <w:spacing w:before="360" w:after="0" w:line="240" w:lineRule="auto"/>
      <w:jc w:val="center"/>
    </w:pPr>
    <w:rPr>
      <w:rFonts w:eastAsia="Calibri"/>
      <w:lang w:eastAsia="en-GB"/>
    </w:rPr>
  </w:style>
  <w:style w:type="paragraph" w:customStyle="1" w:styleId="Declassification">
    <w:name w:val="Declassification"/>
    <w:basedOn w:val="Normln"/>
    <w:next w:val="Normln"/>
    <w:rsid w:val="00114426"/>
    <w:pPr>
      <w:spacing w:before="0" w:after="0" w:line="240" w:lineRule="auto"/>
      <w:jc w:val="both"/>
    </w:pPr>
  </w:style>
  <w:style w:type="paragraph" w:customStyle="1" w:styleId="ZDGName">
    <w:name w:val="Z_DGName"/>
    <w:basedOn w:val="Normln"/>
    <w:rsid w:val="00114426"/>
    <w:pPr>
      <w:widowControl w:val="0"/>
      <w:autoSpaceDE w:val="0"/>
      <w:autoSpaceDN w:val="0"/>
      <w:spacing w:before="0" w:after="0" w:line="240" w:lineRule="auto"/>
      <w:ind w:right="85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ZCom">
    <w:name w:val="Z_Com"/>
    <w:basedOn w:val="Normln"/>
    <w:next w:val="ZDGName"/>
    <w:uiPriority w:val="99"/>
    <w:rsid w:val="00114426"/>
    <w:pPr>
      <w:widowControl w:val="0"/>
      <w:autoSpaceDE w:val="0"/>
      <w:autoSpaceDN w:val="0"/>
      <w:spacing w:before="0" w:after="0" w:line="240" w:lineRule="auto"/>
      <w:ind w:right="85"/>
      <w:jc w:val="both"/>
    </w:pPr>
    <w:rPr>
      <w:rFonts w:ascii="Arial" w:eastAsia="Times New Roman" w:hAnsi="Arial" w:cs="Arial"/>
      <w:szCs w:val="24"/>
      <w:lang w:eastAsia="en-GB"/>
    </w:rPr>
  </w:style>
  <w:style w:type="paragraph" w:customStyle="1" w:styleId="EntText">
    <w:name w:val="EntText"/>
    <w:basedOn w:val="Normln"/>
    <w:rsid w:val="00114426"/>
  </w:style>
  <w:style w:type="paragraph" w:customStyle="1" w:styleId="Lignefinal">
    <w:name w:val="Ligne final"/>
    <w:basedOn w:val="Normln"/>
    <w:next w:val="Normln"/>
    <w:rsid w:val="00114426"/>
    <w:pPr>
      <w:pBdr>
        <w:bottom w:val="single" w:sz="4" w:space="0" w:color="000000"/>
      </w:pBdr>
      <w:spacing w:before="360"/>
      <w:ind w:left="3400" w:right="3400"/>
      <w:jc w:val="center"/>
    </w:pPr>
    <w:rPr>
      <w:b/>
    </w:rPr>
  </w:style>
  <w:style w:type="character" w:customStyle="1" w:styleId="pjChar">
    <w:name w:val="p.j. Char"/>
    <w:basedOn w:val="TechnicalBlockChar"/>
    <w:link w:val="pj"/>
    <w:locked/>
    <w:rsid w:val="00114426"/>
    <w:rPr>
      <w:rFonts w:ascii="Times New Roman" w:eastAsia="Calibri" w:hAnsi="Times New Roman" w:cs="Times New Roman"/>
      <w:sz w:val="24"/>
      <w:szCs w:val="20"/>
      <w:lang w:val="en-GB" w:eastAsia="en-GB"/>
    </w:rPr>
  </w:style>
  <w:style w:type="paragraph" w:customStyle="1" w:styleId="pj">
    <w:name w:val="p.j."/>
    <w:basedOn w:val="Normln"/>
    <w:link w:val="pjChar"/>
    <w:rsid w:val="00114426"/>
    <w:pPr>
      <w:spacing w:before="1200" w:line="240" w:lineRule="auto"/>
      <w:ind w:left="1440" w:hanging="1440"/>
    </w:pPr>
    <w:rPr>
      <w:rFonts w:eastAsia="Calibri"/>
      <w:szCs w:val="20"/>
      <w:lang w:eastAsia="en-GB"/>
    </w:rPr>
  </w:style>
  <w:style w:type="character" w:customStyle="1" w:styleId="nbborderedChar">
    <w:name w:val="nb bordered Char"/>
    <w:basedOn w:val="TechnicalBlockChar"/>
    <w:link w:val="nbbordered"/>
    <w:locked/>
    <w:rsid w:val="00114426"/>
    <w:rPr>
      <w:rFonts w:ascii="Times New Roman" w:eastAsia="Calibri" w:hAnsi="Times New Roman" w:cs="Times New Roman"/>
      <w:b/>
      <w:sz w:val="24"/>
      <w:szCs w:val="20"/>
      <w:lang w:val="en-GB" w:eastAsia="en-GB"/>
    </w:rPr>
  </w:style>
  <w:style w:type="paragraph" w:customStyle="1" w:styleId="nbbordered">
    <w:name w:val="nb bordered"/>
    <w:basedOn w:val="Normln"/>
    <w:link w:val="nbborderedChar"/>
    <w:rsid w:val="0011442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60" w:line="240" w:lineRule="auto"/>
      <w:ind w:left="480" w:hanging="480"/>
      <w:jc w:val="both"/>
    </w:pPr>
    <w:rPr>
      <w:rFonts w:eastAsia="Calibri"/>
      <w:b/>
      <w:szCs w:val="20"/>
      <w:lang w:eastAsia="en-GB"/>
    </w:rPr>
  </w:style>
  <w:style w:type="paragraph" w:customStyle="1" w:styleId="default0">
    <w:name w:val="default"/>
    <w:basedOn w:val="Normln"/>
    <w:uiPriority w:val="99"/>
    <w:rsid w:val="00114426"/>
    <w:pPr>
      <w:autoSpaceDE w:val="0"/>
      <w:autoSpaceDN w:val="0"/>
      <w:spacing w:before="0" w:after="0" w:line="240" w:lineRule="auto"/>
    </w:pPr>
    <w:rPr>
      <w:color w:val="000000"/>
      <w:szCs w:val="24"/>
      <w:lang w:eastAsia="en-GB"/>
    </w:rPr>
  </w:style>
  <w:style w:type="paragraph" w:customStyle="1" w:styleId="Char2Char">
    <w:name w:val="Char2 Char"/>
    <w:basedOn w:val="Normln"/>
    <w:rsid w:val="00114426"/>
    <w:pPr>
      <w:autoSpaceDE w:val="0"/>
      <w:autoSpaceDN w:val="0"/>
      <w:adjustRightInd w:val="0"/>
      <w:spacing w:before="0"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Time">
    <w:name w:val="Time"/>
    <w:basedOn w:val="Normln"/>
    <w:rsid w:val="00114426"/>
    <w:pPr>
      <w:spacing w:before="0" w:after="200" w:line="276" w:lineRule="auto"/>
    </w:pPr>
    <w:rPr>
      <w:rFonts w:asciiTheme="minorHAnsi" w:hAnsiTheme="minorHAnsi" w:cstheme="minorBidi"/>
      <w:sz w:val="22"/>
    </w:rPr>
  </w:style>
  <w:style w:type="paragraph" w:customStyle="1" w:styleId="Pa0">
    <w:name w:val="Pa0"/>
    <w:basedOn w:val="Default"/>
    <w:next w:val="Default"/>
    <w:uiPriority w:val="99"/>
    <w:rsid w:val="00114426"/>
    <w:pPr>
      <w:spacing w:before="120" w:after="120" w:line="361" w:lineRule="atLeast"/>
    </w:pPr>
    <w:rPr>
      <w:rFonts w:ascii="Verdana" w:hAnsi="Verdana" w:cs="Times New Roman"/>
      <w:color w:val="auto"/>
    </w:rPr>
  </w:style>
  <w:style w:type="paragraph" w:customStyle="1" w:styleId="Pa3">
    <w:name w:val="Pa3"/>
    <w:basedOn w:val="Default"/>
    <w:next w:val="Default"/>
    <w:uiPriority w:val="99"/>
    <w:rsid w:val="00114426"/>
    <w:pPr>
      <w:spacing w:before="120" w:after="120" w:line="240" w:lineRule="atLeast"/>
    </w:pPr>
    <w:rPr>
      <w:rFonts w:ascii="Helvetica Neue" w:hAnsi="Helvetica Neue" w:cs="Times New Roman"/>
      <w:color w:val="auto"/>
    </w:rPr>
  </w:style>
  <w:style w:type="paragraph" w:customStyle="1" w:styleId="TabellenInhalt">
    <w:name w:val="Tabellen Inhalt"/>
    <w:basedOn w:val="Normln"/>
    <w:rsid w:val="00114426"/>
    <w:pPr>
      <w:suppressLineNumbers/>
      <w:suppressAutoHyphens/>
      <w:spacing w:line="240" w:lineRule="auto"/>
      <w:jc w:val="both"/>
    </w:pPr>
    <w:rPr>
      <w:rFonts w:eastAsia="Times New Roman"/>
      <w:szCs w:val="20"/>
      <w:lang w:eastAsia="ar-SA"/>
    </w:rPr>
  </w:style>
  <w:style w:type="paragraph" w:customStyle="1" w:styleId="Tabellenberschrift">
    <w:name w:val="Tabellen Überschrift"/>
    <w:basedOn w:val="TabellenInhalt"/>
    <w:rsid w:val="00114426"/>
    <w:pPr>
      <w:jc w:val="center"/>
    </w:pPr>
    <w:rPr>
      <w:b/>
      <w:bCs/>
    </w:rPr>
  </w:style>
  <w:style w:type="paragraph" w:customStyle="1" w:styleId="xmsolistparagraph">
    <w:name w:val="x_msolistparagraph"/>
    <w:basedOn w:val="Normln"/>
    <w:rsid w:val="00114426"/>
    <w:pPr>
      <w:spacing w:before="100" w:beforeAutospacing="1" w:after="100" w:afterAutospacing="1" w:line="240" w:lineRule="auto"/>
    </w:pPr>
    <w:rPr>
      <w:rFonts w:eastAsia="Times New Roman"/>
      <w:szCs w:val="24"/>
      <w:lang w:val="en-US"/>
    </w:rPr>
  </w:style>
  <w:style w:type="paragraph" w:customStyle="1" w:styleId="xmsonormal">
    <w:name w:val="x_msonormal"/>
    <w:basedOn w:val="Normln"/>
    <w:rsid w:val="00114426"/>
    <w:pPr>
      <w:spacing w:before="100" w:beforeAutospacing="1" w:after="100" w:afterAutospacing="1" w:line="240" w:lineRule="auto"/>
    </w:pPr>
    <w:rPr>
      <w:rFonts w:eastAsia="Times New Roman"/>
      <w:szCs w:val="24"/>
      <w:lang w:val="en-US"/>
    </w:rPr>
  </w:style>
  <w:style w:type="paragraph" w:customStyle="1" w:styleId="Normal1">
    <w:name w:val="Normal1"/>
    <w:basedOn w:val="Normln"/>
    <w:rsid w:val="00114426"/>
    <w:pPr>
      <w:spacing w:before="100" w:beforeAutospacing="1" w:after="100" w:afterAutospacing="1" w:line="240" w:lineRule="auto"/>
    </w:pPr>
    <w:rPr>
      <w:rFonts w:eastAsia="Times New Roman"/>
      <w:szCs w:val="24"/>
      <w:lang w:val="en-US"/>
    </w:rPr>
  </w:style>
  <w:style w:type="paragraph" w:customStyle="1" w:styleId="titrearticle0">
    <w:name w:val="titrearticle"/>
    <w:basedOn w:val="Normln"/>
    <w:rsid w:val="00114426"/>
    <w:pPr>
      <w:spacing w:before="100" w:beforeAutospacing="1" w:after="100" w:afterAutospacing="1" w:line="240" w:lineRule="auto"/>
    </w:pPr>
    <w:rPr>
      <w:szCs w:val="24"/>
      <w:lang w:val="en-US"/>
    </w:rPr>
  </w:style>
  <w:style w:type="character" w:customStyle="1" w:styleId="Teksttreci3">
    <w:name w:val="Tekst treści (3)_"/>
    <w:basedOn w:val="Standardnpsmoodstavce"/>
    <w:link w:val="Teksttreci30"/>
    <w:uiPriority w:val="99"/>
    <w:locked/>
    <w:rsid w:val="00114426"/>
    <w:rPr>
      <w:rFonts w:ascii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Teksttreci30">
    <w:name w:val="Tekst treści (3)"/>
    <w:basedOn w:val="Normln"/>
    <w:link w:val="Teksttreci3"/>
    <w:uiPriority w:val="99"/>
    <w:rsid w:val="00114426"/>
    <w:pPr>
      <w:widowControl w:val="0"/>
      <w:shd w:val="clear" w:color="auto" w:fill="FFFFFF"/>
      <w:spacing w:before="0" w:after="0" w:line="240" w:lineRule="auto"/>
    </w:pPr>
    <w:rPr>
      <w:b/>
      <w:bCs/>
      <w:sz w:val="36"/>
      <w:szCs w:val="36"/>
    </w:rPr>
  </w:style>
  <w:style w:type="character" w:customStyle="1" w:styleId="Inne">
    <w:name w:val="Inne_"/>
    <w:basedOn w:val="Standardnpsmoodstavce"/>
    <w:link w:val="Inne0"/>
    <w:uiPriority w:val="99"/>
    <w:locked/>
    <w:rsid w:val="00114426"/>
    <w:rPr>
      <w:rFonts w:ascii="Times New Roman" w:hAnsi="Times New Roman" w:cs="Times New Roman"/>
      <w:shd w:val="clear" w:color="auto" w:fill="FFFFFF"/>
    </w:rPr>
  </w:style>
  <w:style w:type="paragraph" w:customStyle="1" w:styleId="Inne0">
    <w:name w:val="Inne"/>
    <w:basedOn w:val="Normln"/>
    <w:link w:val="Inne"/>
    <w:uiPriority w:val="99"/>
    <w:rsid w:val="00114426"/>
    <w:pPr>
      <w:widowControl w:val="0"/>
      <w:shd w:val="clear" w:color="auto" w:fill="FFFFFF"/>
      <w:spacing w:before="0" w:after="100"/>
    </w:pPr>
    <w:rPr>
      <w:sz w:val="22"/>
    </w:rPr>
  </w:style>
  <w:style w:type="character" w:styleId="Znakapoznpodarou">
    <w:name w:val="footnote reference"/>
    <w:aliases w:val="Footnote,Footnote number,Footnote symbol,Footnote Reference Number,Footnote reference number,Times 10 Point,Exposant 3 Point,Footnote Reference Superscript,EN Footnote Reference,note TESI,Voetnootverwijzing,fr,o,FR,FR1,BVI fnr,Ref"/>
    <w:basedOn w:val="Standardnpsmoodstavce"/>
    <w:uiPriority w:val="99"/>
    <w:unhideWhenUsed/>
    <w:rsid w:val="00114426"/>
    <w:rPr>
      <w:b/>
      <w:bCs w:val="0"/>
      <w:vertAlign w:val="superscript"/>
    </w:rPr>
  </w:style>
  <w:style w:type="character" w:styleId="Odkaznakoment">
    <w:name w:val="annotation reference"/>
    <w:basedOn w:val="Standardnpsmoodstavce"/>
    <w:unhideWhenUsed/>
    <w:rsid w:val="00114426"/>
    <w:rPr>
      <w:sz w:val="16"/>
      <w:szCs w:val="16"/>
    </w:rPr>
  </w:style>
  <w:style w:type="character" w:customStyle="1" w:styleId="Marker">
    <w:name w:val="Marker"/>
    <w:basedOn w:val="Standardnpsmoodstavce"/>
    <w:rsid w:val="00114426"/>
    <w:rPr>
      <w:color w:val="0000FF"/>
    </w:rPr>
  </w:style>
  <w:style w:type="character" w:customStyle="1" w:styleId="Marker1">
    <w:name w:val="Marker1"/>
    <w:basedOn w:val="Standardnpsmoodstavce"/>
    <w:rsid w:val="00114426"/>
    <w:rPr>
      <w:color w:val="008000"/>
    </w:rPr>
  </w:style>
  <w:style w:type="character" w:customStyle="1" w:styleId="NotDeclassifiedCharacter">
    <w:name w:val="Not Declassified Character"/>
    <w:basedOn w:val="Standardnpsmoodstavce"/>
    <w:rsid w:val="00114426"/>
    <w:rPr>
      <w:rFonts w:ascii="Times New Roman" w:hAnsi="Times New Roman" w:cs="Times New Roman" w:hint="default"/>
      <w:b/>
      <w:bCs w:val="0"/>
      <w:sz w:val="24"/>
      <w:shd w:val="clear" w:color="auto" w:fill="CCCCCC"/>
    </w:rPr>
  </w:style>
  <w:style w:type="character" w:customStyle="1" w:styleId="DontTranslate">
    <w:name w:val="DontTranslate"/>
    <w:rsid w:val="00114426"/>
    <w:rPr>
      <w:color w:val="auto"/>
    </w:rPr>
  </w:style>
  <w:style w:type="character" w:customStyle="1" w:styleId="ManualNumPar1Char">
    <w:name w:val="Manual NumPar 1 Char"/>
    <w:rsid w:val="00114426"/>
    <w:rPr>
      <w:rFonts w:ascii="Times New Roman" w:hAnsi="Times New Roman" w:cs="Times New Roman" w:hint="default"/>
      <w:sz w:val="24"/>
      <w:szCs w:val="22"/>
      <w:lang w:eastAsia="en-US"/>
    </w:rPr>
  </w:style>
  <w:style w:type="character" w:customStyle="1" w:styleId="CharacterStyle2">
    <w:name w:val="Character Style 2"/>
    <w:uiPriority w:val="99"/>
    <w:rsid w:val="00114426"/>
    <w:rPr>
      <w:sz w:val="20"/>
      <w:szCs w:val="20"/>
    </w:rPr>
  </w:style>
  <w:style w:type="character" w:customStyle="1" w:styleId="Marker2">
    <w:name w:val="Marker2"/>
    <w:rsid w:val="00114426"/>
    <w:rPr>
      <w:color w:val="FF0000"/>
    </w:rPr>
  </w:style>
  <w:style w:type="character" w:customStyle="1" w:styleId="Added">
    <w:name w:val="Added"/>
    <w:rsid w:val="00114426"/>
    <w:rPr>
      <w:b/>
      <w:bCs w:val="0"/>
      <w:u w:val="single"/>
    </w:rPr>
  </w:style>
  <w:style w:type="character" w:customStyle="1" w:styleId="Deleted">
    <w:name w:val="Deleted"/>
    <w:rsid w:val="00114426"/>
    <w:rPr>
      <w:strike/>
    </w:rPr>
  </w:style>
  <w:style w:type="character" w:customStyle="1" w:styleId="leaf">
    <w:name w:val="leaf"/>
    <w:uiPriority w:val="99"/>
    <w:rsid w:val="00114426"/>
    <w:rPr>
      <w:rFonts w:ascii="Times New Roman" w:hAnsi="Times New Roman" w:cs="Times New Roman" w:hint="default"/>
    </w:rPr>
  </w:style>
  <w:style w:type="character" w:customStyle="1" w:styleId="style221">
    <w:name w:val="style221"/>
    <w:uiPriority w:val="99"/>
    <w:rsid w:val="00114426"/>
    <w:rPr>
      <w:rFonts w:ascii="Times New Roman" w:hAnsi="Times New Roman" w:cs="Times New Roman" w:hint="default"/>
      <w:b/>
      <w:bCs/>
      <w:color w:val="990000"/>
    </w:rPr>
  </w:style>
  <w:style w:type="character" w:customStyle="1" w:styleId="A1">
    <w:name w:val="A1"/>
    <w:uiPriority w:val="99"/>
    <w:rsid w:val="00114426"/>
    <w:rPr>
      <w:b/>
      <w:bCs w:val="0"/>
      <w:color w:val="000000"/>
      <w:sz w:val="80"/>
    </w:rPr>
  </w:style>
  <w:style w:type="character" w:customStyle="1" w:styleId="A2">
    <w:name w:val="A2"/>
    <w:uiPriority w:val="99"/>
    <w:rsid w:val="00114426"/>
    <w:rPr>
      <w:b/>
      <w:bCs w:val="0"/>
      <w:color w:val="000000"/>
      <w:sz w:val="48"/>
    </w:rPr>
  </w:style>
  <w:style w:type="character" w:customStyle="1" w:styleId="A3">
    <w:name w:val="A3"/>
    <w:uiPriority w:val="99"/>
    <w:rsid w:val="00114426"/>
    <w:rPr>
      <w:b/>
      <w:bCs w:val="0"/>
      <w:color w:val="000000"/>
      <w:sz w:val="32"/>
    </w:rPr>
  </w:style>
  <w:style w:type="character" w:customStyle="1" w:styleId="Funotenzeichen">
    <w:name w:val="Fußnotenzeichen"/>
    <w:rsid w:val="00114426"/>
    <w:rPr>
      <w:rFonts w:ascii="Times New Roman" w:hAnsi="Times New Roman" w:cs="Times New Roman" w:hint="default"/>
      <w:vertAlign w:val="superscript"/>
    </w:rPr>
  </w:style>
  <w:style w:type="character" w:customStyle="1" w:styleId="tlid-translation">
    <w:name w:val="tlid-translation"/>
    <w:rsid w:val="00114426"/>
  </w:style>
  <w:style w:type="character" w:customStyle="1" w:styleId="TeksttreciMaelitery">
    <w:name w:val="Tekst treści + Małe litery"/>
    <w:rsid w:val="00114426"/>
    <w:rPr>
      <w:rFonts w:ascii="AngsanaUPC" w:eastAsia="AngsanaUPC" w:hAnsi="AngsanaUPC" w:cs="AngsanaUPC" w:hint="cs"/>
      <w:b w:val="0"/>
      <w:bCs w:val="0"/>
      <w:i w:val="0"/>
      <w:iCs w:val="0"/>
      <w:smallCaps/>
      <w:color w:val="000000"/>
      <w:spacing w:val="0"/>
      <w:w w:val="100"/>
      <w:position w:val="0"/>
      <w:sz w:val="34"/>
      <w:szCs w:val="34"/>
      <w:u w:val="single"/>
      <w:lang w:val="pl-PL"/>
    </w:rPr>
  </w:style>
  <w:style w:type="character" w:customStyle="1" w:styleId="apple-tab-span">
    <w:name w:val="apple-tab-span"/>
    <w:basedOn w:val="Standardnpsmoodstavce"/>
    <w:rsid w:val="00114426"/>
  </w:style>
  <w:style w:type="table" w:styleId="Mkatabulky">
    <w:name w:val="Table Grid"/>
    <w:basedOn w:val="Normlntabulka"/>
    <w:uiPriority w:val="39"/>
    <w:rsid w:val="00114426"/>
    <w:pPr>
      <w:spacing w:after="0" w:line="240" w:lineRule="auto"/>
    </w:pPr>
    <w:rPr>
      <w:rFonts w:ascii="Calibri" w:eastAsia="Calibri" w:hAnsi="Calibri" w:cs="Arial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D24909"/>
    <w:pPr>
      <w:spacing w:after="0" w:line="240" w:lineRule="auto"/>
    </w:pPr>
    <w:rPr>
      <w:rFonts w:ascii="Times New Roman" w:hAnsi="Times New Roman" w:cs="Times New Roman"/>
      <w:sz w:val="24"/>
      <w:lang w:val="en-GB"/>
    </w:rPr>
  </w:style>
  <w:style w:type="character" w:styleId="Hypertextovodkaz">
    <w:name w:val="Hyperlink"/>
    <w:basedOn w:val="Standardnpsmoodstavce"/>
    <w:uiPriority w:val="99"/>
    <w:unhideWhenUsed/>
    <w:rsid w:val="00512D64"/>
    <w:rPr>
      <w:color w:val="0563C1" w:themeColor="hyperlink"/>
      <w:u w:val="single"/>
    </w:rPr>
  </w:style>
  <w:style w:type="character" w:styleId="Sledovanodkaz">
    <w:name w:val="FollowedHyperlink"/>
    <w:basedOn w:val="Standardnpsmoodstavce"/>
    <w:semiHidden/>
    <w:unhideWhenUsed/>
    <w:rsid w:val="00702345"/>
    <w:rPr>
      <w:color w:val="954F72" w:themeColor="followedHyperlink"/>
      <w:u w:val="single"/>
    </w:rPr>
  </w:style>
  <w:style w:type="character" w:customStyle="1" w:styleId="A10">
    <w:name w:val="A10"/>
    <w:uiPriority w:val="99"/>
    <w:rsid w:val="006F7094"/>
    <w:rPr>
      <w:color w:val="000000"/>
      <w:sz w:val="20"/>
      <w:szCs w:val="20"/>
    </w:rPr>
  </w:style>
  <w:style w:type="paragraph" w:styleId="Nadpisobsahu">
    <w:name w:val="TOC Heading"/>
    <w:basedOn w:val="Nadpis1"/>
    <w:next w:val="Normln"/>
    <w:uiPriority w:val="39"/>
    <w:unhideWhenUsed/>
    <w:qFormat/>
    <w:rsid w:val="00D00B4F"/>
    <w:pPr>
      <w:keepLines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smallCaps w:val="0"/>
      <w:color w:val="2F5496" w:themeColor="accent1" w:themeShade="BF"/>
      <w:sz w:val="32"/>
      <w:szCs w:val="32"/>
      <w:lang w:val="cs-CZ"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D50853"/>
    <w:pPr>
      <w:tabs>
        <w:tab w:val="left" w:pos="440"/>
        <w:tab w:val="right" w:leader="dot" w:pos="9628"/>
      </w:tabs>
      <w:spacing w:after="100"/>
      <w:jc w:val="both"/>
    </w:pPr>
    <w:rPr>
      <w:b/>
      <w:noProof/>
      <w:color w:val="1F3864" w:themeColor="accent1" w:themeShade="80"/>
      <w:sz w:val="22"/>
    </w:rPr>
  </w:style>
  <w:style w:type="paragraph" w:customStyle="1" w:styleId="Styl1">
    <w:name w:val="Styl1"/>
    <w:basedOn w:val="Normln"/>
    <w:link w:val="Styl1Char"/>
    <w:qFormat/>
    <w:rsid w:val="00495866"/>
    <w:rPr>
      <w:b/>
    </w:rPr>
  </w:style>
  <w:style w:type="paragraph" w:styleId="Obsah2">
    <w:name w:val="toc 2"/>
    <w:basedOn w:val="Normln"/>
    <w:next w:val="Normln"/>
    <w:autoRedefine/>
    <w:uiPriority w:val="39"/>
    <w:unhideWhenUsed/>
    <w:rsid w:val="004A0900"/>
    <w:pPr>
      <w:tabs>
        <w:tab w:val="left" w:pos="880"/>
        <w:tab w:val="right" w:leader="dot" w:pos="9628"/>
      </w:tabs>
      <w:spacing w:after="100"/>
      <w:ind w:left="240"/>
      <w:jc w:val="both"/>
    </w:pPr>
  </w:style>
  <w:style w:type="character" w:customStyle="1" w:styleId="Styl1Char">
    <w:name w:val="Styl1 Char"/>
    <w:basedOn w:val="Standardnpsmoodstavce"/>
    <w:link w:val="Styl1"/>
    <w:rsid w:val="00495866"/>
    <w:rPr>
      <w:rFonts w:ascii="Times New Roman" w:hAnsi="Times New Roman" w:cs="Times New Roman"/>
      <w:b/>
      <w:sz w:val="24"/>
    </w:rPr>
  </w:style>
  <w:style w:type="paragraph" w:styleId="Obsah3">
    <w:name w:val="toc 3"/>
    <w:basedOn w:val="Normln"/>
    <w:next w:val="Normln"/>
    <w:autoRedefine/>
    <w:uiPriority w:val="39"/>
    <w:unhideWhenUsed/>
    <w:rsid w:val="00F6185A"/>
    <w:pPr>
      <w:tabs>
        <w:tab w:val="left" w:pos="1320"/>
        <w:tab w:val="right" w:leader="dot" w:pos="9628"/>
      </w:tabs>
      <w:spacing w:after="100"/>
      <w:ind w:left="480"/>
      <w:jc w:val="both"/>
    </w:pPr>
    <w:rPr>
      <w:b/>
      <w:noProof/>
      <w:color w:val="1F3864" w:themeColor="accent1" w:themeShade="80"/>
      <w:lang w:eastAsia="cs-CZ" w:bidi="cs-CZ"/>
    </w:rPr>
  </w:style>
  <w:style w:type="character" w:customStyle="1" w:styleId="BezmezerChar">
    <w:name w:val="Bez mezer Char"/>
    <w:aliases w:val="Text v tabulkách Char,text Char"/>
    <w:basedOn w:val="Standardnpsmoodstavce"/>
    <w:link w:val="Bezmezer"/>
    <w:uiPriority w:val="1"/>
    <w:rsid w:val="00C82F66"/>
    <w:rPr>
      <w:lang w:val="en-GB"/>
    </w:rPr>
  </w:style>
  <w:style w:type="table" w:styleId="Tabulkasmkou4zvraznn5">
    <w:name w:val="Grid Table 4 Accent 5"/>
    <w:basedOn w:val="Normlntabulka"/>
    <w:uiPriority w:val="49"/>
    <w:rsid w:val="00C82F66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Tabulkaseznamu4zvraznn5">
    <w:name w:val="List Table 4 Accent 5"/>
    <w:basedOn w:val="Normlntabulka"/>
    <w:uiPriority w:val="49"/>
    <w:rsid w:val="00C82F66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056F50"/>
    <w:rPr>
      <w:color w:val="605E5C"/>
      <w:shd w:val="clear" w:color="auto" w:fill="E1DFDD"/>
    </w:rPr>
  </w:style>
  <w:style w:type="paragraph" w:customStyle="1" w:styleId="DAVA">
    <w:name w:val="DAVA"/>
    <w:basedOn w:val="Normln"/>
    <w:link w:val="DAVAChar"/>
    <w:qFormat/>
    <w:rsid w:val="001E0C65"/>
    <w:pPr>
      <w:spacing w:after="0" w:line="240" w:lineRule="auto"/>
    </w:pPr>
    <w:rPr>
      <w:rFonts w:ascii="Arial" w:eastAsia="Times New Roman" w:hAnsi="Arial"/>
      <w:sz w:val="28"/>
      <w:szCs w:val="20"/>
      <w:lang w:val="x-none" w:eastAsia="x-none"/>
    </w:rPr>
  </w:style>
  <w:style w:type="character" w:customStyle="1" w:styleId="DAVAChar">
    <w:name w:val="DAVA Char"/>
    <w:link w:val="DAVA"/>
    <w:locked/>
    <w:rsid w:val="001E0C65"/>
    <w:rPr>
      <w:rFonts w:ascii="Arial" w:eastAsia="Times New Roman" w:hAnsi="Arial" w:cs="Times New Roman"/>
      <w:sz w:val="28"/>
      <w:szCs w:val="20"/>
      <w:lang w:val="x-none" w:eastAsia="x-none"/>
    </w:rPr>
  </w:style>
  <w:style w:type="table" w:styleId="Tabulkasmkou4zvraznn3">
    <w:name w:val="Grid Table 4 Accent 3"/>
    <w:basedOn w:val="Normlntabulka"/>
    <w:uiPriority w:val="49"/>
    <w:rsid w:val="00C36F8E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ulkasmkou4zvraznn1">
    <w:name w:val="Grid Table 4 Accent 1"/>
    <w:basedOn w:val="Normlntabulka"/>
    <w:uiPriority w:val="49"/>
    <w:rsid w:val="00C36F8E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Svtltabulkasmkou1">
    <w:name w:val="Grid Table 1 Light"/>
    <w:basedOn w:val="Normlntabulka"/>
    <w:uiPriority w:val="46"/>
    <w:rsid w:val="00C36F8E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h1a5">
    <w:name w:val="h1a5"/>
    <w:basedOn w:val="Standardnpsmoodstavce"/>
    <w:rsid w:val="00DC7462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6C1323"/>
    <w:rPr>
      <w:color w:val="605E5C"/>
      <w:shd w:val="clear" w:color="auto" w:fill="E1DFDD"/>
    </w:rPr>
  </w:style>
  <w:style w:type="paragraph" w:styleId="Titulek">
    <w:name w:val="caption"/>
    <w:aliases w:val="Tabulka"/>
    <w:basedOn w:val="Normln"/>
    <w:next w:val="Normln"/>
    <w:uiPriority w:val="35"/>
    <w:unhideWhenUsed/>
    <w:qFormat/>
    <w:rsid w:val="00B31035"/>
    <w:pPr>
      <w:keepNext/>
      <w:spacing w:before="360" w:line="312" w:lineRule="auto"/>
      <w:jc w:val="both"/>
    </w:pPr>
    <w:rPr>
      <w:rFonts w:ascii="Arial" w:eastAsia="Batang" w:hAnsi="Arial" w:cstheme="minorBidi"/>
      <w:b/>
      <w:iCs/>
      <w:sz w:val="22"/>
      <w:szCs w:val="18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2F2815"/>
    <w:pPr>
      <w:tabs>
        <w:tab w:val="left" w:pos="1760"/>
        <w:tab w:val="right" w:leader="dot" w:pos="9628"/>
      </w:tabs>
      <w:spacing w:after="100"/>
      <w:ind w:left="720"/>
    </w:pPr>
  </w:style>
  <w:style w:type="table" w:customStyle="1" w:styleId="Svtlmkazvraznn11">
    <w:name w:val="Světlá mřížka – zvýraznění 11"/>
    <w:basedOn w:val="Normlntabulka"/>
    <w:uiPriority w:val="62"/>
    <w:rsid w:val="004C64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paragraph" w:styleId="Seznamobrzk">
    <w:name w:val="table of figures"/>
    <w:basedOn w:val="Normln"/>
    <w:next w:val="Normln"/>
    <w:uiPriority w:val="99"/>
    <w:unhideWhenUsed/>
    <w:rsid w:val="00CB326E"/>
    <w:pPr>
      <w:spacing w:after="0"/>
    </w:p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320EB8"/>
    <w:rPr>
      <w:color w:val="605E5C"/>
      <w:shd w:val="clear" w:color="auto" w:fill="E1DFDD"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B631E7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B37A78"/>
    <w:rPr>
      <w:color w:val="605E5C"/>
      <w:shd w:val="clear" w:color="auto" w:fill="E1DFDD"/>
    </w:rPr>
  </w:style>
  <w:style w:type="paragraph" w:customStyle="1" w:styleId="paragraph">
    <w:name w:val="paragraph"/>
    <w:basedOn w:val="Normln"/>
    <w:rsid w:val="005A4184"/>
    <w:pPr>
      <w:spacing w:before="0" w:after="0" w:line="240" w:lineRule="auto"/>
    </w:pPr>
    <w:rPr>
      <w:rFonts w:eastAsia="Times New Roman"/>
      <w:szCs w:val="24"/>
      <w:lang w:eastAsia="cs-CZ"/>
    </w:rPr>
  </w:style>
  <w:style w:type="character" w:customStyle="1" w:styleId="normaltextrun1">
    <w:name w:val="normaltextrun1"/>
    <w:basedOn w:val="Standardnpsmoodstavce"/>
    <w:rsid w:val="005A4184"/>
  </w:style>
  <w:style w:type="character" w:customStyle="1" w:styleId="eop">
    <w:name w:val="eop"/>
    <w:basedOn w:val="Standardnpsmoodstavce"/>
    <w:rsid w:val="005A41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2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35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8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portal-vz.cz/wp-content/uploads/2019/12/%C3%9Apln%C3%A9-zn%C4%9Bn%C3%AD-z%C3%A1kona-%C4%8D.-134_2016-Sb.-o-zad%C3%A1v%C3%A1n%C3%AD-ve%C5%99ejn%C3%BDch-zak%C3%A1zek-%C3%BA%C4%8Dinn%C3%A9-od-26.-listopadu-2019.pdf" TargetMode="External"/><Relationship Id="rId117" Type="http://schemas.openxmlformats.org/officeDocument/2006/relationships/hyperlink" Target="http://www.msmt.cz/vyzkum-a-vyvoj-2/zakon-c-111-1998-sb-o-vysokych-skolach" TargetMode="External"/><Relationship Id="rId21" Type="http://schemas.openxmlformats.org/officeDocument/2006/relationships/hyperlink" Target="https://smlouvy.gov.cz/" TargetMode="External"/><Relationship Id="rId42" Type="http://schemas.openxmlformats.org/officeDocument/2006/relationships/hyperlink" Target="https://aplikace.mvcr.cz/sbirka-zakonu/SearchResult.aspx?q=198/2009&amp;typeLaw=zakon&amp;what=Cislo_zakona_smlouvy" TargetMode="External"/><Relationship Id="rId47" Type="http://schemas.openxmlformats.org/officeDocument/2006/relationships/hyperlink" Target="https://www.vyzkum.cz/FrontClanek.aspx?idsekce=905123" TargetMode="External"/><Relationship Id="rId63" Type="http://schemas.openxmlformats.org/officeDocument/2006/relationships/hyperlink" Target="https://www.vyzkum.cz/FrontClanek.aspx?idsekce=866175" TargetMode="External"/><Relationship Id="rId68" Type="http://schemas.openxmlformats.org/officeDocument/2006/relationships/hyperlink" Target="https://portal.csicr.cz/" TargetMode="External"/><Relationship Id="rId84" Type="http://schemas.openxmlformats.org/officeDocument/2006/relationships/hyperlink" Target="http://www.msmt.cz/vzdelavani/vysoke-skolstvi/dlouhodoby-zamer" TargetMode="External"/><Relationship Id="rId89" Type="http://schemas.openxmlformats.org/officeDocument/2006/relationships/hyperlink" Target="http://www.radavs.cz/" TargetMode="External"/><Relationship Id="rId112" Type="http://schemas.openxmlformats.org/officeDocument/2006/relationships/hyperlink" Target="http://www.msmt.cz/dokumenty-3/zakon-o-pedagogickych-pracovnicich" TargetMode="External"/><Relationship Id="rId16" Type="http://schemas.openxmlformats.org/officeDocument/2006/relationships/hyperlink" Target="http://www.isvz.cz" TargetMode="External"/><Relationship Id="rId107" Type="http://schemas.openxmlformats.org/officeDocument/2006/relationships/hyperlink" Target="https://www.facebook.com/Edu2030plus/" TargetMode="External"/><Relationship Id="rId11" Type="http://schemas.openxmlformats.org/officeDocument/2006/relationships/endnotes" Target="endnotes.xml"/><Relationship Id="rId32" Type="http://schemas.openxmlformats.org/officeDocument/2006/relationships/hyperlink" Target="https://www.uohs.cz/cs/verejna-podpora.html" TargetMode="External"/><Relationship Id="rId37" Type="http://schemas.openxmlformats.org/officeDocument/2006/relationships/hyperlink" Target="http://www.nssoud.cz/Pravni-uprava/art/50?menu=181" TargetMode="External"/><Relationship Id="rId53" Type="http://schemas.openxmlformats.org/officeDocument/2006/relationships/hyperlink" Target="https://www.mpo.cz/cz/podnikani/ris3-strategie/dokumenty/narodni-ris3-strategie-pomuze-lepe-zacilit-financni-podporu-do-vyzkumu--vyvoje-a-inovaci-v-perspektivnich-oblastech-ekonomiky-cr---259162/" TargetMode="External"/><Relationship Id="rId58" Type="http://schemas.openxmlformats.org/officeDocument/2006/relationships/hyperlink" Target="https://www.mpo.cz/cz/podnikani/ris3-strategie/dokumenty/narodni-ris3-strategie-pomuze-lepe-zacilit-financni-podporu-do-vyzkumu--vyvoje-a-inovaci-v-perspektivnich-oblastech-ekonomiky-cr---259162/" TargetMode="External"/><Relationship Id="rId74" Type="http://schemas.openxmlformats.org/officeDocument/2006/relationships/hyperlink" Target="https://www.facebook.com/Edu2030plus/" TargetMode="External"/><Relationship Id="rId79" Type="http://schemas.openxmlformats.org/officeDocument/2006/relationships/hyperlink" Target="http://www.msmt.cz/vyzkum-a-vyvoj-2/zakon-c-111-1998-sb-o-vysokych-skolach" TargetMode="External"/><Relationship Id="rId102" Type="http://schemas.openxmlformats.org/officeDocument/2006/relationships/hyperlink" Target="https://www.mpsv.cz/podpora-zamestnanosti" TargetMode="External"/><Relationship Id="rId123" Type="http://schemas.openxmlformats.org/officeDocument/2006/relationships/theme" Target="theme/theme1.xml"/><Relationship Id="rId5" Type="http://schemas.openxmlformats.org/officeDocument/2006/relationships/customXml" Target="../customXml/item5.xml"/><Relationship Id="rId90" Type="http://schemas.openxmlformats.org/officeDocument/2006/relationships/hyperlink" Target="https://www.mmr.cz/cs/Microsites/PORTAL-STRATEGICKE-PRACE-V-CESKE-REPUBLICE/Nastroje-a-metodicka-podpora/Vystupy-projektu" TargetMode="External"/><Relationship Id="rId95" Type="http://schemas.openxmlformats.org/officeDocument/2006/relationships/hyperlink" Target="https://www.facebook.com/Edu2030plus/" TargetMode="External"/><Relationship Id="rId22" Type="http://schemas.openxmlformats.org/officeDocument/2006/relationships/hyperlink" Target="https://www.vestnikverejnychzakazek.cz/" TargetMode="External"/><Relationship Id="rId27" Type="http://schemas.openxmlformats.org/officeDocument/2006/relationships/hyperlink" Target="https://aplikace.mvcr.cz/sbirka-zakonu/SearchResult.aspx?q=304/2013&amp;typeLaw=zakon&amp;what=Cislo_zakona_smlouvy" TargetMode="External"/><Relationship Id="rId43" Type="http://schemas.openxmlformats.org/officeDocument/2006/relationships/hyperlink" Target="https://aplikace.mvcr.cz/sbirka-zakonu/SearchResult.aspx?q=99/2019&amp;typeLaw=zakon&amp;what=Cislo_zakona_smlouvy" TargetMode="External"/><Relationship Id="rId48" Type="http://schemas.openxmlformats.org/officeDocument/2006/relationships/hyperlink" Target="https://inkaviz.tacr.cz/data/INKA-2--Hodnocen%C3%AD-sb%C4%9Bru-prim%C3%A1rn%C3%ADch-dat-ve-firm%C3%A1ch.pdf" TargetMode="External"/><Relationship Id="rId64" Type="http://schemas.openxmlformats.org/officeDocument/2006/relationships/hyperlink" Target="http://www.msmt.cz/vzdelavani/skolstvi-v-cr/strategie-2030" TargetMode="External"/><Relationship Id="rId69" Type="http://schemas.openxmlformats.org/officeDocument/2006/relationships/hyperlink" Target="http://www.cermat.cz/" TargetMode="External"/><Relationship Id="rId113" Type="http://schemas.openxmlformats.org/officeDocument/2006/relationships/hyperlink" Target="http://www.msmt.cz/ministerstvo/vyhlaska-c-317-2005-sb-2" TargetMode="External"/><Relationship Id="rId118" Type="http://schemas.openxmlformats.org/officeDocument/2006/relationships/hyperlink" Target="http://www.msmt.cz/vzdelavani/vysoke-skolstvi/pravidla-pro-poskytovani-prispevku-a-dotaci-verejnym-vs" TargetMode="External"/><Relationship Id="rId80" Type="http://schemas.openxmlformats.org/officeDocument/2006/relationships/hyperlink" Target="http://www.msmt.cz/vzdelavani/vysoke-skolstvi/studenti-stipendia-a-podpora-studentu" TargetMode="External"/><Relationship Id="rId85" Type="http://schemas.openxmlformats.org/officeDocument/2006/relationships/hyperlink" Target="http://www.msmt.cz/dokumenty-3/skolsky-zakon" TargetMode="External"/><Relationship Id="rId12" Type="http://schemas.openxmlformats.org/officeDocument/2006/relationships/image" Target="media/image1.jpeg"/><Relationship Id="rId17" Type="http://schemas.openxmlformats.org/officeDocument/2006/relationships/hyperlink" Target="http://www.portal-vz.cz" TargetMode="External"/><Relationship Id="rId33" Type="http://schemas.openxmlformats.org/officeDocument/2006/relationships/hyperlink" Target="https://aplikace.mvcr.cz/sbirka-zakonu/SearchResult.aspx?q=215/2004&amp;typeLaw=zakon&amp;what=Cislo_zakona_smlouvy" TargetMode="External"/><Relationship Id="rId38" Type="http://schemas.openxmlformats.org/officeDocument/2006/relationships/hyperlink" Target="https://www.vlada.cz/cz/ppov/vvozp/dokumenty/narodni-plan-podpory-rovnych-prilezitosti-pro-osoby-se-zdravotnim-postizenim-na-obdobi-2021_2025-183042/" TargetMode="External"/><Relationship Id="rId59" Type="http://schemas.openxmlformats.org/officeDocument/2006/relationships/hyperlink" Target="https://www.mpo.cz/cz/podnikani/ris3-strategie/dokumenty/narodni-ris3-strategie-pomuze-lepe-zacilit-financni-podporu-do-vyzkumu--vyvoje-a-inovaci-v-perspektivnich-oblastech-ekonomiky-cr---259162/" TargetMode="External"/><Relationship Id="rId103" Type="http://schemas.openxmlformats.org/officeDocument/2006/relationships/hyperlink" Target="https://www.mpsv.cz/web/cz/aktualni-zneni" TargetMode="External"/><Relationship Id="rId108" Type="http://schemas.openxmlformats.org/officeDocument/2006/relationships/hyperlink" Target="https://www.nauvs.cz/index.php/cs/" TargetMode="External"/><Relationship Id="rId54" Type="http://schemas.openxmlformats.org/officeDocument/2006/relationships/hyperlink" Target="https://www.mpo.cz/assets/cz/podnikani/ris3-strategie/dokumenty/2020/12/Zprava-o-realizaci-Narodni-RIS3-strategie-za-rok-2019.pdf" TargetMode="External"/><Relationship Id="rId70" Type="http://schemas.openxmlformats.org/officeDocument/2006/relationships/hyperlink" Target="http://www.nuv.cz/p/ckp" TargetMode="External"/><Relationship Id="rId75" Type="http://schemas.openxmlformats.org/officeDocument/2006/relationships/hyperlink" Target="http://www.msmt.cz/vzdelavani/skolstvi-v-cr/dlouhodobe-zamery-cr" TargetMode="External"/><Relationship Id="rId91" Type="http://schemas.openxmlformats.org/officeDocument/2006/relationships/hyperlink" Target="http://www.vzdelavani2020.cz" TargetMode="External"/><Relationship Id="rId96" Type="http://schemas.openxmlformats.org/officeDocument/2006/relationships/hyperlink" Target="http://www.vzdelavani2020.cz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23" Type="http://schemas.openxmlformats.org/officeDocument/2006/relationships/hyperlink" Target="http://www.portal-vz.cz/cs/Spoluprace-a-vymena-informaci/Vyrocni-zpravy-a-souhrnne-udaje-o-verejnych-zakazk/Vyrocni-zpravy-o-stavu-verejnych-zakazek" TargetMode="External"/><Relationship Id="rId28" Type="http://schemas.openxmlformats.org/officeDocument/2006/relationships/hyperlink" Target="https://or.justice.cz/ias/ui/rejstrik" TargetMode="External"/><Relationship Id="rId49" Type="http://schemas.openxmlformats.org/officeDocument/2006/relationships/hyperlink" Target="https://inkaviz.tacr.cz/data/INKA-2--Anal&#253;za-makroekonomick&#253;ch-a-mikroekonomick&#253;ch-dat.pdf" TargetMode="External"/><Relationship Id="rId114" Type="http://schemas.openxmlformats.org/officeDocument/2006/relationships/hyperlink" Target="https://portal.gov.cz/app/zakony/zakonPar.jsp?idBiblio=86989&amp;fulltext=na~C5~99~C3~ADzen~C3~AD~20vl~C3~A1dy&amp;nr=275~2F2016&amp;rpp=15" TargetMode="External"/><Relationship Id="rId119" Type="http://schemas.openxmlformats.org/officeDocument/2006/relationships/hyperlink" Target="http://www.msmt.cz/vzdelavani/vysoke-skolstvi/studenti-stipendia-a-podpora-studentu" TargetMode="External"/><Relationship Id="rId44" Type="http://schemas.openxmlformats.org/officeDocument/2006/relationships/hyperlink" Target="https://www.mpo.cz/cz/podnikani/ris3-strategie/dokumenty/narodni-ris3-strategie-pomuze-lepe-zacilit-financni-podporu-do-vyzkumu--vyvoje-a-inovaci-v-perspektivnich-oblastech-ekonomiky-cr---259162/" TargetMode="External"/><Relationship Id="rId60" Type="http://schemas.openxmlformats.org/officeDocument/2006/relationships/hyperlink" Target="https://www.dataplan.info/img_upload/7bdb1584e3b8a53d337518d988763f8d/vladni_program_digitalizace_cr_2018-_-_digitalni_cesko-digitalni_ekonomika_a_spolecnost.pdf" TargetMode="External"/><Relationship Id="rId65" Type="http://schemas.openxmlformats.org/officeDocument/2006/relationships/hyperlink" Target="http://www.msmt.cz/vzdelavani/skolstvi-v-cr/dlouhodobe-zamery-cr" TargetMode="External"/><Relationship Id="rId81" Type="http://schemas.openxmlformats.org/officeDocument/2006/relationships/hyperlink" Target="http://www.msmt.cz/vzdelavani/skolstvi-v-cr/strategie-2030" TargetMode="External"/><Relationship Id="rId86" Type="http://schemas.openxmlformats.org/officeDocument/2006/relationships/hyperlink" Target="http://www.msmt.cz/vyzkum-a-vyvoj-2/zakon-c-111-1998-sb-o-vysokych-skolach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yperlink" Target="https://www.vestnikverejnychzakazek.cz/" TargetMode="External"/><Relationship Id="rId39" Type="http://schemas.openxmlformats.org/officeDocument/2006/relationships/hyperlink" Target="https://aplikace.mvcr.cz/sbirka-zakonu/SearchResult.aspx?q=183/2006&amp;typeLaw=zakon&amp;what=Cislo_zakona_smlouvy" TargetMode="External"/><Relationship Id="rId109" Type="http://schemas.openxmlformats.org/officeDocument/2006/relationships/hyperlink" Target="https://www.nidv.cz/sypo" TargetMode="External"/><Relationship Id="rId34" Type="http://schemas.openxmlformats.org/officeDocument/2006/relationships/hyperlink" Target="https://www.dotaceeu.cz/cs/Evropske-fondy-v-CR/2014-2020/Dokumenty/Metodicke-dokumenty/Metodicke-doporuceni-pro-oblast-verejne-podpory" TargetMode="External"/><Relationship Id="rId50" Type="http://schemas.openxmlformats.org/officeDocument/2006/relationships/hyperlink" Target="https://www.mpo.cz/cz/podnikani/ris3-strategie/dokumenty/narodni-ris3-strategie-pomuze-lepe-zacilit-financni-podporu-do-vyzkumu--vyvoje-a-inovaci-v-perspektivnich-oblastech-ekonomiky-cr---259162/" TargetMode="External"/><Relationship Id="rId55" Type="http://schemas.openxmlformats.org/officeDocument/2006/relationships/hyperlink" Target="https://www.mpo.cz/cz/podnikani/ris3-strategie/dokumenty/narodni-ris3-strategie-pomuze-lepe-zacilit-financni-podporu-do-vyzkumu--vyvoje-a-inovaci-v-perspektivnich-oblastech-ekonomiky-cr---259162/" TargetMode="External"/><Relationship Id="rId76" Type="http://schemas.openxmlformats.org/officeDocument/2006/relationships/hyperlink" Target="http://www.msmt.cz/vzdelavani/vysoke-skolstvi/dlouhodoby-zamer" TargetMode="External"/><Relationship Id="rId97" Type="http://schemas.openxmlformats.org/officeDocument/2006/relationships/hyperlink" Target="http://www.msmt.cz/vzdelavani/skolstvi-v-cr/dlouhodobe-zamery-cr" TargetMode="External"/><Relationship Id="rId104" Type="http://schemas.openxmlformats.org/officeDocument/2006/relationships/hyperlink" Target="https://povez-ii.cz/" TargetMode="External"/><Relationship Id="rId120" Type="http://schemas.openxmlformats.org/officeDocument/2006/relationships/hyperlink" Target="http://www.msmt.cz/vzdelavani/vysoke-skolstvi/dlouhodoby-zamer" TargetMode="External"/><Relationship Id="rId7" Type="http://schemas.openxmlformats.org/officeDocument/2006/relationships/styles" Target="styles.xml"/><Relationship Id="rId71" Type="http://schemas.openxmlformats.org/officeDocument/2006/relationships/hyperlink" Target="http://www.msmt.cz/vzdelavani/vysoke-skolstvi/analyzy" TargetMode="External"/><Relationship Id="rId92" Type="http://schemas.openxmlformats.org/officeDocument/2006/relationships/hyperlink" Target="http://www.msmt.cz/ministerstvo/novinar/experti-hodnotili-naplnovani-strategie-vzdelavani-2020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http://www.uohs.cz/cs/verejna-podpora/podniky-v-obtizich.html" TargetMode="External"/><Relationship Id="rId24" Type="http://schemas.openxmlformats.org/officeDocument/2006/relationships/hyperlink" Target="http://www.isvz.cz" TargetMode="External"/><Relationship Id="rId40" Type="http://schemas.openxmlformats.org/officeDocument/2006/relationships/hyperlink" Target="https://aplikace.mvcr.cz/sbirka-zakonu/SearchResult.aspx?q=361/2000&amp;typeLaw=zakon&amp;what=Cislo_zakona_smlouvy" TargetMode="External"/><Relationship Id="rId45" Type="http://schemas.openxmlformats.org/officeDocument/2006/relationships/hyperlink" Target="https://www.mpo.cz/cz/podnikani/ris3-strategie/projekty-na-podporu-ris3/operacni-program-technicka-pomoc/projekt-komplexni-analyza-vychodisek-a-navrh-implementace-revidovanych-opatreni-narodni-ris3-strategie-2021--248427/" TargetMode="External"/><Relationship Id="rId66" Type="http://schemas.openxmlformats.org/officeDocument/2006/relationships/hyperlink" Target="http://www.csicr.cz/" TargetMode="External"/><Relationship Id="rId87" Type="http://schemas.openxmlformats.org/officeDocument/2006/relationships/hyperlink" Target="https://www.vlada.cz/cz/ppov/tripartita/pracovni_tymy_rhsd/pracovni-tymy-rhsd-139314/" TargetMode="External"/><Relationship Id="rId110" Type="http://schemas.openxmlformats.org/officeDocument/2006/relationships/hyperlink" Target="http://www.msmt.cz/dokumenty-3/skolsky-zakon" TargetMode="External"/><Relationship Id="rId115" Type="http://schemas.openxmlformats.org/officeDocument/2006/relationships/hyperlink" Target="http://www.msmt.cz/vzdelavani/skolstvi-v-cr/strategie-2030" TargetMode="External"/><Relationship Id="rId61" Type="http://schemas.openxmlformats.org/officeDocument/2006/relationships/hyperlink" Target="https://www.dataplan.info/img_upload/7bdb1584e3b8a53d337518d988763f8d/nsui.pdf" TargetMode="External"/><Relationship Id="rId82" Type="http://schemas.openxmlformats.org/officeDocument/2006/relationships/hyperlink" Target="https://www.facebook.com/Edu2030plus/" TargetMode="External"/><Relationship Id="rId19" Type="http://schemas.openxmlformats.org/officeDocument/2006/relationships/hyperlink" Target="https://smlouvy.gov.cz/" TargetMode="External"/><Relationship Id="rId14" Type="http://schemas.openxmlformats.org/officeDocument/2006/relationships/footer" Target="footer1.xml"/><Relationship Id="rId30" Type="http://schemas.openxmlformats.org/officeDocument/2006/relationships/hyperlink" Target="http://www.uohs.cz/cs/verejna-podpora/nesplacene-inkasni-prikazy.html" TargetMode="External"/><Relationship Id="rId35" Type="http://schemas.openxmlformats.org/officeDocument/2006/relationships/hyperlink" Target="https://eur-lex.europa.eu/legal-content/CS/TXT/PDF/?uri=CELEX:52016XC0723(01)&amp;from=SL" TargetMode="External"/><Relationship Id="rId56" Type="http://schemas.openxmlformats.org/officeDocument/2006/relationships/hyperlink" Target="https://www.mpo.cz/assets/cz/podnikani/ris3-strategie/dokumenty/2020/12/Zprava-o-realizaci-Narodni-RIS3-strategie-za-rok-2019.pdf" TargetMode="External"/><Relationship Id="rId77" Type="http://schemas.openxmlformats.org/officeDocument/2006/relationships/hyperlink" Target="http://www.msmt.cz/dokumenty-3/skolsky-zakon" TargetMode="External"/><Relationship Id="rId100" Type="http://schemas.openxmlformats.org/officeDocument/2006/relationships/hyperlink" Target="http://www.nuv.cz/eqf" TargetMode="External"/><Relationship Id="rId105" Type="http://schemas.openxmlformats.org/officeDocument/2006/relationships/hyperlink" Target="http://www.msmt.cz/vzdelavani/skolstvi-v-cr/strategie-2030" TargetMode="External"/><Relationship Id="rId8" Type="http://schemas.openxmlformats.org/officeDocument/2006/relationships/settings" Target="settings.xml"/><Relationship Id="rId51" Type="http://schemas.openxmlformats.org/officeDocument/2006/relationships/hyperlink" Target="https://www.mpo.cz/assets/cz/podnikani/ris3-strategie/dokumenty/2020/12/Zprava-o-realizaci-Narodni-RIS3-strategie-za-rok-2019.pdf" TargetMode="External"/><Relationship Id="rId72" Type="http://schemas.openxmlformats.org/officeDocument/2006/relationships/hyperlink" Target="https://www.eurograduate.eu/" TargetMode="External"/><Relationship Id="rId93" Type="http://schemas.openxmlformats.org/officeDocument/2006/relationships/hyperlink" Target="http://www.msmt.cz/vzdelavani/skolstvi-v-cr/dlouhodobe-zamery-cr" TargetMode="External"/><Relationship Id="rId98" Type="http://schemas.openxmlformats.org/officeDocument/2006/relationships/hyperlink" Target="http://www.msmt.cz/vzdelavani/vysoke-skolstvi/dlouhodoby-zamer" TargetMode="External"/><Relationship Id="rId121" Type="http://schemas.openxmlformats.org/officeDocument/2006/relationships/hyperlink" Target="http://www.naerasmusplus.cz/" TargetMode="External"/><Relationship Id="rId3" Type="http://schemas.openxmlformats.org/officeDocument/2006/relationships/customXml" Target="../customXml/item3.xml"/><Relationship Id="rId25" Type="http://schemas.openxmlformats.org/officeDocument/2006/relationships/hyperlink" Target="https://www.isvz.cz/ISVZ/Podpora/ISVZ_open_data_vz.aspx" TargetMode="External"/><Relationship Id="rId46" Type="http://schemas.openxmlformats.org/officeDocument/2006/relationships/hyperlink" Target="https://www.vyzkum.cz/FrontClanek.aspx?idsekce=913172" TargetMode="External"/><Relationship Id="rId67" Type="http://schemas.openxmlformats.org/officeDocument/2006/relationships/hyperlink" Target="http://www.msmt.cz/ministerstvo/ris-msmt" TargetMode="External"/><Relationship Id="rId116" Type="http://schemas.openxmlformats.org/officeDocument/2006/relationships/hyperlink" Target="http://www.msmt.cz/vzdelavani/dalsi-vzdelavani/zakon-c-179-2006-sb" TargetMode="External"/><Relationship Id="rId20" Type="http://schemas.openxmlformats.org/officeDocument/2006/relationships/hyperlink" Target="https://www.vestnikverejnychzakazek.cz/" TargetMode="External"/><Relationship Id="rId41" Type="http://schemas.openxmlformats.org/officeDocument/2006/relationships/hyperlink" Target="https://aplikace.mvcr.cz/sbirka-zakonu/SearchResult.aspx?q=365/2000&amp;typeLaw=zakon&amp;what=Cislo_zakona_smlouvy" TargetMode="External"/><Relationship Id="rId62" Type="http://schemas.openxmlformats.org/officeDocument/2006/relationships/hyperlink" Target="https://www.mpo.cz/cz/podnikani/ris3-strategie/dokumenty/narodni-ris3-strategie-pomuze-lepe-zacilit-financni-podporu-do-vyzkumu--vyvoje-a-inovaci-v-perspektivnich-oblastech-ekonomiky-cr---259162/" TargetMode="External"/><Relationship Id="rId83" Type="http://schemas.openxmlformats.org/officeDocument/2006/relationships/hyperlink" Target="http://www.msmt.cz/vzdelavani/skolstvi-v-cr/dlouhodobe-zamery-cr" TargetMode="External"/><Relationship Id="rId88" Type="http://schemas.openxmlformats.org/officeDocument/2006/relationships/hyperlink" Target="https://www.mmr.cz/cs/Microsites/Uzemni-dimenze/MAP-KAP" TargetMode="External"/><Relationship Id="rId111" Type="http://schemas.openxmlformats.org/officeDocument/2006/relationships/hyperlink" Target="http://www.msmt.cz/vyzkum-a-vyvoj-2/zakon-c-111-1998-sb-o-vysokych-skolach" TargetMode="External"/><Relationship Id="rId15" Type="http://schemas.openxmlformats.org/officeDocument/2006/relationships/hyperlink" Target="https://www.vestnikverejnychzakazek.cz/" TargetMode="External"/><Relationship Id="rId36" Type="http://schemas.openxmlformats.org/officeDocument/2006/relationships/hyperlink" Target="https://www.mvcr.cz/clanek/spravni-rad-informace-o-spravnim-radu.aspx" TargetMode="External"/><Relationship Id="rId57" Type="http://schemas.openxmlformats.org/officeDocument/2006/relationships/hyperlink" Target="http://vyzkum.cz/FrontClanek.aspx?idsekce=913172" TargetMode="External"/><Relationship Id="rId106" Type="http://schemas.openxmlformats.org/officeDocument/2006/relationships/hyperlink" Target="http://www.msmt.cz/vzdelavani/vysoke-skolstvi/dlouhodoby-zamer" TargetMode="External"/><Relationship Id="rId10" Type="http://schemas.openxmlformats.org/officeDocument/2006/relationships/footnotes" Target="footnotes.xml"/><Relationship Id="rId31" Type="http://schemas.openxmlformats.org/officeDocument/2006/relationships/hyperlink" Target="https://www.dotaceeu.cz/cs/Evropske-fondy-v-CR/2014-2020/Dokumenty/Metodicke-dokumenty/Metodicke-doporuceni-pro-oblast-verejne-podpory" TargetMode="External"/><Relationship Id="rId52" Type="http://schemas.openxmlformats.org/officeDocument/2006/relationships/hyperlink" Target="http://vyzkum.cz/FrontClanek.aspx?idsekce=913172" TargetMode="External"/><Relationship Id="rId73" Type="http://schemas.openxmlformats.org/officeDocument/2006/relationships/hyperlink" Target="http://www.msmt.cz/vzdelavani/skolstvi-v-cr/strategie-2030" TargetMode="External"/><Relationship Id="rId78" Type="http://schemas.openxmlformats.org/officeDocument/2006/relationships/hyperlink" Target="http://www.msmt.cz/dokumenty-3/vyhlasky-ke-skolskemu-zakonu" TargetMode="External"/><Relationship Id="rId94" Type="http://schemas.openxmlformats.org/officeDocument/2006/relationships/hyperlink" Target="http://www.msmt.cz/vzdelavani/skolstvi-v-cr/strategie-2030" TargetMode="External"/><Relationship Id="rId99" Type="http://schemas.openxmlformats.org/officeDocument/2006/relationships/hyperlink" Target="http://www.msmt.cz/vzdelavani/dalsi-vzdelavani/zakon-c-179-2006-sb" TargetMode="External"/><Relationship Id="rId101" Type="http://schemas.openxmlformats.org/officeDocument/2006/relationships/hyperlink" Target="http://www.narodnikvalifikace.cz" TargetMode="External"/><Relationship Id="rId1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opvvv.msmt.cz/download/file2625.pdf" TargetMode="External"/><Relationship Id="rId3" Type="http://schemas.openxmlformats.org/officeDocument/2006/relationships/hyperlink" Target="https://opvvv.msmt.cz/download/file2625.pdf" TargetMode="External"/><Relationship Id="rId7" Type="http://schemas.openxmlformats.org/officeDocument/2006/relationships/hyperlink" Target="https://opvvv.msmt.cz/download/file2625.pdf" TargetMode="External"/><Relationship Id="rId2" Type="http://schemas.openxmlformats.org/officeDocument/2006/relationships/hyperlink" Target="https://opvvv.msmt.cz/download/file2625.pdf" TargetMode="External"/><Relationship Id="rId1" Type="http://schemas.openxmlformats.org/officeDocument/2006/relationships/hyperlink" Target="https://opvvv.msmt.cz/download/file2625.pdf" TargetMode="External"/><Relationship Id="rId6" Type="http://schemas.openxmlformats.org/officeDocument/2006/relationships/hyperlink" Target="https://opvvv.msmt.cz/download/file2625.pdf" TargetMode="External"/><Relationship Id="rId5" Type="http://schemas.openxmlformats.org/officeDocument/2006/relationships/hyperlink" Target="https://doi.org/10.1787/1b180a5a-en" TargetMode="External"/><Relationship Id="rId4" Type="http://schemas.openxmlformats.org/officeDocument/2006/relationships/hyperlink" Target="https://doi.org/10.1787/1b180a5a-en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04a4cd-1400-468e-be1b-c7aad71d7d5a">15OPMSMT0001-78-5183</_dlc_DocId>
    <_dlc_DocIdUrl xmlns="0104a4cd-1400-468e-be1b-c7aad71d7d5a">
      <Url>https://op.msmt.cz/_layouts/15/DocIdRedir.aspx?ID=15OPMSMT0001-78-5183</Url>
      <Description>15OPMSMT0001-78-5183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A6B83B94A9AD4086EF024A4B2ABCA0" ma:contentTypeVersion="0" ma:contentTypeDescription="Vytvoří nový dokument" ma:contentTypeScope="" ma:versionID="4a5a280ed8f06c6ca9b86eb786cd75f6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006c6dc644501bc1154392de98446ce1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6E111-1939-4E75-A91F-EF22B4085EBF}">
  <ds:schemaRefs>
    <ds:schemaRef ds:uri="http://schemas.microsoft.com/office/2006/metadata/properties"/>
    <ds:schemaRef ds:uri="http://schemas.microsoft.com/office/infopath/2007/PartnerControls"/>
    <ds:schemaRef ds:uri="0104a4cd-1400-468e-be1b-c7aad71d7d5a"/>
  </ds:schemaRefs>
</ds:datastoreItem>
</file>

<file path=customXml/itemProps2.xml><?xml version="1.0" encoding="utf-8"?>
<ds:datastoreItem xmlns:ds="http://schemas.openxmlformats.org/officeDocument/2006/customXml" ds:itemID="{DF5BBB18-37F9-41BE-951B-32F7CD45BF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4F7C34-147C-4A15-A3B3-1504E524CF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45D6F7-0698-4085-90C7-6DE40D0712C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AAFCE2EA-02E9-45C0-8EC7-7CD9758D6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1</Pages>
  <Words>28638</Words>
  <Characters>168968</Characters>
  <Application>Microsoft Office Word</Application>
  <DocSecurity>0</DocSecurity>
  <Lines>1408</Lines>
  <Paragraphs>394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MŠMT</Company>
  <LinksUpToDate>false</LinksUpToDate>
  <CharactersWithSpaces>197212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Barbořáková Helena</dc:creator>
  <cp:keywords/>
  <dc:description/>
  <cp:lastModifiedBy>Hněvkovský Jakub</cp:lastModifiedBy>
  <cp:revision>145</cp:revision>
  <cp:lastPrinted>2020-07-13T11:52:00Z</cp:lastPrinted>
  <dcterms:created xsi:type="dcterms:W3CDTF">2021-03-12T22:17:00Z</dcterms:created>
  <dcterms:modified xsi:type="dcterms:W3CDTF">2021-04-08T12:50:00Z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0x0101006EA6B83B94A9AD4086EF024A4B2ABCA0</vt:lpwstr>
  </property>
  <property fmtid="{D5CDD505-2E9C-101B-9397-08002B2CF9AE}" pid="3" name="_dlc_DocIdItemGuid">
    <vt:lpwstr>9ecafe88-a21d-40a1-a127-75727f3a42f5</vt:lpwstr>
  </property>
</Properties>
</file>