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9.7 -->
  <w:body>
    <w:bookmarkStart w:id="0" w:name="_Toc70935478" w:displacedByCustomXml="next"/>
    <w:sdt>
      <w:sdtPr>
        <w:rPr>
          <w:rFonts w:ascii="Calibri Light" w:hAnsi="Calibri Light" w:eastAsiaTheme="minorHAnsi" w:cstheme="minorBidi"/>
          <w:b w:val="0"/>
          <w:color w:val="auto"/>
          <w:sz w:val="22"/>
          <w:szCs w:val="22"/>
        </w:rPr>
        <w:id w:val="1604921021"/>
        <w:docPartObj>
          <w:docPartGallery w:val="Cover Pages"/>
          <w:docPartUnique/>
        </w:docPartObj>
      </w:sdtPr>
      <w:sdtContent>
        <w:p w:rsidR="0059623C" w:rsidP="003E1ADD" w14:paraId="49E37E86" w14:textId="380BBE40">
          <w:pPr>
            <w:pStyle w:val="Heading1"/>
          </w:pPr>
          <w:r w:rsidRPr="0059623C">
            <w:rPr>
              <w:noProof/>
              <w:lang w:eastAsia="cs-CZ"/>
            </w:rPr>
            <w:drawing>
              <wp:anchor distT="0" distB="0" distL="114300" distR="114300" simplePos="0" relativeHeight="251661312" behindDoc="0" locked="0" layoutInCell="1" allowOverlap="1">
                <wp:simplePos x="0" y="0"/>
                <wp:positionH relativeFrom="page">
                  <wp:posOffset>-64135</wp:posOffset>
                </wp:positionH>
                <wp:positionV relativeFrom="paragraph">
                  <wp:posOffset>-910590</wp:posOffset>
                </wp:positionV>
                <wp:extent cx="7632000" cy="1465748"/>
                <wp:effectExtent l="0" t="0" r="7620" b="1270"/>
                <wp:wrapNone/>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8092852" name="Picture 8"/>
                        <pic:cNvPicPr>
                          <a:picLocks noChangeAspect="1" noChangeArrowheads="1"/>
                        </pic:cNvPicPr>
                      </pic:nvPicPr>
                      <pic:blipFill>
                        <a:blip xmlns:r="http://schemas.openxmlformats.org/officeDocument/2006/relationships" r:embed="rId6"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7632000" cy="1465748"/>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0"/>
        </w:p>
        <w:p w:rsidR="00731241" w:rsidP="00731241" w14:paraId="3B004BF4" w14:textId="77777777">
          <w:pPr>
            <w:spacing w:after="160" w:line="259" w:lineRule="auto"/>
          </w:pPr>
          <w:r w:rsidRPr="0059623C">
            <w:rPr>
              <w:noProof/>
              <w:lang w:eastAsia="cs-CZ"/>
            </w:rPr>
            <w:drawing>
              <wp:anchor distT="0" distB="0" distL="114300" distR="114300" simplePos="0" relativeHeight="251660288" behindDoc="0" locked="0" layoutInCell="1" allowOverlap="1">
                <wp:simplePos x="0" y="0"/>
                <wp:positionH relativeFrom="column">
                  <wp:posOffset>-929005</wp:posOffset>
                </wp:positionH>
                <wp:positionV relativeFrom="paragraph">
                  <wp:posOffset>8587740</wp:posOffset>
                </wp:positionV>
                <wp:extent cx="7632000" cy="1099863"/>
                <wp:effectExtent l="0" t="0" r="7620" b="0"/>
                <wp:wrapNone/>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8517197" name="Picture 7"/>
                        <pic:cNvPicPr>
                          <a:picLocks noChangeAspect="1" noChangeArrowheads="1"/>
                        </pic:cNvPicPr>
                      </pic:nvPicPr>
                      <pic:blipFill>
                        <a:blip xmlns:r="http://schemas.openxmlformats.org/officeDocument/2006/relationships" r:embed="rId7"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7632000" cy="1099863"/>
                        </a:xfrm>
                        <a:prstGeom prst="rect">
                          <a:avLst/>
                        </a:prstGeom>
                        <a:noFill/>
                        <a:ln>
                          <a:noFill/>
                        </a:ln>
                      </pic:spPr>
                    </pic:pic>
                  </a:graphicData>
                </a:graphic>
                <wp14:sizeRelH relativeFrom="page">
                  <wp14:pctWidth>0</wp14:pctWidth>
                </wp14:sizeRelH>
                <wp14:sizeRelV relativeFrom="page">
                  <wp14:pctHeight>0</wp14:pctHeight>
                </wp14:sizeRelV>
              </wp:anchor>
            </w:drawing>
          </w:r>
          <w:r w:rsidR="007E3FC5">
            <w:rPr>
              <w:noProof/>
              <w:lang w:eastAsia="cs-CZ"/>
            </w:rPr>
            <mc:AlternateContent>
              <mc:Choice Requires="wps">
                <w:drawing>
                  <wp:anchor distT="0" distB="0" distL="182880" distR="182880" simplePos="0" relativeHeight="251658240" behindDoc="0" locked="0" layoutInCell="1" allowOverlap="1">
                    <wp:simplePos x="0" y="0"/>
                    <wp:positionH relativeFrom="margin">
                      <wp:align>right</wp:align>
                    </wp:positionH>
                    <wp:positionV relativeFrom="margin">
                      <wp:align>center</wp:align>
                    </wp:positionV>
                    <wp:extent cx="5989320" cy="3739705"/>
                    <wp:effectExtent l="0" t="0" r="11430" b="2540"/>
                    <wp:wrapSquare wrapText="bothSides"/>
                    <wp:docPr id="131" name="Textové pole 131"/>
                    <wp:cNvGraphicFramePr/>
                    <a:graphic xmlns:a="http://schemas.openxmlformats.org/drawingml/2006/main">
                      <a:graphicData uri="http://schemas.microsoft.com/office/word/2010/wordprocessingShape">
                        <wps:wsp xmlns:wps="http://schemas.microsoft.com/office/word/2010/wordprocessingShape">
                          <wps:cNvSpPr txBox="1"/>
                          <wps:spPr>
                            <a:xfrm>
                              <a:off x="0" y="0"/>
                              <a:ext cx="5989320" cy="37397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C25ED" w:rsidRPr="00A21119" w:rsidP="0059623C" w14:textId="5B585A9D">
                                <w:pPr>
                                  <w:pStyle w:val="NoSpacing"/>
                                  <w:spacing w:before="40" w:after="560" w:line="216" w:lineRule="auto"/>
                                  <w:rPr>
                                    <w:b/>
                                    <w:bCs/>
                                    <w:color w:val="0C2C41"/>
                                    <w:sz w:val="16"/>
                                    <w:szCs w:val="16"/>
                                  </w:rPr>
                                </w:pPr>
                                <w:r w:rsidRPr="00731241">
                                  <w:rPr>
                                    <w:b/>
                                    <w:bCs/>
                                    <w:color w:val="144A6E"/>
                                    <w:sz w:val="96"/>
                                    <w:szCs w:val="96"/>
                                  </w:rPr>
                                  <w:t>Koncepce činnosti Grantové agentury České republiky 2021+</w:t>
                                </w:r>
                              </w:p>
                              <w:p w:rsidR="008C25ED" w:rsidRPr="0010492D" w:rsidP="0059623C" w14:textId="2C26873E">
                                <w:pPr>
                                  <w:pStyle w:val="NoSpacing"/>
                                  <w:spacing w:before="40" w:after="560" w:line="216" w:lineRule="auto"/>
                                  <w:rPr>
                                    <w:b/>
                                    <w:bCs/>
                                    <w:caps/>
                                    <w:color w:val="144A6E"/>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page">
                      <wp14:pctHeight>35000</wp14:pctHeight>
                    </wp14:sizeRelV>
                  </wp:anchor>
                </w:drawing>
              </mc:Choice>
              <mc:Fallback>
                <w:pict>
                  <v:shapetype id="_x0000_t202" coordsize="21600,21600" o:spt="202" path="m,l,21600r21600,l21600,xe">
                    <v:stroke joinstyle="miter"/>
                    <v:path gradientshapeok="t" o:connecttype="rect"/>
                  </v:shapetype>
                  <v:shape id="Textové pole 131" o:spid="_x0000_s1025" type="#_x0000_t202" style="width:471.6pt;height:529.2pt;margin-top:0;margin-left:420.4pt;mso-height-percent:350;mso-height-relative:page;mso-position-horizontal:right;mso-position-horizontal-relative:margin;mso-position-vertical:center;mso-position-vertical-relative:margin;mso-width-percent:0;mso-width-relative:margin;mso-wrap-distance-bottom:0;mso-wrap-distance-left:14.4pt;mso-wrap-distance-right:14.4pt;mso-wrap-distance-top:0;mso-wrap-style:square;position:absolute;visibility:visible;v-text-anchor:top;z-index:251659264" filled="f" stroked="f" strokeweight="0.5pt">
                    <v:textbox style="mso-fit-shape-to-text:t" inset="0,0,0,0">
                      <w:txbxContent>
                        <w:p w:rsidR="008C25ED" w:rsidRPr="00A21119" w:rsidP="0059623C" w14:paraId="3D7F194B" w14:textId="5B585A9D">
                          <w:pPr>
                            <w:pStyle w:val="NoSpacing"/>
                            <w:spacing w:before="40" w:after="560" w:line="216" w:lineRule="auto"/>
                            <w:rPr>
                              <w:b/>
                              <w:bCs/>
                              <w:color w:val="0C2C41"/>
                              <w:sz w:val="16"/>
                              <w:szCs w:val="16"/>
                            </w:rPr>
                          </w:pPr>
                          <w:r w:rsidRPr="00731241">
                            <w:rPr>
                              <w:b/>
                              <w:bCs/>
                              <w:color w:val="144A6E"/>
                              <w:sz w:val="96"/>
                              <w:szCs w:val="96"/>
                            </w:rPr>
                            <w:t>Koncepce činnosti Grantové agentury České republiky 2021+</w:t>
                          </w:r>
                        </w:p>
                        <w:p w:rsidR="008C25ED" w:rsidRPr="0010492D" w:rsidP="0059623C" w14:paraId="3FE8F76F" w14:textId="2C26873E">
                          <w:pPr>
                            <w:pStyle w:val="NoSpacing"/>
                            <w:spacing w:before="40" w:after="560" w:line="216" w:lineRule="auto"/>
                            <w:rPr>
                              <w:b/>
                              <w:bCs/>
                              <w:caps/>
                              <w:color w:val="144A6E"/>
                              <w:sz w:val="24"/>
                              <w:szCs w:val="24"/>
                            </w:rPr>
                          </w:pPr>
                        </w:p>
                      </w:txbxContent>
                    </v:textbox>
                    <w10:wrap type="square"/>
                  </v:shape>
                </w:pict>
              </mc:Fallback>
            </mc:AlternateContent>
          </w:r>
          <w:r w:rsidR="0059623C">
            <w:br w:type="page"/>
          </w:r>
        </w:p>
        <w:p w:rsidR="00731241" w:rsidP="00731241" w14:paraId="20435B34" w14:textId="77777777">
          <w:pPr>
            <w:spacing w:after="160" w:line="259" w:lineRule="auto"/>
          </w:pPr>
        </w:p>
      </w:sdtContent>
    </w:sdt>
    <w:bookmarkStart w:id="1" w:name="_Hlk61424003" w:displacedByCustomXml="prev"/>
    <w:p w:rsidR="00731241" w:rsidRPr="00731241" w:rsidP="004D3562" w14:paraId="747AC13C" w14:textId="2384503D">
      <w:pPr>
        <w:pStyle w:val="Heading1"/>
        <w:rPr>
          <w:rFonts w:ascii="Calibri Light" w:hAnsi="Calibri Light"/>
          <w:sz w:val="22"/>
          <w:szCs w:val="22"/>
        </w:rPr>
      </w:pPr>
      <w:bookmarkStart w:id="2" w:name="_Toc256000001"/>
      <w:r>
        <w:t>OBSAH</w:t>
      </w:r>
      <w:bookmarkEnd w:id="2"/>
    </w:p>
    <w:p>
      <w:pPr>
        <w:pStyle w:val="TOC1"/>
        <w:tabs>
          <w:tab w:val="right" w:leader="dot" w:pos="9062"/>
        </w:tabs>
        <w:rPr>
          <w:rFonts w:asciiTheme="minorHAnsi" w:hAnsiTheme="minorHAnsi"/>
          <w:noProof/>
          <w:sz w:val="22"/>
        </w:rPr>
      </w:pPr>
      <w:r w:rsidRPr="00331F75">
        <w:rPr>
          <w:bCs w:val="0"/>
          <w:caps w:val="0"/>
          <w:sz w:val="28"/>
          <w:szCs w:val="28"/>
          <w:u w:val="single"/>
        </w:rPr>
        <w:fldChar w:fldCharType="begin"/>
      </w:r>
      <w:r w:rsidRPr="00331F75">
        <w:rPr>
          <w:bCs w:val="0"/>
          <w:caps w:val="0"/>
          <w:sz w:val="28"/>
          <w:szCs w:val="28"/>
          <w:u w:val="single"/>
        </w:rPr>
        <w:instrText xml:space="preserve"> TOC \o "1-3" \h \z \u </w:instrText>
      </w:r>
      <w:r w:rsidRPr="00331F75">
        <w:rPr>
          <w:bCs w:val="0"/>
          <w:caps w:val="0"/>
          <w:sz w:val="28"/>
          <w:szCs w:val="28"/>
          <w:u w:val="single"/>
        </w:rPr>
        <w:fldChar w:fldCharType="separate"/>
      </w:r>
      <w:hyperlink w:anchor="_Toc256000001" w:history="1">
        <w:r>
          <w:rPr>
            <w:rStyle w:val="Hyperlink"/>
          </w:rPr>
          <w:t>OBSAH</w:t>
        </w:r>
        <w:r>
          <w:tab/>
        </w:r>
        <w:r>
          <w:fldChar w:fldCharType="begin"/>
        </w:r>
        <w:r>
          <w:instrText xml:space="preserve"> PAGEREF _Toc256000001 \h </w:instrText>
        </w:r>
        <w:r>
          <w:fldChar w:fldCharType="separate"/>
        </w:r>
        <w:r>
          <w:t>1</w:t>
        </w:r>
        <w:r>
          <w:fldChar w:fldCharType="end"/>
        </w:r>
      </w:hyperlink>
    </w:p>
    <w:p>
      <w:pPr>
        <w:pStyle w:val="TOC1"/>
        <w:tabs>
          <w:tab w:val="right" w:leader="dot" w:pos="9062"/>
        </w:tabs>
        <w:rPr>
          <w:rFonts w:asciiTheme="minorHAnsi" w:hAnsiTheme="minorHAnsi"/>
          <w:noProof/>
          <w:sz w:val="22"/>
        </w:rPr>
      </w:pPr>
      <w:hyperlink w:anchor="_Toc256000002" w:history="1">
        <w:r w:rsidRPr="00331F75">
          <w:rPr>
            <w:rStyle w:val="Hyperlink"/>
            <w:rFonts w:ascii="Calibri" w:hAnsi="Calibri" w:cs="Times New Roman"/>
          </w:rPr>
          <w:t>1. ÚVOD</w:t>
        </w:r>
        <w:r>
          <w:tab/>
        </w:r>
        <w:r>
          <w:fldChar w:fldCharType="begin"/>
        </w:r>
        <w:r>
          <w:instrText xml:space="preserve"> PAGEREF _Toc256000002 \h </w:instrText>
        </w:r>
        <w:r>
          <w:fldChar w:fldCharType="separate"/>
        </w:r>
        <w:r>
          <w:t>3</w:t>
        </w:r>
        <w:r>
          <w:fldChar w:fldCharType="end"/>
        </w:r>
      </w:hyperlink>
    </w:p>
    <w:p>
      <w:pPr>
        <w:pStyle w:val="TOC1"/>
        <w:tabs>
          <w:tab w:val="right" w:leader="dot" w:pos="9062"/>
        </w:tabs>
        <w:rPr>
          <w:rFonts w:asciiTheme="minorHAnsi" w:hAnsiTheme="minorHAnsi"/>
          <w:noProof/>
          <w:sz w:val="22"/>
        </w:rPr>
      </w:pPr>
      <w:hyperlink w:anchor="_Toc256000003" w:history="1">
        <w:r w:rsidRPr="00331F75">
          <w:rPr>
            <w:rStyle w:val="Hyperlink"/>
            <w:rFonts w:ascii="Calibri" w:hAnsi="Calibri" w:cs="Times New Roman"/>
          </w:rPr>
          <w:t>2. VYMEZENÍ OBLASTI PODPOROVANÉ GA ČR</w:t>
        </w:r>
        <w:r>
          <w:tab/>
        </w:r>
        <w:r>
          <w:fldChar w:fldCharType="begin"/>
        </w:r>
        <w:r>
          <w:instrText xml:space="preserve"> PAGEREF _Toc256000003 \h </w:instrText>
        </w:r>
        <w:r>
          <w:fldChar w:fldCharType="separate"/>
        </w:r>
        <w:r>
          <w:t>5</w:t>
        </w:r>
        <w:r>
          <w:fldChar w:fldCharType="end"/>
        </w:r>
      </w:hyperlink>
    </w:p>
    <w:p>
      <w:pPr>
        <w:pStyle w:val="TOC1"/>
        <w:tabs>
          <w:tab w:val="right" w:leader="dot" w:pos="9062"/>
        </w:tabs>
        <w:rPr>
          <w:rFonts w:asciiTheme="minorHAnsi" w:hAnsiTheme="minorHAnsi"/>
          <w:noProof/>
          <w:sz w:val="22"/>
        </w:rPr>
      </w:pPr>
      <w:hyperlink w:anchor="_Toc256000004" w:history="1">
        <w:r w:rsidRPr="00331F75">
          <w:rPr>
            <w:rStyle w:val="Hyperlink"/>
            <w:rFonts w:ascii="Calibri" w:hAnsi="Calibri" w:cs="Times New Roman"/>
          </w:rPr>
          <w:t>3. VIZE A CÍL ROZVOJE ČINNOSTI GA ČR</w:t>
        </w:r>
        <w:r>
          <w:tab/>
        </w:r>
        <w:r>
          <w:fldChar w:fldCharType="begin"/>
        </w:r>
        <w:r>
          <w:instrText xml:space="preserve"> PAGEREF _Toc256000004 \h </w:instrText>
        </w:r>
        <w:r>
          <w:fldChar w:fldCharType="separate"/>
        </w:r>
        <w:r>
          <w:t>6</w:t>
        </w:r>
        <w:r>
          <w:fldChar w:fldCharType="end"/>
        </w:r>
      </w:hyperlink>
    </w:p>
    <w:p>
      <w:pPr>
        <w:pStyle w:val="TOC2"/>
        <w:tabs>
          <w:tab w:val="right" w:leader="dot" w:pos="9062"/>
        </w:tabs>
        <w:rPr>
          <w:rFonts w:asciiTheme="minorHAnsi" w:hAnsiTheme="minorHAnsi"/>
          <w:noProof/>
          <w:sz w:val="22"/>
        </w:rPr>
      </w:pPr>
      <w:hyperlink w:anchor="_Toc256000005" w:history="1">
        <w:r w:rsidRPr="006A56BF">
          <w:rPr>
            <w:rStyle w:val="Hyperlink"/>
            <w:rFonts w:ascii="Calibri" w:eastAsia="Times New Roman" w:hAnsi="Calibri"/>
          </w:rPr>
          <w:t xml:space="preserve">3.1. </w:t>
        </w:r>
        <w:r w:rsidRPr="006A56BF">
          <w:rPr>
            <w:rStyle w:val="Hyperlink"/>
            <w:rFonts w:ascii="Calibri" w:eastAsia="Times New Roman" w:hAnsi="Calibri"/>
          </w:rPr>
          <w:t>Koncepce směřování GA ČR, dílčí cíle a</w:t>
        </w:r>
        <w:r w:rsidRPr="006A56BF">
          <w:rPr>
            <w:rStyle w:val="Hyperlink"/>
            <w:rFonts w:ascii="Calibri" w:hAnsi="Calibri"/>
          </w:rPr>
          <w:t xml:space="preserve"> strategie jejich dosahování</w:t>
        </w:r>
        <w:r>
          <w:tab/>
        </w:r>
        <w:r>
          <w:fldChar w:fldCharType="begin"/>
        </w:r>
        <w:r>
          <w:instrText xml:space="preserve"> PAGEREF _Toc256000005 \h </w:instrText>
        </w:r>
        <w:r>
          <w:fldChar w:fldCharType="separate"/>
        </w:r>
        <w:r>
          <w:t>6</w:t>
        </w:r>
        <w:r>
          <w:fldChar w:fldCharType="end"/>
        </w:r>
      </w:hyperlink>
    </w:p>
    <w:p>
      <w:pPr>
        <w:pStyle w:val="TOC2"/>
        <w:tabs>
          <w:tab w:val="right" w:leader="dot" w:pos="9062"/>
        </w:tabs>
        <w:rPr>
          <w:rFonts w:asciiTheme="minorHAnsi" w:hAnsiTheme="minorHAnsi"/>
          <w:noProof/>
          <w:sz w:val="22"/>
        </w:rPr>
      </w:pPr>
      <w:hyperlink w:anchor="_Toc256000006" w:history="1">
        <w:r w:rsidRPr="006A56BF">
          <w:rPr>
            <w:rStyle w:val="Hyperlink"/>
            <w:rFonts w:ascii="Calibri" w:eastAsia="Times New Roman" w:hAnsi="Calibri"/>
          </w:rPr>
          <w:t>3.2. Podpora excelentního a mezinárodně uznávaného výzkumu</w:t>
        </w:r>
        <w:r>
          <w:tab/>
        </w:r>
        <w:r>
          <w:fldChar w:fldCharType="begin"/>
        </w:r>
        <w:r>
          <w:instrText xml:space="preserve"> PAGEREF _Toc256000006 \h </w:instrText>
        </w:r>
        <w:r>
          <w:fldChar w:fldCharType="separate"/>
        </w:r>
        <w:r>
          <w:t>7</w:t>
        </w:r>
        <w:r>
          <w:fldChar w:fldCharType="end"/>
        </w:r>
      </w:hyperlink>
    </w:p>
    <w:p>
      <w:pPr>
        <w:pStyle w:val="TOC2"/>
        <w:tabs>
          <w:tab w:val="right" w:leader="dot" w:pos="9062"/>
        </w:tabs>
        <w:rPr>
          <w:rFonts w:asciiTheme="minorHAnsi" w:hAnsiTheme="minorHAnsi"/>
          <w:noProof/>
          <w:sz w:val="22"/>
        </w:rPr>
      </w:pPr>
      <w:hyperlink w:anchor="_Toc256000007" w:history="1">
        <w:r w:rsidRPr="006A56BF">
          <w:rPr>
            <w:rStyle w:val="Hyperlink"/>
            <w:rFonts w:ascii="Calibri" w:eastAsia="Times New Roman" w:hAnsi="Calibri"/>
          </w:rPr>
          <w:t>3.3. Rozvoj lidských zdrojů</w:t>
        </w:r>
        <w:r>
          <w:tab/>
        </w:r>
        <w:r>
          <w:fldChar w:fldCharType="begin"/>
        </w:r>
        <w:r>
          <w:instrText xml:space="preserve"> PAGEREF _Toc256000007 \h </w:instrText>
        </w:r>
        <w:r>
          <w:fldChar w:fldCharType="separate"/>
        </w:r>
        <w:r>
          <w:t>9</w:t>
        </w:r>
        <w:r>
          <w:fldChar w:fldCharType="end"/>
        </w:r>
      </w:hyperlink>
    </w:p>
    <w:p>
      <w:pPr>
        <w:pStyle w:val="TOC2"/>
        <w:tabs>
          <w:tab w:val="right" w:leader="dot" w:pos="9062"/>
        </w:tabs>
        <w:rPr>
          <w:rFonts w:asciiTheme="minorHAnsi" w:hAnsiTheme="minorHAnsi"/>
          <w:noProof/>
          <w:sz w:val="22"/>
        </w:rPr>
      </w:pPr>
      <w:hyperlink w:anchor="_Toc256000008" w:history="1">
        <w:r w:rsidRPr="006A56BF">
          <w:rPr>
            <w:rStyle w:val="Hyperlink"/>
            <w:rFonts w:ascii="Calibri" w:eastAsia="Times New Roman" w:hAnsi="Calibri"/>
          </w:rPr>
          <w:t>3.4. GA ČR je přívětivou institucí pro své uživatele</w:t>
        </w:r>
        <w:r>
          <w:tab/>
        </w:r>
        <w:r>
          <w:fldChar w:fldCharType="begin"/>
        </w:r>
        <w:r>
          <w:instrText xml:space="preserve"> PAGEREF _Toc256000008 \h </w:instrText>
        </w:r>
        <w:r>
          <w:fldChar w:fldCharType="separate"/>
        </w:r>
        <w:r>
          <w:t>9</w:t>
        </w:r>
        <w:r>
          <w:fldChar w:fldCharType="end"/>
        </w:r>
      </w:hyperlink>
    </w:p>
    <w:p>
      <w:pPr>
        <w:pStyle w:val="TOC2"/>
        <w:tabs>
          <w:tab w:val="right" w:leader="dot" w:pos="9062"/>
        </w:tabs>
        <w:rPr>
          <w:rFonts w:asciiTheme="minorHAnsi" w:hAnsiTheme="minorHAnsi"/>
          <w:noProof/>
          <w:sz w:val="22"/>
        </w:rPr>
      </w:pPr>
      <w:hyperlink w:anchor="_Toc256000009" w:history="1">
        <w:r w:rsidRPr="006A56BF">
          <w:rPr>
            <w:rStyle w:val="Hyperlink"/>
            <w:rFonts w:ascii="Calibri" w:eastAsia="Times New Roman" w:hAnsi="Calibri"/>
          </w:rPr>
          <w:t>3.5. Podpora internacionalizace české vědy</w:t>
        </w:r>
        <w:r>
          <w:tab/>
        </w:r>
        <w:r>
          <w:fldChar w:fldCharType="begin"/>
        </w:r>
        <w:r>
          <w:instrText xml:space="preserve"> PAGEREF _Toc256000009 \h </w:instrText>
        </w:r>
        <w:r>
          <w:fldChar w:fldCharType="separate"/>
        </w:r>
        <w:r>
          <w:t>10</w:t>
        </w:r>
        <w:r>
          <w:fldChar w:fldCharType="end"/>
        </w:r>
      </w:hyperlink>
    </w:p>
    <w:p>
      <w:pPr>
        <w:pStyle w:val="TOC1"/>
        <w:tabs>
          <w:tab w:val="right" w:leader="dot" w:pos="9062"/>
        </w:tabs>
        <w:rPr>
          <w:rFonts w:asciiTheme="minorHAnsi" w:hAnsiTheme="minorHAnsi"/>
          <w:noProof/>
          <w:sz w:val="22"/>
        </w:rPr>
      </w:pPr>
      <w:hyperlink w:anchor="_Toc256000010" w:history="1">
        <w:r w:rsidRPr="00331F75">
          <w:rPr>
            <w:rStyle w:val="Hyperlink"/>
            <w:rFonts w:ascii="Calibri" w:hAnsi="Calibri" w:cs="Times New Roman"/>
          </w:rPr>
          <w:t>4. DÍLČÍ CÍLE ROZVOJE GA ČR</w:t>
        </w:r>
        <w:r>
          <w:tab/>
        </w:r>
        <w:r>
          <w:fldChar w:fldCharType="begin"/>
        </w:r>
        <w:r>
          <w:instrText xml:space="preserve"> PAGEREF _Toc256000010 \h </w:instrText>
        </w:r>
        <w:r>
          <w:fldChar w:fldCharType="separate"/>
        </w:r>
        <w:r>
          <w:t>12</w:t>
        </w:r>
        <w:r>
          <w:fldChar w:fldCharType="end"/>
        </w:r>
      </w:hyperlink>
    </w:p>
    <w:p>
      <w:pPr>
        <w:pStyle w:val="TOC2"/>
        <w:tabs>
          <w:tab w:val="left" w:pos="960"/>
          <w:tab w:val="right" w:leader="dot" w:pos="9062"/>
        </w:tabs>
        <w:rPr>
          <w:rFonts w:asciiTheme="minorHAnsi" w:hAnsiTheme="minorHAnsi"/>
          <w:noProof/>
          <w:sz w:val="22"/>
        </w:rPr>
      </w:pPr>
      <w:hyperlink w:anchor="_Toc256000011" w:history="1">
        <w:r w:rsidRPr="006A56BF">
          <w:rPr>
            <w:rStyle w:val="Hyperlink"/>
            <w:rFonts w:ascii="Calibri" w:hAnsi="Calibri" w:cs="Times New Roman"/>
          </w:rPr>
          <w:t>4.1.</w:t>
        </w:r>
        <w:r w:rsidRPr="006A56BF">
          <w:rPr>
            <w:rFonts w:asciiTheme="minorHAnsi" w:hAnsiTheme="minorHAnsi" w:cs="Times New Roman"/>
            <w:noProof/>
            <w:sz w:val="22"/>
          </w:rPr>
          <w:tab/>
        </w:r>
        <w:r w:rsidRPr="006A56BF">
          <w:rPr>
            <w:rStyle w:val="Hyperlink"/>
            <w:rFonts w:ascii="Calibri" w:hAnsi="Calibri" w:cs="Times New Roman"/>
          </w:rPr>
          <w:t xml:space="preserve">Zaměření GA ČR – skupiny grantových </w:t>
        </w:r>
        <w:r w:rsidRPr="006A56BF">
          <w:rPr>
            <w:rStyle w:val="Hyperlink"/>
            <w:rFonts w:ascii="Calibri" w:hAnsi="Calibri" w:cs="Times New Roman"/>
          </w:rPr>
          <w:t>projektů – SGP</w:t>
        </w:r>
        <w:r>
          <w:tab/>
        </w:r>
        <w:r>
          <w:fldChar w:fldCharType="begin"/>
        </w:r>
        <w:r>
          <w:instrText xml:space="preserve"> PAGEREF _Toc256000011 \h </w:instrText>
        </w:r>
        <w:r>
          <w:fldChar w:fldCharType="separate"/>
        </w:r>
        <w:r>
          <w:t>12</w:t>
        </w:r>
        <w:r>
          <w:fldChar w:fldCharType="end"/>
        </w:r>
      </w:hyperlink>
    </w:p>
    <w:p>
      <w:pPr>
        <w:pStyle w:val="TOC3"/>
        <w:tabs>
          <w:tab w:val="right" w:leader="dot" w:pos="9062"/>
        </w:tabs>
        <w:rPr>
          <w:rFonts w:asciiTheme="minorHAnsi" w:hAnsiTheme="minorHAnsi"/>
          <w:noProof/>
          <w:sz w:val="22"/>
        </w:rPr>
      </w:pPr>
      <w:hyperlink w:anchor="_Toc256000012" w:history="1">
        <w:r w:rsidRPr="00331F75">
          <w:rPr>
            <w:rStyle w:val="Hyperlink"/>
          </w:rPr>
          <w:t xml:space="preserve">4.1.1. Standardní grantové </w:t>
        </w:r>
        <w:r w:rsidRPr="00331F75">
          <w:rPr>
            <w:rStyle w:val="Hyperlink"/>
          </w:rPr>
          <w:t>projekty</w:t>
        </w:r>
        <w:r>
          <w:tab/>
        </w:r>
        <w:r>
          <w:fldChar w:fldCharType="begin"/>
        </w:r>
        <w:r>
          <w:instrText xml:space="preserve"> PAGEREF _Toc256000012 \h </w:instrText>
        </w:r>
        <w:r>
          <w:fldChar w:fldCharType="separate"/>
        </w:r>
        <w:r>
          <w:t>13</w:t>
        </w:r>
        <w:r>
          <w:fldChar w:fldCharType="end"/>
        </w:r>
      </w:hyperlink>
    </w:p>
    <w:p>
      <w:pPr>
        <w:pStyle w:val="TOC3"/>
        <w:tabs>
          <w:tab w:val="right" w:leader="dot" w:pos="9062"/>
        </w:tabs>
        <w:rPr>
          <w:rFonts w:asciiTheme="minorHAnsi" w:hAnsiTheme="minorHAnsi"/>
          <w:noProof/>
          <w:sz w:val="22"/>
        </w:rPr>
      </w:pPr>
      <w:hyperlink w:anchor="_Toc256000013" w:history="1">
        <w:r w:rsidRPr="00331F75">
          <w:rPr>
            <w:rStyle w:val="Hyperlink"/>
          </w:rPr>
          <w:t xml:space="preserve">4.1.2. Bilaterální (mezinárodní) grantové </w:t>
        </w:r>
        <w:r w:rsidRPr="00331F75">
          <w:rPr>
            <w:rStyle w:val="Hyperlink"/>
          </w:rPr>
          <w:t>projekty</w:t>
        </w:r>
        <w:r>
          <w:tab/>
        </w:r>
        <w:r>
          <w:fldChar w:fldCharType="begin"/>
        </w:r>
        <w:r>
          <w:instrText xml:space="preserve"> PAGEREF _Toc256000013 \h </w:instrText>
        </w:r>
        <w:r>
          <w:fldChar w:fldCharType="separate"/>
        </w:r>
        <w:r>
          <w:t>13</w:t>
        </w:r>
        <w:r>
          <w:fldChar w:fldCharType="end"/>
        </w:r>
      </w:hyperlink>
    </w:p>
    <w:p>
      <w:pPr>
        <w:pStyle w:val="TOC3"/>
        <w:tabs>
          <w:tab w:val="right" w:leader="dot" w:pos="9062"/>
        </w:tabs>
        <w:rPr>
          <w:rFonts w:asciiTheme="minorHAnsi" w:hAnsiTheme="minorHAnsi"/>
          <w:noProof/>
          <w:sz w:val="22"/>
        </w:rPr>
      </w:pPr>
      <w:hyperlink w:anchor="_Toc256000014" w:history="1">
        <w:r w:rsidRPr="009B3474">
          <w:rPr>
            <w:rStyle w:val="Hyperlink"/>
          </w:rPr>
          <w:t xml:space="preserve">4.1.3. </w:t>
        </w:r>
        <w:r w:rsidRPr="009B3474">
          <w:rPr>
            <w:rStyle w:val="Hyperlink"/>
          </w:rPr>
          <w:t>„</w:t>
        </w:r>
        <w:r w:rsidRPr="009B3474">
          <w:rPr>
            <w:rStyle w:val="Hyperlink"/>
          </w:rPr>
          <w:t xml:space="preserve">Lead Agency“ </w:t>
        </w:r>
        <w:r w:rsidRPr="009B3474">
          <w:rPr>
            <w:rStyle w:val="Hyperlink"/>
          </w:rPr>
          <w:t>granty</w:t>
        </w:r>
        <w:r>
          <w:tab/>
        </w:r>
        <w:r>
          <w:fldChar w:fldCharType="begin"/>
        </w:r>
        <w:r>
          <w:instrText xml:space="preserve"> PAGEREF _Toc256000014 \h </w:instrText>
        </w:r>
        <w:r>
          <w:fldChar w:fldCharType="separate"/>
        </w:r>
        <w:r>
          <w:t>14</w:t>
        </w:r>
        <w:r>
          <w:fldChar w:fldCharType="end"/>
        </w:r>
      </w:hyperlink>
    </w:p>
    <w:p>
      <w:pPr>
        <w:pStyle w:val="TOC3"/>
        <w:tabs>
          <w:tab w:val="right" w:leader="dot" w:pos="9062"/>
        </w:tabs>
        <w:rPr>
          <w:rFonts w:asciiTheme="minorHAnsi" w:hAnsiTheme="minorHAnsi"/>
          <w:noProof/>
          <w:sz w:val="22"/>
        </w:rPr>
      </w:pPr>
      <w:hyperlink w:anchor="_Toc256000015" w:history="1">
        <w:r w:rsidRPr="00331F75">
          <w:rPr>
            <w:rStyle w:val="Hyperlink"/>
          </w:rPr>
          <w:t>4.1.4. Grantové projekty JUNIOR STAR</w:t>
        </w:r>
        <w:r>
          <w:tab/>
        </w:r>
        <w:r>
          <w:fldChar w:fldCharType="begin"/>
        </w:r>
        <w:r>
          <w:instrText xml:space="preserve"> PAGEREF _Toc256000015 \h </w:instrText>
        </w:r>
        <w:r>
          <w:fldChar w:fldCharType="separate"/>
        </w:r>
        <w:r>
          <w:t>15</w:t>
        </w:r>
        <w:r>
          <w:fldChar w:fldCharType="end"/>
        </w:r>
      </w:hyperlink>
    </w:p>
    <w:p>
      <w:pPr>
        <w:pStyle w:val="TOC3"/>
        <w:tabs>
          <w:tab w:val="right" w:leader="dot" w:pos="9062"/>
        </w:tabs>
        <w:rPr>
          <w:rFonts w:asciiTheme="minorHAnsi" w:hAnsiTheme="minorHAnsi"/>
          <w:noProof/>
          <w:sz w:val="22"/>
        </w:rPr>
      </w:pPr>
      <w:hyperlink w:anchor="_Toc256000016" w:history="1">
        <w:r w:rsidRPr="00331F75">
          <w:rPr>
            <w:rStyle w:val="Hyperlink"/>
          </w:rPr>
          <w:t>4.1.5. Grantové projekty excelence v základním výzkumu EXPRO</w:t>
        </w:r>
        <w:r>
          <w:tab/>
        </w:r>
        <w:r>
          <w:fldChar w:fldCharType="begin"/>
        </w:r>
        <w:r>
          <w:instrText xml:space="preserve"> PAGEREF _Toc256000016 \h </w:instrText>
        </w:r>
        <w:r>
          <w:fldChar w:fldCharType="separate"/>
        </w:r>
        <w:r>
          <w:t>16</w:t>
        </w:r>
        <w:r>
          <w:fldChar w:fldCharType="end"/>
        </w:r>
      </w:hyperlink>
    </w:p>
    <w:p>
      <w:pPr>
        <w:pStyle w:val="TOC3"/>
        <w:tabs>
          <w:tab w:val="right" w:leader="dot" w:pos="9062"/>
        </w:tabs>
        <w:rPr>
          <w:rFonts w:asciiTheme="minorHAnsi" w:hAnsiTheme="minorHAnsi"/>
          <w:noProof/>
          <w:sz w:val="22"/>
        </w:rPr>
      </w:pPr>
      <w:hyperlink w:anchor="_Toc256000017" w:history="1">
        <w:r w:rsidRPr="00331F75">
          <w:rPr>
            <w:rStyle w:val="Hyperlink"/>
          </w:rPr>
          <w:t>4.1.</w:t>
        </w:r>
        <w:r>
          <w:rPr>
            <w:rStyle w:val="Hyperlink"/>
          </w:rPr>
          <w:t>6</w:t>
        </w:r>
        <w:r w:rsidRPr="00331F75">
          <w:rPr>
            <w:rStyle w:val="Hyperlink"/>
          </w:rPr>
          <w:t>. Grantové projekty POSTDOC INDIVIDUAL FELLOWSHIP</w:t>
        </w:r>
        <w:r>
          <w:tab/>
        </w:r>
        <w:r>
          <w:fldChar w:fldCharType="begin"/>
        </w:r>
        <w:r>
          <w:instrText xml:space="preserve"> PAGEREF _Toc256000017 \h </w:instrText>
        </w:r>
        <w:r>
          <w:fldChar w:fldCharType="separate"/>
        </w:r>
        <w:r>
          <w:t>17</w:t>
        </w:r>
        <w:r>
          <w:fldChar w:fldCharType="end"/>
        </w:r>
      </w:hyperlink>
    </w:p>
    <w:p>
      <w:pPr>
        <w:pStyle w:val="TOC3"/>
        <w:tabs>
          <w:tab w:val="right" w:leader="dot" w:pos="9062"/>
        </w:tabs>
        <w:rPr>
          <w:rFonts w:asciiTheme="minorHAnsi" w:hAnsiTheme="minorHAnsi"/>
          <w:noProof/>
          <w:sz w:val="22"/>
        </w:rPr>
      </w:pPr>
      <w:hyperlink w:anchor="_Toc256000018" w:history="1">
        <w:r w:rsidRPr="00331F75">
          <w:rPr>
            <w:rStyle w:val="Hyperlink"/>
          </w:rPr>
          <w:t>4.1.</w:t>
        </w:r>
        <w:r>
          <w:rPr>
            <w:rStyle w:val="Hyperlink"/>
          </w:rPr>
          <w:t>7</w:t>
        </w:r>
        <w:r w:rsidRPr="00331F75">
          <w:rPr>
            <w:rStyle w:val="Hyperlink"/>
          </w:rPr>
          <w:t>. Grantové projekty orientovaného základního výzkumu</w:t>
        </w:r>
        <w:r>
          <w:tab/>
        </w:r>
        <w:r>
          <w:fldChar w:fldCharType="begin"/>
        </w:r>
        <w:r>
          <w:instrText xml:space="preserve"> PAGEREF _Toc256000018 \h </w:instrText>
        </w:r>
        <w:r>
          <w:fldChar w:fldCharType="separate"/>
        </w:r>
        <w:r>
          <w:t>18</w:t>
        </w:r>
        <w:r>
          <w:fldChar w:fldCharType="end"/>
        </w:r>
      </w:hyperlink>
    </w:p>
    <w:p>
      <w:pPr>
        <w:pStyle w:val="TOC2"/>
        <w:tabs>
          <w:tab w:val="left" w:pos="960"/>
          <w:tab w:val="right" w:leader="dot" w:pos="9062"/>
        </w:tabs>
        <w:rPr>
          <w:rFonts w:asciiTheme="minorHAnsi" w:hAnsiTheme="minorHAnsi"/>
          <w:noProof/>
          <w:sz w:val="22"/>
        </w:rPr>
      </w:pPr>
      <w:hyperlink w:anchor="_Toc256000019" w:history="1">
        <w:r w:rsidRPr="006F65AD">
          <w:rPr>
            <w:rStyle w:val="Hyperlink"/>
            <w:rFonts w:ascii="Calibri" w:hAnsi="Calibri" w:cs="Times New Roman"/>
          </w:rPr>
          <w:t>4.2.</w:t>
        </w:r>
        <w:r w:rsidRPr="006F65AD">
          <w:rPr>
            <w:rFonts w:asciiTheme="minorHAnsi" w:hAnsiTheme="minorHAnsi" w:cs="Times New Roman"/>
            <w:noProof/>
            <w:sz w:val="22"/>
          </w:rPr>
          <w:tab/>
        </w:r>
        <w:r w:rsidRPr="006F65AD">
          <w:rPr>
            <w:rStyle w:val="Hyperlink"/>
            <w:rFonts w:ascii="Calibri" w:hAnsi="Calibri" w:cs="Times New Roman"/>
          </w:rPr>
          <w:t>Zjednodušení administrativy, zvýšení uživatelské přívětivosti a transparentnosti podpory</w:t>
        </w:r>
        <w:r>
          <w:tab/>
        </w:r>
        <w:r>
          <w:fldChar w:fldCharType="begin"/>
        </w:r>
        <w:r>
          <w:instrText xml:space="preserve"> PAGEREF _Toc256000019 \h </w:instrText>
        </w:r>
        <w:r>
          <w:fldChar w:fldCharType="separate"/>
        </w:r>
        <w:r>
          <w:t>19</w:t>
        </w:r>
        <w:r>
          <w:fldChar w:fldCharType="end"/>
        </w:r>
      </w:hyperlink>
    </w:p>
    <w:p>
      <w:pPr>
        <w:pStyle w:val="TOC2"/>
        <w:tabs>
          <w:tab w:val="left" w:pos="960"/>
          <w:tab w:val="right" w:leader="dot" w:pos="9062"/>
        </w:tabs>
        <w:rPr>
          <w:rFonts w:asciiTheme="minorHAnsi" w:hAnsiTheme="minorHAnsi"/>
          <w:noProof/>
          <w:sz w:val="22"/>
        </w:rPr>
      </w:pPr>
      <w:hyperlink w:anchor="_Toc256000020" w:history="1">
        <w:r w:rsidRPr="006F65AD">
          <w:rPr>
            <w:rStyle w:val="Hyperlink"/>
            <w:rFonts w:ascii="Calibri" w:hAnsi="Calibri" w:cs="Times New Roman"/>
          </w:rPr>
          <w:t>4.3.</w:t>
        </w:r>
        <w:r w:rsidRPr="006F65AD">
          <w:rPr>
            <w:rFonts w:asciiTheme="minorHAnsi" w:hAnsiTheme="minorHAnsi" w:cs="Times New Roman"/>
            <w:noProof/>
            <w:sz w:val="22"/>
          </w:rPr>
          <w:tab/>
        </w:r>
        <w:r w:rsidRPr="006F65AD">
          <w:rPr>
            <w:rStyle w:val="Hyperlink"/>
            <w:rFonts w:ascii="Calibri" w:hAnsi="Calibri" w:cs="Times New Roman"/>
          </w:rPr>
          <w:t>Podpora</w:t>
        </w:r>
        <w:r w:rsidRPr="006F65AD">
          <w:rPr>
            <w:rStyle w:val="Hyperlink"/>
          </w:rPr>
          <w:t xml:space="preserve"> </w:t>
        </w:r>
        <w:r w:rsidRPr="006F65AD">
          <w:rPr>
            <w:rStyle w:val="Hyperlink"/>
            <w:rFonts w:ascii="Calibri" w:hAnsi="Calibri" w:cs="Times New Roman"/>
          </w:rPr>
          <w:t>genderové rovnosti ve výzkumu a vývoji</w:t>
        </w:r>
        <w:r w:rsidRPr="006F65AD">
          <w:rPr>
            <w:rStyle w:val="Hyperlink"/>
            <w:rFonts w:ascii="Calibri" w:hAnsi="Calibri" w:cs="Times New Roman"/>
          </w:rPr>
          <w:t>, podpora sladění profesního a rodinného života řešitelů a řešitelek</w:t>
        </w:r>
        <w:r>
          <w:tab/>
        </w:r>
        <w:r>
          <w:fldChar w:fldCharType="begin"/>
        </w:r>
        <w:r>
          <w:instrText xml:space="preserve"> PAGEREF _Toc256000020 \h </w:instrText>
        </w:r>
        <w:r>
          <w:fldChar w:fldCharType="separate"/>
        </w:r>
        <w:r>
          <w:t>20</w:t>
        </w:r>
        <w:r>
          <w:fldChar w:fldCharType="end"/>
        </w:r>
      </w:hyperlink>
    </w:p>
    <w:p>
      <w:pPr>
        <w:pStyle w:val="TOC2"/>
        <w:tabs>
          <w:tab w:val="left" w:pos="960"/>
          <w:tab w:val="right" w:leader="dot" w:pos="9062"/>
        </w:tabs>
        <w:rPr>
          <w:rFonts w:asciiTheme="minorHAnsi" w:hAnsiTheme="minorHAnsi"/>
          <w:noProof/>
          <w:sz w:val="22"/>
        </w:rPr>
      </w:pPr>
      <w:hyperlink w:anchor="_Toc256000021" w:history="1">
        <w:r w:rsidRPr="006F65AD">
          <w:rPr>
            <w:rStyle w:val="Hyperlink"/>
            <w:rFonts w:ascii="Calibri" w:hAnsi="Calibri" w:cs="Times New Roman"/>
          </w:rPr>
          <w:t>4.4.</w:t>
        </w:r>
        <w:r w:rsidRPr="006F65AD">
          <w:rPr>
            <w:rFonts w:asciiTheme="minorHAnsi" w:hAnsiTheme="minorHAnsi" w:cs="Times New Roman"/>
            <w:noProof/>
            <w:sz w:val="22"/>
          </w:rPr>
          <w:tab/>
        </w:r>
        <w:r w:rsidRPr="006F65AD">
          <w:rPr>
            <w:rStyle w:val="Hyperlink"/>
            <w:rFonts w:ascii="Calibri" w:hAnsi="Calibri" w:cs="Times New Roman"/>
          </w:rPr>
          <w:t>Podpora orientovaného základního výzkumu</w:t>
        </w:r>
        <w:r>
          <w:tab/>
        </w:r>
        <w:r>
          <w:fldChar w:fldCharType="begin"/>
        </w:r>
        <w:r>
          <w:instrText xml:space="preserve"> PAGEREF _Toc256000021 \h </w:instrText>
        </w:r>
        <w:r>
          <w:fldChar w:fldCharType="separate"/>
        </w:r>
        <w:r>
          <w:t>21</w:t>
        </w:r>
        <w:r>
          <w:fldChar w:fldCharType="end"/>
        </w:r>
      </w:hyperlink>
    </w:p>
    <w:p>
      <w:pPr>
        <w:pStyle w:val="TOC2"/>
        <w:tabs>
          <w:tab w:val="left" w:pos="960"/>
          <w:tab w:val="right" w:leader="dot" w:pos="9062"/>
        </w:tabs>
        <w:rPr>
          <w:rFonts w:asciiTheme="minorHAnsi" w:hAnsiTheme="minorHAnsi"/>
          <w:noProof/>
          <w:sz w:val="22"/>
        </w:rPr>
      </w:pPr>
      <w:hyperlink w:anchor="_Toc256000022" w:history="1">
        <w:r w:rsidRPr="006F65AD">
          <w:rPr>
            <w:rStyle w:val="Hyperlink"/>
            <w:rFonts w:ascii="Calibri" w:hAnsi="Calibri" w:cs="Times New Roman"/>
          </w:rPr>
          <w:t>4.5.</w:t>
        </w:r>
        <w:r w:rsidRPr="006F65AD">
          <w:rPr>
            <w:rFonts w:asciiTheme="minorHAnsi" w:hAnsiTheme="minorHAnsi" w:cs="Times New Roman"/>
            <w:noProof/>
            <w:sz w:val="22"/>
          </w:rPr>
          <w:tab/>
        </w:r>
        <w:r w:rsidRPr="006F65AD">
          <w:rPr>
            <w:rStyle w:val="Hyperlink"/>
            <w:rFonts w:ascii="Calibri" w:hAnsi="Calibri" w:cs="Times New Roman"/>
          </w:rPr>
          <w:t>Podpora Open Science a otevřeného přístupu ke vědě</w:t>
        </w:r>
        <w:r>
          <w:tab/>
        </w:r>
        <w:r>
          <w:fldChar w:fldCharType="begin"/>
        </w:r>
        <w:r>
          <w:instrText xml:space="preserve"> PAGEREF _Toc256000022 \h </w:instrText>
        </w:r>
        <w:r>
          <w:fldChar w:fldCharType="separate"/>
        </w:r>
        <w:r>
          <w:t>22</w:t>
        </w:r>
        <w:r>
          <w:fldChar w:fldCharType="end"/>
        </w:r>
      </w:hyperlink>
    </w:p>
    <w:p>
      <w:pPr>
        <w:pStyle w:val="TOC1"/>
        <w:tabs>
          <w:tab w:val="right" w:leader="dot" w:pos="9062"/>
        </w:tabs>
        <w:rPr>
          <w:rFonts w:asciiTheme="minorHAnsi" w:hAnsiTheme="minorHAnsi"/>
          <w:noProof/>
          <w:sz w:val="22"/>
        </w:rPr>
      </w:pPr>
      <w:hyperlink w:anchor="_Toc256000023" w:history="1">
        <w:r>
          <w:rPr>
            <w:rStyle w:val="Hyperlink"/>
          </w:rPr>
          <w:t>5</w:t>
        </w:r>
        <w:r w:rsidRPr="00331F75">
          <w:rPr>
            <w:rStyle w:val="Hyperlink"/>
          </w:rPr>
          <w:t>. SWOT analýza účelové podpory základního výzkumu</w:t>
        </w:r>
        <w:r>
          <w:tab/>
        </w:r>
        <w:r>
          <w:fldChar w:fldCharType="begin"/>
        </w:r>
        <w:r>
          <w:instrText xml:space="preserve"> PAGEREF _Toc256000023 \h </w:instrText>
        </w:r>
        <w:r>
          <w:fldChar w:fldCharType="separate"/>
        </w:r>
        <w:r>
          <w:t>23</w:t>
        </w:r>
        <w:r>
          <w:fldChar w:fldCharType="end"/>
        </w:r>
      </w:hyperlink>
    </w:p>
    <w:p>
      <w:pPr>
        <w:pStyle w:val="TOC2"/>
        <w:tabs>
          <w:tab w:val="right" w:leader="dot" w:pos="9062"/>
        </w:tabs>
        <w:rPr>
          <w:rFonts w:asciiTheme="minorHAnsi" w:hAnsiTheme="minorHAnsi"/>
          <w:noProof/>
          <w:sz w:val="22"/>
        </w:rPr>
      </w:pPr>
      <w:hyperlink w:anchor="_Toc256000024" w:history="1">
        <w:r>
          <w:rPr>
            <w:rStyle w:val="Hyperlink"/>
          </w:rPr>
          <w:t>5</w:t>
        </w:r>
        <w:r w:rsidRPr="00331F75">
          <w:rPr>
            <w:rStyle w:val="Hyperlink"/>
          </w:rPr>
          <w:t>.1. Silné stránky (Strengths)</w:t>
        </w:r>
        <w:r>
          <w:tab/>
        </w:r>
        <w:r>
          <w:fldChar w:fldCharType="begin"/>
        </w:r>
        <w:r>
          <w:instrText xml:space="preserve"> PAGEREF _Toc256000024 \h </w:instrText>
        </w:r>
        <w:r>
          <w:fldChar w:fldCharType="separate"/>
        </w:r>
        <w:r>
          <w:t>23</w:t>
        </w:r>
        <w:r>
          <w:fldChar w:fldCharType="end"/>
        </w:r>
      </w:hyperlink>
    </w:p>
    <w:p>
      <w:pPr>
        <w:pStyle w:val="TOC3"/>
        <w:tabs>
          <w:tab w:val="right" w:leader="dot" w:pos="9062"/>
        </w:tabs>
        <w:rPr>
          <w:rFonts w:asciiTheme="minorHAnsi" w:hAnsiTheme="minorHAnsi"/>
          <w:noProof/>
          <w:sz w:val="22"/>
        </w:rPr>
      </w:pPr>
      <w:hyperlink w:anchor="_Toc256000025" w:history="1">
        <w:r>
          <w:rPr>
            <w:rStyle w:val="Hyperlink"/>
          </w:rPr>
          <w:t>5</w:t>
        </w:r>
        <w:r w:rsidRPr="00331F75">
          <w:rPr>
            <w:rStyle w:val="Hyperlink"/>
          </w:rPr>
          <w:t>.1.1. Výzkumná infrastruktura</w:t>
        </w:r>
        <w:r>
          <w:tab/>
        </w:r>
        <w:r>
          <w:fldChar w:fldCharType="begin"/>
        </w:r>
        <w:r>
          <w:instrText xml:space="preserve"> PAGEREF _Toc256000025 \h </w:instrText>
        </w:r>
        <w:r>
          <w:fldChar w:fldCharType="separate"/>
        </w:r>
        <w:r>
          <w:t>23</w:t>
        </w:r>
        <w:r>
          <w:fldChar w:fldCharType="end"/>
        </w:r>
      </w:hyperlink>
    </w:p>
    <w:p>
      <w:pPr>
        <w:pStyle w:val="TOC3"/>
        <w:tabs>
          <w:tab w:val="right" w:leader="dot" w:pos="9062"/>
        </w:tabs>
        <w:rPr>
          <w:rFonts w:asciiTheme="minorHAnsi" w:hAnsiTheme="minorHAnsi"/>
          <w:noProof/>
          <w:sz w:val="22"/>
        </w:rPr>
      </w:pPr>
      <w:hyperlink w:anchor="_Toc256000026" w:history="1">
        <w:r>
          <w:rPr>
            <w:rStyle w:val="Hyperlink"/>
          </w:rPr>
          <w:t>5</w:t>
        </w:r>
        <w:r w:rsidRPr="00331F75">
          <w:rPr>
            <w:rStyle w:val="Hyperlink"/>
          </w:rPr>
          <w:t>.1.2. Personální vybavenost – kvalitní týmy</w:t>
        </w:r>
        <w:r>
          <w:tab/>
        </w:r>
        <w:r>
          <w:fldChar w:fldCharType="begin"/>
        </w:r>
        <w:r>
          <w:instrText xml:space="preserve"> PAGEREF _Toc256000026 \h </w:instrText>
        </w:r>
        <w:r>
          <w:fldChar w:fldCharType="separate"/>
        </w:r>
        <w:r>
          <w:t>23</w:t>
        </w:r>
        <w:r>
          <w:fldChar w:fldCharType="end"/>
        </w:r>
      </w:hyperlink>
    </w:p>
    <w:p>
      <w:pPr>
        <w:pStyle w:val="TOC3"/>
        <w:tabs>
          <w:tab w:val="right" w:leader="dot" w:pos="9062"/>
        </w:tabs>
        <w:rPr>
          <w:rFonts w:asciiTheme="minorHAnsi" w:hAnsiTheme="minorHAnsi"/>
          <w:noProof/>
          <w:sz w:val="22"/>
        </w:rPr>
      </w:pPr>
      <w:hyperlink w:anchor="_Toc256000027" w:history="1">
        <w:r>
          <w:rPr>
            <w:rStyle w:val="Hyperlink"/>
          </w:rPr>
          <w:t>5</w:t>
        </w:r>
        <w:r w:rsidRPr="00331F75">
          <w:rPr>
            <w:rStyle w:val="Hyperlink"/>
          </w:rPr>
          <w:t>.1.3. Centralizace rozdělování podpory</w:t>
        </w:r>
        <w:r>
          <w:tab/>
        </w:r>
        <w:r>
          <w:fldChar w:fldCharType="begin"/>
        </w:r>
        <w:r>
          <w:instrText xml:space="preserve"> PAGEREF _Toc256000027 \h </w:instrText>
        </w:r>
        <w:r>
          <w:fldChar w:fldCharType="separate"/>
        </w:r>
        <w:r>
          <w:t>23</w:t>
        </w:r>
        <w:r>
          <w:fldChar w:fldCharType="end"/>
        </w:r>
      </w:hyperlink>
    </w:p>
    <w:p>
      <w:pPr>
        <w:pStyle w:val="TOC3"/>
        <w:tabs>
          <w:tab w:val="right" w:leader="dot" w:pos="9062"/>
        </w:tabs>
        <w:rPr>
          <w:rFonts w:asciiTheme="minorHAnsi" w:hAnsiTheme="minorHAnsi"/>
          <w:noProof/>
          <w:sz w:val="22"/>
        </w:rPr>
      </w:pPr>
      <w:hyperlink w:anchor="_Toc256000028" w:history="1">
        <w:r>
          <w:rPr>
            <w:rStyle w:val="Hyperlink"/>
          </w:rPr>
          <w:t>5</w:t>
        </w:r>
        <w:r w:rsidRPr="00331F75">
          <w:rPr>
            <w:rStyle w:val="Hyperlink"/>
          </w:rPr>
          <w:t>.1.4. Existence programů podpory – již etablované a známé struktury podpory</w:t>
        </w:r>
        <w:r>
          <w:tab/>
        </w:r>
        <w:r>
          <w:fldChar w:fldCharType="begin"/>
        </w:r>
        <w:r>
          <w:instrText xml:space="preserve"> PAGEREF _Toc256000028 \h </w:instrText>
        </w:r>
        <w:r>
          <w:fldChar w:fldCharType="separate"/>
        </w:r>
        <w:r>
          <w:t>23</w:t>
        </w:r>
        <w:r>
          <w:fldChar w:fldCharType="end"/>
        </w:r>
      </w:hyperlink>
    </w:p>
    <w:p>
      <w:pPr>
        <w:pStyle w:val="TOC3"/>
        <w:tabs>
          <w:tab w:val="right" w:leader="dot" w:pos="9062"/>
        </w:tabs>
        <w:rPr>
          <w:rFonts w:asciiTheme="minorHAnsi" w:hAnsiTheme="minorHAnsi"/>
          <w:noProof/>
          <w:sz w:val="22"/>
        </w:rPr>
      </w:pPr>
      <w:hyperlink w:anchor="_Toc256000029" w:history="1">
        <w:r>
          <w:rPr>
            <w:rStyle w:val="Hyperlink"/>
          </w:rPr>
          <w:t>5</w:t>
        </w:r>
        <w:r w:rsidRPr="00331F75">
          <w:rPr>
            <w:rStyle w:val="Hyperlink"/>
          </w:rPr>
          <w:t>.1.5. Dosažené výsledky</w:t>
        </w:r>
        <w:r>
          <w:tab/>
        </w:r>
        <w:r>
          <w:fldChar w:fldCharType="begin"/>
        </w:r>
        <w:r>
          <w:instrText xml:space="preserve"> PAGEREF _Toc256000029 \h </w:instrText>
        </w:r>
        <w:r>
          <w:fldChar w:fldCharType="separate"/>
        </w:r>
        <w:r>
          <w:t>24</w:t>
        </w:r>
        <w:r>
          <w:fldChar w:fldCharType="end"/>
        </w:r>
      </w:hyperlink>
    </w:p>
    <w:p>
      <w:pPr>
        <w:pStyle w:val="TOC3"/>
        <w:tabs>
          <w:tab w:val="right" w:leader="dot" w:pos="9062"/>
        </w:tabs>
        <w:rPr>
          <w:rFonts w:asciiTheme="minorHAnsi" w:hAnsiTheme="minorHAnsi"/>
          <w:noProof/>
          <w:sz w:val="22"/>
        </w:rPr>
      </w:pPr>
      <w:hyperlink w:anchor="_Toc256000030" w:history="1">
        <w:r>
          <w:rPr>
            <w:rStyle w:val="Hyperlink"/>
          </w:rPr>
          <w:t>5</w:t>
        </w:r>
        <w:r w:rsidRPr="00331F75">
          <w:rPr>
            <w:rStyle w:val="Hyperlink"/>
          </w:rPr>
          <w:t>.1.6. Mezinárodní spolupráce</w:t>
        </w:r>
        <w:r>
          <w:tab/>
        </w:r>
        <w:r>
          <w:fldChar w:fldCharType="begin"/>
        </w:r>
        <w:r>
          <w:instrText xml:space="preserve"> PAGEREF _Toc256000030 \h </w:instrText>
        </w:r>
        <w:r>
          <w:fldChar w:fldCharType="separate"/>
        </w:r>
        <w:r>
          <w:t>24</w:t>
        </w:r>
        <w:r>
          <w:fldChar w:fldCharType="end"/>
        </w:r>
      </w:hyperlink>
    </w:p>
    <w:p>
      <w:pPr>
        <w:pStyle w:val="TOC2"/>
        <w:tabs>
          <w:tab w:val="right" w:leader="dot" w:pos="9062"/>
        </w:tabs>
        <w:rPr>
          <w:rFonts w:asciiTheme="minorHAnsi" w:hAnsiTheme="minorHAnsi"/>
          <w:noProof/>
          <w:sz w:val="22"/>
        </w:rPr>
      </w:pPr>
      <w:hyperlink w:anchor="_Toc256000031" w:history="1">
        <w:r w:rsidRPr="006776EA">
          <w:rPr>
            <w:rStyle w:val="Hyperlink"/>
            <w:rFonts w:ascii="Calibri" w:hAnsi="Calibri" w:cs="Times New Roman"/>
          </w:rPr>
          <w:t>5.2. Slabé stránky (Weaknesses)</w:t>
        </w:r>
        <w:r>
          <w:tab/>
        </w:r>
        <w:r>
          <w:fldChar w:fldCharType="begin"/>
        </w:r>
        <w:r>
          <w:instrText xml:space="preserve"> PAGEREF _Toc256000031 \h </w:instrText>
        </w:r>
        <w:r>
          <w:fldChar w:fldCharType="separate"/>
        </w:r>
        <w:r>
          <w:t>24</w:t>
        </w:r>
        <w:r>
          <w:fldChar w:fldCharType="end"/>
        </w:r>
      </w:hyperlink>
    </w:p>
    <w:p>
      <w:pPr>
        <w:pStyle w:val="TOC3"/>
        <w:tabs>
          <w:tab w:val="right" w:leader="dot" w:pos="9062"/>
        </w:tabs>
        <w:rPr>
          <w:rFonts w:asciiTheme="minorHAnsi" w:hAnsiTheme="minorHAnsi"/>
          <w:noProof/>
          <w:sz w:val="22"/>
        </w:rPr>
      </w:pPr>
      <w:hyperlink w:anchor="_Toc256000032" w:history="1">
        <w:r>
          <w:rPr>
            <w:rStyle w:val="Hyperlink"/>
          </w:rPr>
          <w:t>5</w:t>
        </w:r>
        <w:r w:rsidRPr="00331F75">
          <w:rPr>
            <w:rStyle w:val="Hyperlink"/>
          </w:rPr>
          <w:t>.2.1. Nízká zpětná vazba od uživatelů výsledků základního výzkumu</w:t>
        </w:r>
        <w:r>
          <w:tab/>
        </w:r>
        <w:r>
          <w:fldChar w:fldCharType="begin"/>
        </w:r>
        <w:r>
          <w:instrText xml:space="preserve"> PAGEREF _Toc256000032 \h </w:instrText>
        </w:r>
        <w:r>
          <w:fldChar w:fldCharType="separate"/>
        </w:r>
        <w:r>
          <w:t>24</w:t>
        </w:r>
        <w:r>
          <w:fldChar w:fldCharType="end"/>
        </w:r>
      </w:hyperlink>
    </w:p>
    <w:p>
      <w:pPr>
        <w:pStyle w:val="TOC3"/>
        <w:tabs>
          <w:tab w:val="right" w:leader="dot" w:pos="9062"/>
        </w:tabs>
        <w:rPr>
          <w:rFonts w:asciiTheme="minorHAnsi" w:hAnsiTheme="minorHAnsi"/>
          <w:noProof/>
          <w:sz w:val="22"/>
        </w:rPr>
      </w:pPr>
      <w:hyperlink w:anchor="_Toc256000033" w:history="1">
        <w:r>
          <w:rPr>
            <w:rStyle w:val="Hyperlink"/>
          </w:rPr>
          <w:t>5</w:t>
        </w:r>
        <w:r w:rsidRPr="00331F75">
          <w:rPr>
            <w:rStyle w:val="Hyperlink"/>
          </w:rPr>
          <w:t>.2.2. Nízká míra uplatnění výsledků základního výzkumu</w:t>
        </w:r>
        <w:r>
          <w:tab/>
        </w:r>
        <w:r>
          <w:fldChar w:fldCharType="begin"/>
        </w:r>
        <w:r>
          <w:instrText xml:space="preserve"> PAGEREF _Toc256000033 \h </w:instrText>
        </w:r>
        <w:r>
          <w:fldChar w:fldCharType="separate"/>
        </w:r>
        <w:r>
          <w:t>25</w:t>
        </w:r>
        <w:r>
          <w:fldChar w:fldCharType="end"/>
        </w:r>
      </w:hyperlink>
    </w:p>
    <w:p>
      <w:pPr>
        <w:pStyle w:val="TOC3"/>
        <w:tabs>
          <w:tab w:val="right" w:leader="dot" w:pos="9062"/>
        </w:tabs>
        <w:rPr>
          <w:rFonts w:asciiTheme="minorHAnsi" w:hAnsiTheme="minorHAnsi"/>
          <w:noProof/>
          <w:sz w:val="22"/>
        </w:rPr>
      </w:pPr>
      <w:hyperlink w:anchor="_Toc256000034" w:history="1">
        <w:r>
          <w:rPr>
            <w:rStyle w:val="Hyperlink"/>
          </w:rPr>
          <w:t>5</w:t>
        </w:r>
        <w:r w:rsidRPr="00331F75">
          <w:rPr>
            <w:rStyle w:val="Hyperlink"/>
          </w:rPr>
          <w:t>.2.3. Nestabilita prostředí</w:t>
        </w:r>
        <w:r>
          <w:tab/>
        </w:r>
        <w:r>
          <w:fldChar w:fldCharType="begin"/>
        </w:r>
        <w:r>
          <w:instrText xml:space="preserve"> PAGEREF _Toc256000034 \h </w:instrText>
        </w:r>
        <w:r>
          <w:fldChar w:fldCharType="separate"/>
        </w:r>
        <w:r>
          <w:t>25</w:t>
        </w:r>
        <w:r>
          <w:fldChar w:fldCharType="end"/>
        </w:r>
      </w:hyperlink>
    </w:p>
    <w:p>
      <w:pPr>
        <w:pStyle w:val="TOC3"/>
        <w:tabs>
          <w:tab w:val="right" w:leader="dot" w:pos="9062"/>
        </w:tabs>
        <w:rPr>
          <w:rFonts w:asciiTheme="minorHAnsi" w:hAnsiTheme="minorHAnsi"/>
          <w:noProof/>
          <w:sz w:val="22"/>
        </w:rPr>
      </w:pPr>
      <w:hyperlink w:anchor="_Toc256000035" w:history="1">
        <w:r>
          <w:rPr>
            <w:rStyle w:val="Hyperlink"/>
          </w:rPr>
          <w:t>5</w:t>
        </w:r>
        <w:r w:rsidRPr="00331F75">
          <w:rPr>
            <w:rStyle w:val="Hyperlink"/>
          </w:rPr>
          <w:t>.2.4. Nízká míra zapojení do mezinárodních programů</w:t>
        </w:r>
        <w:r>
          <w:tab/>
        </w:r>
        <w:r>
          <w:fldChar w:fldCharType="begin"/>
        </w:r>
        <w:r>
          <w:instrText xml:space="preserve"> PAGEREF _Toc256000035 \h </w:instrText>
        </w:r>
        <w:r>
          <w:fldChar w:fldCharType="separate"/>
        </w:r>
        <w:r>
          <w:t>25</w:t>
        </w:r>
        <w:r>
          <w:fldChar w:fldCharType="end"/>
        </w:r>
      </w:hyperlink>
    </w:p>
    <w:p>
      <w:pPr>
        <w:pStyle w:val="TOC3"/>
        <w:tabs>
          <w:tab w:val="right" w:leader="dot" w:pos="9062"/>
        </w:tabs>
        <w:rPr>
          <w:rFonts w:asciiTheme="minorHAnsi" w:hAnsiTheme="minorHAnsi"/>
          <w:noProof/>
          <w:sz w:val="22"/>
        </w:rPr>
      </w:pPr>
      <w:hyperlink w:anchor="_Toc256000036" w:history="1">
        <w:r>
          <w:rPr>
            <w:rStyle w:val="Hyperlink"/>
          </w:rPr>
          <w:t>5</w:t>
        </w:r>
        <w:r w:rsidRPr="00331F75">
          <w:rPr>
            <w:rStyle w:val="Hyperlink"/>
          </w:rPr>
          <w:t>.2.5. Nevyvážená podpora různých oborů</w:t>
        </w:r>
        <w:r>
          <w:tab/>
        </w:r>
        <w:r>
          <w:fldChar w:fldCharType="begin"/>
        </w:r>
        <w:r>
          <w:instrText xml:space="preserve"> PAGEREF _Toc256000036 \h </w:instrText>
        </w:r>
        <w:r>
          <w:fldChar w:fldCharType="separate"/>
        </w:r>
        <w:r>
          <w:t>25</w:t>
        </w:r>
        <w:r>
          <w:fldChar w:fldCharType="end"/>
        </w:r>
      </w:hyperlink>
    </w:p>
    <w:p>
      <w:pPr>
        <w:pStyle w:val="TOC3"/>
        <w:tabs>
          <w:tab w:val="right" w:leader="dot" w:pos="9062"/>
        </w:tabs>
        <w:rPr>
          <w:rFonts w:asciiTheme="minorHAnsi" w:hAnsiTheme="minorHAnsi"/>
          <w:noProof/>
          <w:sz w:val="22"/>
        </w:rPr>
      </w:pPr>
      <w:hyperlink w:anchor="_Toc256000037" w:history="1">
        <w:r>
          <w:rPr>
            <w:rStyle w:val="Hyperlink"/>
          </w:rPr>
          <w:t>5</w:t>
        </w:r>
        <w:r w:rsidRPr="00331F75">
          <w:rPr>
            <w:rStyle w:val="Hyperlink"/>
          </w:rPr>
          <w:t>.2.6. Nevhodný poměr institucionální a účelové podpory</w:t>
        </w:r>
        <w:r>
          <w:tab/>
        </w:r>
        <w:r>
          <w:fldChar w:fldCharType="begin"/>
        </w:r>
        <w:r>
          <w:instrText xml:space="preserve"> PAGEREF _Toc256000037 \h </w:instrText>
        </w:r>
        <w:r>
          <w:fldChar w:fldCharType="separate"/>
        </w:r>
        <w:r>
          <w:t>26</w:t>
        </w:r>
        <w:r>
          <w:fldChar w:fldCharType="end"/>
        </w:r>
      </w:hyperlink>
    </w:p>
    <w:p>
      <w:pPr>
        <w:pStyle w:val="TOC2"/>
        <w:tabs>
          <w:tab w:val="right" w:leader="dot" w:pos="9062"/>
        </w:tabs>
        <w:rPr>
          <w:rFonts w:asciiTheme="minorHAnsi" w:hAnsiTheme="minorHAnsi"/>
          <w:noProof/>
          <w:sz w:val="22"/>
        </w:rPr>
      </w:pPr>
      <w:hyperlink w:anchor="_Toc256000038" w:history="1">
        <w:r w:rsidRPr="006776EA">
          <w:rPr>
            <w:rStyle w:val="Hyperlink"/>
            <w:rFonts w:ascii="Calibri" w:hAnsi="Calibri" w:cs="Times New Roman"/>
          </w:rPr>
          <w:t>5.3. Příležitosti (Opportunities)</w:t>
        </w:r>
        <w:r>
          <w:tab/>
        </w:r>
        <w:r>
          <w:fldChar w:fldCharType="begin"/>
        </w:r>
        <w:r>
          <w:instrText xml:space="preserve"> PAGEREF _Toc256000038 \h </w:instrText>
        </w:r>
        <w:r>
          <w:fldChar w:fldCharType="separate"/>
        </w:r>
        <w:r>
          <w:t>26</w:t>
        </w:r>
        <w:r>
          <w:fldChar w:fldCharType="end"/>
        </w:r>
      </w:hyperlink>
    </w:p>
    <w:p>
      <w:pPr>
        <w:pStyle w:val="TOC3"/>
        <w:tabs>
          <w:tab w:val="right" w:leader="dot" w:pos="9062"/>
        </w:tabs>
        <w:rPr>
          <w:rFonts w:asciiTheme="minorHAnsi" w:hAnsiTheme="minorHAnsi"/>
          <w:noProof/>
          <w:sz w:val="22"/>
        </w:rPr>
      </w:pPr>
      <w:hyperlink w:anchor="_Toc256000039" w:history="1">
        <w:r>
          <w:rPr>
            <w:rStyle w:val="Hyperlink"/>
          </w:rPr>
          <w:t>5</w:t>
        </w:r>
        <w:r w:rsidRPr="00331F75">
          <w:rPr>
            <w:rStyle w:val="Hyperlink"/>
          </w:rPr>
          <w:t>.3.1. Množství potenciálních odběratelů a uživatelů výsledků základního výzkumu</w:t>
        </w:r>
        <w:r>
          <w:tab/>
        </w:r>
        <w:r>
          <w:fldChar w:fldCharType="begin"/>
        </w:r>
        <w:r>
          <w:instrText xml:space="preserve"> PAGEREF _Toc256000039 \h </w:instrText>
        </w:r>
        <w:r>
          <w:fldChar w:fldCharType="separate"/>
        </w:r>
        <w:r>
          <w:t>26</w:t>
        </w:r>
        <w:r>
          <w:fldChar w:fldCharType="end"/>
        </w:r>
      </w:hyperlink>
    </w:p>
    <w:p>
      <w:pPr>
        <w:pStyle w:val="TOC3"/>
        <w:tabs>
          <w:tab w:val="right" w:leader="dot" w:pos="9062"/>
        </w:tabs>
        <w:rPr>
          <w:rFonts w:asciiTheme="minorHAnsi" w:hAnsiTheme="minorHAnsi"/>
          <w:noProof/>
          <w:sz w:val="22"/>
        </w:rPr>
      </w:pPr>
      <w:hyperlink w:anchor="_Toc256000040" w:history="1">
        <w:r>
          <w:rPr>
            <w:rStyle w:val="Hyperlink"/>
          </w:rPr>
          <w:t>5</w:t>
        </w:r>
        <w:r w:rsidRPr="00331F75">
          <w:rPr>
            <w:rStyle w:val="Hyperlink"/>
          </w:rPr>
          <w:t>.3.2. Prohloubení spolupráce</w:t>
        </w:r>
        <w:r>
          <w:tab/>
        </w:r>
        <w:r>
          <w:fldChar w:fldCharType="begin"/>
        </w:r>
        <w:r>
          <w:instrText xml:space="preserve"> PAGEREF _Toc256000040 \h </w:instrText>
        </w:r>
        <w:r>
          <w:fldChar w:fldCharType="separate"/>
        </w:r>
        <w:r>
          <w:t>27</w:t>
        </w:r>
        <w:r>
          <w:fldChar w:fldCharType="end"/>
        </w:r>
      </w:hyperlink>
    </w:p>
    <w:p>
      <w:pPr>
        <w:pStyle w:val="TOC3"/>
        <w:tabs>
          <w:tab w:val="right" w:leader="dot" w:pos="9062"/>
        </w:tabs>
        <w:rPr>
          <w:rFonts w:asciiTheme="minorHAnsi" w:hAnsiTheme="minorHAnsi"/>
          <w:noProof/>
          <w:sz w:val="22"/>
        </w:rPr>
      </w:pPr>
      <w:hyperlink w:anchor="_Toc256000041" w:history="1">
        <w:r>
          <w:rPr>
            <w:rStyle w:val="Hyperlink"/>
          </w:rPr>
          <w:t>5</w:t>
        </w:r>
        <w:r w:rsidRPr="00331F75">
          <w:rPr>
            <w:rStyle w:val="Hyperlink"/>
          </w:rPr>
          <w:t>.3.3. Rozvoj odbornosti a konkurenceschopnosti pracovišť i výzkumných týmů a</w:t>
        </w:r>
        <w:r>
          <w:rPr>
            <w:rStyle w:val="Hyperlink"/>
          </w:rPr>
          <w:t> </w:t>
        </w:r>
        <w:r w:rsidRPr="00331F75">
          <w:rPr>
            <w:rStyle w:val="Hyperlink"/>
          </w:rPr>
          <w:t>jedinců</w:t>
        </w:r>
        <w:r>
          <w:tab/>
        </w:r>
        <w:r>
          <w:fldChar w:fldCharType="begin"/>
        </w:r>
        <w:r>
          <w:instrText xml:space="preserve"> PAGEREF _Toc256000041 \h </w:instrText>
        </w:r>
        <w:r>
          <w:fldChar w:fldCharType="separate"/>
        </w:r>
        <w:r>
          <w:t>27</w:t>
        </w:r>
        <w:r>
          <w:fldChar w:fldCharType="end"/>
        </w:r>
      </w:hyperlink>
    </w:p>
    <w:p>
      <w:pPr>
        <w:pStyle w:val="TOC3"/>
        <w:tabs>
          <w:tab w:val="right" w:leader="dot" w:pos="9062"/>
        </w:tabs>
        <w:rPr>
          <w:rFonts w:asciiTheme="minorHAnsi" w:hAnsiTheme="minorHAnsi"/>
          <w:noProof/>
          <w:sz w:val="22"/>
        </w:rPr>
      </w:pPr>
      <w:hyperlink w:anchor="_Toc256000042" w:history="1">
        <w:r>
          <w:rPr>
            <w:rStyle w:val="Hyperlink"/>
          </w:rPr>
          <w:t>5</w:t>
        </w:r>
        <w:r w:rsidRPr="00331F75">
          <w:rPr>
            <w:rStyle w:val="Hyperlink"/>
          </w:rPr>
          <w:t>.3.4. Popularizace výzkumu, větší akcent na mladší generaci jako základ nových výzkumných týmů</w:t>
        </w:r>
        <w:r>
          <w:tab/>
        </w:r>
        <w:r>
          <w:fldChar w:fldCharType="begin"/>
        </w:r>
        <w:r>
          <w:instrText xml:space="preserve"> PAGEREF _Toc256000042 \h </w:instrText>
        </w:r>
        <w:r>
          <w:fldChar w:fldCharType="separate"/>
        </w:r>
        <w:r>
          <w:t>27</w:t>
        </w:r>
        <w:r>
          <w:fldChar w:fldCharType="end"/>
        </w:r>
      </w:hyperlink>
    </w:p>
    <w:p>
      <w:pPr>
        <w:pStyle w:val="TOC3"/>
        <w:tabs>
          <w:tab w:val="right" w:leader="dot" w:pos="9062"/>
        </w:tabs>
        <w:rPr>
          <w:rFonts w:asciiTheme="minorHAnsi" w:hAnsiTheme="minorHAnsi"/>
          <w:noProof/>
          <w:sz w:val="22"/>
        </w:rPr>
      </w:pPr>
      <w:hyperlink w:anchor="_Toc256000043" w:history="1">
        <w:r>
          <w:rPr>
            <w:rStyle w:val="Hyperlink"/>
          </w:rPr>
          <w:t>5</w:t>
        </w:r>
        <w:r w:rsidRPr="00331F75">
          <w:rPr>
            <w:rStyle w:val="Hyperlink"/>
          </w:rPr>
          <w:t>.3.5. Využití prostředků z fondů EU na VaV</w:t>
        </w:r>
        <w:r>
          <w:tab/>
        </w:r>
        <w:r>
          <w:fldChar w:fldCharType="begin"/>
        </w:r>
        <w:r>
          <w:instrText xml:space="preserve"> PAGEREF _Toc256000043 \h </w:instrText>
        </w:r>
        <w:r>
          <w:fldChar w:fldCharType="separate"/>
        </w:r>
        <w:r>
          <w:t>28</w:t>
        </w:r>
        <w:r>
          <w:fldChar w:fldCharType="end"/>
        </w:r>
      </w:hyperlink>
    </w:p>
    <w:p>
      <w:pPr>
        <w:pStyle w:val="TOC2"/>
        <w:tabs>
          <w:tab w:val="right" w:leader="dot" w:pos="9062"/>
        </w:tabs>
        <w:rPr>
          <w:rFonts w:asciiTheme="minorHAnsi" w:hAnsiTheme="minorHAnsi"/>
          <w:noProof/>
          <w:sz w:val="22"/>
        </w:rPr>
      </w:pPr>
      <w:hyperlink w:anchor="_Toc256000044" w:history="1">
        <w:r w:rsidRPr="006776EA">
          <w:rPr>
            <w:rStyle w:val="Hyperlink"/>
            <w:rFonts w:ascii="Calibri" w:hAnsi="Calibri" w:cs="Times New Roman"/>
          </w:rPr>
          <w:t>5.4. Hrozby (Threats)</w:t>
        </w:r>
        <w:r>
          <w:tab/>
        </w:r>
        <w:r>
          <w:fldChar w:fldCharType="begin"/>
        </w:r>
        <w:r>
          <w:instrText xml:space="preserve"> PAGEREF _Toc256000044 \h </w:instrText>
        </w:r>
        <w:r>
          <w:fldChar w:fldCharType="separate"/>
        </w:r>
        <w:r>
          <w:t>28</w:t>
        </w:r>
        <w:r>
          <w:fldChar w:fldCharType="end"/>
        </w:r>
      </w:hyperlink>
    </w:p>
    <w:p>
      <w:pPr>
        <w:pStyle w:val="TOC3"/>
        <w:tabs>
          <w:tab w:val="right" w:leader="dot" w:pos="9062"/>
        </w:tabs>
        <w:rPr>
          <w:rFonts w:asciiTheme="minorHAnsi" w:hAnsiTheme="minorHAnsi"/>
          <w:noProof/>
          <w:sz w:val="22"/>
        </w:rPr>
      </w:pPr>
      <w:hyperlink w:anchor="_Toc256000045" w:history="1">
        <w:r>
          <w:rPr>
            <w:rStyle w:val="Hyperlink"/>
          </w:rPr>
          <w:t>5</w:t>
        </w:r>
        <w:r w:rsidRPr="00331F75">
          <w:rPr>
            <w:rStyle w:val="Hyperlink"/>
          </w:rPr>
          <w:t>.4.1. Propad konkurenceschopnosti ČR při nedostatku financí na základní výzkum</w:t>
        </w:r>
        <w:r>
          <w:tab/>
        </w:r>
        <w:r>
          <w:fldChar w:fldCharType="begin"/>
        </w:r>
        <w:r>
          <w:instrText xml:space="preserve"> PAGEREF _Toc256000045 \h </w:instrText>
        </w:r>
        <w:r>
          <w:fldChar w:fldCharType="separate"/>
        </w:r>
        <w:r>
          <w:t>28</w:t>
        </w:r>
        <w:r>
          <w:fldChar w:fldCharType="end"/>
        </w:r>
      </w:hyperlink>
    </w:p>
    <w:p>
      <w:pPr>
        <w:pStyle w:val="TOC3"/>
        <w:tabs>
          <w:tab w:val="right" w:leader="dot" w:pos="9062"/>
        </w:tabs>
        <w:rPr>
          <w:rFonts w:asciiTheme="minorHAnsi" w:hAnsiTheme="minorHAnsi"/>
          <w:noProof/>
          <w:sz w:val="22"/>
        </w:rPr>
      </w:pPr>
      <w:hyperlink w:anchor="_Toc256000046" w:history="1">
        <w:r>
          <w:rPr>
            <w:rStyle w:val="Hyperlink"/>
          </w:rPr>
          <w:t>5</w:t>
        </w:r>
        <w:r w:rsidRPr="00331F75">
          <w:rPr>
            <w:rStyle w:val="Hyperlink"/>
          </w:rPr>
          <w:t>.4.2. Ohrožení výzkumu jako celku v návaznosti na nízkou podporu základního výzkumu</w:t>
        </w:r>
        <w:r>
          <w:tab/>
        </w:r>
        <w:r>
          <w:fldChar w:fldCharType="begin"/>
        </w:r>
        <w:r>
          <w:instrText xml:space="preserve"> PAGEREF _Toc256000046 \h </w:instrText>
        </w:r>
        <w:r>
          <w:fldChar w:fldCharType="separate"/>
        </w:r>
        <w:r>
          <w:t>28</w:t>
        </w:r>
        <w:r>
          <w:fldChar w:fldCharType="end"/>
        </w:r>
      </w:hyperlink>
    </w:p>
    <w:p>
      <w:pPr>
        <w:pStyle w:val="TOC3"/>
        <w:tabs>
          <w:tab w:val="right" w:leader="dot" w:pos="9062"/>
        </w:tabs>
        <w:rPr>
          <w:rFonts w:asciiTheme="minorHAnsi" w:hAnsiTheme="minorHAnsi"/>
          <w:noProof/>
          <w:sz w:val="22"/>
        </w:rPr>
      </w:pPr>
      <w:hyperlink w:anchor="_Toc256000047" w:history="1">
        <w:r>
          <w:rPr>
            <w:rStyle w:val="Hyperlink"/>
          </w:rPr>
          <w:t>5</w:t>
        </w:r>
        <w:r w:rsidRPr="00331F75">
          <w:rPr>
            <w:rStyle w:val="Hyperlink"/>
          </w:rPr>
          <w:t>.4.3. Odchody výzkumníků do zahraničí</w:t>
        </w:r>
        <w:r>
          <w:tab/>
        </w:r>
        <w:r>
          <w:fldChar w:fldCharType="begin"/>
        </w:r>
        <w:r>
          <w:instrText xml:space="preserve"> PAGEREF _Toc256000047 \h </w:instrText>
        </w:r>
        <w:r>
          <w:fldChar w:fldCharType="separate"/>
        </w:r>
        <w:r>
          <w:t>28</w:t>
        </w:r>
        <w:r>
          <w:fldChar w:fldCharType="end"/>
        </w:r>
      </w:hyperlink>
    </w:p>
    <w:p>
      <w:pPr>
        <w:pStyle w:val="TOC3"/>
        <w:tabs>
          <w:tab w:val="right" w:leader="dot" w:pos="9062"/>
        </w:tabs>
        <w:rPr>
          <w:rFonts w:asciiTheme="minorHAnsi" w:hAnsiTheme="minorHAnsi"/>
          <w:noProof/>
          <w:sz w:val="22"/>
        </w:rPr>
      </w:pPr>
      <w:hyperlink w:anchor="_Toc256000048" w:history="1">
        <w:r>
          <w:rPr>
            <w:rStyle w:val="Hyperlink"/>
          </w:rPr>
          <w:t>5</w:t>
        </w:r>
        <w:r w:rsidRPr="00331F75">
          <w:rPr>
            <w:rStyle w:val="Hyperlink"/>
          </w:rPr>
          <w:t>.4.4. Disproporce v rámci vědních oborů – i VaV podléhá trendům</w:t>
        </w:r>
        <w:r>
          <w:tab/>
        </w:r>
        <w:r>
          <w:fldChar w:fldCharType="begin"/>
        </w:r>
        <w:r>
          <w:instrText xml:space="preserve"> PAGEREF _Toc256000048 \h </w:instrText>
        </w:r>
        <w:r>
          <w:fldChar w:fldCharType="separate"/>
        </w:r>
        <w:r>
          <w:t>29</w:t>
        </w:r>
        <w:r>
          <w:fldChar w:fldCharType="end"/>
        </w:r>
      </w:hyperlink>
    </w:p>
    <w:p>
      <w:pPr>
        <w:pStyle w:val="TOC3"/>
        <w:tabs>
          <w:tab w:val="right" w:leader="dot" w:pos="9062"/>
        </w:tabs>
        <w:rPr>
          <w:rFonts w:asciiTheme="minorHAnsi" w:hAnsiTheme="minorHAnsi"/>
          <w:noProof/>
          <w:sz w:val="22"/>
        </w:rPr>
      </w:pPr>
      <w:hyperlink w:anchor="_Toc256000049" w:history="1">
        <w:r>
          <w:rPr>
            <w:rStyle w:val="Hyperlink"/>
          </w:rPr>
          <w:t>5</w:t>
        </w:r>
        <w:r w:rsidRPr="00331F75">
          <w:rPr>
            <w:rStyle w:val="Hyperlink"/>
          </w:rPr>
          <w:t>.4.5. Zvýšení administrativní zátěže</w:t>
        </w:r>
        <w:r>
          <w:tab/>
        </w:r>
        <w:r>
          <w:fldChar w:fldCharType="begin"/>
        </w:r>
        <w:r>
          <w:instrText xml:space="preserve"> PAGEREF _Toc256000049 \h </w:instrText>
        </w:r>
        <w:r>
          <w:fldChar w:fldCharType="separate"/>
        </w:r>
        <w:r>
          <w:t>29</w:t>
        </w:r>
        <w:r>
          <w:fldChar w:fldCharType="end"/>
        </w:r>
      </w:hyperlink>
    </w:p>
    <w:p>
      <w:pPr>
        <w:pStyle w:val="TOC1"/>
        <w:tabs>
          <w:tab w:val="right" w:leader="dot" w:pos="9062"/>
        </w:tabs>
        <w:rPr>
          <w:rFonts w:asciiTheme="minorHAnsi" w:hAnsiTheme="minorHAnsi"/>
          <w:noProof/>
          <w:sz w:val="22"/>
        </w:rPr>
      </w:pPr>
      <w:hyperlink w:anchor="_Toc256000050" w:history="1">
        <w:r>
          <w:rPr>
            <w:rStyle w:val="Hyperlink"/>
            <w:rFonts w:ascii="Calibri" w:hAnsi="Calibri" w:cs="Times New Roman"/>
          </w:rPr>
          <w:t>6</w:t>
        </w:r>
        <w:r w:rsidRPr="00331F75">
          <w:rPr>
            <w:rStyle w:val="Hyperlink"/>
            <w:rFonts w:ascii="Calibri" w:hAnsi="Calibri" w:cs="Times New Roman"/>
          </w:rPr>
          <w:t>. Plnění úkolů vyplývajících z koncepčních dokumentů vztahujících se ke GA ČR</w:t>
        </w:r>
        <w:r>
          <w:tab/>
        </w:r>
        <w:r>
          <w:fldChar w:fldCharType="begin"/>
        </w:r>
        <w:r>
          <w:instrText xml:space="preserve"> PAGEREF _Toc256000050 \h </w:instrText>
        </w:r>
        <w:r>
          <w:fldChar w:fldCharType="separate"/>
        </w:r>
        <w:r>
          <w:t>30</w:t>
        </w:r>
        <w:r>
          <w:fldChar w:fldCharType="end"/>
        </w:r>
      </w:hyperlink>
    </w:p>
    <w:p>
      <w:pPr>
        <w:pStyle w:val="TOC1"/>
        <w:tabs>
          <w:tab w:val="right" w:leader="dot" w:pos="9062"/>
        </w:tabs>
        <w:rPr>
          <w:rFonts w:asciiTheme="minorHAnsi" w:hAnsiTheme="minorHAnsi"/>
          <w:noProof/>
          <w:sz w:val="22"/>
        </w:rPr>
      </w:pPr>
      <w:hyperlink w:anchor="_Toc256000051" w:history="1">
        <w:r>
          <w:rPr>
            <w:rStyle w:val="Hyperlink"/>
          </w:rPr>
          <w:t>7</w:t>
        </w:r>
        <w:r w:rsidRPr="00331F75">
          <w:rPr>
            <w:rStyle w:val="Hyperlink"/>
          </w:rPr>
          <w:t xml:space="preserve">. ZABEZPEČENÍ VYBRANÝCH CÍLŮ </w:t>
        </w:r>
        <w:r w:rsidRPr="00331F75">
          <w:rPr>
            <w:rStyle w:val="Hyperlink"/>
          </w:rPr>
          <w:t>NÁRODNÍ POLITIKY VAVAI 2021+</w:t>
        </w:r>
        <w:r w:rsidRPr="00331F75">
          <w:rPr>
            <w:rStyle w:val="Hyperlink"/>
          </w:rPr>
          <w:t xml:space="preserve"> A PRIORIT VAVAI V KONCEPCI</w:t>
        </w:r>
        <w:r>
          <w:tab/>
        </w:r>
        <w:r>
          <w:fldChar w:fldCharType="begin"/>
        </w:r>
        <w:r>
          <w:instrText xml:space="preserve"> PAGEREF _Toc256000051 \h </w:instrText>
        </w:r>
        <w:r>
          <w:fldChar w:fldCharType="separate"/>
        </w:r>
        <w:r>
          <w:t>32</w:t>
        </w:r>
        <w:r>
          <w:fldChar w:fldCharType="end"/>
        </w:r>
      </w:hyperlink>
    </w:p>
    <w:p>
      <w:pPr>
        <w:pStyle w:val="TOC2"/>
        <w:tabs>
          <w:tab w:val="left" w:pos="960"/>
          <w:tab w:val="right" w:leader="dot" w:pos="9062"/>
        </w:tabs>
        <w:rPr>
          <w:rFonts w:asciiTheme="minorHAnsi" w:hAnsiTheme="minorHAnsi"/>
          <w:noProof/>
          <w:sz w:val="22"/>
        </w:rPr>
      </w:pPr>
      <w:hyperlink w:anchor="_Toc256000052" w:history="1">
        <w:r w:rsidRPr="006776EA">
          <w:rPr>
            <w:rStyle w:val="Hyperlink"/>
            <w:rFonts w:ascii="Calibri" w:hAnsi="Calibri" w:cs="Times New Roman"/>
          </w:rPr>
          <w:t>7.1.</w:t>
        </w:r>
        <w:r w:rsidRPr="006776EA">
          <w:rPr>
            <w:rFonts w:asciiTheme="minorHAnsi" w:hAnsiTheme="minorHAnsi" w:cs="Times New Roman"/>
            <w:noProof/>
            <w:sz w:val="22"/>
          </w:rPr>
          <w:tab/>
        </w:r>
        <w:r w:rsidRPr="006776EA">
          <w:rPr>
            <w:rStyle w:val="Hyperlink"/>
            <w:rFonts w:ascii="Calibri" w:hAnsi="Calibri" w:cs="Times New Roman"/>
          </w:rPr>
          <w:t>Zabezpečení vybraných cílů Národní politiky VaVaI</w:t>
        </w:r>
        <w:r w:rsidRPr="006776EA">
          <w:rPr>
            <w:rStyle w:val="Hyperlink"/>
            <w:rFonts w:ascii="Calibri" w:hAnsi="Calibri" w:cs="Times New Roman"/>
          </w:rPr>
          <w:t xml:space="preserve"> 2021+</w:t>
        </w:r>
        <w:r>
          <w:tab/>
        </w:r>
        <w:r>
          <w:fldChar w:fldCharType="begin"/>
        </w:r>
        <w:r>
          <w:instrText xml:space="preserve"> PAGEREF _Toc256000052 \h </w:instrText>
        </w:r>
        <w:r>
          <w:fldChar w:fldCharType="separate"/>
        </w:r>
        <w:r>
          <w:t>32</w:t>
        </w:r>
        <w:r>
          <w:fldChar w:fldCharType="end"/>
        </w:r>
      </w:hyperlink>
    </w:p>
    <w:p>
      <w:pPr>
        <w:pStyle w:val="TOC2"/>
        <w:tabs>
          <w:tab w:val="left" w:pos="960"/>
          <w:tab w:val="right" w:leader="dot" w:pos="9062"/>
        </w:tabs>
        <w:rPr>
          <w:rFonts w:asciiTheme="minorHAnsi" w:hAnsiTheme="minorHAnsi"/>
          <w:noProof/>
          <w:sz w:val="22"/>
        </w:rPr>
      </w:pPr>
      <w:hyperlink w:anchor="_Toc256000053" w:history="1">
        <w:r w:rsidRPr="006776EA">
          <w:rPr>
            <w:rStyle w:val="Hyperlink"/>
            <w:rFonts w:ascii="Calibri" w:hAnsi="Calibri" w:cs="Times New Roman"/>
          </w:rPr>
          <w:t>7.2.</w:t>
        </w:r>
        <w:r w:rsidRPr="006776EA">
          <w:rPr>
            <w:rFonts w:asciiTheme="minorHAnsi" w:hAnsiTheme="minorHAnsi" w:cs="Times New Roman"/>
            <w:noProof/>
            <w:sz w:val="22"/>
          </w:rPr>
          <w:tab/>
        </w:r>
        <w:r w:rsidRPr="006776EA">
          <w:rPr>
            <w:rStyle w:val="Hyperlink"/>
            <w:rFonts w:ascii="Calibri" w:hAnsi="Calibri" w:cs="Times New Roman"/>
          </w:rPr>
          <w:t>Vazby Koncepce a Priorit</w:t>
        </w:r>
        <w:r>
          <w:tab/>
        </w:r>
        <w:r>
          <w:fldChar w:fldCharType="begin"/>
        </w:r>
        <w:r>
          <w:instrText xml:space="preserve"> PAGEREF _Toc256000053 \h </w:instrText>
        </w:r>
        <w:r>
          <w:fldChar w:fldCharType="separate"/>
        </w:r>
        <w:r>
          <w:t>32</w:t>
        </w:r>
        <w:r>
          <w:fldChar w:fldCharType="end"/>
        </w:r>
      </w:hyperlink>
    </w:p>
    <w:p>
      <w:pPr>
        <w:pStyle w:val="TOC2"/>
        <w:tabs>
          <w:tab w:val="left" w:pos="960"/>
          <w:tab w:val="right" w:leader="dot" w:pos="9062"/>
        </w:tabs>
        <w:rPr>
          <w:rFonts w:asciiTheme="minorHAnsi" w:hAnsiTheme="minorHAnsi"/>
          <w:noProof/>
          <w:sz w:val="22"/>
        </w:rPr>
      </w:pPr>
      <w:hyperlink w:anchor="_Toc256000054" w:history="1">
        <w:r w:rsidRPr="006776EA">
          <w:rPr>
            <w:rStyle w:val="Hyperlink"/>
            <w:rFonts w:ascii="Calibri" w:hAnsi="Calibri" w:cs="Times New Roman"/>
          </w:rPr>
          <w:t>7.3.</w:t>
        </w:r>
        <w:r w:rsidRPr="006776EA">
          <w:rPr>
            <w:rFonts w:asciiTheme="minorHAnsi" w:hAnsiTheme="minorHAnsi" w:cs="Times New Roman"/>
            <w:noProof/>
            <w:sz w:val="22"/>
          </w:rPr>
          <w:tab/>
        </w:r>
        <w:r w:rsidRPr="006776EA">
          <w:rPr>
            <w:rStyle w:val="Hyperlink"/>
            <w:rFonts w:ascii="Calibri" w:hAnsi="Calibri" w:cs="Times New Roman"/>
          </w:rPr>
          <w:t>Hodnocení grantových projektů</w:t>
        </w:r>
        <w:r>
          <w:tab/>
        </w:r>
        <w:r>
          <w:fldChar w:fldCharType="begin"/>
        </w:r>
        <w:r>
          <w:instrText xml:space="preserve"> PAGEREF _Toc256000054 \h </w:instrText>
        </w:r>
        <w:r>
          <w:fldChar w:fldCharType="separate"/>
        </w:r>
        <w:r>
          <w:t>33</w:t>
        </w:r>
        <w:r>
          <w:fldChar w:fldCharType="end"/>
        </w:r>
      </w:hyperlink>
    </w:p>
    <w:p>
      <w:pPr>
        <w:pStyle w:val="TOC3"/>
        <w:tabs>
          <w:tab w:val="right" w:leader="dot" w:pos="9062"/>
        </w:tabs>
        <w:rPr>
          <w:rFonts w:asciiTheme="minorHAnsi" w:hAnsiTheme="minorHAnsi"/>
          <w:noProof/>
          <w:sz w:val="22"/>
        </w:rPr>
      </w:pPr>
      <w:hyperlink w:anchor="_Toc256000055" w:history="1">
        <w:r>
          <w:rPr>
            <w:rStyle w:val="Hyperlink"/>
          </w:rPr>
          <w:t>7</w:t>
        </w:r>
        <w:r w:rsidRPr="00331F75">
          <w:rPr>
            <w:rStyle w:val="Hyperlink"/>
          </w:rPr>
          <w:t>.3.1</w:t>
        </w:r>
        <w:r>
          <w:rPr>
            <w:rStyle w:val="Hyperlink"/>
          </w:rPr>
          <w:t>.</w:t>
        </w:r>
        <w:r w:rsidRPr="00331F75">
          <w:rPr>
            <w:rStyle w:val="Hyperlink"/>
          </w:rPr>
          <w:t xml:space="preserve"> Proces hodnocení návrhů </w:t>
        </w:r>
        <w:r>
          <w:rPr>
            <w:rStyle w:val="Hyperlink"/>
          </w:rPr>
          <w:t>standardních a</w:t>
        </w:r>
        <w:r w:rsidRPr="00331F75">
          <w:rPr>
            <w:rStyle w:val="Hyperlink"/>
          </w:rPr>
          <w:t xml:space="preserve"> bilaterálních (mezinárodních) grantových projektů</w:t>
        </w:r>
        <w:r>
          <w:rPr>
            <w:rStyle w:val="Hyperlink"/>
          </w:rPr>
          <w:t xml:space="preserve"> a projektů POSTDOC INDIVIDUAL FELLOWSHIP</w:t>
        </w:r>
        <w:r>
          <w:tab/>
        </w:r>
        <w:r>
          <w:fldChar w:fldCharType="begin"/>
        </w:r>
        <w:r>
          <w:instrText xml:space="preserve"> PAGEREF _Toc256000055 \h </w:instrText>
        </w:r>
        <w:r>
          <w:fldChar w:fldCharType="separate"/>
        </w:r>
        <w:r>
          <w:t>33</w:t>
        </w:r>
        <w:r>
          <w:fldChar w:fldCharType="end"/>
        </w:r>
      </w:hyperlink>
    </w:p>
    <w:p>
      <w:pPr>
        <w:pStyle w:val="TOC3"/>
        <w:tabs>
          <w:tab w:val="right" w:leader="dot" w:pos="9062"/>
        </w:tabs>
        <w:rPr>
          <w:rFonts w:asciiTheme="minorHAnsi" w:hAnsiTheme="minorHAnsi"/>
          <w:noProof/>
          <w:sz w:val="22"/>
        </w:rPr>
      </w:pPr>
      <w:hyperlink w:anchor="_Toc256000056" w:history="1">
        <w:r>
          <w:rPr>
            <w:rStyle w:val="Hyperlink"/>
          </w:rPr>
          <w:t>7</w:t>
        </w:r>
        <w:r w:rsidRPr="00331F75">
          <w:rPr>
            <w:rStyle w:val="Hyperlink"/>
          </w:rPr>
          <w:t xml:space="preserve">.3.2 </w:t>
        </w:r>
        <w:r w:rsidRPr="00331F75">
          <w:rPr>
            <w:rStyle w:val="Hyperlink"/>
          </w:rPr>
          <w:t>Proces hodnocení návrhů grantových projektů EXPRO a JUNIOR STAR</w:t>
        </w:r>
        <w:r>
          <w:tab/>
        </w:r>
        <w:r>
          <w:fldChar w:fldCharType="begin"/>
        </w:r>
        <w:r>
          <w:instrText xml:space="preserve"> PAGEREF _Toc256000056 \h </w:instrText>
        </w:r>
        <w:r>
          <w:fldChar w:fldCharType="separate"/>
        </w:r>
        <w:r>
          <w:t>35</w:t>
        </w:r>
        <w:r>
          <w:fldChar w:fldCharType="end"/>
        </w:r>
      </w:hyperlink>
    </w:p>
    <w:p>
      <w:pPr>
        <w:pStyle w:val="TOC3"/>
        <w:tabs>
          <w:tab w:val="right" w:leader="dot" w:pos="9062"/>
        </w:tabs>
        <w:rPr>
          <w:rFonts w:asciiTheme="minorHAnsi" w:hAnsiTheme="minorHAnsi"/>
          <w:noProof/>
          <w:sz w:val="22"/>
        </w:rPr>
      </w:pPr>
      <w:hyperlink w:anchor="_Toc256000057" w:history="1">
        <w:r>
          <w:rPr>
            <w:rStyle w:val="Hyperlink"/>
          </w:rPr>
          <w:t>7</w:t>
        </w:r>
        <w:r w:rsidRPr="00331F75">
          <w:rPr>
            <w:rStyle w:val="Hyperlink"/>
          </w:rPr>
          <w:t>.3.3 Průběžné a závěrečné hodnocení grantových projektů</w:t>
        </w:r>
        <w:r>
          <w:tab/>
        </w:r>
        <w:r>
          <w:fldChar w:fldCharType="begin"/>
        </w:r>
        <w:r>
          <w:instrText xml:space="preserve"> PAGEREF _Toc256000057 \h </w:instrText>
        </w:r>
        <w:r>
          <w:fldChar w:fldCharType="separate"/>
        </w:r>
        <w:r>
          <w:t>37</w:t>
        </w:r>
        <w:r>
          <w:fldChar w:fldCharType="end"/>
        </w:r>
      </w:hyperlink>
    </w:p>
    <w:p>
      <w:pPr>
        <w:pStyle w:val="TOC1"/>
        <w:tabs>
          <w:tab w:val="right" w:leader="dot" w:pos="9062"/>
        </w:tabs>
        <w:rPr>
          <w:rFonts w:asciiTheme="minorHAnsi" w:hAnsiTheme="minorHAnsi"/>
          <w:noProof/>
          <w:sz w:val="22"/>
        </w:rPr>
      </w:pPr>
      <w:hyperlink w:anchor="_Toc256000058" w:history="1">
        <w:r>
          <w:rPr>
            <w:rStyle w:val="Hyperlink"/>
            <w:rFonts w:ascii="Calibri" w:hAnsi="Calibri" w:cs="Times New Roman"/>
          </w:rPr>
          <w:t>8</w:t>
        </w:r>
        <w:r w:rsidRPr="00331F75">
          <w:rPr>
            <w:rStyle w:val="Hyperlink"/>
            <w:rFonts w:ascii="Calibri" w:hAnsi="Calibri" w:cs="Times New Roman"/>
          </w:rPr>
          <w:t>. ZABEZPEČENÍ REALIZACE KONCEPCE</w:t>
        </w:r>
        <w:r>
          <w:tab/>
        </w:r>
        <w:r>
          <w:fldChar w:fldCharType="begin"/>
        </w:r>
        <w:r>
          <w:instrText xml:space="preserve"> PAGEREF _Toc256000058 \h </w:instrText>
        </w:r>
        <w:r>
          <w:fldChar w:fldCharType="separate"/>
        </w:r>
        <w:r>
          <w:t>39</w:t>
        </w:r>
        <w:r>
          <w:fldChar w:fldCharType="end"/>
        </w:r>
      </w:hyperlink>
    </w:p>
    <w:p>
      <w:pPr>
        <w:pStyle w:val="TOC2"/>
        <w:tabs>
          <w:tab w:val="left" w:pos="960"/>
          <w:tab w:val="right" w:leader="dot" w:pos="9062"/>
        </w:tabs>
        <w:rPr>
          <w:rFonts w:asciiTheme="minorHAnsi" w:hAnsiTheme="minorHAnsi"/>
          <w:noProof/>
          <w:sz w:val="22"/>
        </w:rPr>
      </w:pPr>
      <w:hyperlink w:anchor="_Toc256000059" w:history="1">
        <w:r w:rsidRPr="006776EA">
          <w:rPr>
            <w:rStyle w:val="Hyperlink"/>
            <w:rFonts w:ascii="Calibri" w:hAnsi="Calibri" w:cs="Times New Roman"/>
          </w:rPr>
          <w:t>8.1.</w:t>
        </w:r>
        <w:r w:rsidRPr="006776EA">
          <w:rPr>
            <w:rFonts w:asciiTheme="minorHAnsi" w:hAnsiTheme="minorHAnsi" w:cs="Times New Roman"/>
            <w:noProof/>
            <w:sz w:val="22"/>
          </w:rPr>
          <w:tab/>
        </w:r>
        <w:r w:rsidRPr="006776EA">
          <w:rPr>
            <w:rStyle w:val="Hyperlink"/>
            <w:rFonts w:ascii="Calibri" w:hAnsi="Calibri" w:cs="Times New Roman"/>
          </w:rPr>
          <w:t>Řízení, organizace a koordinace</w:t>
        </w:r>
        <w:r>
          <w:tab/>
        </w:r>
        <w:r>
          <w:fldChar w:fldCharType="begin"/>
        </w:r>
        <w:r>
          <w:instrText xml:space="preserve"> PAGEREF _Toc256000059 \h </w:instrText>
        </w:r>
        <w:r>
          <w:fldChar w:fldCharType="separate"/>
        </w:r>
        <w:r>
          <w:t>39</w:t>
        </w:r>
        <w:r>
          <w:fldChar w:fldCharType="end"/>
        </w:r>
      </w:hyperlink>
    </w:p>
    <w:p>
      <w:pPr>
        <w:pStyle w:val="TOC2"/>
        <w:tabs>
          <w:tab w:val="left" w:pos="960"/>
          <w:tab w:val="right" w:leader="dot" w:pos="9062"/>
        </w:tabs>
        <w:rPr>
          <w:rFonts w:asciiTheme="minorHAnsi" w:hAnsiTheme="minorHAnsi"/>
          <w:noProof/>
          <w:sz w:val="22"/>
        </w:rPr>
      </w:pPr>
      <w:hyperlink w:anchor="_Toc256000060" w:history="1">
        <w:r w:rsidRPr="006776EA">
          <w:rPr>
            <w:rStyle w:val="Hyperlink"/>
            <w:rFonts w:ascii="Calibri" w:hAnsi="Calibri" w:cs="Times New Roman"/>
          </w:rPr>
          <w:t>8.2.</w:t>
        </w:r>
        <w:r w:rsidRPr="006776EA">
          <w:rPr>
            <w:rFonts w:asciiTheme="minorHAnsi" w:hAnsiTheme="minorHAnsi" w:cs="Times New Roman"/>
            <w:noProof/>
            <w:sz w:val="22"/>
          </w:rPr>
          <w:tab/>
        </w:r>
        <w:r w:rsidRPr="006776EA">
          <w:rPr>
            <w:rStyle w:val="Hyperlink"/>
            <w:rFonts w:ascii="Calibri" w:hAnsi="Calibri" w:cs="Times New Roman"/>
          </w:rPr>
          <w:t>Aplikace pro návrhy a správu grantových projektů (GRIS)</w:t>
        </w:r>
        <w:r>
          <w:tab/>
        </w:r>
        <w:r>
          <w:fldChar w:fldCharType="begin"/>
        </w:r>
        <w:r>
          <w:instrText xml:space="preserve"> PAGEREF _Toc256000060 \h </w:instrText>
        </w:r>
        <w:r>
          <w:fldChar w:fldCharType="separate"/>
        </w:r>
        <w:r>
          <w:t>40</w:t>
        </w:r>
        <w:r>
          <w:fldChar w:fldCharType="end"/>
        </w:r>
      </w:hyperlink>
    </w:p>
    <w:p>
      <w:pPr>
        <w:pStyle w:val="TOC2"/>
        <w:tabs>
          <w:tab w:val="left" w:pos="960"/>
          <w:tab w:val="right" w:leader="dot" w:pos="9062"/>
        </w:tabs>
        <w:rPr>
          <w:rFonts w:asciiTheme="minorHAnsi" w:hAnsiTheme="minorHAnsi"/>
          <w:noProof/>
          <w:sz w:val="22"/>
        </w:rPr>
      </w:pPr>
      <w:hyperlink w:anchor="_Toc256000061" w:history="1">
        <w:r w:rsidRPr="006776EA">
          <w:rPr>
            <w:rStyle w:val="Hyperlink"/>
            <w:rFonts w:ascii="Calibri" w:hAnsi="Calibri" w:cs="Times New Roman"/>
          </w:rPr>
          <w:t>8.3.</w:t>
        </w:r>
        <w:r w:rsidRPr="006776EA">
          <w:rPr>
            <w:rFonts w:asciiTheme="minorHAnsi" w:hAnsiTheme="minorHAnsi" w:cs="Times New Roman"/>
            <w:noProof/>
            <w:sz w:val="22"/>
          </w:rPr>
          <w:tab/>
        </w:r>
        <w:r w:rsidRPr="006776EA">
          <w:rPr>
            <w:rStyle w:val="Hyperlink"/>
            <w:rFonts w:ascii="Calibri" w:hAnsi="Calibri" w:cs="Times New Roman"/>
          </w:rPr>
          <w:t>Administrativní zajištění (Kancelář) včetně nároků na personální zajištění</w:t>
        </w:r>
        <w:r>
          <w:tab/>
        </w:r>
        <w:r>
          <w:fldChar w:fldCharType="begin"/>
        </w:r>
        <w:r>
          <w:instrText xml:space="preserve"> PAGEREF _Toc256000061 \h </w:instrText>
        </w:r>
        <w:r>
          <w:fldChar w:fldCharType="separate"/>
        </w:r>
        <w:r>
          <w:t>42</w:t>
        </w:r>
        <w:r>
          <w:fldChar w:fldCharType="end"/>
        </w:r>
      </w:hyperlink>
    </w:p>
    <w:p>
      <w:pPr>
        <w:pStyle w:val="TOC2"/>
        <w:tabs>
          <w:tab w:val="right" w:leader="dot" w:pos="9062"/>
        </w:tabs>
        <w:rPr>
          <w:rFonts w:asciiTheme="minorHAnsi" w:hAnsiTheme="minorHAnsi"/>
          <w:noProof/>
          <w:sz w:val="22"/>
        </w:rPr>
      </w:pPr>
      <w:hyperlink w:anchor="_Toc256000062" w:history="1">
        <w:r w:rsidRPr="006776EA">
          <w:rPr>
            <w:rStyle w:val="Hyperlink"/>
            <w:rFonts w:ascii="Calibri" w:hAnsi="Calibri"/>
          </w:rPr>
          <w:t>8.4.</w:t>
        </w:r>
        <w:r w:rsidRPr="006776EA">
          <w:rPr>
            <w:rStyle w:val="Hyperlink"/>
            <w:rFonts w:ascii="Calibri" w:hAnsi="Calibri" w:cs="Times New Roman"/>
          </w:rPr>
          <w:t xml:space="preserve"> Mezinárodní spolupráce GA ČR</w:t>
        </w:r>
        <w:r>
          <w:tab/>
        </w:r>
        <w:r>
          <w:fldChar w:fldCharType="begin"/>
        </w:r>
        <w:r>
          <w:instrText xml:space="preserve"> PAGEREF _Toc256000062 \h </w:instrText>
        </w:r>
        <w:r>
          <w:fldChar w:fldCharType="separate"/>
        </w:r>
        <w:r>
          <w:t>44</w:t>
        </w:r>
        <w:r>
          <w:fldChar w:fldCharType="end"/>
        </w:r>
      </w:hyperlink>
    </w:p>
    <w:p>
      <w:pPr>
        <w:pStyle w:val="TOC3"/>
        <w:tabs>
          <w:tab w:val="right" w:leader="dot" w:pos="9062"/>
        </w:tabs>
        <w:rPr>
          <w:rFonts w:asciiTheme="minorHAnsi" w:hAnsiTheme="minorHAnsi"/>
          <w:noProof/>
          <w:sz w:val="22"/>
        </w:rPr>
      </w:pPr>
      <w:hyperlink w:anchor="_Toc256000063" w:history="1">
        <w:r>
          <w:rPr>
            <w:rStyle w:val="Hyperlink"/>
          </w:rPr>
          <w:t xml:space="preserve">8.4.1. </w:t>
        </w:r>
        <w:r w:rsidRPr="006776EA">
          <w:rPr>
            <w:rStyle w:val="Hyperlink"/>
          </w:rPr>
          <w:t>Bilaterální spolupráce</w:t>
        </w:r>
        <w:r>
          <w:tab/>
        </w:r>
        <w:r>
          <w:fldChar w:fldCharType="begin"/>
        </w:r>
        <w:r>
          <w:instrText xml:space="preserve"> PAGEREF _Toc256000063 \h </w:instrText>
        </w:r>
        <w:r>
          <w:fldChar w:fldCharType="separate"/>
        </w:r>
        <w:r>
          <w:t>44</w:t>
        </w:r>
        <w:r>
          <w:fldChar w:fldCharType="end"/>
        </w:r>
      </w:hyperlink>
    </w:p>
    <w:p>
      <w:pPr>
        <w:pStyle w:val="TOC3"/>
        <w:tabs>
          <w:tab w:val="right" w:leader="dot" w:pos="9062"/>
        </w:tabs>
        <w:rPr>
          <w:rFonts w:asciiTheme="minorHAnsi" w:hAnsiTheme="minorHAnsi"/>
          <w:noProof/>
          <w:sz w:val="22"/>
        </w:rPr>
      </w:pPr>
      <w:hyperlink w:anchor="_Toc256000064" w:history="1">
        <w:r>
          <w:rPr>
            <w:rStyle w:val="Hyperlink"/>
          </w:rPr>
          <w:t>8.4.</w:t>
        </w:r>
        <w:r w:rsidR="00460B4D">
          <w:rPr>
            <w:rStyle w:val="Hyperlink"/>
          </w:rPr>
          <w:t>2</w:t>
        </w:r>
        <w:r>
          <w:rPr>
            <w:rStyle w:val="Hyperlink"/>
          </w:rPr>
          <w:t xml:space="preserve">. </w:t>
        </w:r>
        <w:r w:rsidRPr="00331F75">
          <w:rPr>
            <w:rStyle w:val="Hyperlink"/>
          </w:rPr>
          <w:t>Lead Agency spolupráce</w:t>
        </w:r>
        <w:r>
          <w:tab/>
        </w:r>
        <w:r>
          <w:fldChar w:fldCharType="begin"/>
        </w:r>
        <w:r>
          <w:instrText xml:space="preserve"> PAGEREF _Toc256000064 \h </w:instrText>
        </w:r>
        <w:r>
          <w:fldChar w:fldCharType="separate"/>
        </w:r>
        <w:r>
          <w:t>45</w:t>
        </w:r>
        <w:r>
          <w:fldChar w:fldCharType="end"/>
        </w:r>
      </w:hyperlink>
    </w:p>
    <w:p>
      <w:pPr>
        <w:pStyle w:val="TOC2"/>
        <w:tabs>
          <w:tab w:val="right" w:leader="dot" w:pos="9062"/>
        </w:tabs>
        <w:rPr>
          <w:rFonts w:asciiTheme="minorHAnsi" w:hAnsiTheme="minorHAnsi"/>
          <w:noProof/>
          <w:sz w:val="22"/>
        </w:rPr>
      </w:pPr>
      <w:hyperlink w:anchor="_Toc256000065" w:history="1">
        <w:r w:rsidRPr="00EC1EA8">
          <w:rPr>
            <w:rStyle w:val="Hyperlink"/>
            <w:rFonts w:ascii="Calibri" w:hAnsi="Calibri" w:cs="Times New Roman"/>
          </w:rPr>
          <w:t>8.5. Morální a etické problémy</w:t>
        </w:r>
        <w:r>
          <w:tab/>
        </w:r>
        <w:r>
          <w:fldChar w:fldCharType="begin"/>
        </w:r>
        <w:r>
          <w:instrText xml:space="preserve"> PAGEREF _Toc256000065 \h </w:instrText>
        </w:r>
        <w:r>
          <w:fldChar w:fldCharType="separate"/>
        </w:r>
        <w:r>
          <w:t>47</w:t>
        </w:r>
        <w:r>
          <w:fldChar w:fldCharType="end"/>
        </w:r>
      </w:hyperlink>
    </w:p>
    <w:p>
      <w:pPr>
        <w:pStyle w:val="TOC2"/>
        <w:tabs>
          <w:tab w:val="right" w:leader="dot" w:pos="9062"/>
        </w:tabs>
        <w:rPr>
          <w:rFonts w:asciiTheme="minorHAnsi" w:hAnsiTheme="minorHAnsi"/>
          <w:noProof/>
          <w:sz w:val="22"/>
        </w:rPr>
      </w:pPr>
      <w:hyperlink w:anchor="_Toc256000066" w:history="1">
        <w:r w:rsidRPr="00EC1EA8">
          <w:rPr>
            <w:rStyle w:val="Hyperlink"/>
            <w:rFonts w:ascii="Calibri" w:hAnsi="Calibri" w:cs="Times New Roman"/>
          </w:rPr>
          <w:t xml:space="preserve">8.6. Shrnutí koncepce činnosti Grantové agentury České republiky na léta </w:t>
        </w:r>
        <w:r w:rsidRPr="00EC1EA8">
          <w:rPr>
            <w:rStyle w:val="Hyperlink"/>
            <w:rFonts w:ascii="Calibri" w:hAnsi="Calibri" w:cs="Times New Roman"/>
          </w:rPr>
          <w:t>2021+</w:t>
        </w:r>
        <w:r>
          <w:tab/>
        </w:r>
        <w:r>
          <w:fldChar w:fldCharType="begin"/>
        </w:r>
        <w:r>
          <w:instrText xml:space="preserve"> PAGEREF _Toc256000066 \h </w:instrText>
        </w:r>
        <w:r>
          <w:fldChar w:fldCharType="separate"/>
        </w:r>
        <w:r>
          <w:t>48</w:t>
        </w:r>
        <w:r>
          <w:fldChar w:fldCharType="end"/>
        </w:r>
      </w:hyperlink>
    </w:p>
    <w:p>
      <w:pPr>
        <w:pStyle w:val="TOC3"/>
        <w:tabs>
          <w:tab w:val="right" w:leader="dot" w:pos="9062"/>
        </w:tabs>
        <w:rPr>
          <w:rFonts w:asciiTheme="minorHAnsi" w:hAnsiTheme="minorHAnsi"/>
          <w:noProof/>
          <w:sz w:val="22"/>
        </w:rPr>
      </w:pPr>
      <w:hyperlink w:anchor="_Toc256000067" w:history="1">
        <w:r>
          <w:rPr>
            <w:rStyle w:val="Hyperlink"/>
          </w:rPr>
          <w:t>8</w:t>
        </w:r>
        <w:r w:rsidRPr="00331F75">
          <w:rPr>
            <w:rStyle w:val="Hyperlink"/>
          </w:rPr>
          <w:t>.6.1 Stručný popis SWOT analýzy</w:t>
        </w:r>
        <w:r>
          <w:tab/>
        </w:r>
        <w:r>
          <w:fldChar w:fldCharType="begin"/>
        </w:r>
        <w:r>
          <w:instrText xml:space="preserve"> PAGEREF _Toc256000067 \h </w:instrText>
        </w:r>
        <w:r>
          <w:fldChar w:fldCharType="separate"/>
        </w:r>
        <w:r>
          <w:t>48</w:t>
        </w:r>
        <w:r>
          <w:fldChar w:fldCharType="end"/>
        </w:r>
      </w:hyperlink>
    </w:p>
    <w:p>
      <w:pPr>
        <w:pStyle w:val="TOC3"/>
        <w:tabs>
          <w:tab w:val="right" w:leader="dot" w:pos="9062"/>
        </w:tabs>
        <w:rPr>
          <w:rFonts w:asciiTheme="minorHAnsi" w:hAnsiTheme="minorHAnsi"/>
          <w:noProof/>
          <w:sz w:val="22"/>
        </w:rPr>
      </w:pPr>
      <w:hyperlink w:anchor="_Toc256000068" w:history="1">
        <w:r>
          <w:rPr>
            <w:rStyle w:val="Hyperlink"/>
          </w:rPr>
          <w:t>8</w:t>
        </w:r>
        <w:r w:rsidRPr="00331F75">
          <w:rPr>
            <w:rStyle w:val="Hyperlink"/>
          </w:rPr>
          <w:t>.6.2 Plánované cíle GA ČR</w:t>
        </w:r>
        <w:r>
          <w:tab/>
        </w:r>
        <w:r>
          <w:fldChar w:fldCharType="begin"/>
        </w:r>
        <w:r>
          <w:instrText xml:space="preserve"> PAGEREF _Toc256000068 \h </w:instrText>
        </w:r>
        <w:r>
          <w:fldChar w:fldCharType="separate"/>
        </w:r>
        <w:r>
          <w:t>49</w:t>
        </w:r>
        <w:r>
          <w:fldChar w:fldCharType="end"/>
        </w:r>
      </w:hyperlink>
    </w:p>
    <w:p>
      <w:pPr>
        <w:pStyle w:val="TOC3"/>
        <w:tabs>
          <w:tab w:val="right" w:leader="dot" w:pos="9062"/>
        </w:tabs>
        <w:rPr>
          <w:rFonts w:asciiTheme="minorHAnsi" w:hAnsiTheme="minorHAnsi"/>
          <w:noProof/>
          <w:sz w:val="22"/>
        </w:rPr>
      </w:pPr>
      <w:hyperlink w:anchor="_Toc256000069" w:history="1">
        <w:r>
          <w:rPr>
            <w:rStyle w:val="Hyperlink"/>
          </w:rPr>
          <w:t>8</w:t>
        </w:r>
        <w:r w:rsidRPr="00331F75">
          <w:rPr>
            <w:rStyle w:val="Hyperlink"/>
          </w:rPr>
          <w:t>.6.3 Realizace a naplňování cílů GA</w:t>
        </w:r>
        <w:r>
          <w:rPr>
            <w:rStyle w:val="Hyperlink"/>
          </w:rPr>
          <w:t xml:space="preserve"> </w:t>
        </w:r>
        <w:r w:rsidRPr="00331F75">
          <w:rPr>
            <w:rStyle w:val="Hyperlink"/>
          </w:rPr>
          <w:t>ČR</w:t>
        </w:r>
        <w:r>
          <w:tab/>
        </w:r>
        <w:r>
          <w:fldChar w:fldCharType="begin"/>
        </w:r>
        <w:r>
          <w:instrText xml:space="preserve"> PAGEREF _Toc256000069 \h </w:instrText>
        </w:r>
        <w:r>
          <w:fldChar w:fldCharType="separate"/>
        </w:r>
        <w:r>
          <w:t>50</w:t>
        </w:r>
        <w:r>
          <w:fldChar w:fldCharType="end"/>
        </w:r>
      </w:hyperlink>
    </w:p>
    <w:p>
      <w:pPr>
        <w:pStyle w:val="TOC1"/>
        <w:tabs>
          <w:tab w:val="right" w:leader="dot" w:pos="9062"/>
        </w:tabs>
        <w:rPr>
          <w:rFonts w:asciiTheme="minorHAnsi" w:hAnsiTheme="minorHAnsi"/>
          <w:noProof/>
          <w:sz w:val="22"/>
        </w:rPr>
      </w:pPr>
      <w:hyperlink w:anchor="_Toc256000070" w:history="1">
        <w:r>
          <w:rPr>
            <w:rStyle w:val="Hyperlink"/>
          </w:rPr>
          <w:t>9</w:t>
        </w:r>
        <w:r w:rsidRPr="00331F75">
          <w:rPr>
            <w:rStyle w:val="Hyperlink"/>
          </w:rPr>
          <w:t>. Kontrola a hodnocení realizace Koncepce</w:t>
        </w:r>
        <w:r>
          <w:tab/>
        </w:r>
        <w:r>
          <w:fldChar w:fldCharType="begin"/>
        </w:r>
        <w:r>
          <w:instrText xml:space="preserve"> PAGEREF _Toc256000070 \h </w:instrText>
        </w:r>
        <w:r>
          <w:fldChar w:fldCharType="separate"/>
        </w:r>
        <w:r>
          <w:t>51</w:t>
        </w:r>
        <w:r>
          <w:fldChar w:fldCharType="end"/>
        </w:r>
      </w:hyperlink>
    </w:p>
    <w:p w:rsidR="00731241" w:rsidRPr="00331F75" w:rsidP="00731241">
      <w:pPr>
        <w:pStyle w:val="Heading1"/>
        <w:rPr>
          <w:rFonts w:ascii="Calibri" w:hAnsi="Calibri"/>
          <w:sz w:val="28"/>
          <w:szCs w:val="28"/>
          <w:u w:val="single"/>
        </w:rPr>
      </w:pPr>
      <w:r w:rsidRPr="00331F75">
        <w:rPr>
          <w:bCs/>
          <w:caps/>
          <w:sz w:val="28"/>
          <w:szCs w:val="28"/>
          <w:u w:val="single"/>
        </w:rPr>
        <w:fldChar w:fldCharType="end"/>
      </w:r>
      <w:r w:rsidRPr="00331F75">
        <w:rPr>
          <w:rFonts w:ascii="Calibri" w:hAnsi="Calibri"/>
          <w:sz w:val="28"/>
          <w:szCs w:val="28"/>
          <w:u w:val="single"/>
        </w:rPr>
        <w:br w:type="page"/>
      </w:r>
      <w:bookmarkStart w:id="3" w:name="_Toc443572109"/>
      <w:bookmarkStart w:id="4" w:name="_Toc256000002"/>
      <w:r w:rsidRPr="00331F75">
        <w:rPr>
          <w:rFonts w:ascii="Calibri" w:hAnsi="Calibri" w:cs="Times New Roman"/>
        </w:rPr>
        <w:t>1. ÚVOD</w:t>
      </w:r>
      <w:bookmarkEnd w:id="4"/>
      <w:bookmarkEnd w:id="3"/>
    </w:p>
    <w:p w:rsidR="00731241" w:rsidRPr="00331F75" w:rsidP="00731241" w14:paraId="6CDBB1A4" w14:textId="77777777">
      <w:pPr>
        <w:pStyle w:val="PlainText"/>
        <w:rPr>
          <w:rFonts w:ascii="Calibri" w:hAnsi="Calibri" w:cs="Times New Roman"/>
          <w:iCs/>
          <w:sz w:val="24"/>
          <w:szCs w:val="24"/>
        </w:rPr>
      </w:pPr>
    </w:p>
    <w:p w:rsidR="00731241" w:rsidRPr="00331F75" w:rsidP="006A56BF" w14:paraId="433ADF95" w14:textId="77777777">
      <w:r w:rsidRPr="00331F75">
        <w:t>Grantová agentura České republiky (dále jen „GA ČR“) byla zřízena zákonem č. 300/1992 Sb., o státní podpoře vědecké činnosti a vývoje technologií, který nabyl účinnosti 1. července 1992. Činnost GA ČR začala v roce 1993.</w:t>
      </w:r>
    </w:p>
    <w:p w:rsidR="00731241" w:rsidRPr="00331F75" w:rsidP="006A56BF" w14:paraId="44A02C79" w14:textId="77777777">
      <w:r w:rsidRPr="00331F75">
        <w:t>Posláním GA ČR je účelovou formou podporovat základní výzkum, a to výhradně z veřejných prostředků. V současné době je GA ČR jediným poskytovatelem účelových prostředků výhradně na základní výzkum v České republice.</w:t>
      </w:r>
    </w:p>
    <w:p w:rsidR="00731241" w:rsidRPr="00331F75" w:rsidP="006A56BF" w14:paraId="4FD6F386" w14:textId="77777777">
      <w:r w:rsidRPr="00331F75">
        <w:t>Základním nástrojem GA ČR je systém podpory grantových projektů, který je založen na vyhodnocení veřejných soutěží ve výzkumu, vývoji a inovacích podle zákona č. 130/2002 Sb., o podpoře výzkumu, experimentálního vývoje a inovací z veřejných prostředků a</w:t>
      </w:r>
      <w:r>
        <w:t> </w:t>
      </w:r>
      <w:r w:rsidRPr="00331F75">
        <w:t>o</w:t>
      </w:r>
      <w:r>
        <w:t> </w:t>
      </w:r>
      <w:r w:rsidRPr="00331F75">
        <w:t>změně některých souvisejících zákonů (zákon o podpoře výzkumu, experimentálního vývoje a inovací), v platném znění (dále jen „zákon o podpoře výzkumu, experimentálního vývoje a inovací“). Po vyhodnocení návrhů grantových projektů je udělována účelová podpora příjemci na realizaci projektu – cíle a způsoby řešení v základním výzkumu stanovuje sám příjemce. Účelová podpora je poskytována z výdajů GA ČR formou dotace právnické nebo fyzické osobě nebo zvýšením výdajů organizační složce České republiky nebo územního samosprávného celku.</w:t>
      </w:r>
    </w:p>
    <w:p w:rsidR="00731241" w:rsidP="006A56BF" w14:paraId="04494628" w14:textId="32EF61EB">
      <w:r w:rsidRPr="00331F75">
        <w:t>V současné době GA ČR poskytuje podporu na řešení standardních grantových projektů, mezinárodních grantových projektů (bilaterálních), mezinárodních grantových projektů hodnocených na principu Lead Agency (LA granty), grantových projektů JUNIOR STAR, grantových projektů excelence v základním výzkumu EXPRO, grantových projektů Podpora mezinárodní spolupráce pro získávání ERC grantů; u juniorských grantových projektů (s</w:t>
      </w:r>
      <w:r>
        <w:t> </w:t>
      </w:r>
      <w:r w:rsidRPr="00331F75">
        <w:t>počátkem podpory v roce 2015) již nejsou vyhlašovány další soutěže. Pro porovnání je zajímavé uvést počet projektů a výši účelové podpory vědy a výzkumu (dále jen „VaV“), kterou GA ČR rozdělovala při svém vzniku a v současné době: v roce 1993 byla výše účelové podpory ze státního rozpočtu 201 mil. Kč, v roce 2019 to bylo již 4 281 mil. a v roce 2020 pak 4 </w:t>
      </w:r>
      <w:r w:rsidRPr="00331F75" w:rsidR="008C25ED">
        <w:t>25</w:t>
      </w:r>
      <w:r w:rsidR="008C25ED">
        <w:t>1</w:t>
      </w:r>
      <w:r w:rsidRPr="00331F75" w:rsidR="008C25ED">
        <w:t xml:space="preserve"> </w:t>
      </w:r>
      <w:r w:rsidRPr="00331F75">
        <w:t xml:space="preserve">mil. Kč. </w:t>
      </w:r>
    </w:p>
    <w:p w:rsidR="006A56BF" w:rsidP="006A56BF" w14:paraId="3FC48DCB" w14:textId="17FE623A"/>
    <w:tbl>
      <w:tblPr>
        <w:tblW w:w="8720" w:type="dxa"/>
        <w:tblCellMar>
          <w:left w:w="70" w:type="dxa"/>
          <w:right w:w="70" w:type="dxa"/>
        </w:tblCellMar>
        <w:tblLook w:val="04A0"/>
      </w:tblPr>
      <w:tblGrid>
        <w:gridCol w:w="2960"/>
        <w:gridCol w:w="960"/>
        <w:gridCol w:w="960"/>
        <w:gridCol w:w="960"/>
        <w:gridCol w:w="960"/>
        <w:gridCol w:w="960"/>
        <w:gridCol w:w="960"/>
      </w:tblGrid>
      <w:tr w14:paraId="57047932" w14:textId="77777777" w:rsidTr="00B5233D">
        <w:tblPrEx>
          <w:tblW w:w="8720" w:type="dxa"/>
          <w:tblCellMar>
            <w:left w:w="70" w:type="dxa"/>
            <w:right w:w="70" w:type="dxa"/>
          </w:tblCellMar>
          <w:tblLook w:val="04A0"/>
        </w:tblPrEx>
        <w:trPr>
          <w:trHeight w:val="530"/>
        </w:trPr>
        <w:tc>
          <w:tcPr>
            <w:tcW w:w="2960" w:type="dxa"/>
            <w:tcBorders>
              <w:top w:val="nil"/>
              <w:left w:val="nil"/>
              <w:bottom w:val="single" w:sz="8" w:space="0" w:color="auto"/>
              <w:right w:val="single" w:sz="8" w:space="0" w:color="auto"/>
            </w:tcBorders>
            <w:shd w:val="clear" w:color="000000" w:fill="FFFFFF"/>
            <w:vAlign w:val="center"/>
            <w:hideMark/>
          </w:tcPr>
          <w:p w:rsidR="00B5233D" w:rsidRPr="00B5233D" w:rsidP="00B5233D" w14:paraId="4DDF4288" w14:textId="77777777">
            <w:pPr>
              <w:spacing w:after="0" w:line="240" w:lineRule="auto"/>
              <w:rPr>
                <w:rFonts w:eastAsia="Times New Roman" w:cs="Calibri Light"/>
                <w:b/>
                <w:bCs/>
                <w:color w:val="FFFFFF"/>
                <w:sz w:val="20"/>
                <w:szCs w:val="20"/>
                <w:lang w:eastAsia="cs-CZ"/>
              </w:rPr>
            </w:pPr>
            <w:r w:rsidRPr="00B5233D">
              <w:rPr>
                <w:rFonts w:eastAsia="Times New Roman" w:cs="Calibri Light"/>
                <w:b/>
                <w:bCs/>
                <w:color w:val="FFFFFF"/>
                <w:sz w:val="20"/>
                <w:szCs w:val="20"/>
                <w:lang w:val="en-US" w:eastAsia="cs-CZ"/>
              </w:rPr>
              <w:t> </w:t>
            </w:r>
          </w:p>
        </w:tc>
        <w:tc>
          <w:tcPr>
            <w:tcW w:w="960" w:type="dxa"/>
            <w:tcBorders>
              <w:top w:val="single" w:sz="8" w:space="0" w:color="auto"/>
              <w:left w:val="nil"/>
              <w:bottom w:val="single" w:sz="8" w:space="0" w:color="auto"/>
              <w:right w:val="single" w:sz="8" w:space="0" w:color="auto"/>
            </w:tcBorders>
            <w:shd w:val="clear" w:color="000000" w:fill="1F4E79"/>
            <w:vAlign w:val="center"/>
            <w:hideMark/>
          </w:tcPr>
          <w:p w:rsidR="00B5233D" w:rsidRPr="00B5233D" w:rsidP="00B5233D" w14:paraId="09083C11" w14:textId="77777777">
            <w:pPr>
              <w:spacing w:after="0" w:line="240" w:lineRule="auto"/>
              <w:rPr>
                <w:rFonts w:eastAsia="Times New Roman" w:cs="Calibri Light"/>
                <w:b/>
                <w:bCs/>
                <w:color w:val="FFFFFF"/>
                <w:sz w:val="20"/>
                <w:szCs w:val="20"/>
                <w:lang w:eastAsia="cs-CZ"/>
              </w:rPr>
            </w:pPr>
            <w:r w:rsidRPr="00B5233D">
              <w:rPr>
                <w:rFonts w:eastAsia="Times New Roman" w:cs="Calibri Light"/>
                <w:b/>
                <w:bCs/>
                <w:color w:val="FFFFFF"/>
                <w:sz w:val="20"/>
                <w:szCs w:val="20"/>
                <w:lang w:val="en-US" w:eastAsia="cs-CZ"/>
              </w:rPr>
              <w:t>1993</w:t>
            </w:r>
          </w:p>
        </w:tc>
        <w:tc>
          <w:tcPr>
            <w:tcW w:w="960" w:type="dxa"/>
            <w:tcBorders>
              <w:top w:val="single" w:sz="8" w:space="0" w:color="auto"/>
              <w:left w:val="nil"/>
              <w:bottom w:val="single" w:sz="8" w:space="0" w:color="auto"/>
              <w:right w:val="single" w:sz="8" w:space="0" w:color="auto"/>
            </w:tcBorders>
            <w:shd w:val="clear" w:color="000000" w:fill="1F4E79"/>
            <w:vAlign w:val="center"/>
            <w:hideMark/>
          </w:tcPr>
          <w:p w:rsidR="00B5233D" w:rsidRPr="00B5233D" w:rsidP="00B5233D" w14:paraId="1BF517CB" w14:textId="77777777">
            <w:pPr>
              <w:spacing w:after="0" w:line="240" w:lineRule="auto"/>
              <w:rPr>
                <w:rFonts w:eastAsia="Times New Roman" w:cs="Calibri Light"/>
                <w:b/>
                <w:bCs/>
                <w:color w:val="FFFFFF"/>
                <w:sz w:val="20"/>
                <w:szCs w:val="20"/>
                <w:lang w:eastAsia="cs-CZ"/>
              </w:rPr>
            </w:pPr>
            <w:r w:rsidRPr="00B5233D">
              <w:rPr>
                <w:rFonts w:eastAsia="Times New Roman" w:cs="Calibri Light"/>
                <w:b/>
                <w:bCs/>
                <w:color w:val="FFFFFF"/>
                <w:sz w:val="20"/>
                <w:szCs w:val="20"/>
                <w:lang w:val="en-US" w:eastAsia="cs-CZ"/>
              </w:rPr>
              <w:t>2016</w:t>
            </w:r>
          </w:p>
        </w:tc>
        <w:tc>
          <w:tcPr>
            <w:tcW w:w="960" w:type="dxa"/>
            <w:tcBorders>
              <w:top w:val="single" w:sz="8" w:space="0" w:color="auto"/>
              <w:left w:val="nil"/>
              <w:bottom w:val="single" w:sz="8" w:space="0" w:color="auto"/>
              <w:right w:val="single" w:sz="8" w:space="0" w:color="auto"/>
            </w:tcBorders>
            <w:shd w:val="clear" w:color="000000" w:fill="1F4E79"/>
            <w:vAlign w:val="center"/>
            <w:hideMark/>
          </w:tcPr>
          <w:p w:rsidR="00B5233D" w:rsidRPr="00B5233D" w:rsidP="00B5233D" w14:paraId="249E8264" w14:textId="77777777">
            <w:pPr>
              <w:spacing w:after="0" w:line="240" w:lineRule="auto"/>
              <w:rPr>
                <w:rFonts w:eastAsia="Times New Roman" w:cs="Calibri Light"/>
                <w:b/>
                <w:bCs/>
                <w:color w:val="FFFFFF"/>
                <w:sz w:val="20"/>
                <w:szCs w:val="20"/>
                <w:lang w:eastAsia="cs-CZ"/>
              </w:rPr>
            </w:pPr>
            <w:r w:rsidRPr="00B5233D">
              <w:rPr>
                <w:rFonts w:eastAsia="Times New Roman" w:cs="Calibri Light"/>
                <w:b/>
                <w:bCs/>
                <w:color w:val="FFFFFF"/>
                <w:sz w:val="20"/>
                <w:szCs w:val="20"/>
                <w:lang w:val="en-US" w:eastAsia="cs-CZ"/>
              </w:rPr>
              <w:t>2017</w:t>
            </w:r>
          </w:p>
        </w:tc>
        <w:tc>
          <w:tcPr>
            <w:tcW w:w="960" w:type="dxa"/>
            <w:tcBorders>
              <w:top w:val="single" w:sz="8" w:space="0" w:color="auto"/>
              <w:left w:val="nil"/>
              <w:bottom w:val="single" w:sz="8" w:space="0" w:color="auto"/>
              <w:right w:val="single" w:sz="8" w:space="0" w:color="auto"/>
            </w:tcBorders>
            <w:shd w:val="clear" w:color="000000" w:fill="1F4E79"/>
            <w:vAlign w:val="center"/>
            <w:hideMark/>
          </w:tcPr>
          <w:p w:rsidR="00B5233D" w:rsidRPr="00B5233D" w:rsidP="00B5233D" w14:paraId="6FFD0048" w14:textId="77777777">
            <w:pPr>
              <w:spacing w:after="0" w:line="240" w:lineRule="auto"/>
              <w:rPr>
                <w:rFonts w:eastAsia="Times New Roman" w:cs="Calibri Light"/>
                <w:b/>
                <w:bCs/>
                <w:color w:val="FFFFFF"/>
                <w:sz w:val="20"/>
                <w:szCs w:val="20"/>
                <w:lang w:eastAsia="cs-CZ"/>
              </w:rPr>
            </w:pPr>
            <w:r w:rsidRPr="00B5233D">
              <w:rPr>
                <w:rFonts w:eastAsia="Times New Roman" w:cs="Calibri Light"/>
                <w:b/>
                <w:bCs/>
                <w:color w:val="FFFFFF"/>
                <w:sz w:val="20"/>
                <w:szCs w:val="20"/>
                <w:lang w:val="en-US" w:eastAsia="cs-CZ"/>
              </w:rPr>
              <w:t>2018</w:t>
            </w:r>
          </w:p>
        </w:tc>
        <w:tc>
          <w:tcPr>
            <w:tcW w:w="960" w:type="dxa"/>
            <w:tcBorders>
              <w:top w:val="single" w:sz="8" w:space="0" w:color="auto"/>
              <w:left w:val="nil"/>
              <w:bottom w:val="single" w:sz="8" w:space="0" w:color="auto"/>
              <w:right w:val="single" w:sz="8" w:space="0" w:color="auto"/>
            </w:tcBorders>
            <w:shd w:val="clear" w:color="000000" w:fill="1F4E79"/>
            <w:vAlign w:val="center"/>
            <w:hideMark/>
          </w:tcPr>
          <w:p w:rsidR="00B5233D" w:rsidRPr="00B5233D" w:rsidP="00B5233D" w14:paraId="5800AEB5" w14:textId="77777777">
            <w:pPr>
              <w:spacing w:after="0" w:line="240" w:lineRule="auto"/>
              <w:rPr>
                <w:rFonts w:eastAsia="Times New Roman" w:cs="Calibri Light"/>
                <w:b/>
                <w:bCs/>
                <w:color w:val="FFFFFF"/>
                <w:sz w:val="20"/>
                <w:szCs w:val="20"/>
                <w:lang w:eastAsia="cs-CZ"/>
              </w:rPr>
            </w:pPr>
            <w:r w:rsidRPr="00B5233D">
              <w:rPr>
                <w:rFonts w:eastAsia="Times New Roman" w:cs="Calibri Light"/>
                <w:b/>
                <w:bCs/>
                <w:color w:val="FFFFFF"/>
                <w:sz w:val="20"/>
                <w:szCs w:val="20"/>
                <w:lang w:val="en-US" w:eastAsia="cs-CZ"/>
              </w:rPr>
              <w:t>2019</w:t>
            </w:r>
          </w:p>
        </w:tc>
        <w:tc>
          <w:tcPr>
            <w:tcW w:w="960" w:type="dxa"/>
            <w:tcBorders>
              <w:top w:val="single" w:sz="8" w:space="0" w:color="auto"/>
              <w:left w:val="nil"/>
              <w:bottom w:val="single" w:sz="8" w:space="0" w:color="auto"/>
              <w:right w:val="single" w:sz="8" w:space="0" w:color="auto"/>
            </w:tcBorders>
            <w:shd w:val="clear" w:color="000000" w:fill="1F4E79"/>
            <w:vAlign w:val="center"/>
            <w:hideMark/>
          </w:tcPr>
          <w:p w:rsidR="00B5233D" w:rsidRPr="00B5233D" w:rsidP="00B5233D" w14:paraId="2D3B4CF7" w14:textId="77777777">
            <w:pPr>
              <w:spacing w:after="0" w:line="240" w:lineRule="auto"/>
              <w:rPr>
                <w:rFonts w:eastAsia="Times New Roman" w:cs="Calibri Light"/>
                <w:b/>
                <w:bCs/>
                <w:color w:val="FFFFFF"/>
                <w:sz w:val="20"/>
                <w:szCs w:val="20"/>
                <w:lang w:eastAsia="cs-CZ"/>
              </w:rPr>
            </w:pPr>
            <w:r w:rsidRPr="00B5233D">
              <w:rPr>
                <w:rFonts w:eastAsia="Times New Roman" w:cs="Calibri Light"/>
                <w:b/>
                <w:bCs/>
                <w:color w:val="FFFFFF"/>
                <w:sz w:val="20"/>
                <w:szCs w:val="20"/>
                <w:lang w:val="en-US" w:eastAsia="cs-CZ"/>
              </w:rPr>
              <w:t>2020</w:t>
            </w:r>
          </w:p>
        </w:tc>
      </w:tr>
      <w:tr w14:paraId="1DEED7F8" w14:textId="77777777" w:rsidTr="00B5233D">
        <w:tblPrEx>
          <w:tblW w:w="8720" w:type="dxa"/>
          <w:tblCellMar>
            <w:left w:w="70" w:type="dxa"/>
            <w:right w:w="70" w:type="dxa"/>
          </w:tblCellMar>
          <w:tblLook w:val="04A0"/>
        </w:tblPrEx>
        <w:trPr>
          <w:trHeight w:val="530"/>
        </w:trPr>
        <w:tc>
          <w:tcPr>
            <w:tcW w:w="2960" w:type="dxa"/>
            <w:tcBorders>
              <w:top w:val="nil"/>
              <w:left w:val="single" w:sz="8" w:space="0" w:color="auto"/>
              <w:bottom w:val="single" w:sz="8" w:space="0" w:color="auto"/>
              <w:right w:val="single" w:sz="8" w:space="0" w:color="auto"/>
            </w:tcBorders>
            <w:shd w:val="clear" w:color="000000" w:fill="1F4E79"/>
            <w:vAlign w:val="center"/>
            <w:hideMark/>
          </w:tcPr>
          <w:p w:rsidR="00B5233D" w:rsidRPr="00B5233D" w:rsidP="00B5233D" w14:paraId="61AA485B" w14:textId="77777777">
            <w:pPr>
              <w:spacing w:after="0" w:line="240" w:lineRule="auto"/>
              <w:rPr>
                <w:rFonts w:eastAsia="Times New Roman" w:cs="Calibri Light"/>
                <w:b/>
                <w:bCs/>
                <w:color w:val="FFFFFF"/>
                <w:sz w:val="20"/>
                <w:szCs w:val="20"/>
                <w:lang w:eastAsia="cs-CZ"/>
              </w:rPr>
            </w:pPr>
            <w:r w:rsidRPr="00B5233D">
              <w:rPr>
                <w:rFonts w:eastAsia="Times New Roman" w:cs="Calibri Light"/>
                <w:b/>
                <w:bCs/>
                <w:color w:val="FFFFFF"/>
                <w:sz w:val="20"/>
                <w:szCs w:val="20"/>
                <w:lang w:val="en-US" w:eastAsia="cs-CZ"/>
              </w:rPr>
              <w:t>Posuzované návrhy projektů</w:t>
            </w:r>
          </w:p>
        </w:tc>
        <w:tc>
          <w:tcPr>
            <w:tcW w:w="960" w:type="dxa"/>
            <w:tcBorders>
              <w:top w:val="nil"/>
              <w:left w:val="nil"/>
              <w:bottom w:val="single" w:sz="8" w:space="0" w:color="auto"/>
              <w:right w:val="single" w:sz="8" w:space="0" w:color="auto"/>
            </w:tcBorders>
            <w:shd w:val="clear" w:color="auto" w:fill="auto"/>
            <w:vAlign w:val="center"/>
            <w:hideMark/>
          </w:tcPr>
          <w:p w:rsidR="00B5233D" w:rsidRPr="00B5233D" w:rsidP="00B5233D" w14:paraId="5CA6B90D" w14:textId="77777777">
            <w:pPr>
              <w:spacing w:after="0" w:line="240" w:lineRule="auto"/>
              <w:rPr>
                <w:rFonts w:eastAsia="Times New Roman" w:cs="Calibri Light"/>
                <w:color w:val="000000"/>
                <w:sz w:val="20"/>
                <w:szCs w:val="20"/>
                <w:lang w:eastAsia="cs-CZ"/>
              </w:rPr>
            </w:pPr>
            <w:r w:rsidRPr="00B5233D">
              <w:rPr>
                <w:rFonts w:eastAsia="Times New Roman" w:cs="Calibri Light"/>
                <w:color w:val="000000"/>
                <w:sz w:val="20"/>
                <w:szCs w:val="20"/>
                <w:lang w:val="en-US" w:eastAsia="cs-CZ"/>
              </w:rPr>
              <w:t>1500</w:t>
            </w:r>
          </w:p>
        </w:tc>
        <w:tc>
          <w:tcPr>
            <w:tcW w:w="960" w:type="dxa"/>
            <w:tcBorders>
              <w:top w:val="nil"/>
              <w:left w:val="nil"/>
              <w:bottom w:val="single" w:sz="8" w:space="0" w:color="auto"/>
              <w:right w:val="single" w:sz="8" w:space="0" w:color="auto"/>
            </w:tcBorders>
            <w:shd w:val="clear" w:color="auto" w:fill="auto"/>
            <w:vAlign w:val="center"/>
            <w:hideMark/>
          </w:tcPr>
          <w:p w:rsidR="00B5233D" w:rsidRPr="00B5233D" w:rsidP="00B5233D" w14:paraId="03161A71" w14:textId="77777777">
            <w:pPr>
              <w:spacing w:after="0" w:line="240" w:lineRule="auto"/>
              <w:rPr>
                <w:rFonts w:eastAsia="Times New Roman" w:cs="Calibri Light"/>
                <w:color w:val="000000"/>
                <w:sz w:val="20"/>
                <w:szCs w:val="20"/>
                <w:lang w:eastAsia="cs-CZ"/>
              </w:rPr>
            </w:pPr>
            <w:r w:rsidRPr="00B5233D">
              <w:rPr>
                <w:rFonts w:eastAsia="Times New Roman" w:cs="Calibri Light"/>
                <w:color w:val="000000"/>
                <w:sz w:val="20"/>
                <w:szCs w:val="20"/>
                <w:lang w:eastAsia="cs-CZ"/>
              </w:rPr>
              <w:t>2316</w:t>
            </w:r>
          </w:p>
        </w:tc>
        <w:tc>
          <w:tcPr>
            <w:tcW w:w="960" w:type="dxa"/>
            <w:tcBorders>
              <w:top w:val="nil"/>
              <w:left w:val="nil"/>
              <w:bottom w:val="single" w:sz="8" w:space="0" w:color="auto"/>
              <w:right w:val="single" w:sz="8" w:space="0" w:color="auto"/>
            </w:tcBorders>
            <w:shd w:val="clear" w:color="auto" w:fill="auto"/>
            <w:vAlign w:val="center"/>
            <w:hideMark/>
          </w:tcPr>
          <w:p w:rsidR="00B5233D" w:rsidRPr="00B5233D" w:rsidP="00B5233D" w14:paraId="0201180D" w14:textId="77777777">
            <w:pPr>
              <w:spacing w:after="0" w:line="240" w:lineRule="auto"/>
              <w:rPr>
                <w:rFonts w:eastAsia="Times New Roman" w:cs="Calibri Light"/>
                <w:color w:val="000000"/>
                <w:sz w:val="20"/>
                <w:szCs w:val="20"/>
                <w:lang w:eastAsia="cs-CZ"/>
              </w:rPr>
            </w:pPr>
            <w:r w:rsidRPr="00B5233D">
              <w:rPr>
                <w:rFonts w:eastAsia="Times New Roman" w:cs="Calibri Light"/>
                <w:color w:val="000000"/>
                <w:sz w:val="20"/>
                <w:szCs w:val="20"/>
                <w:lang w:eastAsia="cs-CZ"/>
              </w:rPr>
              <w:t>2517</w:t>
            </w:r>
          </w:p>
        </w:tc>
        <w:tc>
          <w:tcPr>
            <w:tcW w:w="960" w:type="dxa"/>
            <w:tcBorders>
              <w:top w:val="nil"/>
              <w:left w:val="nil"/>
              <w:bottom w:val="single" w:sz="8" w:space="0" w:color="auto"/>
              <w:right w:val="single" w:sz="8" w:space="0" w:color="auto"/>
            </w:tcBorders>
            <w:shd w:val="clear" w:color="auto" w:fill="auto"/>
            <w:vAlign w:val="center"/>
            <w:hideMark/>
          </w:tcPr>
          <w:p w:rsidR="00B5233D" w:rsidRPr="00B5233D" w:rsidP="00B5233D" w14:paraId="7F046AA3" w14:textId="77777777">
            <w:pPr>
              <w:spacing w:after="0" w:line="240" w:lineRule="auto"/>
              <w:rPr>
                <w:rFonts w:eastAsia="Times New Roman" w:cs="Calibri Light"/>
                <w:color w:val="000000"/>
                <w:sz w:val="20"/>
                <w:szCs w:val="20"/>
                <w:lang w:eastAsia="cs-CZ"/>
              </w:rPr>
            </w:pPr>
            <w:r w:rsidRPr="00B5233D">
              <w:rPr>
                <w:rFonts w:eastAsia="Times New Roman" w:cs="Calibri Light"/>
                <w:color w:val="000000"/>
                <w:sz w:val="20"/>
                <w:szCs w:val="20"/>
                <w:lang w:eastAsia="cs-CZ"/>
              </w:rPr>
              <w:t>2389</w:t>
            </w:r>
          </w:p>
        </w:tc>
        <w:tc>
          <w:tcPr>
            <w:tcW w:w="960" w:type="dxa"/>
            <w:tcBorders>
              <w:top w:val="nil"/>
              <w:left w:val="nil"/>
              <w:bottom w:val="single" w:sz="8" w:space="0" w:color="auto"/>
              <w:right w:val="single" w:sz="8" w:space="0" w:color="auto"/>
            </w:tcBorders>
            <w:shd w:val="clear" w:color="auto" w:fill="auto"/>
            <w:vAlign w:val="center"/>
            <w:hideMark/>
          </w:tcPr>
          <w:p w:rsidR="00B5233D" w:rsidRPr="00B5233D" w:rsidP="00B5233D" w14:paraId="677BDDBA" w14:textId="77777777">
            <w:pPr>
              <w:spacing w:after="0" w:line="240" w:lineRule="auto"/>
              <w:rPr>
                <w:rFonts w:eastAsia="Times New Roman" w:cs="Calibri Light"/>
                <w:color w:val="000000"/>
                <w:sz w:val="20"/>
                <w:szCs w:val="20"/>
                <w:lang w:eastAsia="cs-CZ"/>
              </w:rPr>
            </w:pPr>
            <w:r w:rsidRPr="00B5233D">
              <w:rPr>
                <w:rFonts w:eastAsia="Times New Roman" w:cs="Calibri Light"/>
                <w:color w:val="000000"/>
                <w:sz w:val="20"/>
                <w:szCs w:val="20"/>
                <w:lang w:eastAsia="cs-CZ"/>
              </w:rPr>
              <w:t>2537</w:t>
            </w:r>
          </w:p>
        </w:tc>
        <w:tc>
          <w:tcPr>
            <w:tcW w:w="960" w:type="dxa"/>
            <w:tcBorders>
              <w:top w:val="nil"/>
              <w:left w:val="nil"/>
              <w:bottom w:val="single" w:sz="8" w:space="0" w:color="auto"/>
              <w:right w:val="single" w:sz="8" w:space="0" w:color="auto"/>
            </w:tcBorders>
            <w:shd w:val="clear" w:color="auto" w:fill="auto"/>
            <w:vAlign w:val="center"/>
            <w:hideMark/>
          </w:tcPr>
          <w:p w:rsidR="00B5233D" w:rsidRPr="00B5233D" w:rsidP="00B5233D" w14:paraId="15F61E23" w14:textId="77777777">
            <w:pPr>
              <w:spacing w:after="0" w:line="240" w:lineRule="auto"/>
              <w:rPr>
                <w:rFonts w:eastAsia="Times New Roman" w:cs="Calibri Light"/>
                <w:color w:val="000000"/>
                <w:sz w:val="20"/>
                <w:szCs w:val="20"/>
                <w:lang w:eastAsia="cs-CZ"/>
              </w:rPr>
            </w:pPr>
            <w:r w:rsidRPr="00B5233D">
              <w:rPr>
                <w:rFonts w:eastAsia="Times New Roman" w:cs="Calibri Light"/>
                <w:color w:val="000000"/>
                <w:sz w:val="20"/>
                <w:szCs w:val="20"/>
                <w:lang w:eastAsia="cs-CZ"/>
              </w:rPr>
              <w:t>2589</w:t>
            </w:r>
          </w:p>
        </w:tc>
      </w:tr>
      <w:tr w14:paraId="2E018811" w14:textId="77777777" w:rsidTr="00B5233D">
        <w:tblPrEx>
          <w:tblW w:w="8720" w:type="dxa"/>
          <w:tblCellMar>
            <w:left w:w="70" w:type="dxa"/>
            <w:right w:w="70" w:type="dxa"/>
          </w:tblCellMar>
          <w:tblLook w:val="04A0"/>
        </w:tblPrEx>
        <w:trPr>
          <w:trHeight w:val="530"/>
        </w:trPr>
        <w:tc>
          <w:tcPr>
            <w:tcW w:w="2960" w:type="dxa"/>
            <w:tcBorders>
              <w:top w:val="nil"/>
              <w:left w:val="single" w:sz="8" w:space="0" w:color="auto"/>
              <w:bottom w:val="single" w:sz="8" w:space="0" w:color="auto"/>
              <w:right w:val="single" w:sz="8" w:space="0" w:color="auto"/>
            </w:tcBorders>
            <w:shd w:val="clear" w:color="000000" w:fill="1F4E79"/>
            <w:vAlign w:val="center"/>
            <w:hideMark/>
          </w:tcPr>
          <w:p w:rsidR="00B5233D" w:rsidRPr="00B5233D" w:rsidP="00B5233D" w14:paraId="6EE001DC" w14:textId="77777777">
            <w:pPr>
              <w:spacing w:after="0" w:line="240" w:lineRule="auto"/>
              <w:rPr>
                <w:rFonts w:eastAsia="Times New Roman" w:cs="Calibri Light"/>
                <w:b/>
                <w:bCs/>
                <w:color w:val="FFFFFF"/>
                <w:sz w:val="20"/>
                <w:szCs w:val="20"/>
                <w:lang w:eastAsia="cs-CZ"/>
              </w:rPr>
            </w:pPr>
            <w:r w:rsidRPr="00B5233D">
              <w:rPr>
                <w:rFonts w:eastAsia="Times New Roman" w:cs="Calibri Light"/>
                <w:b/>
                <w:bCs/>
                <w:color w:val="FFFFFF"/>
                <w:sz w:val="20"/>
                <w:szCs w:val="20"/>
                <w:lang w:val="en-US" w:eastAsia="cs-CZ"/>
              </w:rPr>
              <w:t>Financované projekty</w:t>
            </w:r>
          </w:p>
        </w:tc>
        <w:tc>
          <w:tcPr>
            <w:tcW w:w="960" w:type="dxa"/>
            <w:tcBorders>
              <w:top w:val="nil"/>
              <w:left w:val="nil"/>
              <w:bottom w:val="single" w:sz="8" w:space="0" w:color="auto"/>
              <w:right w:val="single" w:sz="8" w:space="0" w:color="auto"/>
            </w:tcBorders>
            <w:shd w:val="clear" w:color="auto" w:fill="auto"/>
            <w:vAlign w:val="center"/>
            <w:hideMark/>
          </w:tcPr>
          <w:p w:rsidR="00B5233D" w:rsidRPr="00B5233D" w:rsidP="00B5233D" w14:paraId="22B43AAD" w14:textId="77777777">
            <w:pPr>
              <w:spacing w:after="0" w:line="240" w:lineRule="auto"/>
              <w:rPr>
                <w:rFonts w:eastAsia="Times New Roman" w:cs="Calibri Light"/>
                <w:color w:val="000000"/>
                <w:sz w:val="20"/>
                <w:szCs w:val="20"/>
                <w:lang w:eastAsia="cs-CZ"/>
              </w:rPr>
            </w:pPr>
            <w:r w:rsidRPr="00B5233D">
              <w:rPr>
                <w:rFonts w:eastAsia="Times New Roman" w:cs="Calibri Light"/>
                <w:color w:val="000000"/>
                <w:sz w:val="20"/>
                <w:szCs w:val="20"/>
                <w:lang w:val="en-US" w:eastAsia="cs-CZ"/>
              </w:rPr>
              <w:t>797</w:t>
            </w:r>
          </w:p>
        </w:tc>
        <w:tc>
          <w:tcPr>
            <w:tcW w:w="960" w:type="dxa"/>
            <w:tcBorders>
              <w:top w:val="nil"/>
              <w:left w:val="nil"/>
              <w:bottom w:val="single" w:sz="8" w:space="0" w:color="auto"/>
              <w:right w:val="single" w:sz="8" w:space="0" w:color="auto"/>
            </w:tcBorders>
            <w:shd w:val="clear" w:color="auto" w:fill="auto"/>
            <w:vAlign w:val="center"/>
            <w:hideMark/>
          </w:tcPr>
          <w:p w:rsidR="00B5233D" w:rsidRPr="00B5233D" w:rsidP="00B5233D" w14:paraId="773BCC18" w14:textId="77777777">
            <w:pPr>
              <w:spacing w:after="0" w:line="240" w:lineRule="auto"/>
              <w:rPr>
                <w:rFonts w:eastAsia="Times New Roman" w:cs="Calibri Light"/>
                <w:color w:val="000000"/>
                <w:sz w:val="20"/>
                <w:szCs w:val="20"/>
                <w:lang w:eastAsia="cs-CZ"/>
              </w:rPr>
            </w:pPr>
            <w:r w:rsidRPr="00B5233D">
              <w:rPr>
                <w:rFonts w:eastAsia="Times New Roman" w:cs="Calibri Light"/>
                <w:color w:val="000000"/>
                <w:sz w:val="20"/>
                <w:szCs w:val="20"/>
                <w:lang w:eastAsia="cs-CZ"/>
              </w:rPr>
              <w:t>630</w:t>
            </w:r>
          </w:p>
        </w:tc>
        <w:tc>
          <w:tcPr>
            <w:tcW w:w="960" w:type="dxa"/>
            <w:tcBorders>
              <w:top w:val="nil"/>
              <w:left w:val="nil"/>
              <w:bottom w:val="single" w:sz="8" w:space="0" w:color="auto"/>
              <w:right w:val="single" w:sz="8" w:space="0" w:color="auto"/>
            </w:tcBorders>
            <w:shd w:val="clear" w:color="auto" w:fill="auto"/>
            <w:vAlign w:val="center"/>
            <w:hideMark/>
          </w:tcPr>
          <w:p w:rsidR="00B5233D" w:rsidRPr="00B5233D" w:rsidP="00B5233D" w14:paraId="4C11BF56" w14:textId="77777777">
            <w:pPr>
              <w:spacing w:after="0" w:line="240" w:lineRule="auto"/>
              <w:rPr>
                <w:rFonts w:eastAsia="Times New Roman" w:cs="Calibri Light"/>
                <w:color w:val="000000"/>
                <w:sz w:val="20"/>
                <w:szCs w:val="20"/>
                <w:lang w:eastAsia="cs-CZ"/>
              </w:rPr>
            </w:pPr>
            <w:r w:rsidRPr="00B5233D">
              <w:rPr>
                <w:rFonts w:eastAsia="Times New Roman" w:cs="Calibri Light"/>
                <w:color w:val="000000"/>
                <w:sz w:val="20"/>
                <w:szCs w:val="20"/>
                <w:lang w:eastAsia="cs-CZ"/>
              </w:rPr>
              <w:t>812</w:t>
            </w:r>
          </w:p>
        </w:tc>
        <w:tc>
          <w:tcPr>
            <w:tcW w:w="960" w:type="dxa"/>
            <w:tcBorders>
              <w:top w:val="nil"/>
              <w:left w:val="nil"/>
              <w:bottom w:val="single" w:sz="8" w:space="0" w:color="auto"/>
              <w:right w:val="single" w:sz="8" w:space="0" w:color="auto"/>
            </w:tcBorders>
            <w:shd w:val="clear" w:color="auto" w:fill="auto"/>
            <w:vAlign w:val="center"/>
            <w:hideMark/>
          </w:tcPr>
          <w:p w:rsidR="00B5233D" w:rsidRPr="00B5233D" w:rsidP="00B5233D" w14:paraId="5FE62194" w14:textId="77777777">
            <w:pPr>
              <w:spacing w:after="0" w:line="240" w:lineRule="auto"/>
              <w:rPr>
                <w:rFonts w:eastAsia="Times New Roman" w:cs="Calibri Light"/>
                <w:color w:val="000000"/>
                <w:sz w:val="20"/>
                <w:szCs w:val="20"/>
                <w:lang w:eastAsia="cs-CZ"/>
              </w:rPr>
            </w:pPr>
            <w:r w:rsidRPr="00B5233D">
              <w:rPr>
                <w:rFonts w:eastAsia="Times New Roman" w:cs="Calibri Light"/>
                <w:color w:val="000000"/>
                <w:sz w:val="20"/>
                <w:szCs w:val="20"/>
                <w:lang w:eastAsia="cs-CZ"/>
              </w:rPr>
              <w:t>633</w:t>
            </w:r>
          </w:p>
        </w:tc>
        <w:tc>
          <w:tcPr>
            <w:tcW w:w="960" w:type="dxa"/>
            <w:tcBorders>
              <w:top w:val="nil"/>
              <w:left w:val="nil"/>
              <w:bottom w:val="single" w:sz="8" w:space="0" w:color="auto"/>
              <w:right w:val="single" w:sz="8" w:space="0" w:color="auto"/>
            </w:tcBorders>
            <w:shd w:val="clear" w:color="auto" w:fill="auto"/>
            <w:vAlign w:val="center"/>
            <w:hideMark/>
          </w:tcPr>
          <w:p w:rsidR="00B5233D" w:rsidRPr="00B5233D" w:rsidP="00B5233D" w14:paraId="1AA314B8" w14:textId="77777777">
            <w:pPr>
              <w:spacing w:after="0" w:line="240" w:lineRule="auto"/>
              <w:rPr>
                <w:rFonts w:eastAsia="Times New Roman" w:cs="Calibri Light"/>
                <w:color w:val="000000"/>
                <w:sz w:val="20"/>
                <w:szCs w:val="20"/>
                <w:lang w:eastAsia="cs-CZ"/>
              </w:rPr>
            </w:pPr>
            <w:r w:rsidRPr="00B5233D">
              <w:rPr>
                <w:rFonts w:eastAsia="Times New Roman" w:cs="Calibri Light"/>
                <w:color w:val="000000"/>
                <w:sz w:val="20"/>
                <w:szCs w:val="20"/>
                <w:lang w:eastAsia="cs-CZ"/>
              </w:rPr>
              <w:t>779</w:t>
            </w:r>
          </w:p>
        </w:tc>
        <w:tc>
          <w:tcPr>
            <w:tcW w:w="960" w:type="dxa"/>
            <w:tcBorders>
              <w:top w:val="nil"/>
              <w:left w:val="nil"/>
              <w:bottom w:val="single" w:sz="8" w:space="0" w:color="auto"/>
              <w:right w:val="single" w:sz="8" w:space="0" w:color="auto"/>
            </w:tcBorders>
            <w:shd w:val="clear" w:color="auto" w:fill="auto"/>
            <w:vAlign w:val="center"/>
            <w:hideMark/>
          </w:tcPr>
          <w:p w:rsidR="00B5233D" w:rsidRPr="00B5233D" w:rsidP="00B5233D" w14:paraId="7D5E842C" w14:textId="77777777">
            <w:pPr>
              <w:spacing w:after="0" w:line="240" w:lineRule="auto"/>
              <w:rPr>
                <w:rFonts w:eastAsia="Times New Roman" w:cs="Calibri Light"/>
                <w:color w:val="000000"/>
                <w:sz w:val="20"/>
                <w:szCs w:val="20"/>
                <w:lang w:eastAsia="cs-CZ"/>
              </w:rPr>
            </w:pPr>
            <w:r w:rsidRPr="00B5233D">
              <w:rPr>
                <w:rFonts w:eastAsia="Times New Roman" w:cs="Calibri Light"/>
                <w:color w:val="000000"/>
                <w:sz w:val="20"/>
                <w:szCs w:val="20"/>
                <w:lang w:eastAsia="cs-CZ"/>
              </w:rPr>
              <w:t>639</w:t>
            </w:r>
          </w:p>
        </w:tc>
      </w:tr>
    </w:tbl>
    <w:p w:rsidR="00B5233D" w:rsidP="006A56BF" w14:paraId="150B0B10" w14:textId="77777777"/>
    <w:p w:rsidR="00731241" w:rsidRPr="00331F75" w:rsidP="006A56BF" w14:paraId="681D9706" w14:textId="77777777">
      <w:r w:rsidRPr="005B0D30">
        <w:t>Z právního hlediska GA ČR poskytuje účelovou podporu v souladu se zákonem o podpoře výzkumu, experimentálního vývoje a inovací. V oblasti výzkumu, vývoje a inovací jsou v současné době v České republice platné následující zásadní</w:t>
      </w:r>
      <w:r w:rsidRPr="00E952C2">
        <w:t xml:space="preserve"> strategické a koncepční dokumenty:</w:t>
      </w:r>
    </w:p>
    <w:p w:rsidR="00731241" w:rsidRPr="00331F75" w:rsidP="006A56BF" w14:paraId="5237BC36" w14:textId="77777777">
      <w:r w:rsidRPr="00331F75">
        <w:t>Národní politika výzkumu, vývoje a inovací České republiky 2021+, schválená usnesením vlády České republiky ze dne 20. 7. 2020 č. 759 (dále jen „Národní politika VaVaI“);</w:t>
      </w:r>
    </w:p>
    <w:p w:rsidR="00731241" w:rsidRPr="00331F75" w:rsidP="006A56BF" w14:paraId="3F3C4732" w14:textId="77777777">
      <w:r w:rsidRPr="00331F75">
        <w:t>Národní priority orientovaného výzkumu, experimentálního vývoje a inovací, schválené usnesením vlády České republiky ze dne 19. července 2012 č. 552 (dále jen „Priority VaVaI“);</w:t>
      </w:r>
    </w:p>
    <w:p w:rsidR="00731241" w:rsidRPr="00331F75" w:rsidP="006A56BF" w14:paraId="0684325E" w14:textId="77777777">
      <w:r w:rsidRPr="00331F75">
        <w:t>Implementace Národních priorit orientovaného výzkumu, experimentálního vývoje a</w:t>
      </w:r>
      <w:r>
        <w:t> </w:t>
      </w:r>
      <w:r w:rsidRPr="00331F75">
        <w:t>inovací, schválená usnesením vlády České republiky ze dne 31. července 2013 č. 569 (dále jen „Implementace Priorit“);</w:t>
      </w:r>
    </w:p>
    <w:p w:rsidR="00731241" w:rsidRPr="00331F75" w:rsidP="006A56BF" w14:paraId="188CF487" w14:textId="77777777">
      <w:r w:rsidRPr="00331F75">
        <w:t>Inovační strategie České republiky 2019–2030</w:t>
      </w:r>
      <w:r>
        <w:t>,</w:t>
      </w:r>
      <w:r w:rsidRPr="00331F75">
        <w:t xml:space="preserve"> </w:t>
      </w:r>
      <w:r w:rsidRPr="00331F75">
        <w:t>schválená usnesením vlády České republiky ze dne 4. února 2019 č. 104;</w:t>
      </w:r>
      <w:r w:rsidRPr="00331F75">
        <w:t xml:space="preserve"> </w:t>
      </w:r>
    </w:p>
    <w:p w:rsidR="00731241" w:rsidRPr="00331F75" w:rsidP="006A56BF" w14:paraId="728D913E" w14:textId="77777777">
      <w:r w:rsidRPr="00331F75">
        <w:t>Národní výzkumná a inovační strategie pro inteligentní specializaci ČR</w:t>
      </w:r>
      <w:r>
        <w:t>,</w:t>
      </w:r>
      <w:r w:rsidRPr="00331F75">
        <w:t xml:space="preserve"> schválená usnesením vlády České republiky ze dne 8. prosince 2014 č. 1028.</w:t>
      </w:r>
    </w:p>
    <w:p w:rsidR="00731241" w:rsidRPr="00331F75" w:rsidP="006A56BF" w14:paraId="3C09EC30" w14:textId="77777777"/>
    <w:p w:rsidR="00731241" w:rsidRPr="00331F75" w:rsidP="00731241" w14:paraId="63B6C03B" w14:textId="77777777">
      <w:pPr>
        <w:pStyle w:val="PlainText"/>
        <w:rPr>
          <w:rFonts w:ascii="Calibri" w:hAnsi="Calibri" w:cs="Times New Roman"/>
          <w:iCs/>
          <w:sz w:val="24"/>
          <w:szCs w:val="24"/>
        </w:rPr>
      </w:pPr>
    </w:p>
    <w:p w:rsidR="00731241" w:rsidRPr="00331F75" w:rsidP="00731241" w14:paraId="74F98C9E" w14:textId="56B30FFB">
      <w:pPr>
        <w:pStyle w:val="Heading1"/>
        <w:rPr>
          <w:rFonts w:ascii="Calibri" w:hAnsi="Calibri" w:cs="Times New Roman"/>
        </w:rPr>
      </w:pPr>
      <w:r w:rsidRPr="00331F75">
        <w:rPr>
          <w:rFonts w:ascii="Calibri" w:hAnsi="Calibri" w:cs="Times New Roman"/>
          <w:sz w:val="24"/>
          <w:szCs w:val="24"/>
        </w:rPr>
        <w:br w:type="page"/>
      </w:r>
      <w:bookmarkStart w:id="5" w:name="_Toc443572110"/>
      <w:bookmarkStart w:id="6" w:name="_Toc256000003"/>
      <w:r w:rsidRPr="00331F75">
        <w:rPr>
          <w:rFonts w:ascii="Calibri" w:hAnsi="Calibri" w:cs="Times New Roman"/>
        </w:rPr>
        <w:t>2. VYMEZENÍ OBLASTI PODPOROVANÉ GA ČR</w:t>
      </w:r>
      <w:bookmarkEnd w:id="6"/>
      <w:bookmarkEnd w:id="5"/>
    </w:p>
    <w:p w:rsidR="006A56BF" w:rsidP="006A56BF" w14:paraId="307FF097" w14:textId="77777777"/>
    <w:p w:rsidR="00731241" w:rsidRPr="00331F75" w:rsidP="006A56BF" w14:paraId="71EE2500" w14:textId="6170692E">
      <w:r w:rsidRPr="00331F75">
        <w:t xml:space="preserve">Oblast podporovaná GA ČR je stanovená zákonem o podpoře výzkumu, experimentálního vývoje a inovací: „Grantová agentura České republiky zabezpečuje přípravu a realizaci skupin grantových projektů a dalších aktivit v oblasti základního výzkumu včetně veřejných soutěží ve výzkumu, vývoji a inovacích na podporu grantových projektů“. Základním výzkumem se dle zákona o podpoře výzkumu, experimentálního vývoje a inovací, resp. dle legislativního odkazu na článek 2 GBER, rozumí </w:t>
      </w:r>
      <w:r w:rsidRPr="001E5D1D">
        <w:t>„experimentální nebo teoretická práce vykonávaná především za účelem získání nových poznatků o základních principech jevů a pozorovatelných skutečností, která není zaměřena na přímé komerční uplatnění nebo využití“</w:t>
      </w:r>
      <w:r w:rsidRPr="00331F75">
        <w:t>.</w:t>
      </w:r>
    </w:p>
    <w:p w:rsidR="00731241" w:rsidRPr="00331F75" w:rsidP="006A56BF" w14:paraId="580E5BD9" w14:textId="77777777">
      <w:r w:rsidRPr="00331F75">
        <w:t>Vzhledem k tomu, že mezi zásadní a strategické dokumenty v oblasti VaVaI patří Národní politika VaVaI i Priority VaVaI, je potřeba vycházet i z definic uvedených v těchto materiálech. V Národní politice VaVaI i v Prioritách VaVaI je definice základního výzkumu stejná jako v zákonu o podpoře výzkumu, experimentálního vývoje a inovací, je zde však zaveden nový pojem „orientovaný výzkum“. Orientovaným výzkumem se rozumí takový „výzkum, který je zaměřen na řešení konkrétních společenských a hospodářských cílů“. Priority VaVaI i Implementace Priorit jsou zaměřeny téměř výhradně na orientovaný výzkum.</w:t>
      </w:r>
    </w:p>
    <w:p w:rsidR="00731241" w:rsidRPr="00331F75" w:rsidP="006A56BF" w14:paraId="39E66E92" w14:textId="77777777">
      <w:r w:rsidRPr="00331F75">
        <w:t>Ve Frascati manuálu 2015 je popsán rozdíl mezi tzv. čistým základním výzkumem a orientovaným základním výzkumem:</w:t>
      </w:r>
    </w:p>
    <w:p w:rsidR="00731241" w:rsidRPr="00331F75" w:rsidP="006A56BF" w14:paraId="582CAF9A" w14:textId="77777777">
      <w:r w:rsidRPr="00331F75">
        <w:t>„Čistý základní výzkum se provádí v zájmu rozvoje poznání, bez usilování o dlouhodobý ekonomický nebo společenský prospěch nebo snahy aplikovat výsledky na praktické problémy nebo předat výsledky do sektorů odpovědných za jejich aplikaci.“</w:t>
      </w:r>
    </w:p>
    <w:p w:rsidR="00731241" w:rsidRPr="001E5D1D" w:rsidP="006A56BF" w14:paraId="45599B9C" w14:textId="77777777">
      <w:r w:rsidRPr="00331F75">
        <w:t xml:space="preserve">„Orientovaný základní výzkum se provádí s očekáváním, že poskytne širokou základnu poznatků, která se pravděpodobně stane základem pro řešení známých nebo očekávaných, současných nebo budoucích problémů nebo možností.“ </w:t>
      </w:r>
      <w:r>
        <w:rPr>
          <w:rStyle w:val="FootnoteReference"/>
          <w:rFonts w:ascii="Calibri" w:hAnsi="Calibri"/>
          <w:iCs/>
          <w:sz w:val="24"/>
          <w:szCs w:val="24"/>
        </w:rPr>
        <w:footnoteReference w:id="2"/>
      </w:r>
    </w:p>
    <w:p w:rsidR="00731241" w:rsidRPr="00331F75" w:rsidP="006A56BF" w14:paraId="19B38265" w14:textId="77777777">
      <w:r w:rsidRPr="00331F75">
        <w:t xml:space="preserve">GA ČR od svého vzniku podporuje základní výzkum v ČR. Zasloužila se o to, že český výzkum byl poměrně rychle a efektivně transformován a dosáhl na úroveň obvyklou ve vyspělých zemích. Projevilo se to jednak podstatným zvýšením počtu publikací v impaktovaných časopisech a také vytvořením výzkumných týmů na vysokých školách a v Akademii věd České republiky (dále jen „AV ČR“), které by bez podpory GA ČR bylo téměř nemožné realizovat. </w:t>
      </w:r>
      <w:r w:rsidRPr="00331F75">
        <w:rPr>
          <w:b/>
        </w:rPr>
        <w:t xml:space="preserve">GA ČR je podle zákona o podpoře výzkumu, experimentálního vývoje a inovací i Národní politiky VaVaI jediným poskytovatelem účelové podpory základního výzkumu. </w:t>
      </w:r>
      <w:r w:rsidRPr="00331F75">
        <w:t>GA ČR proto bude nadále v souladu s uvedenými právními předpisy pokračovat v podpoře kvalitního základního výzkumu mezinárodní úrovně a poskytovat účelovou podporu základního výzkumu. GA ČR představuje v ČR jediného poskytovatele účelové podpory, důsledně a</w:t>
      </w:r>
      <w:r>
        <w:t> </w:t>
      </w:r>
      <w:r w:rsidRPr="00331F75">
        <w:t xml:space="preserve">výhradně podporujícího základní výzkum, který lze považovat za fundamentální předpoklad výzkumné činnosti pro akademický i neakademický sektor, na který následně navazuje výzkum orientovaný a aplikovaný financovaný z jiných zdrojů. </w:t>
      </w:r>
    </w:p>
    <w:p w:rsidR="00731241" w:rsidRPr="00331F75" w:rsidP="00731241" w14:paraId="169E248D" w14:textId="2EFE3370">
      <w:pPr>
        <w:pStyle w:val="Heading1"/>
        <w:rPr>
          <w:rFonts w:ascii="Calibri" w:hAnsi="Calibri" w:cs="Times New Roman"/>
        </w:rPr>
      </w:pPr>
      <w:r w:rsidRPr="00331F75">
        <w:rPr>
          <w:rFonts w:ascii="Calibri" w:hAnsi="Calibri" w:cs="Times New Roman"/>
          <w:b w:val="0"/>
          <w:sz w:val="24"/>
          <w:szCs w:val="24"/>
        </w:rPr>
        <w:br w:type="page"/>
      </w:r>
      <w:bookmarkStart w:id="7" w:name="_Toc443572111"/>
      <w:bookmarkStart w:id="8" w:name="_Toc256000004"/>
      <w:r w:rsidRPr="00331F75">
        <w:rPr>
          <w:rFonts w:ascii="Calibri" w:hAnsi="Calibri" w:cs="Times New Roman"/>
        </w:rPr>
        <w:t>3. VIZE A CÍL ROZVOJE ČINNOSTI GA ČR</w:t>
      </w:r>
      <w:bookmarkEnd w:id="8"/>
      <w:bookmarkEnd w:id="7"/>
    </w:p>
    <w:p w:rsidR="00731241" w:rsidRPr="006A56BF" w:rsidP="006A56BF" w14:paraId="5BC47FE5" w14:textId="2FA472BB">
      <w:r w:rsidRPr="00331F75">
        <w:t>Výzkum a vývoj jsou nedílnou součástí procesu tvorby zkušeností a poznání jako celku v</w:t>
      </w:r>
      <w:r>
        <w:t> </w:t>
      </w:r>
      <w:r w:rsidRPr="00331F75">
        <w:t>reakci na dynamicky se měnící podmínky života lidí. Tyto změny vyvolávají potřebu rozsáhlého výzkumu a vývoje a následného uplatnění dosažených poznatků prostřednictvím inovací ve všech oblastech rozvoje společnosti. Patří sem změny vyvolané tzv. velkými společenskými výzvami, jakož i novými technologickými trendy, a to zejména digitalizací či robotizací, a rovněž oblastí kybernetické bezpečnosti. Aktivity výzkumu, vývoje a inovací se promítají nejen do udržení a zvyšování konkurenceschopnosti ekonomiky, ale také do zdraví a zkvalitnění života společnosti a prostředí pro život. Přinášejí tak nejen tržně relevantní výsledky, ale i výsledky relevantní mimo tržní mechanismy v oblasti kvality života, kulturní sféry nebo sociálních inovací. Veškeré aktivity pro podporu výzkumu, vývoje a inovací by proto měly brát v úvahu jak specifika technických, lékařských nebo přírodovědných oborů, tak možnosti společenských a humanitních věd.</w:t>
      </w:r>
      <w:r>
        <w:rPr>
          <w:rStyle w:val="FootnoteReference"/>
          <w:rFonts w:ascii="Calibri" w:hAnsi="Calibri"/>
          <w:iCs/>
          <w:sz w:val="24"/>
          <w:szCs w:val="24"/>
        </w:rPr>
        <w:footnoteReference w:id="3"/>
      </w:r>
      <w:r w:rsidRPr="00331F75">
        <w:cr/>
      </w:r>
      <w:r w:rsidRPr="006A56BF">
        <w:t xml:space="preserve">GA ČR podporuje účelovou formou z veřejných prostředků základní výzkum ve všech vědních disciplínách, které jsou členěny do pěti oborů: </w:t>
      </w:r>
    </w:p>
    <w:p w:rsidR="00731241" w:rsidRPr="006A56BF" w:rsidP="00BD43EF" w14:paraId="1C6B5B98" w14:textId="77777777">
      <w:pPr>
        <w:pStyle w:val="ListParagraph"/>
        <w:numPr>
          <w:ilvl w:val="0"/>
          <w:numId w:val="2"/>
        </w:numPr>
        <w:rPr>
          <w:rFonts w:asciiTheme="majorHAnsi" w:hAnsiTheme="majorHAnsi" w:cstheme="majorHAnsi"/>
          <w:lang w:eastAsia="ar-SA"/>
        </w:rPr>
      </w:pPr>
      <w:r w:rsidRPr="006A56BF">
        <w:rPr>
          <w:rFonts w:asciiTheme="majorHAnsi" w:hAnsiTheme="majorHAnsi" w:cstheme="majorHAnsi"/>
          <w:lang w:eastAsia="ar-SA"/>
        </w:rPr>
        <w:t xml:space="preserve">technické vědy, </w:t>
      </w:r>
    </w:p>
    <w:p w:rsidR="00731241" w:rsidRPr="006A56BF" w:rsidP="00BD43EF" w14:paraId="5DA5A32B" w14:textId="77777777">
      <w:pPr>
        <w:pStyle w:val="ListParagraph"/>
        <w:numPr>
          <w:ilvl w:val="0"/>
          <w:numId w:val="2"/>
        </w:numPr>
        <w:rPr>
          <w:rFonts w:asciiTheme="majorHAnsi" w:hAnsiTheme="majorHAnsi" w:cstheme="majorHAnsi"/>
          <w:lang w:eastAsia="ar-SA"/>
        </w:rPr>
      </w:pPr>
      <w:r w:rsidRPr="006A56BF">
        <w:rPr>
          <w:rFonts w:asciiTheme="majorHAnsi" w:hAnsiTheme="majorHAnsi" w:cstheme="majorHAnsi"/>
          <w:lang w:eastAsia="ar-SA"/>
        </w:rPr>
        <w:t xml:space="preserve">vědy o neživé přírodě, </w:t>
      </w:r>
    </w:p>
    <w:p w:rsidR="00731241" w:rsidRPr="006A56BF" w:rsidP="00BD43EF" w14:paraId="3671975E" w14:textId="77777777">
      <w:pPr>
        <w:pStyle w:val="ListParagraph"/>
        <w:numPr>
          <w:ilvl w:val="0"/>
          <w:numId w:val="2"/>
        </w:numPr>
        <w:rPr>
          <w:rFonts w:asciiTheme="majorHAnsi" w:hAnsiTheme="majorHAnsi" w:cstheme="majorHAnsi"/>
          <w:lang w:eastAsia="ar-SA"/>
        </w:rPr>
      </w:pPr>
      <w:r w:rsidRPr="006A56BF">
        <w:rPr>
          <w:rFonts w:asciiTheme="majorHAnsi" w:hAnsiTheme="majorHAnsi" w:cstheme="majorHAnsi"/>
          <w:lang w:eastAsia="ar-SA"/>
        </w:rPr>
        <w:t xml:space="preserve">lékařské a biologické vědy, </w:t>
      </w:r>
    </w:p>
    <w:p w:rsidR="00731241" w:rsidRPr="006A56BF" w:rsidP="00BD43EF" w14:paraId="3EC8B675" w14:textId="77777777">
      <w:pPr>
        <w:pStyle w:val="ListParagraph"/>
        <w:numPr>
          <w:ilvl w:val="0"/>
          <w:numId w:val="2"/>
        </w:numPr>
        <w:rPr>
          <w:rFonts w:asciiTheme="majorHAnsi" w:hAnsiTheme="majorHAnsi" w:cstheme="majorHAnsi"/>
          <w:lang w:eastAsia="ar-SA"/>
        </w:rPr>
      </w:pPr>
      <w:r w:rsidRPr="006A56BF">
        <w:rPr>
          <w:rFonts w:asciiTheme="majorHAnsi" w:hAnsiTheme="majorHAnsi" w:cstheme="majorHAnsi"/>
          <w:lang w:eastAsia="ar-SA"/>
        </w:rPr>
        <w:t xml:space="preserve">společenské a humanitní vědy, </w:t>
      </w:r>
    </w:p>
    <w:p w:rsidR="00731241" w:rsidRPr="006A56BF" w:rsidP="00BD43EF" w14:paraId="350C8105" w14:textId="77777777">
      <w:pPr>
        <w:pStyle w:val="ListParagraph"/>
        <w:numPr>
          <w:ilvl w:val="0"/>
          <w:numId w:val="2"/>
        </w:numPr>
        <w:rPr>
          <w:rFonts w:asciiTheme="majorHAnsi" w:hAnsiTheme="majorHAnsi" w:cstheme="majorHAnsi"/>
          <w:lang w:eastAsia="ar-SA"/>
        </w:rPr>
      </w:pPr>
      <w:r w:rsidRPr="006A56BF">
        <w:rPr>
          <w:rFonts w:asciiTheme="majorHAnsi" w:hAnsiTheme="majorHAnsi" w:cstheme="majorHAnsi"/>
          <w:lang w:eastAsia="ar-SA"/>
        </w:rPr>
        <w:t>zemědělské a</w:t>
      </w:r>
      <w:r w:rsidRPr="006A56BF">
        <w:rPr>
          <w:rFonts w:asciiTheme="majorHAnsi" w:hAnsiTheme="majorHAnsi" w:cstheme="majorHAnsi"/>
        </w:rPr>
        <w:t> </w:t>
      </w:r>
      <w:r w:rsidRPr="006A56BF">
        <w:rPr>
          <w:rFonts w:asciiTheme="majorHAnsi" w:hAnsiTheme="majorHAnsi" w:cstheme="majorHAnsi"/>
          <w:lang w:eastAsia="ar-SA"/>
        </w:rPr>
        <w:t>biologicko-environmentální vědy.</w:t>
      </w:r>
    </w:p>
    <w:p w:rsidR="00731241" w:rsidRPr="00331F75" w:rsidP="006A56BF" w14:paraId="118802FD" w14:textId="77777777">
      <w:r w:rsidRPr="00331F75">
        <w:rPr>
          <w:lang w:eastAsia="ar-SA"/>
        </w:rPr>
        <w:t>Každoročně poskytuje v rámci vyhlášených programů na základě výsledků veřejné soutěže ve výzkumu a vývoji finanční podporu na vědecké projekty jak pro erudované vědce a týmy, tak pro mladé a začínající vědeck</w:t>
      </w:r>
      <w:r>
        <w:rPr>
          <w:lang w:eastAsia="ar-SA"/>
        </w:rPr>
        <w:t>é pracovníky,</w:t>
      </w:r>
      <w:r w:rsidRPr="00331F75">
        <w:rPr>
          <w:lang w:eastAsia="ar-SA"/>
        </w:rPr>
        <w:t xml:space="preserve"> financuje </w:t>
      </w:r>
      <w:r>
        <w:rPr>
          <w:lang w:eastAsia="ar-SA"/>
        </w:rPr>
        <w:t xml:space="preserve">také </w:t>
      </w:r>
      <w:r w:rsidRPr="00331F75">
        <w:rPr>
          <w:lang w:eastAsia="ar-SA"/>
        </w:rPr>
        <w:t xml:space="preserve">mezinárodní vědecké projekty. </w:t>
      </w:r>
      <w:r w:rsidRPr="00331F75">
        <w:t xml:space="preserve">GA ČR tak zastává klíčovou roli při rozdělování účelových prostředků na základní výzkum v České republice. </w:t>
      </w:r>
    </w:p>
    <w:p w:rsidR="00731241" w:rsidRPr="006A56BF" w:rsidP="00731241" w14:paraId="29E74F25" w14:textId="77777777">
      <w:pPr>
        <w:pStyle w:val="Heading2"/>
        <w:ind w:left="540" w:hanging="540"/>
        <w:rPr>
          <w:rFonts w:ascii="Calibri" w:hAnsi="Calibri"/>
          <w:iCs/>
        </w:rPr>
      </w:pPr>
      <w:bookmarkStart w:id="9" w:name="_Toc443572112"/>
      <w:bookmarkStart w:id="10" w:name="_Toc256000005"/>
      <w:r w:rsidRPr="006A56BF">
        <w:rPr>
          <w:rFonts w:ascii="Calibri" w:eastAsia="Times New Roman" w:hAnsi="Calibri"/>
          <w:iCs/>
        </w:rPr>
        <w:t xml:space="preserve">3.1. </w:t>
      </w:r>
      <w:r w:rsidRPr="006A56BF">
        <w:rPr>
          <w:rFonts w:ascii="Calibri" w:eastAsia="Times New Roman" w:hAnsi="Calibri"/>
          <w:bCs/>
        </w:rPr>
        <w:t>Koncepce směřování GA ČR, dílčí cíle a</w:t>
      </w:r>
      <w:r w:rsidRPr="006A56BF">
        <w:rPr>
          <w:rFonts w:ascii="Calibri" w:hAnsi="Calibri"/>
          <w:iCs/>
        </w:rPr>
        <w:t xml:space="preserve"> strategie jejich dosahování</w:t>
      </w:r>
      <w:bookmarkEnd w:id="10"/>
      <w:bookmarkEnd w:id="9"/>
      <w:r w:rsidRPr="006A56BF">
        <w:rPr>
          <w:rFonts w:ascii="Calibri" w:hAnsi="Calibri"/>
          <w:iCs/>
        </w:rPr>
        <w:t xml:space="preserve"> </w:t>
      </w:r>
    </w:p>
    <w:p w:rsidR="00731241" w:rsidRPr="006A56BF" w:rsidP="006A56BF" w14:paraId="29D410DD" w14:textId="77777777">
      <w:pPr>
        <w:rPr>
          <w:rFonts w:eastAsia="Calibri" w:asciiTheme="majorHAnsi" w:hAnsiTheme="majorHAnsi" w:cstheme="majorHAnsi"/>
          <w:lang w:eastAsia="ar-SA"/>
        </w:rPr>
      </w:pPr>
      <w:r w:rsidRPr="006A56BF">
        <w:rPr>
          <w:rFonts w:asciiTheme="majorHAnsi" w:hAnsiTheme="majorHAnsi" w:cstheme="majorHAnsi"/>
        </w:rPr>
        <w:t>Cílem této Koncepce je potvrdit, stabilizovat a dále rozvíjet činnost GA ČR v pozici jedné z vyspělých evropských grantových agentur zapojených do budování Evropského výzkumného prostoru ERA, podporujících základní výzkum v celé šíři.</w:t>
      </w:r>
    </w:p>
    <w:p w:rsidR="00731241" w:rsidRPr="006A56BF" w:rsidP="006A56BF" w14:paraId="4797C0A2" w14:textId="77777777">
      <w:pPr>
        <w:rPr>
          <w:rFonts w:asciiTheme="majorHAnsi" w:hAnsiTheme="majorHAnsi" w:cstheme="majorHAnsi"/>
          <w:b/>
        </w:rPr>
      </w:pPr>
      <w:r w:rsidRPr="006A56BF">
        <w:rPr>
          <w:rFonts w:asciiTheme="majorHAnsi" w:hAnsiTheme="majorHAnsi" w:cstheme="majorHAnsi"/>
        </w:rPr>
        <w:t>Vizí GA ČR pro následující roky je vytvářet podmínky pro excelentní výzkum ve všech vědních oblastech, napomáhat rozvoji mezinárodní vědecké spolupráce a v návaznosti na současný systém zlepšovat podmínky pro podporu grantových projektů základního výzkumu a přispět tak k hlavnímu cíli vize České republiky jako země, která se stane nejen symbolem znalostí a pokročilých technologií, ale rovněž hostitelem nejvýznamnějších světových vědeckých kapacit a zemí pro budoucnost dle Inovační strategie České republiky 2019–2030. Hlavním cílem GA ČR je tak naplňovat tuto vizi v maximální možné míře s ohledem na omezené lidské, věcné a finanční možnosti ČR.</w:t>
      </w:r>
    </w:p>
    <w:p w:rsidR="00731241" w:rsidRPr="006A56BF" w:rsidP="006A56BF" w14:paraId="23C5D23B" w14:textId="77777777">
      <w:pPr>
        <w:rPr>
          <w:rFonts w:asciiTheme="majorHAnsi" w:hAnsiTheme="majorHAnsi" w:cstheme="majorHAnsi"/>
        </w:rPr>
      </w:pPr>
      <w:r w:rsidRPr="006A56BF">
        <w:rPr>
          <w:rFonts w:asciiTheme="majorHAnsi" w:hAnsiTheme="majorHAnsi" w:cstheme="majorHAnsi"/>
        </w:rPr>
        <w:t xml:space="preserve">Základní výzkum je klíčovým prvkem poznání a vyžaduje dlouhodobý, koncepční a pečlivý přístup. Zatímco jiné druhy výzkumu mohou (a do jisté míry je to i žádoucí) být ovlivněny aktuální potřebou, trendy nebo dokonce politickými či „módními“ vlivy, základní výzkum ve své ryzí podobě je vyústěním přirozené touhy po poznání. V tomto směru je základní výzkum předpokladem rozvoje aplikovaného </w:t>
      </w:r>
      <w:r w:rsidRPr="006A56BF">
        <w:rPr>
          <w:rFonts w:asciiTheme="majorHAnsi" w:hAnsiTheme="majorHAnsi" w:cstheme="majorHAnsi"/>
        </w:rPr>
        <w:t>výzkumu a vývoje. Bez kvalitního základního výzkumu nelze budovat a rozvíjet ani kvalitní orientovaný základní či aplikovaný výzkum.</w:t>
      </w:r>
    </w:p>
    <w:p w:rsidR="00731241" w:rsidRPr="00331F75" w:rsidP="006A56BF" w14:paraId="771EF0EE" w14:textId="77777777">
      <w:pPr>
        <w:rPr>
          <w:rFonts w:cs="Times New Roman"/>
          <w:sz w:val="24"/>
          <w:szCs w:val="24"/>
        </w:rPr>
      </w:pPr>
      <w:r w:rsidRPr="006A56BF">
        <w:rPr>
          <w:rFonts w:asciiTheme="majorHAnsi" w:hAnsiTheme="majorHAnsi" w:cstheme="majorHAnsi"/>
        </w:rPr>
        <w:t>Cílem základního výzkumu není bezprostředně přinést měřitelné ekonomické efekty. Přínosy základního výzkumu se mohou projevit až s odstupem několika let či desetiletí. Proto ve financování základního výzkumu v celém vyspělém světě hraje dominantní roli stát. Veřejné prostředky jsou pak rozdělovány na projekty základního výzkumu institucemi, jejichž úkolem je vybrat a podpořit ty nejlepší projekty a vytvářet podmínky pro rozvoj excelentního výzkumu. Pro excelentní základní výzkum je důležitým znakem to, že je prováděn „bottom-up“, tedy že výzkumníci sami určují, jaké bude téma jejich bádání a jaké budou cíle a zaměření jejich práce. GA ČR jim nedává v rámci základního výzkumu žádná zadání, podporuje tím tedy vědeckou svobodu, která je nezbytná pro bádání a objevování nových poznatků. Zároveň je však důležité, aby výsledky výzkumu byly relevantní a rozpoznatelné vědeckou komunitou, a to ideálně tou zahraniční.</w:t>
      </w:r>
      <w:r>
        <w:rPr>
          <w:rStyle w:val="FootnoteReference"/>
          <w:rFonts w:asciiTheme="majorHAnsi" w:hAnsiTheme="majorHAnsi" w:cstheme="majorHAnsi"/>
          <w:iCs/>
        </w:rPr>
        <w:footnoteReference w:id="4"/>
      </w:r>
    </w:p>
    <w:p w:rsidR="00731241" w:rsidRPr="006A56BF" w:rsidP="00731241" w14:paraId="790DCFF2" w14:textId="77777777">
      <w:pPr>
        <w:pStyle w:val="Heading2"/>
        <w:ind w:left="540" w:hanging="540"/>
        <w:rPr>
          <w:rFonts w:ascii="Calibri" w:eastAsia="Times New Roman" w:hAnsi="Calibri"/>
          <w:iCs/>
        </w:rPr>
      </w:pPr>
      <w:bookmarkStart w:id="11" w:name="_Toc443572113"/>
      <w:bookmarkStart w:id="12" w:name="_Toc256000006"/>
      <w:r w:rsidRPr="006A56BF">
        <w:rPr>
          <w:rFonts w:ascii="Calibri" w:eastAsia="Times New Roman" w:hAnsi="Calibri"/>
          <w:iCs/>
        </w:rPr>
        <w:t>3.2. Podpora excelentního a mezinárodně uznávaného výzkumu</w:t>
      </w:r>
      <w:bookmarkEnd w:id="12"/>
      <w:bookmarkEnd w:id="11"/>
    </w:p>
    <w:p w:rsidR="00731241" w:rsidRPr="006A56BF" w:rsidP="006A56BF" w14:paraId="21EF6FED" w14:textId="77777777">
      <w:pPr>
        <w:rPr>
          <w:rFonts w:asciiTheme="majorHAnsi" w:hAnsiTheme="majorHAnsi" w:cstheme="majorHAnsi"/>
        </w:rPr>
      </w:pPr>
      <w:r w:rsidRPr="006A56BF">
        <w:rPr>
          <w:rFonts w:asciiTheme="majorHAnsi" w:hAnsiTheme="majorHAnsi" w:cstheme="majorHAnsi"/>
        </w:rPr>
        <w:t xml:space="preserve">GA ČR dlouhodobě usiluje o to, aby excelentní výzkum byl i v České republice nejen zastoupený, ale aby tvořil významnou část základního výzkumu, který se v ČR pěstuje. Pro to vytváří a bude dále rozvíjet a zdokonalovat odpovídající podmínky. První takovou podmínkou je nastavení transparentních a mezinárodně srovnatelných mechanismů hodnoticích procesů a struktur. GA ČR díky systému panelů složených z mezinárodně uznávaných vědeckých osobností a postupům hodnocení grantových projektů jako celku dosahuje mezinárodních kritérií pro výběr kvalitních a vyhledávání excelentních projektů. </w:t>
      </w:r>
    </w:p>
    <w:p w:rsidR="00731241" w:rsidRPr="006A56BF" w:rsidP="006A56BF" w14:paraId="79A5980F" w14:textId="77777777">
      <w:pPr>
        <w:rPr>
          <w:rFonts w:asciiTheme="majorHAnsi" w:hAnsiTheme="majorHAnsi" w:cstheme="majorHAnsi"/>
        </w:rPr>
      </w:pPr>
      <w:r w:rsidRPr="006A56BF">
        <w:rPr>
          <w:rFonts w:asciiTheme="majorHAnsi" w:hAnsiTheme="majorHAnsi" w:cstheme="majorHAnsi"/>
        </w:rPr>
        <w:t xml:space="preserve">Aby se v České republice mohl excelentní výzkum rozvíjet, je nezbytné, aby GA ČR mohla důsledně plnit svoji úlohu poskytovatele podpory základního výzkumu, neustále zlepšovala a optimalizovala procesy hodnocení a rozhodování. Dosavadní výsledky působení Grantové agentury ČR ukazují, že tuto roli plní zodpovědně a že podpora excelentního výzkumu v ČR je cílem, který je reálný. </w:t>
      </w:r>
    </w:p>
    <w:p w:rsidR="00731241" w:rsidRPr="006A56BF" w:rsidP="006A56BF" w14:paraId="60C763CB" w14:textId="77777777">
      <w:pPr>
        <w:rPr>
          <w:rFonts w:asciiTheme="majorHAnsi" w:hAnsiTheme="majorHAnsi" w:cstheme="majorHAnsi"/>
        </w:rPr>
      </w:pPr>
      <w:r w:rsidRPr="006A56BF">
        <w:rPr>
          <w:rFonts w:asciiTheme="majorHAnsi" w:hAnsiTheme="majorHAnsi" w:cstheme="majorHAnsi"/>
        </w:rPr>
        <w:t>Excelentní výzkum realizovaný za pomoci účelových prostředků rozdělovaných GA ČR bude přinášet pozitivní dopady v několika ohledech.</w:t>
      </w:r>
    </w:p>
    <w:p w:rsidR="00731241" w:rsidRPr="006A56BF" w:rsidP="006A56BF" w14:paraId="5C4C55C2" w14:textId="77777777">
      <w:pPr>
        <w:rPr>
          <w:rFonts w:asciiTheme="majorHAnsi" w:hAnsiTheme="majorHAnsi" w:cstheme="majorHAnsi"/>
        </w:rPr>
      </w:pPr>
      <w:r w:rsidRPr="006A56BF">
        <w:rPr>
          <w:rFonts w:asciiTheme="majorHAnsi" w:hAnsiTheme="majorHAnsi" w:cstheme="majorHAnsi"/>
        </w:rPr>
        <w:t>Za prvé to je samotná produkce špičkových výsledků, které mohou být nadále využívány celým spektrem uživatelů a také dále rozvíjeny aplikovaným výzkumem. Ten pak přinese mimo jiné i ekonomický či jiný společenský efekt takovýchto výsledků. I zde platí přímá úměrnost – čím originálnější a kvalitnější je základní výzkum a jeho výsledky, tím více aplikačního potenciálu v sobě má a tím více pozitivních efektů může přinést.</w:t>
      </w:r>
    </w:p>
    <w:p w:rsidR="00731241" w:rsidRPr="006A56BF" w:rsidP="006A56BF" w14:paraId="7782ECB5" w14:textId="77777777">
      <w:pPr>
        <w:rPr>
          <w:rFonts w:asciiTheme="majorHAnsi" w:hAnsiTheme="majorHAnsi" w:cstheme="majorHAnsi"/>
        </w:rPr>
      </w:pPr>
      <w:r w:rsidRPr="006A56BF">
        <w:rPr>
          <w:rFonts w:asciiTheme="majorHAnsi" w:hAnsiTheme="majorHAnsi" w:cstheme="majorHAnsi"/>
        </w:rPr>
        <w:t>Synergickým efektem pozitivních dopadů excelentního výzkumu je i zájem dalších subjektů o takovýto výzkum. Může se jednat o investory, prestižní vědecké instituce nebo další subjekty, pro které bude excelentní výzkum v ČR znamenat pozitivní signál ke spolupráci, což opět bude mít příznivé dopady pro ČR.</w:t>
      </w:r>
    </w:p>
    <w:p w:rsidR="00731241" w:rsidRPr="006A56BF" w:rsidP="006A56BF" w14:paraId="74BFD7E8" w14:textId="77777777">
      <w:pPr>
        <w:rPr>
          <w:rFonts w:asciiTheme="majorHAnsi" w:hAnsiTheme="majorHAnsi" w:cstheme="majorHAnsi"/>
        </w:rPr>
      </w:pPr>
      <w:r w:rsidRPr="006A56BF">
        <w:rPr>
          <w:rFonts w:asciiTheme="majorHAnsi" w:hAnsiTheme="majorHAnsi" w:cstheme="majorHAnsi"/>
        </w:rPr>
        <w:t xml:space="preserve">Jednou z cest k dosažení excelence je podpora mezinárodní spolupráce ve výzkumu. Úkolem GA ČR pro další období tak bude prohloubení mezinárodní spolupráce jak v oblasti zkvalitňování hodnoticích </w:t>
      </w:r>
      <w:r w:rsidRPr="006A56BF">
        <w:rPr>
          <w:rFonts w:asciiTheme="majorHAnsi" w:hAnsiTheme="majorHAnsi" w:cstheme="majorHAnsi"/>
        </w:rPr>
        <w:t>procesů, tak i v oblasti podpory projektů mezinárodní vědecké spolupráce a spolupráce se zahraničními agenturami podporujícími základní výzkum.</w:t>
      </w:r>
    </w:p>
    <w:p w:rsidR="00731241" w:rsidRPr="006A56BF" w:rsidP="006A56BF" w14:paraId="7ECADEBB" w14:textId="77777777">
      <w:pPr>
        <w:rPr>
          <w:rFonts w:asciiTheme="majorHAnsi" w:hAnsiTheme="majorHAnsi" w:cstheme="majorHAnsi"/>
        </w:rPr>
      </w:pPr>
      <w:r w:rsidRPr="006A56BF">
        <w:rPr>
          <w:rFonts w:asciiTheme="majorHAnsi" w:hAnsiTheme="majorHAnsi" w:cstheme="majorHAnsi"/>
        </w:rPr>
        <w:t>Podpora excelence v základním výzkumu bude realizována zejména prostřednictvím projektů EXPRO a JUNIOR STAR, které umožňují realizovat vědecký výzkum na prvotřídní mezinárodní úrovni v prostředí českých výzkumných organizací a vytváří atraktivní podmínky pro špičkové odborníky. Využití zkušeností s hodnocením těchto skupin grantových projektů (SGP) při hodnocení ostatních SGP umožní podporu těm oborům, které dosahují špičkových výsledků srovnatelných s mezinárodními standardy.</w:t>
      </w:r>
    </w:p>
    <w:p w:rsidR="00731241" w:rsidRPr="006A56BF" w:rsidP="006A56BF" w14:paraId="47CFAB16" w14:textId="4B0A4108">
      <w:pPr>
        <w:rPr>
          <w:rFonts w:asciiTheme="majorHAnsi" w:hAnsiTheme="majorHAnsi" w:cstheme="majorHAnsi"/>
        </w:rPr>
      </w:pPr>
      <w:r w:rsidRPr="006A56BF">
        <w:t xml:space="preserve">Zásadní rozvoj se odehrál v rámci mezinárodních projektů. Je třeba zmínit úspěšný pilotní projekt CEUS - Central European Science Partnership, který přispěl k rozšiřování a prohlubování možností vědecké spolupráce v základním výzkumu v regionu střední Evropy. V rámci této iniciativy GA ČR uzavřela dne 17. 6. 2019 memorandum o vzájemné mezinárodní spolupráci s FWF (Rakousko), NCN (Polsko) a ARRS (Slovinsko), na základě které GA ČR s těmito agenturami realizuje Lead Agency projekty. Po prvním roce iniciativy CEUS se dále spolupráce přetransformovala a rozšířila na multilaterální spolupráci s 12 evropskými grantovými agenturami sdruženými v organizaci Science Europe.  Dne 18. 12. 2020 bylo podepsáno memorandum, které v rámci iniciativy nazvané Weave zahrnuje možnou nebo rozšířenou </w:t>
      </w:r>
      <w:r w:rsidRPr="006A56BF">
        <w:rPr>
          <w:rFonts w:asciiTheme="majorHAnsi" w:hAnsiTheme="majorHAnsi" w:cstheme="majorHAnsi"/>
        </w:rPr>
        <w:t>mezinárodní spolupráci s:</w:t>
      </w:r>
    </w:p>
    <w:p w:rsidR="00731241" w:rsidRPr="006A56BF" w:rsidP="00BD43EF" w14:paraId="04E34E47" w14:textId="77777777">
      <w:pPr>
        <w:pStyle w:val="ListParagraph"/>
        <w:numPr>
          <w:ilvl w:val="0"/>
          <w:numId w:val="3"/>
        </w:numPr>
        <w:rPr>
          <w:rFonts w:asciiTheme="majorHAnsi" w:hAnsiTheme="majorHAnsi" w:cstheme="majorHAnsi"/>
          <w:iCs/>
        </w:rPr>
      </w:pPr>
      <w:r w:rsidRPr="006A56BF">
        <w:rPr>
          <w:rFonts w:asciiTheme="majorHAnsi" w:hAnsiTheme="majorHAnsi" w:cstheme="majorHAnsi"/>
          <w:iCs/>
        </w:rPr>
        <w:t xml:space="preserve">Austrian Science Fund (FWF), Rakousko; </w:t>
      </w:r>
    </w:p>
    <w:p w:rsidR="00731241" w:rsidRPr="006A56BF" w:rsidP="00BD43EF" w14:paraId="1F3EA0C2" w14:textId="77777777">
      <w:pPr>
        <w:pStyle w:val="ListParagraph"/>
        <w:numPr>
          <w:ilvl w:val="0"/>
          <w:numId w:val="3"/>
        </w:numPr>
        <w:rPr>
          <w:rFonts w:asciiTheme="majorHAnsi" w:hAnsiTheme="majorHAnsi" w:cstheme="majorHAnsi"/>
          <w:iCs/>
        </w:rPr>
      </w:pPr>
      <w:r w:rsidRPr="006A56BF">
        <w:rPr>
          <w:rFonts w:asciiTheme="majorHAnsi" w:hAnsiTheme="majorHAnsi" w:cstheme="majorHAnsi"/>
          <w:iCs/>
        </w:rPr>
        <w:t>Research Foundation – Flanders (FWO), Belgie;</w:t>
      </w:r>
    </w:p>
    <w:p w:rsidR="00731241" w:rsidRPr="006A56BF" w:rsidP="00BD43EF" w14:paraId="40A9F756" w14:textId="77777777">
      <w:pPr>
        <w:pStyle w:val="ListParagraph"/>
        <w:numPr>
          <w:ilvl w:val="0"/>
          <w:numId w:val="3"/>
        </w:numPr>
        <w:rPr>
          <w:rFonts w:asciiTheme="majorHAnsi" w:hAnsiTheme="majorHAnsi" w:cstheme="majorHAnsi"/>
          <w:iCs/>
        </w:rPr>
      </w:pPr>
      <w:r w:rsidRPr="006A56BF">
        <w:rPr>
          <w:rFonts w:asciiTheme="majorHAnsi" w:hAnsiTheme="majorHAnsi" w:cstheme="majorHAnsi"/>
          <w:iCs/>
        </w:rPr>
        <w:t>Fund for Scientific Research (FNRS), Belgie;</w:t>
      </w:r>
    </w:p>
    <w:p w:rsidR="00731241" w:rsidRPr="006A56BF" w:rsidP="00BD43EF" w14:paraId="5382754F" w14:textId="77777777">
      <w:pPr>
        <w:pStyle w:val="ListParagraph"/>
        <w:numPr>
          <w:ilvl w:val="0"/>
          <w:numId w:val="3"/>
        </w:numPr>
        <w:rPr>
          <w:rFonts w:asciiTheme="majorHAnsi" w:hAnsiTheme="majorHAnsi" w:cstheme="majorHAnsi"/>
          <w:iCs/>
        </w:rPr>
      </w:pPr>
      <w:r w:rsidRPr="006A56BF">
        <w:rPr>
          <w:rFonts w:asciiTheme="majorHAnsi" w:hAnsiTheme="majorHAnsi" w:cstheme="majorHAnsi"/>
          <w:iCs/>
        </w:rPr>
        <w:t>Croatian Science Foundation (HRZZ), Chorvatsko;</w:t>
      </w:r>
    </w:p>
    <w:p w:rsidR="00731241" w:rsidRPr="006A56BF" w:rsidP="00BD43EF" w14:paraId="4EDB3416" w14:textId="77777777">
      <w:pPr>
        <w:pStyle w:val="ListParagraph"/>
        <w:numPr>
          <w:ilvl w:val="0"/>
          <w:numId w:val="3"/>
        </w:numPr>
        <w:rPr>
          <w:rFonts w:asciiTheme="majorHAnsi" w:hAnsiTheme="majorHAnsi" w:cstheme="majorHAnsi"/>
          <w:iCs/>
        </w:rPr>
      </w:pPr>
      <w:r w:rsidRPr="006A56BF">
        <w:rPr>
          <w:rFonts w:asciiTheme="majorHAnsi" w:hAnsiTheme="majorHAnsi" w:cstheme="majorHAnsi"/>
          <w:iCs/>
        </w:rPr>
        <w:t>German Research Foundation (DFG), Německo;</w:t>
      </w:r>
    </w:p>
    <w:p w:rsidR="00731241" w:rsidRPr="006A56BF" w:rsidP="00BD43EF" w14:paraId="4A6A0868" w14:textId="77777777">
      <w:pPr>
        <w:pStyle w:val="ListParagraph"/>
        <w:numPr>
          <w:ilvl w:val="0"/>
          <w:numId w:val="3"/>
        </w:numPr>
        <w:rPr>
          <w:rFonts w:asciiTheme="majorHAnsi" w:hAnsiTheme="majorHAnsi" w:cstheme="majorHAnsi"/>
          <w:iCs/>
        </w:rPr>
      </w:pPr>
      <w:r w:rsidRPr="006A56BF">
        <w:rPr>
          <w:rFonts w:asciiTheme="majorHAnsi" w:hAnsiTheme="majorHAnsi" w:cstheme="majorHAnsi"/>
          <w:iCs/>
        </w:rPr>
        <w:t>Luxembourg National Research Fund (FNR), Lucembursko;</w:t>
      </w:r>
    </w:p>
    <w:p w:rsidR="00731241" w:rsidRPr="006A56BF" w:rsidP="00BD43EF" w14:paraId="60D16482" w14:textId="77777777">
      <w:pPr>
        <w:pStyle w:val="ListParagraph"/>
        <w:numPr>
          <w:ilvl w:val="0"/>
          <w:numId w:val="3"/>
        </w:numPr>
        <w:rPr>
          <w:rFonts w:asciiTheme="majorHAnsi" w:hAnsiTheme="majorHAnsi" w:cstheme="majorHAnsi"/>
          <w:iCs/>
        </w:rPr>
      </w:pPr>
      <w:r w:rsidRPr="006A56BF">
        <w:rPr>
          <w:rFonts w:asciiTheme="majorHAnsi" w:hAnsiTheme="majorHAnsi" w:cstheme="majorHAnsi"/>
          <w:iCs/>
        </w:rPr>
        <w:t>Research Council of Norway (RCN), Norsko;</w:t>
      </w:r>
    </w:p>
    <w:p w:rsidR="00731241" w:rsidRPr="006A56BF" w:rsidP="00BD43EF" w14:paraId="5C09AA30" w14:textId="77777777">
      <w:pPr>
        <w:pStyle w:val="ListParagraph"/>
        <w:numPr>
          <w:ilvl w:val="0"/>
          <w:numId w:val="3"/>
        </w:numPr>
        <w:rPr>
          <w:rFonts w:asciiTheme="majorHAnsi" w:hAnsiTheme="majorHAnsi" w:cstheme="majorHAnsi"/>
          <w:iCs/>
        </w:rPr>
      </w:pPr>
      <w:r w:rsidRPr="006A56BF">
        <w:rPr>
          <w:rFonts w:asciiTheme="majorHAnsi" w:hAnsiTheme="majorHAnsi" w:cstheme="majorHAnsi"/>
          <w:iCs/>
        </w:rPr>
        <w:t>National Science Centre (NCN), Polsko;</w:t>
      </w:r>
    </w:p>
    <w:p w:rsidR="00731241" w:rsidRPr="006A56BF" w:rsidP="00BD43EF" w14:paraId="79D2E0E8" w14:textId="77777777">
      <w:pPr>
        <w:pStyle w:val="ListParagraph"/>
        <w:numPr>
          <w:ilvl w:val="0"/>
          <w:numId w:val="3"/>
        </w:numPr>
        <w:rPr>
          <w:rFonts w:asciiTheme="majorHAnsi" w:hAnsiTheme="majorHAnsi" w:cstheme="majorHAnsi"/>
          <w:iCs/>
        </w:rPr>
      </w:pPr>
      <w:r w:rsidRPr="006A56BF">
        <w:rPr>
          <w:rFonts w:asciiTheme="majorHAnsi" w:hAnsiTheme="majorHAnsi" w:cstheme="majorHAnsi"/>
          <w:iCs/>
        </w:rPr>
        <w:t xml:space="preserve">Slovenian Research Agency (ARRS), Slovinsko; </w:t>
      </w:r>
    </w:p>
    <w:p w:rsidR="00731241" w:rsidRPr="006A56BF" w:rsidP="00BD43EF" w14:paraId="2A0B0C95" w14:textId="77777777">
      <w:pPr>
        <w:pStyle w:val="ListParagraph"/>
        <w:numPr>
          <w:ilvl w:val="0"/>
          <w:numId w:val="3"/>
        </w:numPr>
        <w:rPr>
          <w:rFonts w:asciiTheme="majorHAnsi" w:hAnsiTheme="majorHAnsi" w:cstheme="majorHAnsi"/>
          <w:iCs/>
        </w:rPr>
      </w:pPr>
      <w:r w:rsidRPr="006A56BF">
        <w:rPr>
          <w:rFonts w:asciiTheme="majorHAnsi" w:hAnsiTheme="majorHAnsi" w:cstheme="majorHAnsi"/>
          <w:iCs/>
        </w:rPr>
        <w:t>Swedish Research Council for Sustainable Development (Formas), Švédsko;</w:t>
      </w:r>
    </w:p>
    <w:p w:rsidR="00731241" w:rsidRPr="006A56BF" w:rsidP="00BD43EF" w14:paraId="04EE83FA" w14:textId="77777777">
      <w:pPr>
        <w:pStyle w:val="ListParagraph"/>
        <w:numPr>
          <w:ilvl w:val="0"/>
          <w:numId w:val="3"/>
        </w:numPr>
        <w:rPr>
          <w:rFonts w:asciiTheme="majorHAnsi" w:hAnsiTheme="majorHAnsi" w:cstheme="majorHAnsi"/>
          <w:iCs/>
        </w:rPr>
      </w:pPr>
      <w:r w:rsidRPr="006A56BF">
        <w:rPr>
          <w:rFonts w:asciiTheme="majorHAnsi" w:hAnsiTheme="majorHAnsi" w:cstheme="majorHAnsi"/>
          <w:iCs/>
        </w:rPr>
        <w:t>Swiss National Science Foundation (SNSF), Švýcarsko.</w:t>
      </w:r>
    </w:p>
    <w:p w:rsidR="00731241" w:rsidRPr="006A56BF" w:rsidP="006A56BF" w14:paraId="4D49CB1C" w14:textId="77777777">
      <w:pPr>
        <w:rPr>
          <w:rFonts w:asciiTheme="majorHAnsi" w:hAnsiTheme="majorHAnsi" w:cstheme="majorHAnsi"/>
          <w:iCs/>
        </w:rPr>
      </w:pPr>
      <w:r w:rsidRPr="006A56BF">
        <w:rPr>
          <w:rFonts w:asciiTheme="majorHAnsi" w:hAnsiTheme="majorHAnsi" w:cstheme="majorHAnsi"/>
          <w:iCs/>
        </w:rPr>
        <w:t>Předpokládá se, že se spolupráce rozšíří i na další agentury, které v současné době vystupují v roli pozorovatele:</w:t>
      </w:r>
    </w:p>
    <w:p w:rsidR="00731241" w:rsidRPr="006A56BF" w:rsidP="00BD43EF" w14:paraId="2301E157" w14:textId="77777777">
      <w:pPr>
        <w:pStyle w:val="ListParagraph"/>
        <w:numPr>
          <w:ilvl w:val="0"/>
          <w:numId w:val="4"/>
        </w:numPr>
        <w:rPr>
          <w:rFonts w:asciiTheme="majorHAnsi" w:hAnsiTheme="majorHAnsi" w:cstheme="majorHAnsi"/>
          <w:iCs/>
        </w:rPr>
      </w:pPr>
      <w:r w:rsidRPr="006A56BF">
        <w:rPr>
          <w:rFonts w:asciiTheme="majorHAnsi" w:hAnsiTheme="majorHAnsi" w:cstheme="majorHAnsi"/>
          <w:iCs/>
        </w:rPr>
        <w:t>Academy of Finland (AKA), Finsko;</w:t>
      </w:r>
    </w:p>
    <w:p w:rsidR="00731241" w:rsidRPr="006A56BF" w:rsidP="00BD43EF" w14:paraId="1A2E9D3A" w14:textId="77777777">
      <w:pPr>
        <w:pStyle w:val="ListParagraph"/>
        <w:numPr>
          <w:ilvl w:val="0"/>
          <w:numId w:val="4"/>
        </w:numPr>
        <w:rPr>
          <w:rFonts w:asciiTheme="majorHAnsi" w:hAnsiTheme="majorHAnsi" w:cstheme="majorHAnsi"/>
          <w:iCs/>
        </w:rPr>
      </w:pPr>
      <w:r w:rsidRPr="006A56BF">
        <w:rPr>
          <w:rFonts w:asciiTheme="majorHAnsi" w:hAnsiTheme="majorHAnsi" w:cstheme="majorHAnsi"/>
          <w:iCs/>
        </w:rPr>
        <w:t>Agence Nationale de la Recherche (ANR), Francie;</w:t>
      </w:r>
    </w:p>
    <w:p w:rsidR="00731241" w:rsidRPr="006A56BF" w:rsidP="00BD43EF" w14:paraId="09526CA7" w14:textId="77777777">
      <w:pPr>
        <w:pStyle w:val="ListParagraph"/>
        <w:numPr>
          <w:ilvl w:val="0"/>
          <w:numId w:val="4"/>
        </w:numPr>
        <w:rPr>
          <w:rFonts w:asciiTheme="majorHAnsi" w:hAnsiTheme="majorHAnsi" w:cstheme="majorHAnsi"/>
          <w:iCs/>
        </w:rPr>
      </w:pPr>
      <w:r w:rsidRPr="006A56BF">
        <w:rPr>
          <w:rFonts w:asciiTheme="majorHAnsi" w:hAnsiTheme="majorHAnsi" w:cstheme="majorHAnsi"/>
          <w:iCs/>
        </w:rPr>
        <w:t>Science Foundation Ireland (SFI), Irsko;</w:t>
      </w:r>
    </w:p>
    <w:p w:rsidR="00731241" w:rsidRPr="006A56BF" w:rsidP="00BD43EF" w14:paraId="3A1EE715" w14:textId="77777777">
      <w:pPr>
        <w:pStyle w:val="ListParagraph"/>
        <w:numPr>
          <w:ilvl w:val="0"/>
          <w:numId w:val="4"/>
        </w:numPr>
        <w:rPr>
          <w:rFonts w:asciiTheme="majorHAnsi" w:hAnsiTheme="majorHAnsi" w:cstheme="majorHAnsi"/>
          <w:iCs/>
        </w:rPr>
      </w:pPr>
      <w:r w:rsidRPr="006A56BF">
        <w:rPr>
          <w:rFonts w:asciiTheme="majorHAnsi" w:hAnsiTheme="majorHAnsi" w:cstheme="majorHAnsi"/>
          <w:iCs/>
        </w:rPr>
        <w:t>Foundation for Science and Technology (FCT), Portugalsko;</w:t>
      </w:r>
    </w:p>
    <w:p w:rsidR="00731241" w:rsidRPr="006A56BF" w:rsidP="00BD43EF" w14:paraId="4E93F51B" w14:textId="77777777">
      <w:pPr>
        <w:pStyle w:val="ListParagraph"/>
        <w:numPr>
          <w:ilvl w:val="0"/>
          <w:numId w:val="4"/>
        </w:numPr>
        <w:rPr>
          <w:rFonts w:asciiTheme="majorHAnsi" w:hAnsiTheme="majorHAnsi" w:cstheme="majorHAnsi"/>
          <w:iCs/>
        </w:rPr>
      </w:pPr>
      <w:r w:rsidRPr="006A56BF">
        <w:rPr>
          <w:rFonts w:asciiTheme="majorHAnsi" w:hAnsiTheme="majorHAnsi" w:cstheme="majorHAnsi"/>
          <w:iCs/>
        </w:rPr>
        <w:t>Netherlands Organisation for Scientific Research (NWO), Nizozemí;</w:t>
      </w:r>
    </w:p>
    <w:p w:rsidR="00731241" w:rsidRPr="006A56BF" w:rsidP="00BD43EF" w14:paraId="1D2EFCE7" w14:textId="77777777">
      <w:pPr>
        <w:pStyle w:val="ListParagraph"/>
        <w:numPr>
          <w:ilvl w:val="0"/>
          <w:numId w:val="4"/>
        </w:numPr>
        <w:rPr>
          <w:rFonts w:asciiTheme="majorHAnsi" w:hAnsiTheme="majorHAnsi" w:cstheme="majorHAnsi"/>
          <w:iCs/>
        </w:rPr>
      </w:pPr>
      <w:r w:rsidRPr="006A56BF">
        <w:rPr>
          <w:rFonts w:asciiTheme="majorHAnsi" w:hAnsiTheme="majorHAnsi" w:cstheme="majorHAnsi"/>
          <w:iCs/>
        </w:rPr>
        <w:t>UK Research and Innovation (UKRI), Velká Británie.</w:t>
      </w:r>
    </w:p>
    <w:p w:rsidR="00731241" w:rsidRPr="006A56BF" w:rsidP="006A56BF" w14:paraId="237B0CBD" w14:textId="77777777">
      <w:pPr>
        <w:rPr>
          <w:rFonts w:asciiTheme="majorHAnsi" w:hAnsiTheme="majorHAnsi" w:cstheme="majorHAnsi"/>
          <w:iCs/>
        </w:rPr>
      </w:pPr>
      <w:r w:rsidRPr="006A56BF">
        <w:rPr>
          <w:rFonts w:asciiTheme="majorHAnsi" w:hAnsiTheme="majorHAnsi" w:cstheme="majorHAnsi"/>
          <w:iCs/>
        </w:rPr>
        <w:t>Od podpisu „Multirateral Lead Ageny Agreement – Weave“ začalo také uzavírání příslušných bilaterálních smluv s jednotlivými signatáři MLA – Weave. První výzvy na základě této iniciativy se vyhlašují počínaje rokem 2021 a poskytování podpory započne v roce 2022. Tyto smlouvy umožní vědcům z výše uvedených zemí bilaterální a multilaterální spolupráce na principu hodnocení Lead Agency. V budoucnu lze předpokládat i další možnosti pro multilaterální LA granty.</w:t>
      </w:r>
    </w:p>
    <w:p w:rsidR="00731241" w:rsidRPr="006A56BF" w:rsidP="006A56BF" w14:paraId="42A47910" w14:textId="77777777">
      <w:pPr>
        <w:rPr>
          <w:rFonts w:asciiTheme="majorHAnsi" w:hAnsiTheme="majorHAnsi" w:cstheme="majorHAnsi"/>
          <w:iCs/>
        </w:rPr>
      </w:pPr>
      <w:r w:rsidRPr="006A56BF">
        <w:rPr>
          <w:rFonts w:asciiTheme="majorHAnsi" w:hAnsiTheme="majorHAnsi" w:cstheme="majorHAnsi"/>
          <w:iCs/>
        </w:rPr>
        <w:t>Další z priorit je podpora vytvářející podmínky pro začínající vědecké pracovníky v rámci nové skupiny grantových projektů POSTDOC INDIVIDUAL FELLOWSHIP. Přínosem bude vytvoření mezinárodního prostředí v českých výzkumných organizacích podporou talentovaných začínajících vědců přicházejících ze zahraničí a podpora českých začínajících vědců, kterým se umožní dvouletá mezinárodní stáž.</w:t>
      </w:r>
    </w:p>
    <w:p w:rsidR="00731241" w:rsidRPr="006A56BF" w:rsidP="00731241" w14:paraId="3AC542D0" w14:textId="77777777">
      <w:pPr>
        <w:pStyle w:val="Heading2"/>
        <w:ind w:left="540" w:hanging="540"/>
        <w:rPr>
          <w:rFonts w:ascii="Calibri" w:eastAsia="Times New Roman" w:hAnsi="Calibri"/>
          <w:iCs/>
        </w:rPr>
      </w:pPr>
      <w:bookmarkStart w:id="13" w:name="_Toc443572114"/>
      <w:bookmarkStart w:id="14" w:name="_Toc256000007"/>
      <w:r w:rsidRPr="006A56BF">
        <w:rPr>
          <w:rFonts w:ascii="Calibri" w:eastAsia="Times New Roman" w:hAnsi="Calibri"/>
          <w:iCs/>
        </w:rPr>
        <w:t>3.3. Rozvoj lidských zdrojů</w:t>
      </w:r>
      <w:bookmarkEnd w:id="14"/>
      <w:bookmarkEnd w:id="13"/>
    </w:p>
    <w:p w:rsidR="00731241" w:rsidRPr="00331F75" w:rsidP="006A56BF" w14:paraId="3CA103E6" w14:textId="77777777">
      <w:r w:rsidRPr="00331F75">
        <w:t xml:space="preserve">Excelentního výzkumu není možné dosahovat bez dostatečného personálního zázemí výzkumných organizací. Výchova vědeckých pracovníků a jejich odborný růst jsou dlouhodobou záležitostí, kterou je nutné ve veřejném zájmu podporovat. Mladí vědci často přicházejí s průlomovými myšlenkami, GA ČR bude proto i nadále podporovat a rozvíjet stávající a hledat nové formy podpory mladých a začínajících vědců tak, aby se po získání zkušeností na zahraničních vědeckých institucích vraceli do ČR a postupně si budovali své (mezinárodní) výzkumné týmy. </w:t>
      </w:r>
    </w:p>
    <w:p w:rsidR="00731241" w:rsidRPr="00331F75" w:rsidP="006A56BF" w14:paraId="081F5C56" w14:textId="77777777">
      <w:r w:rsidRPr="00331F75">
        <w:t>Jedním z nástrojů podpory domácích a zahraničních vědeckých pracovníků na počátku jejich kariéry, překonávání bariér ve smyslu mezinárodní spolupráce, sdílení a získávání zkušeností je zmíněná skupina grantových projektů POSTDOC INDIVIDUAL FELLOWSHIP. Ta umožňuje domácím vědeckým pracovníkům realizovat jejich vlastní vědecký záměr zahrnující dlouhodobou zahraniční vědeckou stáž a působení na domácí instituci, v případě excelentních zahraničních vědeckých pracovníků má za úkol motivovat je k realizaci jejich vlastního vědeckého záměru na instituci v České republice. Předpokládá se, že udělení podpory v rámci navrhované skupiny grantových projektů bude mít výraznou možnost pozvednout kvalitu vědy v rámci výzkumné skupiny, ale i v jejím okolí v rámci výzkumné instituce. Tyto efekty se následně velmi dobře zúročí v pozicích začínajících vědeckých pracovníků a mohou sehrát klíčovou roli při budování jejich kariéry. Přímý kontakt a zapojení se do excelentní vědy bude mít za následek mnohem širší zájem o dlouhodobé působení ve vědě a snahu být v ní úspěšný.</w:t>
      </w:r>
    </w:p>
    <w:p w:rsidR="00731241" w:rsidRPr="00331F75" w:rsidP="006A56BF" w14:paraId="3625F130" w14:textId="77777777">
      <w:bookmarkStart w:id="15" w:name="_Hlk58313449"/>
      <w:r w:rsidRPr="00331F75">
        <w:t>GA ČR si je vědoma také ostatních potenciálních překážek v kariérním rozvoji v rámci vědecké činnosti, jako je například kariérní přestávka v důsledku péče o</w:t>
      </w:r>
      <w:r>
        <w:t xml:space="preserve"> dítě (nebo jiného člena rodiny nebo </w:t>
      </w:r>
      <w:r w:rsidRPr="00331F75">
        <w:t>domácnosti). Tato kariérní přestávka může často znamenat sníženou možnost zapojení se zpět do výzkumného týmu. Tzv. návratové granty jsou v zahraničí běžnou součástí podpory rovných příležitostí žen a mužů ve vědecké profesi, umožňují získat čas a</w:t>
      </w:r>
      <w:r>
        <w:t> prostor</w:t>
      </w:r>
      <w:r w:rsidRPr="00331F75">
        <w:t xml:space="preserve"> na nastudování nových informací a poznatků z doby kariérní přestávky, podporují znovuustavení vědeckých kontaktů prostřednictvím účasti na konferencích a znovu</w:t>
      </w:r>
      <w:r>
        <w:t xml:space="preserve"> </w:t>
      </w:r>
      <w:r w:rsidRPr="00331F75">
        <w:t>zapojení se do vědeckých sítí. Tyto programy v zahraničí provozují jak státní instituce (typicky ministerstva s kompetencí pro vědu a výzkum, grantové agentury</w:t>
      </w:r>
      <w:r>
        <w:t>)</w:t>
      </w:r>
      <w:r w:rsidRPr="00331F75">
        <w:t>, tak samy vysokoškolské a</w:t>
      </w:r>
      <w:r>
        <w:t> </w:t>
      </w:r>
      <w:r w:rsidRPr="00331F75">
        <w:t>výzkumné instituce. Vědecká rada GA ČR se bude proto zabývat výhledovou možností zavedení tzv. návratových grantů pro vědce a vědkyně vracejících se z rodičovské dovolené.</w:t>
      </w:r>
    </w:p>
    <w:bookmarkEnd w:id="15"/>
    <w:p w:rsidR="00731241" w:rsidRPr="00331F75" w:rsidP="006A56BF" w14:paraId="68A27CC7" w14:textId="77777777">
      <w:r w:rsidRPr="00331F75">
        <w:t>V neposlední řadě je excelentní výzkum nutnou podmínkou pro další rozvoj, a to jak lidských zdrojů, tak i samotných institucí, které tento výzkum provádějí. Jinak řečeno, výzkumníci, kteří „vyrůstají“ v prostředí excelentních institucí, mají nesporně větší potenciál, stejně jako je pro samotné instituce snazší spolupráce např. s dalšími renomovanými organizacemi</w:t>
      </w:r>
      <w:r>
        <w:t>,</w:t>
      </w:r>
      <w:r w:rsidRPr="00331F75">
        <w:t xml:space="preserve"> ať v základním, případně v aplikovaném výzkumu po celém světě.</w:t>
      </w:r>
    </w:p>
    <w:p w:rsidR="00731241" w:rsidRPr="006A56BF" w:rsidP="00731241" w14:paraId="3C99BCEE" w14:textId="77777777">
      <w:pPr>
        <w:pStyle w:val="Heading2"/>
        <w:ind w:left="540" w:hanging="540"/>
        <w:rPr>
          <w:rFonts w:ascii="Calibri" w:eastAsia="Times New Roman" w:hAnsi="Calibri"/>
          <w:iCs/>
        </w:rPr>
      </w:pPr>
      <w:bookmarkStart w:id="16" w:name="_Toc443572115"/>
      <w:bookmarkStart w:id="17" w:name="_Toc256000008"/>
      <w:r w:rsidRPr="006A56BF">
        <w:rPr>
          <w:rFonts w:ascii="Calibri" w:eastAsia="Times New Roman" w:hAnsi="Calibri"/>
          <w:iCs/>
        </w:rPr>
        <w:t>3.4. GA ČR je přívětivou institucí pro své uživatele</w:t>
      </w:r>
      <w:bookmarkEnd w:id="17"/>
      <w:bookmarkEnd w:id="16"/>
      <w:r w:rsidRPr="006A56BF">
        <w:rPr>
          <w:rFonts w:ascii="Calibri" w:eastAsia="Times New Roman" w:hAnsi="Calibri"/>
          <w:iCs/>
        </w:rPr>
        <w:t xml:space="preserve">   </w:t>
      </w:r>
    </w:p>
    <w:p w:rsidR="00731241" w:rsidRPr="006A56BF" w:rsidP="006A56BF" w14:paraId="70F1B9BE" w14:textId="77777777">
      <w:pPr>
        <w:rPr>
          <w:rFonts w:asciiTheme="majorHAnsi" w:hAnsiTheme="majorHAnsi" w:cstheme="majorHAnsi"/>
        </w:rPr>
      </w:pPr>
      <w:r w:rsidRPr="006A56BF">
        <w:rPr>
          <w:rFonts w:asciiTheme="majorHAnsi" w:hAnsiTheme="majorHAnsi" w:cstheme="majorHAnsi"/>
        </w:rPr>
        <w:t xml:space="preserve">GA ČR bude dále zdokonalovat procesy kontroly hospodaření s grantovými prostředky tak, aby byla na jedné straně zajištěna účelnost a efektivnost vynakládání veřejných prostředků a aby, na druhé straně, poskytla příjemci dostatečnou svobodu pro nakládání se svěřenými prostředky a zároveň oporu a jistotu </w:t>
      </w:r>
      <w:r w:rsidRPr="006A56BF">
        <w:rPr>
          <w:rFonts w:asciiTheme="majorHAnsi" w:hAnsiTheme="majorHAnsi" w:cstheme="majorHAnsi"/>
        </w:rPr>
        <w:t>pro provádění výzkumu. Česká republika disponuje velkým množstvím vědeckých institucí a vysokých škol, vědeckých týmů a vědců, kteří mají potenciál dosáhnout excelentní úrovně. Je však nutné jim k tomu vytvářet všestranně vhodné podmínky. GA ČR si také dlouhodobě klade za úkol systematicky pracovat na zlepšování uživatelské přívětivosti a na snižování administrativní náročnosti.</w:t>
      </w:r>
    </w:p>
    <w:p w:rsidR="00731241" w:rsidRPr="006A56BF" w:rsidP="006A56BF" w14:paraId="046FB293" w14:textId="77777777">
      <w:pPr>
        <w:rPr>
          <w:rFonts w:asciiTheme="majorHAnsi" w:hAnsiTheme="majorHAnsi" w:cstheme="majorHAnsi"/>
        </w:rPr>
      </w:pPr>
      <w:r w:rsidRPr="006A56BF">
        <w:rPr>
          <w:rFonts w:eastAsia="Times New Roman" w:asciiTheme="majorHAnsi" w:hAnsiTheme="majorHAnsi" w:cstheme="majorHAnsi"/>
          <w:lang w:eastAsia="cs-CZ"/>
        </w:rPr>
        <w:t>Dalším úkolem GA ČR je elasticky reagovat na výzvy, se kterými se uživatelé mohou setkat v souvislosti s lokálními i globálními problémy. Příkladem této reakce byla možnost posunu počátku řešení části projektů v souvislosti s pandemií COVID-19. GA ČR si klade za cíl nadále průběžně analyzovat možnosti, jak uživatelům v podobných situacích asistovat v rámci grantového procesu.</w:t>
      </w:r>
    </w:p>
    <w:p w:rsidR="00731241" w:rsidRPr="006A56BF" w:rsidP="006A56BF" w14:paraId="4C227151" w14:textId="77777777">
      <w:pPr>
        <w:rPr>
          <w:rFonts w:asciiTheme="majorHAnsi" w:hAnsiTheme="majorHAnsi" w:cstheme="majorHAnsi"/>
        </w:rPr>
      </w:pPr>
      <w:r w:rsidRPr="006A56BF">
        <w:rPr>
          <w:rFonts w:asciiTheme="majorHAnsi" w:hAnsiTheme="majorHAnsi" w:cstheme="majorHAnsi"/>
        </w:rPr>
        <w:t>GA ČR má v Evropě dobré jméno, výsledky její činnosti jsou patrné v celém systému výzkumu a vývoje České republiky, a od svého založení již dosáhla mnohých úspěchů. Pro vědecké instituce provádějící základní výzkum je synonymem jistoty, že těm nejlepším vědcům a projektům se dostane podpory a zázemí. Pro GA ČR je zase jistotou to, že nebude mít nouzi o kvalitní projekty, které může podpořit.</w:t>
      </w:r>
    </w:p>
    <w:p w:rsidR="00731241" w:rsidRPr="006A56BF" w:rsidP="006A56BF" w14:paraId="606207F1" w14:textId="77777777">
      <w:pPr>
        <w:rPr>
          <w:rFonts w:asciiTheme="majorHAnsi" w:hAnsiTheme="majorHAnsi" w:cstheme="majorHAnsi"/>
        </w:rPr>
      </w:pPr>
      <w:r w:rsidRPr="006A56BF">
        <w:rPr>
          <w:rFonts w:asciiTheme="majorHAnsi" w:hAnsiTheme="majorHAnsi" w:cstheme="majorHAnsi"/>
        </w:rPr>
        <w:t>A i přes to, že podpora základního výzkumu není činností, kdy jednou bude možné říci „vše je hotovo“, GA ČR bude dál neúnavně podporovat rozvoj vědění, špičkové vědce a instituce, rozvoj, který dalším generacím zajistí, že Česká republika bude moci důstojně setrvat ve společenství rozvinutých zemí Evropy.</w:t>
      </w:r>
    </w:p>
    <w:p w:rsidR="00731241" w:rsidRPr="006A56BF" w:rsidP="006A56BF" w14:paraId="2BD78863" w14:textId="77777777">
      <w:pPr>
        <w:rPr>
          <w:rFonts w:asciiTheme="majorHAnsi" w:hAnsiTheme="majorHAnsi" w:cstheme="majorHAnsi"/>
        </w:rPr>
      </w:pPr>
      <w:r w:rsidRPr="006A56BF">
        <w:rPr>
          <w:rFonts w:asciiTheme="majorHAnsi" w:hAnsiTheme="majorHAnsi" w:cstheme="majorHAnsi"/>
        </w:rPr>
        <w:t>Na základě údajů o rozdělení výdajů ze státního rozpočtu na VaVaI v letech 2014–2020 lze říci, že přestože dochází k postupnému navyšování celkových výdajů určených GA ČR, poměr institucionálních výdajů (provoz, který zahrnuje například vypracovávání tisíců posudků, administraci projektů, najímání zahraničních vědců – hodnotitelů atp.) se pohybuje v rozmezí 2,1–2,5 % (pouze v roce 2018 byl poměr ve výši 2,7 %). GA ČR tak v porovnání s obdobnými agenturami v zahraničí dosahuje vysoké efektivity s ohledem na prostředky, které z rozpočtu využívá na chod instituce.</w:t>
      </w:r>
      <w:r>
        <w:rPr>
          <w:rStyle w:val="FootnoteReference"/>
          <w:rFonts w:asciiTheme="majorHAnsi" w:hAnsiTheme="majorHAnsi" w:cstheme="majorHAnsi"/>
          <w:iCs/>
        </w:rPr>
        <w:footnoteReference w:id="5"/>
      </w:r>
      <w:r w:rsidRPr="006A56BF">
        <w:rPr>
          <w:rFonts w:asciiTheme="majorHAnsi" w:hAnsiTheme="majorHAnsi" w:cstheme="majorHAnsi"/>
        </w:rPr>
        <w:t xml:space="preserve"> Zároveň však tento údaj implikuje jistou míru dlouhodobého podfinancování GA ČR z institucionálního hlediska.</w:t>
      </w:r>
    </w:p>
    <w:p w:rsidR="00731241" w:rsidRPr="006A56BF" w:rsidP="00731241" w14:paraId="0697FDA8" w14:textId="77777777">
      <w:pPr>
        <w:pStyle w:val="Heading2"/>
        <w:ind w:left="540" w:hanging="540"/>
        <w:rPr>
          <w:sz w:val="24"/>
          <w:szCs w:val="24"/>
        </w:rPr>
      </w:pPr>
      <w:bookmarkStart w:id="18" w:name="_Toc69981785"/>
      <w:bookmarkStart w:id="19" w:name="_Toc256000009"/>
      <w:r w:rsidRPr="006A56BF">
        <w:rPr>
          <w:rFonts w:ascii="Calibri" w:eastAsia="Times New Roman" w:hAnsi="Calibri"/>
          <w:iCs/>
        </w:rPr>
        <w:t>3.5. Podpora internacionalizace české vědy</w:t>
      </w:r>
      <w:bookmarkEnd w:id="19"/>
      <w:bookmarkEnd w:id="18"/>
      <w:r w:rsidRPr="006A56BF">
        <w:rPr>
          <w:rFonts w:ascii="Calibri" w:eastAsia="Times New Roman" w:hAnsi="Calibri"/>
          <w:iCs/>
        </w:rPr>
        <w:t xml:space="preserve">   </w:t>
      </w:r>
    </w:p>
    <w:p w:rsidR="00731241" w:rsidRPr="006306CB" w:rsidP="006A56BF" w14:paraId="0FEAD8A5" w14:textId="77777777">
      <w:pPr>
        <w:rPr>
          <w:lang w:eastAsia="cs-CZ"/>
        </w:rPr>
      </w:pPr>
      <w:r w:rsidRPr="006306CB">
        <w:rPr>
          <w:lang w:eastAsia="cs-CZ"/>
        </w:rPr>
        <w:t>GA ČR podporuje internacionalizaci české vědy mnoha způsoby, a to jak nástroji, které mají za cíl zprostředkovat českým vědcům zahraniční zkušenost, tak nástroji s cílem přitáhnout excelentní zahraniční vědce do ČR.</w:t>
      </w:r>
    </w:p>
    <w:p w:rsidR="00731241" w:rsidRPr="006306CB" w:rsidP="006A56BF" w14:paraId="3F85F7C6" w14:textId="77777777">
      <w:pPr>
        <w:rPr>
          <w:lang w:eastAsia="cs-CZ"/>
        </w:rPr>
      </w:pPr>
      <w:r w:rsidRPr="006306CB">
        <w:rPr>
          <w:lang w:eastAsia="cs-CZ"/>
        </w:rPr>
        <w:t xml:space="preserve">Mezi takové nástroje patří například i řada skupin grantových projektů explicitně zaměřených na prohloubení internacionalizace. U mladších výzkumníků se GA ČR snažil zprostředkovat zahraniční zkušenost českým vědcům v rámci Juniorských grantů skrze podmínku vycestovat  před řešením grantu alespoň na půl roku do zahraničí. Tato skupina grantových projektů byla posléze nahrazena skupinou JUNIOR STAR, ve které je předešlá zahraniční zkušenost také podmínkou podání žádosti o grant. Hlavním cílem skupiny grantových projektů Podpora ERC žadatelů bylo prohloubení zahraničních zkušeností badatelů, a to formou několikaměsíční vědecké stáže přímo na pracovišti řešitele ERC. Tato skupina je postupně nahrazována skupinou POSTDOC INDIVIDUAL FELLOWSHIP, jejíž účel je explicitně podpořit internacionalizaci české vědy skrze udělení grantů buď českým výzkumníkům, kteří stráví 2 roky v zahraničí a pak se na třetí rok vrátí zpět do ČR, anebo zahraničním výzkumníkům, kteří stráví celé 3 roky v ČR. Za zmínku stojí i skupina grantových projektů EXPRO, prostřednictvím které jsou vytvořeny </w:t>
      </w:r>
      <w:r w:rsidRPr="006306CB">
        <w:rPr>
          <w:lang w:eastAsia="cs-CZ"/>
        </w:rPr>
        <w:t>atraktivní podmínky pro špičkové české i zahraniční odborníky, jež jim umožní realizovat vědecký výzkum na mezinárodní úrovni v prostředí českých vědeckých institucí.</w:t>
      </w:r>
    </w:p>
    <w:p w:rsidR="00731241" w:rsidRPr="006306CB" w:rsidP="006A56BF" w14:paraId="117F4BDC" w14:textId="77777777">
      <w:pPr>
        <w:rPr>
          <w:lang w:eastAsia="cs-CZ"/>
        </w:rPr>
      </w:pPr>
      <w:r w:rsidRPr="006306CB">
        <w:rPr>
          <w:lang w:eastAsia="cs-CZ"/>
        </w:rPr>
        <w:t xml:space="preserve">Ve fázi hodnocení návrhů projektů GA ČR využívá pro všechny své hodnocení zahraniční oponenty. Na procesu hodnocení návrhů skupiny grantových projektů JUNIOR STAR a EXPRO se podílí výhradně zahraniční odborníci, a to ve všech fázích hodnocení. Design hodnoticích procesů GA ČR je inspirován způsobem hodnocení European Research Council (ERC). GA ČR se snaží o větší internacionalizaci ve fázi hodnocení návrhů projektů například i tím, že ve výzvách k nominacím na členy svých hodnoticích panelů doporučuje navrhovatelům, aby návrhy podávalo více cizojazyčných pracovníků působících na českých </w:t>
      </w:r>
      <w:r>
        <w:rPr>
          <w:lang w:eastAsia="cs-CZ"/>
        </w:rPr>
        <w:t>institucích nebo i v zahraničí.</w:t>
      </w:r>
    </w:p>
    <w:p w:rsidR="00731241" w:rsidRPr="006306CB" w:rsidP="006A56BF" w14:paraId="5B8E0419" w14:textId="77777777">
      <w:pPr>
        <w:rPr>
          <w:lang w:eastAsia="cs-CZ"/>
        </w:rPr>
      </w:pPr>
      <w:r w:rsidRPr="006306CB">
        <w:rPr>
          <w:lang w:eastAsia="cs-CZ"/>
        </w:rPr>
        <w:t xml:space="preserve">Dále se GA ČR snaží zlepšovat i svoji infrastrukturu, aby byla více otevřená zahraničním navrhovatelům a lépe umožňovala mezinárodní spolupráci. Příkladem může být průběžná aktualizace anglické verze webových stránek GA ČR </w:t>
      </w:r>
      <w:r>
        <w:rPr>
          <w:lang w:eastAsia="cs-CZ"/>
        </w:rPr>
        <w:t>i interní aplikace GRIS</w:t>
      </w:r>
      <w:r w:rsidRPr="006306CB">
        <w:rPr>
          <w:lang w:eastAsia="cs-CZ"/>
        </w:rPr>
        <w:t xml:space="preserve"> nebo </w:t>
      </w:r>
      <w:r>
        <w:rPr>
          <w:lang w:eastAsia="cs-CZ"/>
        </w:rPr>
        <w:t xml:space="preserve">dostupnost </w:t>
      </w:r>
      <w:r w:rsidRPr="006306CB">
        <w:rPr>
          <w:lang w:eastAsia="cs-CZ"/>
        </w:rPr>
        <w:t xml:space="preserve">veškeré zadávací dokumentace i v angličtině, </w:t>
      </w:r>
      <w:r>
        <w:rPr>
          <w:lang w:eastAsia="cs-CZ"/>
        </w:rPr>
        <w:t xml:space="preserve">obdobně také </w:t>
      </w:r>
      <w:r w:rsidRPr="006306CB">
        <w:rPr>
          <w:lang w:eastAsia="cs-CZ"/>
        </w:rPr>
        <w:t xml:space="preserve">další materiály dostupné na webu. GA ČR je také zapojena do řady bilaterálních smluv se zahraničními grantovými agenturami a do mezinárodních výzkumných struktur (např. Science Europe), </w:t>
      </w:r>
      <w:r>
        <w:rPr>
          <w:lang w:eastAsia="cs-CZ"/>
        </w:rPr>
        <w:t>čímž umožňuje a ulehčuje</w:t>
      </w:r>
      <w:r w:rsidRPr="006306CB">
        <w:rPr>
          <w:lang w:eastAsia="cs-CZ"/>
        </w:rPr>
        <w:t xml:space="preserve"> mezinárodní spolupráci vědců.</w:t>
      </w:r>
    </w:p>
    <w:p w:rsidR="006A56BF" w:rsidP="006A56BF" w14:paraId="7240105D" w14:textId="2C10B50D">
      <w:pPr>
        <w:rPr>
          <w:lang w:eastAsia="cs-CZ"/>
        </w:rPr>
      </w:pPr>
      <w:r w:rsidRPr="006306CB">
        <w:rPr>
          <w:lang w:eastAsia="cs-CZ"/>
        </w:rPr>
        <w:t>V budoucnu GA ČR plánuje dále pokračovat v hledání a implementování vhodných nástrojů pro větší internacionalizaci české vědy.</w:t>
      </w:r>
    </w:p>
    <w:p w:rsidR="006A56BF" w14:paraId="17FE84A6" w14:textId="77777777">
      <w:pPr>
        <w:spacing w:after="160" w:line="259" w:lineRule="auto"/>
        <w:jc w:val="left"/>
        <w:rPr>
          <w:lang w:eastAsia="cs-CZ"/>
        </w:rPr>
      </w:pPr>
      <w:r>
        <w:rPr>
          <w:lang w:eastAsia="cs-CZ"/>
        </w:rPr>
        <w:br w:type="page"/>
      </w:r>
    </w:p>
    <w:p w:rsidR="00731241" w:rsidRPr="00331F75" w:rsidP="00731241" w14:paraId="1EC0C576" w14:textId="48B84FAA">
      <w:pPr>
        <w:pStyle w:val="Heading1"/>
        <w:rPr>
          <w:rFonts w:ascii="Calibri" w:hAnsi="Calibri" w:cs="Times New Roman"/>
        </w:rPr>
      </w:pPr>
      <w:bookmarkStart w:id="20" w:name="_Toc443572116"/>
      <w:bookmarkStart w:id="21" w:name="_Toc256000010"/>
      <w:r w:rsidRPr="00331F75">
        <w:rPr>
          <w:rFonts w:ascii="Calibri" w:hAnsi="Calibri" w:cs="Times New Roman"/>
        </w:rPr>
        <w:t>4. DÍLČÍ CÍLE ROZVOJE GA ČR</w:t>
      </w:r>
      <w:bookmarkEnd w:id="21"/>
      <w:bookmarkEnd w:id="20"/>
    </w:p>
    <w:p w:rsidR="00731241" w:rsidRPr="00331F75" w:rsidP="006A56BF" w14:paraId="6463F524" w14:textId="77777777">
      <w:r w:rsidRPr="00331F75">
        <w:t xml:space="preserve">Hlavní cíl dalšího rozvoje GA ČR se realizuje prostřednictvím naplňování dílčích cílů, kterými jsou: </w:t>
      </w:r>
    </w:p>
    <w:p w:rsidR="00731241" w:rsidRPr="00331F75" w:rsidP="00BD43EF" w14:paraId="69C04589" w14:textId="49F0CDF6">
      <w:pPr>
        <w:pStyle w:val="ListParagraph"/>
        <w:numPr>
          <w:ilvl w:val="0"/>
          <w:numId w:val="5"/>
        </w:numPr>
      </w:pPr>
      <w:r w:rsidRPr="00331F75">
        <w:t>finanční podpora vědeckých projektů zaměřených na základní výzkum mezinárodní úrovně prostřednictvím veřejných soutěží ve výzkumu a vývoji,</w:t>
      </w:r>
    </w:p>
    <w:p w:rsidR="00731241" w:rsidRPr="00331F75" w:rsidP="00BD43EF" w14:paraId="10388259" w14:textId="6E0EA615">
      <w:pPr>
        <w:pStyle w:val="ListParagraph"/>
        <w:numPr>
          <w:ilvl w:val="0"/>
          <w:numId w:val="5"/>
        </w:numPr>
      </w:pPr>
      <w:r w:rsidRPr="00331F75">
        <w:t>podpora excelentních projektů,</w:t>
      </w:r>
    </w:p>
    <w:p w:rsidR="00731241" w:rsidRPr="00331F75" w:rsidP="00BD43EF" w14:paraId="62ED412F" w14:textId="07AD6350">
      <w:pPr>
        <w:pStyle w:val="ListParagraph"/>
        <w:numPr>
          <w:ilvl w:val="0"/>
          <w:numId w:val="5"/>
        </w:numPr>
      </w:pPr>
      <w:r w:rsidRPr="00331F75">
        <w:t>podpora a další rozšiřování mezinárodní vědecké spolupráce v základním výzkumu,</w:t>
      </w:r>
    </w:p>
    <w:p w:rsidR="00731241" w:rsidRPr="00331F75" w:rsidP="00BD43EF" w14:paraId="42EA9266" w14:textId="07D96112">
      <w:pPr>
        <w:pStyle w:val="ListParagraph"/>
        <w:numPr>
          <w:ilvl w:val="0"/>
          <w:numId w:val="5"/>
        </w:numPr>
      </w:pPr>
      <w:r w:rsidRPr="00331F75">
        <w:t>spoluvytváření atraktivních podmínek pro profesní dráhu mladých a začínajících vědeckých pracovníků,</w:t>
      </w:r>
    </w:p>
    <w:p w:rsidR="00731241" w:rsidRPr="00331F75" w:rsidP="00BD43EF" w14:paraId="3BFF233B" w14:textId="3BDE81E2">
      <w:pPr>
        <w:pStyle w:val="ListParagraph"/>
        <w:numPr>
          <w:ilvl w:val="0"/>
          <w:numId w:val="5"/>
        </w:numPr>
      </w:pPr>
      <w:r w:rsidRPr="00331F75">
        <w:t>podpora orientovaného základního výzkumu,</w:t>
      </w:r>
    </w:p>
    <w:p w:rsidR="00731241" w:rsidRPr="00331F75" w:rsidP="00BD43EF" w14:paraId="45F74F8C" w14:textId="14328FD5">
      <w:pPr>
        <w:pStyle w:val="ListParagraph"/>
        <w:numPr>
          <w:ilvl w:val="0"/>
          <w:numId w:val="5"/>
        </w:numPr>
      </w:pPr>
      <w:r w:rsidRPr="00331F75">
        <w:t>vytváření podmínek pro snižování genderové nerovnosti</w:t>
      </w:r>
      <w:r>
        <w:t>,</w:t>
      </w:r>
      <w:r w:rsidRPr="00331F75">
        <w:t xml:space="preserve"> </w:t>
      </w:r>
    </w:p>
    <w:p w:rsidR="00731241" w:rsidRPr="00331F75" w:rsidP="00BD43EF" w14:paraId="3BB381C8" w14:textId="3F527203">
      <w:pPr>
        <w:pStyle w:val="ListParagraph"/>
        <w:numPr>
          <w:ilvl w:val="0"/>
          <w:numId w:val="5"/>
        </w:numPr>
      </w:pPr>
      <w:r>
        <w:t>podpora otevřeného přístupu k</w:t>
      </w:r>
      <w:r w:rsidRPr="00331F75">
        <w:t xml:space="preserve"> vědeckým znalostem a jejich tvorbě (Open Science) a vědeckých postupů podporujících replikovatelnost a reprodukovatelnost výsledků,</w:t>
      </w:r>
    </w:p>
    <w:p w:rsidR="00731241" w:rsidRPr="00331F75" w:rsidP="00BD43EF" w14:paraId="708699EA" w14:textId="26842645">
      <w:pPr>
        <w:pStyle w:val="ListParagraph"/>
        <w:numPr>
          <w:ilvl w:val="0"/>
          <w:numId w:val="5"/>
        </w:numPr>
      </w:pPr>
      <w:r w:rsidRPr="00331F75">
        <w:t>kontrola účelnosti využívání veřejných prostředků ve prospěch české vědy,</w:t>
      </w:r>
    </w:p>
    <w:p w:rsidR="00731241" w:rsidRPr="00331F75" w:rsidP="006A56BF" w14:paraId="7AAEFA39" w14:textId="77777777">
      <w:r w:rsidRPr="00331F75">
        <w:t>a to zejména formou podpory skupin grantových projektů. V rámci jednotlivých skupin grantových projektů dochází k prolnutí a překrytí jednotlivých dílčích cílů a ty jsou různou měrou současně realizovány prostřednictvím všech podporovaných skupin grantových projektů. Dílčí cíl</w:t>
      </w:r>
      <w:r>
        <w:t>, kterým je</w:t>
      </w:r>
      <w:r w:rsidRPr="00331F75">
        <w:t xml:space="preserve"> finanční podpora vědeckých projektů zaměřených na základní výzkum mezinárodní úrovně prostřednictvím veřejných soutěží ve výzkumu a vývoji</w:t>
      </w:r>
      <w:r>
        <w:t>, je</w:t>
      </w:r>
      <w:r w:rsidRPr="00331F75">
        <w:t xml:space="preserve"> realizován ve všech podporovaných skupinách grantových projektů. Podpora a rozšiřování mezinárodní vědecké spolupráce je realizována především prostřednictvím skupiny bilaterálních (mezinárodních) grantových projektů a také v rámci skupiny „Lead Agency“ grantů. Podpora a rozšiřování mezinárodní vědecké spolupráce je jedním z kritérií hodnocení návrhů projektů všech skupin grantových projektů podporovaných GA ČR. Spoluvytváření atraktivních podmínek pro profesní dráhu mladých a začínajících vědeckých pracovníků </w:t>
      </w:r>
      <w:r>
        <w:t>je</w:t>
      </w:r>
      <w:r w:rsidRPr="00331F75">
        <w:t xml:space="preserve"> realizována především prostřednictvím skupin grantových projektů JUNIOR STAR a POSTDOC INDIVIDUAL FELLOWSHIP. V současné době probíhá také příprava návrhu nové skupiny grantových projektů orientovaného základního výzkumu, která by umožňovala řešení konkrétních významných společenských a hospodářských problémů (dlouhodobých i</w:t>
      </w:r>
      <w:r>
        <w:t> </w:t>
      </w:r>
      <w:r w:rsidRPr="00331F75">
        <w:t>urgentních).</w:t>
      </w:r>
    </w:p>
    <w:p w:rsidR="00731241" w:rsidRPr="006A56BF" w:rsidP="00731241" w14:paraId="25C26681" w14:textId="77777777">
      <w:pPr>
        <w:pStyle w:val="Heading2"/>
        <w:ind w:left="540" w:hanging="540"/>
        <w:rPr>
          <w:rFonts w:ascii="Calibri" w:hAnsi="Calibri" w:cs="Times New Roman"/>
          <w:iCs/>
        </w:rPr>
      </w:pPr>
      <w:bookmarkStart w:id="22" w:name="_Toc443572117"/>
      <w:bookmarkStart w:id="23" w:name="_Toc256000011"/>
      <w:r w:rsidRPr="006A56BF">
        <w:rPr>
          <w:rFonts w:ascii="Calibri" w:hAnsi="Calibri" w:cs="Times New Roman"/>
          <w:iCs/>
        </w:rPr>
        <w:t>4.1.</w:t>
      </w:r>
      <w:r w:rsidRPr="006A56BF">
        <w:rPr>
          <w:rFonts w:ascii="Calibri" w:hAnsi="Calibri" w:cs="Times New Roman"/>
          <w:iCs/>
        </w:rPr>
        <w:tab/>
        <w:t xml:space="preserve">Zaměření GA ČR – skupiny grantových </w:t>
      </w:r>
      <w:bookmarkEnd w:id="22"/>
      <w:r w:rsidRPr="006A56BF">
        <w:rPr>
          <w:rFonts w:ascii="Calibri" w:hAnsi="Calibri" w:cs="Times New Roman"/>
          <w:iCs/>
        </w:rPr>
        <w:t>projektů – SGP</w:t>
      </w:r>
      <w:bookmarkEnd w:id="23"/>
      <w:r w:rsidRPr="006A56BF">
        <w:rPr>
          <w:rFonts w:ascii="Calibri" w:hAnsi="Calibri" w:cs="Times New Roman"/>
          <w:iCs/>
        </w:rPr>
        <w:t xml:space="preserve"> </w:t>
      </w:r>
    </w:p>
    <w:p w:rsidR="00731241" w:rsidRPr="00331F75" w:rsidP="006A56BF" w14:paraId="2DE317D7" w14:textId="77777777">
      <w:r w:rsidRPr="00331F75">
        <w:t>GA ČR podporu poskytuje prostřednictvím skupin grantových projektů. Níže je uvedeno rozlišení skupin grantových projektů na (uvádíme včetně označení užívaného v IS VaVaI):</w:t>
      </w:r>
    </w:p>
    <w:p w:rsidR="00731241" w:rsidRPr="00331F75" w:rsidP="006A56BF" w14:paraId="7C1656B0" w14:textId="77777777">
      <w:r w:rsidRPr="00331F75">
        <w:t>1)</w:t>
      </w:r>
      <w:r w:rsidRPr="00331F75">
        <w:tab/>
        <w:t>Skupiny grantových projektů, na které GA ČR poskytuje účelovou podporu a u kterých se předpokládá vypsání dalších veřejných soutěží:</w:t>
      </w:r>
    </w:p>
    <w:p w:rsidR="00731241" w:rsidRPr="00331F75" w:rsidP="00BD43EF" w14:paraId="00089800" w14:textId="77777777">
      <w:pPr>
        <w:pStyle w:val="ListParagraph"/>
        <w:numPr>
          <w:ilvl w:val="0"/>
          <w:numId w:val="6"/>
        </w:numPr>
      </w:pPr>
      <w:r w:rsidRPr="006A56BF">
        <w:rPr>
          <w:b/>
        </w:rPr>
        <w:t xml:space="preserve">Standardní grantové projekty </w:t>
      </w:r>
      <w:r w:rsidRPr="00331F75">
        <w:t>(někdy označované pouze</w:t>
      </w:r>
      <w:r>
        <w:t xml:space="preserve"> jako</w:t>
      </w:r>
      <w:r w:rsidRPr="00331F75">
        <w:t xml:space="preserve"> standardní projekty)</w:t>
      </w:r>
      <w:r>
        <w:t xml:space="preserve"> – </w:t>
      </w:r>
      <w:r w:rsidRPr="00331F75">
        <w:t>od roku 1993,</w:t>
      </w:r>
    </w:p>
    <w:p w:rsidR="00731241" w:rsidRPr="00331F75" w:rsidP="00BD43EF" w14:paraId="64BBE76D" w14:textId="77777777">
      <w:pPr>
        <w:pStyle w:val="ListParagraph"/>
        <w:numPr>
          <w:ilvl w:val="0"/>
          <w:numId w:val="6"/>
        </w:numPr>
      </w:pPr>
      <w:r w:rsidRPr="006A56BF">
        <w:rPr>
          <w:b/>
        </w:rPr>
        <w:t xml:space="preserve">Bilaterální (mezinárodní) grantové projekty </w:t>
      </w:r>
      <w:r w:rsidRPr="00331F75">
        <w:t xml:space="preserve">(někdy označované pouze </w:t>
      </w:r>
      <w:r>
        <w:t xml:space="preserve">jako </w:t>
      </w:r>
      <w:r w:rsidRPr="00331F75">
        <w:t>mezinárodní projekty)</w:t>
      </w:r>
      <w:r>
        <w:t xml:space="preserve"> – </w:t>
      </w:r>
      <w:r w:rsidRPr="00331F75">
        <w:t>od roku 2007,</w:t>
      </w:r>
    </w:p>
    <w:p w:rsidR="00731241" w:rsidRPr="00331F75" w:rsidP="00BD43EF" w14:paraId="17AA3FFB" w14:textId="77777777">
      <w:pPr>
        <w:pStyle w:val="ListParagraph"/>
        <w:numPr>
          <w:ilvl w:val="0"/>
          <w:numId w:val="6"/>
        </w:numPr>
      </w:pPr>
      <w:r w:rsidRPr="006A56BF">
        <w:rPr>
          <w:b/>
        </w:rPr>
        <w:t>Mezinárodní grantové projekty hodnocené na principu Lead Agency</w:t>
      </w:r>
      <w:r w:rsidRPr="00331F75">
        <w:t xml:space="preserve"> (</w:t>
      </w:r>
      <w:r w:rsidRPr="006A56BF">
        <w:rPr>
          <w:b/>
        </w:rPr>
        <w:t>LA granty)</w:t>
      </w:r>
      <w:r>
        <w:t xml:space="preserve">- </w:t>
      </w:r>
      <w:r w:rsidRPr="006A56BF">
        <w:rPr>
          <w:b/>
        </w:rPr>
        <w:t xml:space="preserve"> </w:t>
      </w:r>
      <w:r w:rsidRPr="00331F75">
        <w:t>od roku 2015,</w:t>
      </w:r>
    </w:p>
    <w:p w:rsidR="00731241" w:rsidRPr="00331F75" w:rsidP="00BD43EF" w14:paraId="79653933" w14:textId="77777777">
      <w:pPr>
        <w:pStyle w:val="ListParagraph"/>
        <w:numPr>
          <w:ilvl w:val="0"/>
          <w:numId w:val="6"/>
        </w:numPr>
      </w:pPr>
      <w:bookmarkStart w:id="24" w:name="_Hlk53583717"/>
      <w:r w:rsidRPr="006A56BF">
        <w:rPr>
          <w:b/>
        </w:rPr>
        <w:t>Podpora mezinárodní spolupráce pro získávání ERC grantů („Podpora ERC žadatelů“)</w:t>
      </w:r>
      <w:bookmarkEnd w:id="24"/>
      <w:r>
        <w:t xml:space="preserve"> – </w:t>
      </w:r>
      <w:r w:rsidRPr="00331F75">
        <w:t>od roku 2016</w:t>
      </w:r>
      <w:r>
        <w:t>, konec v roce 2022</w:t>
      </w:r>
      <w:r w:rsidRPr="00331F75">
        <w:t>,</w:t>
      </w:r>
    </w:p>
    <w:p w:rsidR="00731241" w:rsidRPr="00331F75" w:rsidP="00BD43EF" w14:paraId="3B50627F" w14:textId="77777777">
      <w:pPr>
        <w:pStyle w:val="ListParagraph"/>
        <w:numPr>
          <w:ilvl w:val="0"/>
          <w:numId w:val="6"/>
        </w:numPr>
      </w:pPr>
      <w:bookmarkStart w:id="25" w:name="_Hlk53579465"/>
      <w:r w:rsidRPr="006A56BF">
        <w:rPr>
          <w:b/>
        </w:rPr>
        <w:t xml:space="preserve">Grantové projekty excelence v základním výzkumu EXPRO </w:t>
      </w:r>
      <w:r>
        <w:t>–</w:t>
      </w:r>
      <w:r w:rsidRPr="006A56BF">
        <w:rPr>
          <w:b/>
        </w:rPr>
        <w:t xml:space="preserve"> </w:t>
      </w:r>
      <w:bookmarkEnd w:id="25"/>
      <w:r>
        <w:t>od roku 2019,</w:t>
      </w:r>
    </w:p>
    <w:p w:rsidR="00731241" w:rsidRPr="00331F75" w:rsidP="00BD43EF" w14:paraId="15DF7D7A" w14:textId="77777777">
      <w:pPr>
        <w:pStyle w:val="ListParagraph"/>
        <w:numPr>
          <w:ilvl w:val="0"/>
          <w:numId w:val="6"/>
        </w:numPr>
      </w:pPr>
      <w:r w:rsidRPr="006A56BF">
        <w:rPr>
          <w:b/>
        </w:rPr>
        <w:t xml:space="preserve">Grantové projekty JUNIOR STAR </w:t>
      </w:r>
      <w:r>
        <w:t xml:space="preserve">– </w:t>
      </w:r>
      <w:r w:rsidRPr="00331F75">
        <w:t>od roku 2021.</w:t>
      </w:r>
    </w:p>
    <w:p w:rsidR="00731241" w:rsidRPr="00331F75" w:rsidP="006A56BF" w14:paraId="39DD74E8" w14:textId="77777777">
      <w:r w:rsidRPr="00331F75">
        <w:t>2)</w:t>
      </w:r>
      <w:r w:rsidRPr="00331F75">
        <w:tab/>
        <w:t>Skupiny grantových projektů, na které je ještě poskytovaná účelová podpora, ale nejsou již vypisovány další veřejné soutěže:</w:t>
      </w:r>
    </w:p>
    <w:p w:rsidR="00731241" w:rsidRPr="002912D8" w:rsidP="00BD43EF" w14:paraId="7FDABBF9" w14:textId="77777777">
      <w:pPr>
        <w:pStyle w:val="ListParagraph"/>
        <w:numPr>
          <w:ilvl w:val="0"/>
          <w:numId w:val="7"/>
        </w:numPr>
      </w:pPr>
      <w:r w:rsidRPr="006A56BF">
        <w:rPr>
          <w:rFonts w:eastAsia="Times New Roman"/>
          <w:b/>
          <w:bCs/>
          <w:lang w:eastAsia="cs-CZ"/>
        </w:rPr>
        <w:t xml:space="preserve">Juniorské granty </w:t>
      </w:r>
      <w:r>
        <w:t>–</w:t>
      </w:r>
      <w:r w:rsidRPr="006A56BF">
        <w:rPr>
          <w:rFonts w:eastAsia="Times New Roman"/>
          <w:lang w:eastAsia="cs-CZ"/>
        </w:rPr>
        <w:t xml:space="preserve"> od roku 2015.</w:t>
      </w:r>
    </w:p>
    <w:p w:rsidR="00731241" w:rsidRPr="00331F75" w:rsidP="006A56BF" w14:paraId="056A3B8B" w14:textId="77777777">
      <w:r>
        <w:t>3</w:t>
      </w:r>
      <w:r w:rsidRPr="00331F75">
        <w:t>)</w:t>
      </w:r>
      <w:r w:rsidRPr="00331F75">
        <w:tab/>
        <w:t xml:space="preserve">Skupiny grantových projektů, na které </w:t>
      </w:r>
      <w:r>
        <w:t>bude nově</w:t>
      </w:r>
      <w:r w:rsidRPr="00331F75">
        <w:t xml:space="preserve"> poskytovaná účelová podpora:</w:t>
      </w:r>
    </w:p>
    <w:p w:rsidR="00731241" w:rsidRPr="00E44029" w:rsidP="00BD43EF" w14:paraId="577AEF2E" w14:textId="77777777">
      <w:pPr>
        <w:pStyle w:val="ListParagraph"/>
        <w:numPr>
          <w:ilvl w:val="0"/>
          <w:numId w:val="7"/>
        </w:numPr>
      </w:pPr>
      <w:r w:rsidRPr="006A56BF">
        <w:rPr>
          <w:rFonts w:eastAsia="Times New Roman"/>
          <w:b/>
          <w:bCs/>
          <w:lang w:eastAsia="cs-CZ"/>
        </w:rPr>
        <w:t xml:space="preserve">Grantové projekty POSTDOC INDIVIDUAL FELLOWSHIP </w:t>
      </w:r>
      <w:r>
        <w:t>–</w:t>
      </w:r>
      <w:r w:rsidRPr="006A56BF">
        <w:rPr>
          <w:rFonts w:eastAsia="Times New Roman"/>
          <w:lang w:eastAsia="cs-CZ"/>
        </w:rPr>
        <w:t xml:space="preserve"> od roku 2021.</w:t>
      </w:r>
    </w:p>
    <w:p w:rsidR="00731241" w:rsidRPr="00331F75" w:rsidP="00731241" w14:paraId="22368D95" w14:textId="77777777">
      <w:pPr>
        <w:pStyle w:val="ListParagraph"/>
        <w:rPr>
          <w:iCs/>
          <w:sz w:val="24"/>
          <w:szCs w:val="24"/>
        </w:rPr>
      </w:pPr>
    </w:p>
    <w:p w:rsidR="00731241" w:rsidRPr="00331F75" w:rsidP="00731241" w14:paraId="21E246C0" w14:textId="77777777">
      <w:pPr>
        <w:pStyle w:val="Heading3"/>
      </w:pPr>
      <w:bookmarkStart w:id="26" w:name="_Toc443572118"/>
      <w:bookmarkStart w:id="27" w:name="_Toc256000012"/>
      <w:r w:rsidRPr="00331F75">
        <w:t xml:space="preserve">4.1.1. Standardní grantové </w:t>
      </w:r>
      <w:bookmarkEnd w:id="26"/>
      <w:r w:rsidRPr="00331F75">
        <w:t>projekty</w:t>
      </w:r>
      <w:bookmarkEnd w:id="27"/>
      <w:r w:rsidRPr="00331F75">
        <w:t xml:space="preserve"> </w:t>
      </w:r>
    </w:p>
    <w:p w:rsidR="00731241" w:rsidRPr="00331F75" w:rsidP="006A56BF" w14:paraId="00C10161" w14:textId="77777777">
      <w:r w:rsidRPr="00331F75">
        <w:t xml:space="preserve">Standardní grantové projekty jsou pilířem účelové podpory základního výzkumu v České republice a </w:t>
      </w:r>
      <w:r>
        <w:t>nejrozšířenějším druhem podpory</w:t>
      </w:r>
      <w:r w:rsidRPr="00331F75">
        <w:t xml:space="preserve"> GA ČR. </w:t>
      </w:r>
    </w:p>
    <w:p w:rsidR="00731241" w:rsidRPr="00331F75" w:rsidP="006A56BF" w14:paraId="075EA09C" w14:textId="77777777">
      <w:r>
        <w:t>Stručný popis</w:t>
      </w:r>
      <w:r w:rsidRPr="00331F75">
        <w:t>:</w:t>
      </w:r>
    </w:p>
    <w:p w:rsidR="00731241" w:rsidRPr="00331F75" w:rsidP="00BD43EF" w14:paraId="54444741" w14:textId="77777777">
      <w:pPr>
        <w:pStyle w:val="ListParagraph"/>
        <w:numPr>
          <w:ilvl w:val="0"/>
          <w:numId w:val="8"/>
        </w:numPr>
      </w:pPr>
      <w:r w:rsidRPr="00331F75">
        <w:t>Tento typ grantových projektů GA ČR podporuje od svého vzniku, tj. první veřejnou soutěž GA ČR vyhlásila již v roce 1993.</w:t>
      </w:r>
    </w:p>
    <w:p w:rsidR="00731241" w:rsidRPr="00331F75" w:rsidP="00BD43EF" w14:paraId="5A6E7200" w14:textId="77777777">
      <w:pPr>
        <w:pStyle w:val="ListParagraph"/>
        <w:numPr>
          <w:ilvl w:val="0"/>
          <w:numId w:val="8"/>
        </w:numPr>
      </w:pPr>
      <w:r w:rsidRPr="00331F75">
        <w:t>Téma a cíl grantového projektu volí navrhovatel.</w:t>
      </w:r>
    </w:p>
    <w:p w:rsidR="00731241" w:rsidRPr="00331F75" w:rsidP="00BD43EF" w14:paraId="5A184303" w14:textId="77777777">
      <w:pPr>
        <w:pStyle w:val="ListParagraph"/>
        <w:numPr>
          <w:ilvl w:val="0"/>
          <w:numId w:val="8"/>
        </w:numPr>
      </w:pPr>
      <w:r w:rsidRPr="00331F75">
        <w:t>Návrhy grantových projektů mohou být podávány ze všech oblastí základního výzkumu.</w:t>
      </w:r>
    </w:p>
    <w:p w:rsidR="00731241" w:rsidRPr="00331F75" w:rsidP="00BD43EF" w14:paraId="6FCFC233" w14:textId="77777777">
      <w:pPr>
        <w:pStyle w:val="ListParagraph"/>
        <w:numPr>
          <w:ilvl w:val="0"/>
          <w:numId w:val="8"/>
        </w:numPr>
      </w:pPr>
      <w:r w:rsidRPr="00331F75">
        <w:t>Délka trvání grantových projektů je 2–3 roky.</w:t>
      </w:r>
    </w:p>
    <w:p w:rsidR="00731241" w:rsidRPr="00331F75" w:rsidP="00BD43EF" w14:paraId="1059FEE3" w14:textId="77777777">
      <w:pPr>
        <w:pStyle w:val="ListParagraph"/>
        <w:numPr>
          <w:ilvl w:val="0"/>
          <w:numId w:val="8"/>
        </w:numPr>
      </w:pPr>
      <w:r>
        <w:t xml:space="preserve">Uchazečem může být právnická nebo </w:t>
      </w:r>
      <w:r w:rsidRPr="00331F75">
        <w:t>fyzická osoba, organizační složka státu nebo územního samosprávného celku, organizační jednotka Ministerstva obrany nebo Ministerstva vnitra zabývající se výzkumem a experimentálním vývojem.</w:t>
      </w:r>
    </w:p>
    <w:p w:rsidR="00731241" w:rsidRPr="00331F75" w:rsidP="00BD43EF" w14:paraId="679414B7" w14:textId="77777777">
      <w:pPr>
        <w:pStyle w:val="ListParagraph"/>
        <w:numPr>
          <w:ilvl w:val="0"/>
          <w:numId w:val="8"/>
        </w:numPr>
      </w:pPr>
      <w:r w:rsidRPr="00331F75">
        <w:t>Grantový projekt</w:t>
      </w:r>
      <w:r>
        <w:t xml:space="preserve"> musí</w:t>
      </w:r>
      <w:r w:rsidRPr="00331F75">
        <w:t xml:space="preserve"> řešitel</w:t>
      </w:r>
      <w:r>
        <w:t xml:space="preserve"> řešit</w:t>
      </w:r>
      <w:r w:rsidRPr="00331F75">
        <w:t xml:space="preserve"> samostatně</w:t>
      </w:r>
      <w:r>
        <w:t xml:space="preserve">, </w:t>
      </w:r>
      <w:r w:rsidRPr="00331F75">
        <w:t>nebo s týmem</w:t>
      </w:r>
      <w:r w:rsidRPr="00331F75">
        <w:t xml:space="preserve"> </w:t>
      </w:r>
      <w:r w:rsidRPr="00331F75">
        <w:t>vědeckých pracovníků z jedné nebo více institucí.</w:t>
      </w:r>
    </w:p>
    <w:p w:rsidR="00731241" w:rsidRPr="00331F75" w:rsidP="00BD43EF" w14:paraId="36EBB0E9" w14:textId="77777777">
      <w:pPr>
        <w:pStyle w:val="ListParagraph"/>
        <w:numPr>
          <w:ilvl w:val="0"/>
          <w:numId w:val="8"/>
        </w:numPr>
      </w:pPr>
      <w:r w:rsidRPr="00331F75">
        <w:t>Veřejná soutěž je vyhlašována vždy jednou za rok, zpravidla v únoru až březnu, hodnoticí proces probíhá do podzimu a výsledky veřejné soutěže jsou vyhlášeny zpravidla před koncem příslušného kalendářního roku.</w:t>
      </w:r>
    </w:p>
    <w:p w:rsidR="00731241" w:rsidRPr="00331F75" w:rsidP="00BD43EF" w14:paraId="0AEE9ADD" w14:textId="77777777">
      <w:pPr>
        <w:pStyle w:val="ListParagraph"/>
        <w:numPr>
          <w:ilvl w:val="0"/>
          <w:numId w:val="8"/>
        </w:numPr>
      </w:pPr>
      <w:r w:rsidRPr="00331F75">
        <w:t>Hodnocení probíhá na základě peer review (panelový systém GA ČR a zahraniční oponenti).</w:t>
      </w:r>
    </w:p>
    <w:p w:rsidR="00731241" w:rsidRPr="00331F75" w:rsidP="00BD43EF" w14:paraId="7EB7B6F2" w14:textId="77777777">
      <w:pPr>
        <w:pStyle w:val="ListParagraph"/>
        <w:numPr>
          <w:ilvl w:val="0"/>
          <w:numId w:val="8"/>
        </w:numPr>
      </w:pPr>
      <w:r w:rsidRPr="00331F75">
        <w:t>Hlavními kritérii hodnocení návrhů grantových projektů jsou kvalita a originalita návrhu grantového projektu, odborné předpoklady navrhovatele dosáhnout deklarovaných cílů a přiměřenost nákladů.</w:t>
      </w:r>
    </w:p>
    <w:p w:rsidR="00731241" w:rsidRPr="00331F75" w:rsidP="00731241" w14:paraId="68F257A0" w14:textId="77777777">
      <w:pPr>
        <w:pStyle w:val="Heading3"/>
      </w:pPr>
      <w:bookmarkStart w:id="28" w:name="_Toc443572119"/>
      <w:bookmarkStart w:id="29" w:name="_Toc256000013"/>
      <w:r w:rsidRPr="00331F75">
        <w:t xml:space="preserve">4.1.2. Bilaterální (mezinárodní) grantové </w:t>
      </w:r>
      <w:bookmarkEnd w:id="28"/>
      <w:r w:rsidRPr="00331F75">
        <w:t>projekty</w:t>
      </w:r>
      <w:bookmarkEnd w:id="29"/>
      <w:r w:rsidRPr="00331F75">
        <w:t xml:space="preserve"> </w:t>
      </w:r>
    </w:p>
    <w:p w:rsidR="00731241" w:rsidRPr="00331F75" w:rsidP="006A56BF" w14:paraId="34187CC0" w14:textId="77777777">
      <w:r w:rsidRPr="00331F75">
        <w:t>Bilaterální (mezinárodní) grantové projekty jsou zaměřeny na podporu mezinárodní spolupráce v základním výzkumu na základě podepsaných mezinárodních dohod o spolupráci se zahraničními partnerskými organizacemi. GA ČR podporuje bilaterální kooperaci vědců a vědeckých týmů ve spolupráci s:</w:t>
      </w:r>
    </w:p>
    <w:p w:rsidR="00731241" w:rsidRPr="00331F75" w:rsidP="00BD43EF" w14:paraId="2A76B39C" w14:textId="77777777">
      <w:pPr>
        <w:pStyle w:val="ListParagraph"/>
        <w:numPr>
          <w:ilvl w:val="0"/>
          <w:numId w:val="10"/>
        </w:numPr>
      </w:pPr>
      <w:r w:rsidRPr="00331F75">
        <w:t>Deutsche Forschungsgemeinschaft (DFG), Německo</w:t>
      </w:r>
    </w:p>
    <w:p w:rsidR="00731241" w:rsidRPr="00331F75" w:rsidP="00BD43EF" w14:paraId="26D523B1" w14:textId="77777777">
      <w:pPr>
        <w:pStyle w:val="ListParagraph"/>
        <w:numPr>
          <w:ilvl w:val="0"/>
          <w:numId w:val="10"/>
        </w:numPr>
      </w:pPr>
      <w:r w:rsidRPr="00331F75">
        <w:t>National Research Foundation of Korea (NRF), Korea</w:t>
      </w:r>
    </w:p>
    <w:p w:rsidR="00731241" w:rsidRPr="00331F75" w:rsidP="00BD43EF" w14:paraId="59C703BB" w14:textId="77777777">
      <w:pPr>
        <w:pStyle w:val="ListParagraph"/>
        <w:numPr>
          <w:ilvl w:val="0"/>
          <w:numId w:val="10"/>
        </w:numPr>
      </w:pPr>
      <w:r w:rsidRPr="00331F75">
        <w:t>Ministry of Science and Technology (MOST), Tchaj-wan</w:t>
      </w:r>
    </w:p>
    <w:p w:rsidR="00731241" w:rsidRPr="00331F75" w:rsidP="00BD43EF" w14:paraId="42E7133F" w14:textId="77777777">
      <w:pPr>
        <w:pStyle w:val="ListParagraph"/>
        <w:numPr>
          <w:ilvl w:val="0"/>
          <w:numId w:val="10"/>
        </w:numPr>
      </w:pPr>
      <w:r w:rsidRPr="00331F75">
        <w:t>Russian Foundation for Basic Research (RFBR), Rusko</w:t>
      </w:r>
    </w:p>
    <w:p w:rsidR="00731241" w:rsidP="00BD43EF" w14:paraId="35DA2A75" w14:textId="77777777">
      <w:pPr>
        <w:pStyle w:val="ListParagraph"/>
        <w:numPr>
          <w:ilvl w:val="0"/>
          <w:numId w:val="10"/>
        </w:numPr>
      </w:pPr>
      <w:r w:rsidRPr="00331F75">
        <w:t>São Paulo Research Foundation (FAPESP), São Paulo, Brazílie.</w:t>
      </w:r>
    </w:p>
    <w:p w:rsidR="006A56BF" w:rsidP="006A56BF" w14:paraId="01CF24AC" w14:textId="77777777"/>
    <w:p w:rsidR="00731241" w:rsidRPr="00B53A3E" w:rsidP="006A56BF" w14:paraId="0D9BAACA" w14:textId="291ABCF1">
      <w:r w:rsidRPr="00B53A3E">
        <w:t>Stručný popis:</w:t>
      </w:r>
    </w:p>
    <w:p w:rsidR="00731241" w:rsidRPr="00331F75" w:rsidP="00BD43EF" w14:paraId="27F3CA85" w14:textId="77777777">
      <w:pPr>
        <w:pStyle w:val="ListParagraph"/>
        <w:numPr>
          <w:ilvl w:val="0"/>
          <w:numId w:val="9"/>
        </w:numPr>
      </w:pPr>
      <w:r w:rsidRPr="00331F75">
        <w:t>Tento typ grantových projektů GA ČR podporuje od roku 2007, tj. první veřejnou soutěž GA ČR vyhlásila v roce 2006.</w:t>
      </w:r>
    </w:p>
    <w:p w:rsidR="00731241" w:rsidRPr="00331F75" w:rsidP="00BD43EF" w14:paraId="4EAD2090" w14:textId="77777777">
      <w:pPr>
        <w:pStyle w:val="ListParagraph"/>
        <w:numPr>
          <w:ilvl w:val="0"/>
          <w:numId w:val="9"/>
        </w:numPr>
      </w:pPr>
      <w:r w:rsidRPr="00331F75">
        <w:t>Téma a cíl grantového projektu volí český navrhovatel ve spolupráci se zahraničním navrhovatelem.</w:t>
      </w:r>
    </w:p>
    <w:p w:rsidR="00731241" w:rsidRPr="00331F75" w:rsidP="00BD43EF" w14:paraId="62C722C1" w14:textId="77777777">
      <w:pPr>
        <w:pStyle w:val="ListParagraph"/>
        <w:numPr>
          <w:ilvl w:val="0"/>
          <w:numId w:val="9"/>
        </w:numPr>
      </w:pPr>
      <w:r w:rsidRPr="00331F75">
        <w:t>Návrhy grantových projektů mohou být podávány ze všech oblastí základního výzkumu.</w:t>
      </w:r>
    </w:p>
    <w:p w:rsidR="00731241" w:rsidRPr="00331F75" w:rsidP="00BD43EF" w14:paraId="0C8D3C47" w14:textId="77777777">
      <w:pPr>
        <w:pStyle w:val="ListParagraph"/>
        <w:numPr>
          <w:ilvl w:val="0"/>
          <w:numId w:val="9"/>
        </w:numPr>
      </w:pPr>
      <w:r w:rsidRPr="00331F75">
        <w:t>Délka trvání grantových projektů je 2–3 roky.</w:t>
      </w:r>
    </w:p>
    <w:p w:rsidR="00731241" w:rsidRPr="00331F75" w:rsidP="00BD43EF" w14:paraId="214E346E" w14:textId="77777777">
      <w:pPr>
        <w:pStyle w:val="ListParagraph"/>
        <w:numPr>
          <w:ilvl w:val="0"/>
          <w:numId w:val="9"/>
        </w:numPr>
      </w:pPr>
      <w:r w:rsidRPr="00331F75">
        <w:t>Uchazečem je fyzická osoba, právnická osoba se sídlem v České republice, organizační složka státu nebo územního samosprávného celku, organizační jednotka Ministerstva obrany nebo Ministerstva vnitra, zabývající se výzkumem a experimentálním vývojem.</w:t>
      </w:r>
    </w:p>
    <w:p w:rsidR="00731241" w:rsidRPr="00331F75" w:rsidP="00BD43EF" w14:paraId="503E221F" w14:textId="77777777">
      <w:pPr>
        <w:pStyle w:val="ListParagraph"/>
        <w:numPr>
          <w:ilvl w:val="0"/>
          <w:numId w:val="9"/>
        </w:numPr>
      </w:pPr>
      <w:r w:rsidRPr="00331F75">
        <w:t>Grantový projekt řeší pracovníci příjemců z obou zemí a prostředky k podpoře společných grantových projektů umožňují zapojení vědeckých týmů svých zemí do mezinárodní spolupráce v rámci interdisciplinárních a perspektivních témat a směrů současné vědy.</w:t>
      </w:r>
    </w:p>
    <w:p w:rsidR="00731241" w:rsidRPr="00331F75" w:rsidP="00BD43EF" w14:paraId="7AAFE802" w14:textId="77777777">
      <w:pPr>
        <w:pStyle w:val="ListParagraph"/>
        <w:numPr>
          <w:ilvl w:val="0"/>
          <w:numId w:val="9"/>
        </w:numPr>
      </w:pPr>
      <w:r w:rsidRPr="00331F75">
        <w:t>V ČR je tento typ soutěže vyhlašován vždy jednou za rok, zpravidla v únoru až v</w:t>
      </w:r>
      <w:r>
        <w:t> </w:t>
      </w:r>
      <w:r w:rsidRPr="00331F75">
        <w:t>březnu, hodnoticí proces probíhá do podzimu a termín vyhlášení výsledků je závislý na termínu schválení grantového projektu v partnerské zemi.</w:t>
      </w:r>
    </w:p>
    <w:p w:rsidR="00731241" w:rsidRPr="00331F75" w:rsidP="00BD43EF" w14:paraId="49649262" w14:textId="77777777">
      <w:pPr>
        <w:pStyle w:val="ListParagraph"/>
        <w:numPr>
          <w:ilvl w:val="0"/>
          <w:numId w:val="9"/>
        </w:numPr>
      </w:pPr>
      <w:r w:rsidRPr="00331F75">
        <w:t>U tohoto typu mezinárodních grantových projektů hodnocení probíhá nezávisle v obou partnerských agenturách (v případě GA ČR jde o </w:t>
      </w:r>
      <w:r w:rsidRPr="006A56BF">
        <w:rPr>
          <w:lang w:val="en-US"/>
        </w:rPr>
        <w:t>peer review</w:t>
      </w:r>
      <w:r w:rsidRPr="00331F75">
        <w:t xml:space="preserve"> využívající panelového systému GA ČR a zahraničních oponentů). Podmínkou poskytnutí podpory mezinárodnímu grantovému projektu ze strany GA ČR je jeho schválení oběma národními poskytovateli. Každý národní poskytovatel financuje aktivity týkající se části řešení grantového projektu v rámci své země.</w:t>
      </w:r>
    </w:p>
    <w:p w:rsidR="00731241" w:rsidRPr="005B0D30" w:rsidP="00BD43EF" w14:paraId="3250849B" w14:textId="77777777">
      <w:pPr>
        <w:pStyle w:val="ListParagraph"/>
        <w:numPr>
          <w:ilvl w:val="0"/>
          <w:numId w:val="9"/>
        </w:numPr>
      </w:pPr>
      <w:r w:rsidRPr="00331F75">
        <w:t xml:space="preserve">Hlavními kritérii hodnocení návrhů grantových projektů v této veřejné soutěži jsou kvalita a originalita návrhu grantového projektu, komplementární přístupy a metodiky, odborné předpoklady navrhovatelů dosáhnout deklarovaných cílů, </w:t>
      </w:r>
      <w:r w:rsidRPr="005B0D30">
        <w:t>přiměřenost nákladů a deklarované vědecké výstupy obou zúčastněných partnerů.</w:t>
      </w:r>
    </w:p>
    <w:p w:rsidR="00731241" w:rsidRPr="009B3474" w:rsidP="00731241" w14:paraId="55FC0154" w14:textId="77777777">
      <w:pPr>
        <w:pStyle w:val="Heading3"/>
      </w:pPr>
      <w:bookmarkStart w:id="30" w:name="_Toc443572120"/>
      <w:bookmarkStart w:id="31" w:name="_Toc256000014"/>
      <w:r w:rsidRPr="009B3474">
        <w:t xml:space="preserve">4.1.3. </w:t>
      </w:r>
      <w:r w:rsidRPr="009B3474">
        <w:rPr>
          <w:iCs/>
        </w:rPr>
        <w:t>„</w:t>
      </w:r>
      <w:r w:rsidRPr="009B3474">
        <w:t xml:space="preserve">Lead Agency“ </w:t>
      </w:r>
      <w:bookmarkEnd w:id="30"/>
      <w:r w:rsidRPr="009B3474">
        <w:t>granty</w:t>
      </w:r>
      <w:bookmarkEnd w:id="31"/>
      <w:r w:rsidRPr="009B3474">
        <w:t xml:space="preserve"> </w:t>
      </w:r>
    </w:p>
    <w:p w:rsidR="00731241" w:rsidRPr="009B3474" w:rsidP="006A56BF" w14:paraId="3FCBD73F" w14:textId="77777777">
      <w:r w:rsidRPr="009B3474">
        <w:t>Hodnocení mezinárodních grantových projektů (LA) probíhá s využitím principu „Lead Agency“, tj. na základě dohod mezi agenturami jsou návrhy grantových projektů posuzovány pouze u jedné z národních agentur, druhá výsledky hodnoticího procesu přijímá. Podmínkou udělení mezinárodního grantového projektu LA od GA ČR je jeho schválení oběma národními poskytovateli. Jsou zaměřeny na podporu mezinárodní spolupráce v základním výzkumu na základě podepsaných mezinárodních dohod o spolupráci se zahraničními partnerskými organizacemi. Každý národní poskytovatel financuje aktivity týkající se části řešení grantového projektu v rámci své země.</w:t>
      </w:r>
    </w:p>
    <w:p w:rsidR="00731241" w:rsidRPr="005B0D30" w:rsidP="006A56BF" w14:paraId="0A0D5CAA" w14:textId="77777777">
      <w:r w:rsidRPr="009B3474">
        <w:t xml:space="preserve">GA ČR podporuje tento typ mezinárodní kooperace vědců a vědeckých týmů ve spolupráci s Fonds zur Förderung der wissenschaftlichen Forschung (FWF), Rakousko, Swiss National Science Foundation (SNSF), Švýcarsko, Slovenian Research Agency (ARRS), Slovinsko, National Science Centre (NCN), Polsko, od roku 2021 také s </w:t>
      </w:r>
      <w:r w:rsidRPr="005B0D30">
        <w:t>German Research Foundation (DFG), Německo, a National Research Fund (FNR), Lucembursko.</w:t>
      </w:r>
    </w:p>
    <w:p w:rsidR="00731241" w:rsidRPr="00331F75" w:rsidP="006A56BF" w14:paraId="3DA891E4" w14:textId="77777777">
      <w:r w:rsidRPr="005B0D30">
        <w:t xml:space="preserve">Dne 17. 6. 2019 nejvyšší představitelé GA ČR, FWF, NCN a ARRS podepsali „CEUS – Central European Science Partnership“ Lead Agency Agreement: Memorandum of Understanding on the unilateral administration and mutual recognition of evaluation procedures“. Tato nová spolupráce umožnila vědcům z České republiky, Rakouska, Polska a Slovinska realizovat vědecké projekty s novými </w:t>
      </w:r>
      <w:r w:rsidRPr="005B0D30">
        <w:t>zahraničními partnery. V rámci CEUS iniciativy na podporu základního výzkumu v regionu střední Evropy bylo vědcům nově umožněno podávat bilaterální a také trilaterální návrhy projektů na principu Lead Agency. Hlavní kritérium pro určení „Lead“ agentury byla dohoda mezinárodního vědeckého týmu ohledně původu vůdčí myšlenky, která je předmětem zkoumání grantového projektu a výše rozpočtu mezinárodního týmu, prostřednictvím kterého byl návrh projektu podáván. Na základě těchto „Lead“ kritérií si vědci sami určili národní LA agenturu, která provede hodnocení návrhu projektu.</w:t>
      </w:r>
    </w:p>
    <w:p w:rsidR="00731241" w:rsidRPr="00331F75" w:rsidP="006A56BF" w14:paraId="06F1B125" w14:textId="77777777">
      <w:r>
        <w:t>Stručný popis</w:t>
      </w:r>
      <w:r w:rsidRPr="00331F75">
        <w:t>:</w:t>
      </w:r>
    </w:p>
    <w:p w:rsidR="00731241" w:rsidRPr="00331F75" w:rsidP="00BD43EF" w14:paraId="01259FB4" w14:textId="77777777">
      <w:pPr>
        <w:pStyle w:val="ListParagraph"/>
        <w:numPr>
          <w:ilvl w:val="0"/>
          <w:numId w:val="11"/>
        </w:numPr>
      </w:pPr>
      <w:r w:rsidRPr="00331F75">
        <w:t>Téma a cíl grantového projektu volí český navrhovatel ve spolupráci se zahraničním navrhovatelem.</w:t>
      </w:r>
    </w:p>
    <w:p w:rsidR="00731241" w:rsidRPr="00331F75" w:rsidP="00BD43EF" w14:paraId="1B6C65E7" w14:textId="77777777">
      <w:pPr>
        <w:pStyle w:val="ListParagraph"/>
        <w:numPr>
          <w:ilvl w:val="0"/>
          <w:numId w:val="11"/>
        </w:numPr>
      </w:pPr>
      <w:r w:rsidRPr="00331F75">
        <w:t>Návrhy grantových projektů mohou být podávány ze všech oblastí základního výzkumu.</w:t>
      </w:r>
    </w:p>
    <w:p w:rsidR="00731241" w:rsidRPr="00331F75" w:rsidP="00BD43EF" w14:paraId="288E1A86" w14:textId="77777777">
      <w:pPr>
        <w:pStyle w:val="ListParagraph"/>
        <w:numPr>
          <w:ilvl w:val="0"/>
          <w:numId w:val="11"/>
        </w:numPr>
      </w:pPr>
      <w:r w:rsidRPr="00331F75">
        <w:t>Délka trvání grantových projektů je 2–3 roky.</w:t>
      </w:r>
    </w:p>
    <w:p w:rsidR="00731241" w:rsidRPr="00331F75" w:rsidP="00BD43EF" w14:paraId="6E9C5038" w14:textId="77777777">
      <w:pPr>
        <w:pStyle w:val="ListParagraph"/>
        <w:numPr>
          <w:ilvl w:val="0"/>
          <w:numId w:val="11"/>
        </w:numPr>
      </w:pPr>
      <w:r w:rsidRPr="00331F75">
        <w:t>Uchazečem je právnická osoba, organizační složka státu nebo územního samosprávného celku, organizační jednotka Ministerstva obrany nebo Ministerstva vnitra, zabývající se výzkumem a experimentálním vývojem.</w:t>
      </w:r>
    </w:p>
    <w:p w:rsidR="00731241" w:rsidRPr="00331F75" w:rsidP="00BD43EF" w14:paraId="7DBE6C1D" w14:textId="77777777">
      <w:pPr>
        <w:pStyle w:val="ListParagraph"/>
        <w:numPr>
          <w:ilvl w:val="0"/>
          <w:numId w:val="11"/>
        </w:numPr>
      </w:pPr>
      <w:r w:rsidRPr="00331F75">
        <w:t>Grantový projekt řeší pracovníci příjemců z obou zemí a prostředky k podpoře společných grantových projektů umožňují zapojení vědeckých týmů svých zemí do mezinárodní spolupráce v rámci interdisciplinárních a perspektivních témat a směrů současné vědy.</w:t>
      </w:r>
    </w:p>
    <w:p w:rsidR="00731241" w:rsidRPr="00331F75" w:rsidP="00BD43EF" w14:paraId="0D468F32" w14:textId="77777777">
      <w:pPr>
        <w:pStyle w:val="ListParagraph"/>
        <w:numPr>
          <w:ilvl w:val="0"/>
          <w:numId w:val="11"/>
        </w:numPr>
      </w:pPr>
      <w:r>
        <w:t>V případech, kdy GA ČR vystupuje v roli Lead Agency, je v</w:t>
      </w:r>
      <w:r w:rsidRPr="00331F75">
        <w:t xml:space="preserve">ýzva zveřejňována </w:t>
      </w:r>
      <w:r>
        <w:t xml:space="preserve">zpravidla </w:t>
      </w:r>
      <w:r w:rsidRPr="00331F75">
        <w:t>jednou za rok</w:t>
      </w:r>
      <w:r>
        <w:t xml:space="preserve">, vyhlášení výsledků probíhá taktéž jednou ročně. V případech, </w:t>
      </w:r>
      <w:r w:rsidRPr="00C60E96">
        <w:t xml:space="preserve">kdy je GA ČR v roli </w:t>
      </w:r>
      <w:r>
        <w:t>partnerské organizace, jsou výzvy vyhlašovány kdykoliv v průběhu roku</w:t>
      </w:r>
      <w:r w:rsidRPr="00331F75">
        <w:t xml:space="preserve">, </w:t>
      </w:r>
      <w:r>
        <w:t>vyhlášení výsledků potom taktéž probíhá průběžně</w:t>
      </w:r>
      <w:r w:rsidRPr="00331F75">
        <w:t>.</w:t>
      </w:r>
    </w:p>
    <w:p w:rsidR="00731241" w:rsidRPr="00331F75" w:rsidP="00BD43EF" w14:paraId="66F031FA" w14:textId="77777777">
      <w:pPr>
        <w:pStyle w:val="ListParagraph"/>
        <w:numPr>
          <w:ilvl w:val="0"/>
          <w:numId w:val="11"/>
        </w:numPr>
      </w:pPr>
      <w:r w:rsidRPr="00331F75">
        <w:t>Oba navrhovatelé na základě výzvy partnerských agentur zpracují a podají návrh grantového projektu, který je hodnocen orgány jedné z partnerských agentur („Lead Agency“). Proces hodnocení je založen na mezinárodním peer review. Po ukončení hodnocení informuje hodnoticí („Lead“) agentura partnerskou agenturu o výsledku hodnocení. Grantový projekt může být podpořen pouze v případě souhlasu obou těchto agentur.</w:t>
      </w:r>
    </w:p>
    <w:p w:rsidR="00731241" w:rsidRPr="00331F75" w:rsidP="00BD43EF" w14:paraId="27BA223B" w14:textId="77777777">
      <w:pPr>
        <w:pStyle w:val="ListParagraph"/>
        <w:numPr>
          <w:ilvl w:val="0"/>
          <w:numId w:val="11"/>
        </w:numPr>
      </w:pPr>
      <w:r w:rsidRPr="00331F75">
        <w:t>Hlavními kritérii hodnocení návrhů grantových projektů v této veřejné soutěži jsou kvalita a originalita návrhu grantového projektu, komplementární přístupy a metodiky, odborné předpoklady navrhovatelů dosáhnout deklarovaných cílů, přiměřenost nákladů a deklarované vědecké výstupy obou zúčastněných partnerů.</w:t>
      </w:r>
    </w:p>
    <w:p w:rsidR="00731241" w:rsidRPr="00331F75" w:rsidP="00731241" w14:paraId="2AC0062E" w14:textId="77777777">
      <w:pPr>
        <w:pStyle w:val="Heading3"/>
      </w:pPr>
      <w:bookmarkStart w:id="32" w:name="_Toc443572121"/>
      <w:bookmarkStart w:id="33" w:name="_Toc256000015"/>
      <w:r w:rsidRPr="00331F75">
        <w:t>4.1.4. Grantové projekty JUNIOR STAR</w:t>
      </w:r>
      <w:bookmarkEnd w:id="33"/>
      <w:r w:rsidRPr="00331F75">
        <w:t xml:space="preserve"> </w:t>
      </w:r>
    </w:p>
    <w:p w:rsidR="00731241" w:rsidRPr="00331F75" w:rsidP="006A56BF" w14:paraId="23B9D6E6" w14:textId="77777777">
      <w:r w:rsidRPr="00331F75">
        <w:t>Grantové projekty JUNIOR STAR jsou zaměřeny na podporu excelentního základního výzkumu a poskytují příležitost začínajícím vědeckým pracovníkům dosáhnout vědecké samostatnosti a vybudovat novou vědeckou skupinu s několika spolupracovníky, moderním vybavením a nezávislým programem na špičkové mezinárodní úrovni, který oživí současnou strukturu základního výzkumu v ČR. Vědecké osobnosti s originálním myšlením se tak umožní realizace vlastních vědeckých cílů v poměrně raném stadiu vědecké kariéry.</w:t>
      </w:r>
    </w:p>
    <w:p w:rsidR="00731241" w:rsidRPr="00331F75" w:rsidP="006A56BF" w14:paraId="2B75F445" w14:textId="77777777">
      <w:r>
        <w:t>Stručný popis</w:t>
      </w:r>
      <w:r w:rsidRPr="00331F75">
        <w:t>:</w:t>
      </w:r>
    </w:p>
    <w:p w:rsidR="00731241" w:rsidRPr="00331F75" w:rsidP="00BD43EF" w14:paraId="6728D62D" w14:textId="77777777">
      <w:pPr>
        <w:pStyle w:val="ListParagraph"/>
        <w:numPr>
          <w:ilvl w:val="0"/>
          <w:numId w:val="12"/>
        </w:numPr>
      </w:pPr>
      <w:r w:rsidRPr="00331F75">
        <w:t>Veřejná soutěž poprvé vyhlášena v roce 2020.</w:t>
      </w:r>
    </w:p>
    <w:p w:rsidR="00731241" w:rsidRPr="00331F75" w:rsidP="00BD43EF" w14:paraId="24AD77C2" w14:textId="77777777">
      <w:pPr>
        <w:pStyle w:val="ListParagraph"/>
        <w:numPr>
          <w:ilvl w:val="0"/>
          <w:numId w:val="12"/>
        </w:numPr>
      </w:pPr>
      <w:r w:rsidRPr="00331F75">
        <w:t>Délka trvání projektů je 5 let.</w:t>
      </w:r>
    </w:p>
    <w:p w:rsidR="00731241" w:rsidRPr="00331F75" w:rsidP="00BD43EF" w14:paraId="2DD8072C" w14:textId="77777777">
      <w:pPr>
        <w:pStyle w:val="ListParagraph"/>
        <w:numPr>
          <w:ilvl w:val="0"/>
          <w:numId w:val="12"/>
        </w:numPr>
      </w:pPr>
      <w:r w:rsidRPr="00331F75">
        <w:t>Návrhy mohou být podávány ze všech oblastí základního výzkumu.</w:t>
      </w:r>
    </w:p>
    <w:p w:rsidR="00731241" w:rsidRPr="00331F75" w:rsidP="00BD43EF" w14:paraId="5397F794" w14:textId="77777777">
      <w:pPr>
        <w:pStyle w:val="ListParagraph"/>
        <w:numPr>
          <w:ilvl w:val="0"/>
          <w:numId w:val="12"/>
        </w:numPr>
      </w:pPr>
      <w:r w:rsidRPr="00331F75">
        <w:t>Téma projektu volí navrhovatel.</w:t>
      </w:r>
    </w:p>
    <w:p w:rsidR="00731241" w:rsidRPr="00331F75" w:rsidP="00BD43EF" w14:paraId="0801C561" w14:textId="77777777">
      <w:pPr>
        <w:pStyle w:val="ListParagraph"/>
        <w:numPr>
          <w:ilvl w:val="0"/>
          <w:numId w:val="12"/>
        </w:numPr>
      </w:pPr>
      <w:r w:rsidRPr="00331F75">
        <w:t>V návrhu projektu smí být uveden pouze jeden uchazeč.</w:t>
      </w:r>
    </w:p>
    <w:p w:rsidR="00731241" w:rsidRPr="00331F75" w:rsidP="00BD43EF" w14:paraId="46FDE132" w14:textId="77777777">
      <w:pPr>
        <w:pStyle w:val="ListParagraph"/>
        <w:numPr>
          <w:ilvl w:val="0"/>
          <w:numId w:val="12"/>
        </w:numPr>
      </w:pPr>
      <w:r w:rsidRPr="00331F75">
        <w:t>Navrhovatel, tj. vedoucí řešitelského týmu, musí splňovat podmínku, že k 30. září roku vyhlášení soutěže uplynulo nejvýše 8 let od udělení jeho akademického titulu Ph.D. nebo jeho ekvivalentu; může jím být jen pracovník působící v oblasti základního výzkumu.</w:t>
      </w:r>
    </w:p>
    <w:p w:rsidR="00731241" w:rsidRPr="00331F75" w:rsidP="00BD43EF" w14:paraId="14B51588" w14:textId="77777777">
      <w:pPr>
        <w:pStyle w:val="ListParagraph"/>
        <w:numPr>
          <w:ilvl w:val="0"/>
          <w:numId w:val="12"/>
        </w:numPr>
      </w:pPr>
      <w:r w:rsidRPr="00331F75">
        <w:t>Navrhovatel musí mít významnou mezinárodní vědeckou zkušenost (např. získání titulu Ph.D. v zahraničí, dlouhodobější výzkumný pobyt na zahraniční instituci během Ph.D. studia či po jeho skončení, krátkodobé opakované výzkumné pobyty na zahraniční instituci, popřípadě spolupráce se zahraničními autory, která vyústila ve společné publikace). Úroveň této mezinárodní zkušenosti je jedním z hodnoticích kritérií.</w:t>
      </w:r>
    </w:p>
    <w:p w:rsidR="00731241" w:rsidRPr="00331F75" w:rsidP="00BD43EF" w14:paraId="0207B822" w14:textId="77777777">
      <w:pPr>
        <w:pStyle w:val="ListParagraph"/>
        <w:numPr>
          <w:ilvl w:val="0"/>
          <w:numId w:val="12"/>
        </w:numPr>
      </w:pPr>
      <w:r w:rsidRPr="00331F75">
        <w:t>Navrhovatel musí být zároveň autorem publikací v prest</w:t>
      </w:r>
      <w:r>
        <w:t>ižních mezinárodních časopisech</w:t>
      </w:r>
      <w:r w:rsidRPr="00331F75">
        <w:t xml:space="preserve"> nebo dosáhnout jiného srovnatelného výsledku prokazujícího excelenci.</w:t>
      </w:r>
    </w:p>
    <w:p w:rsidR="00731241" w:rsidRPr="00331F75" w:rsidP="00BD43EF" w14:paraId="7D2FACE4" w14:textId="77777777">
      <w:pPr>
        <w:pStyle w:val="ListParagraph"/>
        <w:numPr>
          <w:ilvl w:val="0"/>
          <w:numId w:val="12"/>
        </w:numPr>
      </w:pPr>
      <w:r w:rsidRPr="00331F75">
        <w:t>Hodnocení probíhá na základě tzv. peer review systému (mezinárodní oborové komise a externí zahraniční oponenti).</w:t>
      </w:r>
    </w:p>
    <w:p w:rsidR="00731241" w:rsidRPr="00331F75" w:rsidP="00BD43EF" w14:paraId="29089E0B" w14:textId="77777777">
      <w:pPr>
        <w:pStyle w:val="ListParagraph"/>
        <w:numPr>
          <w:ilvl w:val="0"/>
          <w:numId w:val="12"/>
        </w:numPr>
      </w:pPr>
      <w:r w:rsidRPr="00331F75">
        <w:t>Hlavními kritérii hodnocení návrhů projektů jsou způsobilost uchazeče (zejména technické a institucionální zázemí pracoviště), odborné schopnosti navrhovatele (zejména významné mezinárodní zkušenosti, vědecké výsledky, kterých zatím dosáhl s přihlédnutím k délce jeho dosavadní kariéry, jeho tvůrčí přínos ve vědní oblasti podle zaměření návrhu projektu, potenciál navrhovatele vést řešení projektu samostatně nebo s vytvořenou vědeckou skupinou), kvalita navrhovaného projektu z hlediska jeho zaměření, návrhu způsobu řešení, cílů projektu a výstupů, zahraniční spolupráce, předchozí spolupráce uchazeče a navrhovatele s GA ČR a přiměřenost finančních požadavků.</w:t>
      </w:r>
    </w:p>
    <w:p w:rsidR="00731241" w:rsidRPr="00331F75" w:rsidP="00731241" w14:paraId="4AA3D61A" w14:textId="77777777">
      <w:pPr>
        <w:spacing w:after="60" w:line="288" w:lineRule="auto"/>
        <w:rPr>
          <w:rFonts w:asciiTheme="minorHAnsi" w:hAnsiTheme="minorHAnsi" w:cstheme="minorHAnsi"/>
        </w:rPr>
      </w:pPr>
    </w:p>
    <w:p w:rsidR="00731241" w:rsidRPr="00331F75" w:rsidP="00731241" w14:paraId="0A596F93" w14:textId="77777777">
      <w:pPr>
        <w:pStyle w:val="Heading3"/>
        <w:spacing w:before="0" w:line="24" w:lineRule="atLeast"/>
      </w:pPr>
      <w:bookmarkStart w:id="34" w:name="_Toc256000016"/>
      <w:r w:rsidRPr="00331F75">
        <w:t>4.1.5. Grantové projekty excelence v základním výzkumu EXPRO</w:t>
      </w:r>
      <w:bookmarkEnd w:id="34"/>
      <w:r w:rsidRPr="00331F75">
        <w:t xml:space="preserve"> </w:t>
      </w:r>
    </w:p>
    <w:p w:rsidR="00731241" w:rsidRPr="006F65AD" w:rsidP="006F65AD" w14:paraId="241A22DC" w14:textId="77777777">
      <w:r w:rsidRPr="006F65AD">
        <w:t>Cílem EXPRO projektů je vytvářet podmínky pro rozvoj excelentního výzkumu, nastavit standardy excelentní vědy a také napomoci překonat bariéry, které snižují úspěch projektových návrhů ERC, a umožnit tak nabytí potřebných znalostí a zkušeností, které se zhodnotí při podávání vysoce prestižních evropských grantů.</w:t>
      </w:r>
    </w:p>
    <w:p w:rsidR="00731241" w:rsidRPr="006F65AD" w:rsidP="006F65AD" w14:paraId="19B81E34" w14:textId="77777777">
      <w:r w:rsidRPr="006F65AD">
        <w:t>Stručný popis:</w:t>
      </w:r>
    </w:p>
    <w:p w:rsidR="00731241" w:rsidRPr="006F65AD" w:rsidP="00BD43EF" w14:paraId="476B60EB" w14:textId="77777777">
      <w:pPr>
        <w:pStyle w:val="ListParagraph"/>
        <w:numPr>
          <w:ilvl w:val="0"/>
          <w:numId w:val="13"/>
        </w:numPr>
      </w:pPr>
      <w:r w:rsidRPr="006F65AD">
        <w:t>Veřejná soutěž poprvé vyhlášena v roce 2018.</w:t>
      </w:r>
    </w:p>
    <w:p w:rsidR="00731241" w:rsidRPr="006F65AD" w:rsidP="00BD43EF" w14:paraId="7D7201C4" w14:textId="77777777">
      <w:pPr>
        <w:pStyle w:val="ListParagraph"/>
        <w:numPr>
          <w:ilvl w:val="0"/>
          <w:numId w:val="13"/>
        </w:numPr>
      </w:pPr>
      <w:r w:rsidRPr="006F65AD">
        <w:t>Délka trvání projektů je 5 let.</w:t>
      </w:r>
    </w:p>
    <w:p w:rsidR="00731241" w:rsidRPr="006F65AD" w:rsidP="00BD43EF" w14:paraId="19BAB9B6" w14:textId="77777777">
      <w:pPr>
        <w:pStyle w:val="ListParagraph"/>
        <w:numPr>
          <w:ilvl w:val="0"/>
          <w:numId w:val="13"/>
        </w:numPr>
      </w:pPr>
      <w:r w:rsidRPr="006F65AD">
        <w:t>Návrhy projektů mohou být podávány ze všech oblastí základního výzkumu.</w:t>
      </w:r>
    </w:p>
    <w:p w:rsidR="00731241" w:rsidRPr="006F65AD" w:rsidP="00BD43EF" w14:paraId="2B73382F" w14:textId="77777777">
      <w:pPr>
        <w:pStyle w:val="ListParagraph"/>
        <w:numPr>
          <w:ilvl w:val="0"/>
          <w:numId w:val="13"/>
        </w:numPr>
      </w:pPr>
      <w:r w:rsidRPr="006F65AD">
        <w:t>Téma projektu volí navrhovatel.</w:t>
      </w:r>
    </w:p>
    <w:p w:rsidR="00731241" w:rsidRPr="006F65AD" w:rsidP="00BD43EF" w14:paraId="7E3F3E55" w14:textId="77777777">
      <w:pPr>
        <w:pStyle w:val="ListParagraph"/>
        <w:numPr>
          <w:ilvl w:val="0"/>
          <w:numId w:val="13"/>
        </w:numPr>
      </w:pPr>
      <w:r w:rsidRPr="006F65AD">
        <w:t>Projekt řeší jedna osoba nebo tým vědeckých pracovníků z jedné či dvou institucí.</w:t>
      </w:r>
    </w:p>
    <w:p w:rsidR="00731241" w:rsidRPr="006F65AD" w:rsidP="00BD43EF" w14:paraId="5B474C39" w14:textId="77777777">
      <w:pPr>
        <w:pStyle w:val="ListParagraph"/>
        <w:numPr>
          <w:ilvl w:val="0"/>
          <w:numId w:val="13"/>
        </w:numPr>
      </w:pPr>
      <w:r w:rsidRPr="006F65AD">
        <w:t>Hodnocení probíhá na základě tzv. peer review systému (mezinárodní oborové komise a externí zahraniční oponenti).</w:t>
      </w:r>
    </w:p>
    <w:p w:rsidR="00731241" w:rsidRPr="006F65AD" w:rsidP="00BD43EF" w14:paraId="5943FE99" w14:textId="77777777">
      <w:pPr>
        <w:pStyle w:val="ListParagraph"/>
        <w:numPr>
          <w:ilvl w:val="0"/>
          <w:numId w:val="13"/>
        </w:numPr>
      </w:pPr>
      <w:r w:rsidRPr="006F65AD">
        <w:t>Jednou z podmínek úspěšného splnění projektu je nejpozději do jednoho roku po ukončení řešení projektu podat návrh projektu do jedné z hlavních ERC výzev s hostitelskou organizací v ČR.</w:t>
      </w:r>
    </w:p>
    <w:p w:rsidR="00731241" w:rsidRPr="006F65AD" w:rsidP="00BD43EF" w14:paraId="208B0FE5" w14:textId="77777777">
      <w:pPr>
        <w:pStyle w:val="ListParagraph"/>
        <w:numPr>
          <w:ilvl w:val="0"/>
          <w:numId w:val="13"/>
        </w:numPr>
        <w:rPr>
          <w:sz w:val="24"/>
          <w:szCs w:val="24"/>
        </w:rPr>
      </w:pPr>
      <w:r w:rsidRPr="006F65AD">
        <w:t xml:space="preserve">Hlavními kritérii hodnocení návrhů projektů jsou způsobilost uchazeče – zejména technické a institucionální zázemí pracovišť, odborné schopnosti navrhovatele a spolunavrhovatelů, jejich tvůrčí přínos ve vědní oblasti, do které navrhovaný projekt náleží, jejich dosavadní vědecké výsledky, kvalita navrhovaného grantového projektu z hlediska návrhu způsobu řešení, cílů </w:t>
      </w:r>
      <w:r w:rsidRPr="006F65AD">
        <w:t>projektu a výstupů, zahraniční spolupráce, předchozí spolupráce uchazeče a navrhovatele s GA ČR a přiměřenost finančních požadavků.</w:t>
      </w:r>
    </w:p>
    <w:p w:rsidR="00731241" w:rsidRPr="00331F75" w:rsidP="00731241" w14:paraId="11ED95A4" w14:textId="77777777">
      <w:pPr>
        <w:pStyle w:val="Heading3"/>
      </w:pPr>
      <w:bookmarkEnd w:id="32"/>
      <w:bookmarkStart w:id="35" w:name="_Toc256000017"/>
      <w:r w:rsidRPr="00331F75">
        <w:t>4.1.</w:t>
      </w:r>
      <w:r>
        <w:t>6</w:t>
      </w:r>
      <w:r w:rsidRPr="00331F75">
        <w:t>. Grantové projekty POSTDOC INDIVIDUAL FELLOWSHIP</w:t>
      </w:r>
      <w:bookmarkEnd w:id="35"/>
      <w:r w:rsidRPr="00331F75">
        <w:t xml:space="preserve"> </w:t>
      </w:r>
    </w:p>
    <w:p w:rsidR="00731241" w:rsidRPr="006F65AD" w:rsidP="006F65AD" w14:paraId="62927910" w14:textId="77777777">
      <w:pPr>
        <w:rPr>
          <w:rFonts w:asciiTheme="majorHAnsi" w:hAnsiTheme="majorHAnsi" w:cstheme="majorHAnsi"/>
        </w:rPr>
      </w:pPr>
      <w:r w:rsidRPr="006F65AD">
        <w:rPr>
          <w:rFonts w:asciiTheme="majorHAnsi" w:hAnsiTheme="majorHAnsi" w:cstheme="majorHAnsi"/>
        </w:rPr>
        <w:t>Skupina grantových projektů POSTDOC INDIVIDUAL FELLOWSHIP má dva hlavní cíle. Prvním cílem je umožnit vynikajícím domácím vědeckým pracovníkům na počátku jejich vědecké kariéry realizovat jejich vlastní vědecký záměr zahrnující dlouhodobou zahraniční vědeckou stáž a působení na domácí instituci. V souladu s vědeckým záměrem projektu, bude délka dlouhodobé zahraniční vědecké stáže činit 2 roky.</w:t>
      </w:r>
    </w:p>
    <w:p w:rsidR="00731241" w:rsidRPr="006F65AD" w:rsidP="006F65AD" w14:paraId="283B3567" w14:textId="77777777">
      <w:pPr>
        <w:rPr>
          <w:rFonts w:asciiTheme="majorHAnsi" w:hAnsiTheme="majorHAnsi" w:cstheme="majorHAnsi"/>
        </w:rPr>
      </w:pPr>
      <w:r w:rsidRPr="006F65AD">
        <w:rPr>
          <w:rFonts w:asciiTheme="majorHAnsi" w:hAnsiTheme="majorHAnsi" w:cstheme="majorHAnsi"/>
        </w:rPr>
        <w:t>Druhým cílem je motivovat vynikající zahraniční vědecké pracovníky na počátku jejich vědecké kariéry nebo české pracovníky s dlouhodobou zahraniční zkušeností k realizaci jejich vlastního vědeckého záměru na instituci v České republice po celou dobu řešení projektu, tedy po dobu 36 měsíců. Tato skupina grantových projektů tak pomůže oživit strukturu základního výzkumu v ČR tím, že umožní příchod talentovaných zahraničních postdoktorandů na české výzkumné organizace a návrat talentovaných začínajících vědců do ČR.</w:t>
      </w:r>
    </w:p>
    <w:p w:rsidR="00731241" w:rsidRPr="006F65AD" w:rsidP="006F65AD" w14:paraId="027C7B0D" w14:textId="77777777">
      <w:pPr>
        <w:rPr>
          <w:rFonts w:asciiTheme="majorHAnsi" w:hAnsiTheme="majorHAnsi" w:cstheme="majorHAnsi"/>
          <w:iCs/>
        </w:rPr>
      </w:pPr>
    </w:p>
    <w:p w:rsidR="00731241" w:rsidRPr="006F65AD" w:rsidP="006F65AD" w14:paraId="7C8951E6" w14:textId="77777777">
      <w:pPr>
        <w:rPr>
          <w:rFonts w:asciiTheme="majorHAnsi" w:hAnsiTheme="majorHAnsi" w:cstheme="majorHAnsi"/>
          <w:iCs/>
        </w:rPr>
      </w:pPr>
      <w:r w:rsidRPr="006F65AD">
        <w:rPr>
          <w:rFonts w:asciiTheme="majorHAnsi" w:hAnsiTheme="majorHAnsi" w:cstheme="majorHAnsi"/>
          <w:iCs/>
        </w:rPr>
        <w:t>Stručný popis:</w:t>
      </w:r>
    </w:p>
    <w:p w:rsidR="00731241" w:rsidRPr="006F65AD" w:rsidP="00BD43EF" w14:paraId="3B17DCE4" w14:textId="77777777">
      <w:pPr>
        <w:pStyle w:val="ListParagraph"/>
        <w:numPr>
          <w:ilvl w:val="0"/>
          <w:numId w:val="15"/>
        </w:numPr>
        <w:rPr>
          <w:rFonts w:asciiTheme="majorHAnsi" w:hAnsiTheme="majorHAnsi" w:cstheme="majorHAnsi"/>
          <w:iCs/>
        </w:rPr>
      </w:pPr>
      <w:r w:rsidRPr="006F65AD">
        <w:rPr>
          <w:rFonts w:asciiTheme="majorHAnsi" w:hAnsiTheme="majorHAnsi" w:cstheme="majorHAnsi"/>
          <w:iCs/>
        </w:rPr>
        <w:t>První veřejná soutěž bude vyhlášena v roce 2021 s poskytováním podpory od roku 2022.</w:t>
      </w:r>
    </w:p>
    <w:p w:rsidR="00731241" w:rsidRPr="006F65AD" w:rsidP="00BD43EF" w14:paraId="1D81FCCF" w14:textId="77777777">
      <w:pPr>
        <w:pStyle w:val="ListParagraph"/>
        <w:numPr>
          <w:ilvl w:val="0"/>
          <w:numId w:val="15"/>
        </w:numPr>
        <w:rPr>
          <w:rFonts w:asciiTheme="majorHAnsi" w:hAnsiTheme="majorHAnsi" w:cstheme="majorHAnsi"/>
          <w:iCs/>
        </w:rPr>
      </w:pPr>
      <w:r w:rsidRPr="006F65AD">
        <w:rPr>
          <w:rFonts w:asciiTheme="majorHAnsi" w:hAnsiTheme="majorHAnsi" w:cstheme="majorHAnsi"/>
          <w:iCs/>
        </w:rPr>
        <w:t>Délka trvání projektů je stanovena na 3 roky.</w:t>
      </w:r>
    </w:p>
    <w:p w:rsidR="00731241" w:rsidRPr="006F65AD" w:rsidP="00BD43EF" w14:paraId="1ECC4CD8" w14:textId="77777777">
      <w:pPr>
        <w:pStyle w:val="ListParagraph"/>
        <w:numPr>
          <w:ilvl w:val="0"/>
          <w:numId w:val="15"/>
        </w:numPr>
        <w:rPr>
          <w:rFonts w:asciiTheme="majorHAnsi" w:hAnsiTheme="majorHAnsi" w:cstheme="majorHAnsi"/>
          <w:iCs/>
        </w:rPr>
      </w:pPr>
      <w:r w:rsidRPr="006F65AD">
        <w:rPr>
          <w:rFonts w:asciiTheme="majorHAnsi" w:hAnsiTheme="majorHAnsi" w:cstheme="majorHAnsi"/>
          <w:iCs/>
        </w:rPr>
        <w:t>Návrhy projektů mohou být podávány ze všech oblastí základního výzkumu.</w:t>
      </w:r>
    </w:p>
    <w:p w:rsidR="00731241" w:rsidRPr="006F65AD" w:rsidP="00BD43EF" w14:paraId="1EACC46D" w14:textId="77777777">
      <w:pPr>
        <w:pStyle w:val="ListParagraph"/>
        <w:numPr>
          <w:ilvl w:val="0"/>
          <w:numId w:val="15"/>
        </w:numPr>
        <w:rPr>
          <w:rFonts w:asciiTheme="majorHAnsi" w:hAnsiTheme="majorHAnsi" w:cstheme="majorHAnsi"/>
          <w:iCs/>
        </w:rPr>
      </w:pPr>
      <w:r w:rsidRPr="006F65AD">
        <w:rPr>
          <w:rFonts w:asciiTheme="majorHAnsi" w:hAnsiTheme="majorHAnsi" w:cstheme="majorHAnsi"/>
          <w:iCs/>
        </w:rPr>
        <w:t>Téma projektu volí navrhovatel.</w:t>
      </w:r>
    </w:p>
    <w:p w:rsidR="00731241" w:rsidRPr="006F65AD" w:rsidP="00BD43EF" w14:paraId="64F847C9" w14:textId="77777777">
      <w:pPr>
        <w:pStyle w:val="ListParagraph"/>
        <w:numPr>
          <w:ilvl w:val="0"/>
          <w:numId w:val="14"/>
        </w:numPr>
        <w:rPr>
          <w:rFonts w:asciiTheme="majorHAnsi" w:hAnsiTheme="majorHAnsi" w:cstheme="majorHAnsi"/>
          <w:iCs/>
        </w:rPr>
      </w:pPr>
      <w:r w:rsidRPr="006F65AD">
        <w:rPr>
          <w:rFonts w:asciiTheme="majorHAnsi" w:hAnsiTheme="majorHAnsi" w:cstheme="majorHAnsi"/>
          <w:iCs/>
        </w:rPr>
        <w:t>Navrhovatelem může být buďto vynikající zahraniční vědecký pracovník nebo český pracovník s dlouhodobou zahraniční zkušeností, kterému bude umožněna realizace jejich vlastního vědeckého záměru na instituci v České republice po celou dobu řešení projektu, nebo vynikající vědecký pracovník působící na některé instituci v České republice, kterému bude prostřednictvím projektu POSTDOC INDIVIDUAL FELLOWSHIP umožněna dlouhodobá, dvouletá zahraniční vědecká stáž a působení na domácí instituci.</w:t>
      </w:r>
    </w:p>
    <w:p w:rsidR="00731241" w:rsidRPr="006F65AD" w:rsidP="00BD43EF" w14:paraId="23E6E115" w14:textId="77777777">
      <w:pPr>
        <w:pStyle w:val="ListParagraph"/>
        <w:numPr>
          <w:ilvl w:val="0"/>
          <w:numId w:val="14"/>
        </w:numPr>
        <w:rPr>
          <w:rFonts w:asciiTheme="majorHAnsi" w:hAnsiTheme="majorHAnsi" w:cstheme="majorHAnsi"/>
          <w:iCs/>
        </w:rPr>
      </w:pPr>
      <w:r w:rsidRPr="006F65AD">
        <w:rPr>
          <w:rFonts w:asciiTheme="majorHAnsi" w:hAnsiTheme="majorHAnsi" w:cstheme="majorHAnsi"/>
          <w:iCs/>
        </w:rPr>
        <w:t xml:space="preserve">Navrhovatel musí splňovat podmínku, že k 30. září roku vyhlášení soutěže uplynuly nejvýše 4 roky od udělení jeho akademického titulu Ph.D. (nebo ekvivalentu). </w:t>
      </w:r>
    </w:p>
    <w:p w:rsidR="00731241" w:rsidRPr="006F65AD" w:rsidP="00BD43EF" w14:paraId="6B55AE28" w14:textId="77777777">
      <w:pPr>
        <w:pStyle w:val="ListParagraph"/>
        <w:numPr>
          <w:ilvl w:val="0"/>
          <w:numId w:val="14"/>
        </w:numPr>
        <w:rPr>
          <w:rFonts w:asciiTheme="majorHAnsi" w:hAnsiTheme="majorHAnsi" w:cstheme="majorHAnsi"/>
          <w:iCs/>
        </w:rPr>
      </w:pPr>
      <w:r w:rsidRPr="006F65AD">
        <w:rPr>
          <w:rFonts w:asciiTheme="majorHAnsi" w:hAnsiTheme="majorHAnsi" w:cstheme="majorHAnsi"/>
          <w:iCs/>
        </w:rPr>
        <w:t>Projekt POSTDOC INDIVIDUAL FELLOWSHIP je projektem jednoho řešitele a předpokládá se, že tento řešitel bude pracovat výhradně na tomto POSTDOC INDIVIDUAL FELLOWSHIP projektu.</w:t>
      </w:r>
    </w:p>
    <w:p w:rsidR="00731241" w:rsidRPr="006F65AD" w:rsidP="00BD43EF" w14:paraId="510711F7" w14:textId="77777777">
      <w:pPr>
        <w:pStyle w:val="ListParagraph"/>
        <w:numPr>
          <w:ilvl w:val="0"/>
          <w:numId w:val="14"/>
        </w:numPr>
        <w:rPr>
          <w:rFonts w:asciiTheme="majorHAnsi" w:hAnsiTheme="majorHAnsi" w:cstheme="majorHAnsi"/>
          <w:iCs/>
        </w:rPr>
      </w:pPr>
      <w:r w:rsidRPr="006F65AD">
        <w:rPr>
          <w:rFonts w:asciiTheme="majorHAnsi" w:hAnsiTheme="majorHAnsi" w:cstheme="majorHAnsi"/>
          <w:iCs/>
        </w:rPr>
        <w:t>Vyžaduje-li to charakter projektu, mohou na pracovišti příjemce na řešení projektu případně spolupracovat i techničtí pracovníci a studenti magisterského studia, a to pouze v době, po kterou řešitel působí na pracovišti uchazeče v České republice.</w:t>
      </w:r>
    </w:p>
    <w:p w:rsidR="00731241" w:rsidRPr="006F65AD" w:rsidP="00BD43EF" w14:paraId="17491E0E" w14:textId="77777777">
      <w:pPr>
        <w:pStyle w:val="ListParagraph"/>
        <w:numPr>
          <w:ilvl w:val="0"/>
          <w:numId w:val="14"/>
        </w:numPr>
        <w:rPr>
          <w:rFonts w:asciiTheme="majorHAnsi" w:hAnsiTheme="majorHAnsi" w:cstheme="majorHAnsi"/>
          <w:iCs/>
        </w:rPr>
      </w:pPr>
      <w:r w:rsidRPr="006F65AD">
        <w:rPr>
          <w:rFonts w:asciiTheme="majorHAnsi" w:hAnsiTheme="majorHAnsi" w:cstheme="majorHAnsi"/>
          <w:iCs/>
        </w:rPr>
        <w:t>Po dobu trvání zahraniční vědecké stáže řešitele lze mezi způsobilé náklady zahrnout také náklady na zvýšení životních nákladů řešitele.</w:t>
      </w:r>
    </w:p>
    <w:p w:rsidR="00731241" w:rsidRPr="006F65AD" w:rsidP="00BD43EF" w14:paraId="6B12B315" w14:textId="77777777">
      <w:pPr>
        <w:pStyle w:val="ListParagraph"/>
        <w:numPr>
          <w:ilvl w:val="0"/>
          <w:numId w:val="14"/>
        </w:numPr>
        <w:rPr>
          <w:rFonts w:asciiTheme="majorHAnsi" w:hAnsiTheme="majorHAnsi" w:cstheme="majorHAnsi"/>
          <w:iCs/>
        </w:rPr>
      </w:pPr>
      <w:r w:rsidRPr="006F65AD">
        <w:rPr>
          <w:rFonts w:asciiTheme="majorHAnsi" w:hAnsiTheme="majorHAnsi" w:cstheme="majorHAnsi"/>
          <w:iCs/>
        </w:rPr>
        <w:t>Po dobu trvání zahraniční vědecké stáže řešitele ze způsobilých nákladů vyloučeny další provozní náklady nebo výdaje a náklady nebo výdaje na služby.</w:t>
      </w:r>
    </w:p>
    <w:p w:rsidR="00731241" w:rsidRPr="006F65AD" w:rsidP="00BD43EF" w14:paraId="476D2F14" w14:textId="77777777">
      <w:pPr>
        <w:pStyle w:val="ListParagraph"/>
        <w:numPr>
          <w:ilvl w:val="0"/>
          <w:numId w:val="14"/>
        </w:numPr>
        <w:rPr>
          <w:rFonts w:asciiTheme="majorHAnsi" w:hAnsiTheme="majorHAnsi" w:cstheme="majorHAnsi"/>
          <w:iCs/>
        </w:rPr>
      </w:pPr>
      <w:r w:rsidRPr="006F65AD">
        <w:rPr>
          <w:rFonts w:asciiTheme="majorHAnsi" w:hAnsiTheme="majorHAnsi" w:cstheme="majorHAnsi"/>
          <w:iCs/>
        </w:rPr>
        <w:t>Hlavními kritérii hodnocení návrhů projektů jsou originalita, kvalita a úroveň navrhovaného grantového projektu (zejména zaměření projektu, návrh způsobu řešení), schopnosti a předpoklady navrhovatele, mezinárodní zkušenosti (dosavadní a plánované zahraniční aktivity) a kvalita uchazeče a zahraniční instituce, na které bude realizován dvouletý vědecký pobyt.</w:t>
      </w:r>
    </w:p>
    <w:p w:rsidR="00731241" w:rsidRPr="00331F75" w:rsidP="00731241" w14:paraId="42B3F53F" w14:textId="77777777">
      <w:pPr>
        <w:pStyle w:val="PlainText"/>
        <w:rPr>
          <w:rFonts w:ascii="Calibri" w:hAnsi="Calibri" w:cs="Times New Roman"/>
          <w:iCs/>
          <w:sz w:val="24"/>
          <w:szCs w:val="24"/>
        </w:rPr>
      </w:pPr>
    </w:p>
    <w:p w:rsidR="00731241" w:rsidRPr="00331F75" w:rsidP="00731241" w14:paraId="0CD449B5" w14:textId="77777777">
      <w:pPr>
        <w:pStyle w:val="Heading3"/>
      </w:pPr>
      <w:bookmarkStart w:id="36" w:name="_Toc443572126"/>
      <w:bookmarkStart w:id="37" w:name="_Toc256000018"/>
      <w:r w:rsidRPr="00331F75">
        <w:t>4.1.</w:t>
      </w:r>
      <w:r>
        <w:t>7</w:t>
      </w:r>
      <w:r w:rsidRPr="00331F75">
        <w:t>. Grantové projekty orientovaného základního výzkumu</w:t>
      </w:r>
      <w:bookmarkEnd w:id="37"/>
    </w:p>
    <w:p w:rsidR="00731241" w:rsidRPr="00331F75" w:rsidP="006F65AD" w14:paraId="471C53BC" w14:textId="109623C0">
      <w:r w:rsidRPr="00331F75">
        <w:t xml:space="preserve">Svět se trvale potýká s mnoha environmentálními, klimatickými, zdravotními i humanitárními problémy, jejichž závažnost a dopady </w:t>
      </w:r>
      <w:r>
        <w:t xml:space="preserve">se postupem času stále zvyšují a které </w:t>
      </w:r>
      <w:r w:rsidRPr="00331F75">
        <w:t>dalece překračují hranice jednotlivých států a představují hrozbu pro budoucnost. Jako aktuální příklad lze uvést dosud probíhající pandemii nemoci COVID-19. Podpora kvalitního výzkumu zaměřeného na společenské a hospodářské problémy je velmi důležitá, GA ČR se připojila v rámci mezinárodních projektů hodnocených na principu Lead Agency (LA granty) ke společné výzvě k podávání návrhů projektů v základním výzkumu zaměřených na pandemii nemoci COVID-19 ve spolupráci s rakouskou agenturou FWF (výzva Urgent Funding SARS-CoV-2</w:t>
      </w:r>
      <w:r w:rsidRPr="006F65AD">
        <w:t>), v rámci které byl ze strany FWF prozatím jeden rakousko-český bilaterální projekt navržen k financování. Mezinárodní</w:t>
      </w:r>
      <w:r w:rsidRPr="00331F75">
        <w:t xml:space="preserve"> spolupráci na principu Lead Agency navázala GA ČR také se švýcarskou agenturou SNSF</w:t>
      </w:r>
      <w:r w:rsidR="006F65AD">
        <w:t xml:space="preserve"> a od roku 2021 také</w:t>
      </w:r>
      <w:r>
        <w:t> s lucemburskou agenturou FNR.</w:t>
      </w:r>
    </w:p>
    <w:p w:rsidR="00731241" w:rsidRPr="00331F75" w:rsidP="006F65AD" w14:paraId="24C528DE" w14:textId="77777777">
      <w:r w:rsidRPr="00331F75">
        <w:t>Z analýzy GA ČR vyplývá, že v průběhu roku 2020 na vypuknutí pandemie nemoci COVID-19 reagovalo vyhlášením urgentních výzev prostřednictvím národních organizací financujících výzkum minimálně 15 dalších evropských zemí. V případě agentur zaměřených výhradně na podporu základního výzkumu to kromě zmíněných FWF a SNSF byly polská NCN, švédská VR a irská IRC. U ostatních agentur šlo většinou o určitou kombinaci témat nebo okruhů v rámci podpory základního a aplikovaného výzkumu. Jednotlivé organizace přijaly nejrůznější opatření, která usnadnila rychlý a hladký průběh výzev k podávání návrhů grantových projektů. V několika případech, kdy byla hlavní prioritou co nejrychlejší reakce v rámci výzkumného prostředí, některé organizace dokázaly zkrátit lhůtu od vyhlášení výzev po začátek řešení projektů na 20–30 dnů. Všechny analyzované agentury, ať už zaměřené na podporu pouze základního nebo základního i aplikovaného výzkumu, jsou v mezích svého právního rámce schopny promptně a flexibilně reagovat na urgentní problémy.</w:t>
      </w:r>
    </w:p>
    <w:p w:rsidR="00731241" w:rsidRPr="00331F75" w:rsidP="006F65AD" w14:paraId="3ABD90C2" w14:textId="77777777">
      <w:r w:rsidRPr="00331F75">
        <w:t>Na rozdíl od aplikovaného výzkumu není tato možnost v rámci základního výzkumu pokryta. GA ČR proto v rámci svého stávajícího schématu účelové podpory nemůže vyhlašovat vlastní veřejné soutěže výhradně zaměřené na konkrétní téma</w:t>
      </w:r>
      <w:r>
        <w:t>,</w:t>
      </w:r>
      <w:r w:rsidRPr="00331F75">
        <w:t xml:space="preserve"> a nemůže tak dostatečně pružně a</w:t>
      </w:r>
      <w:r>
        <w:t> </w:t>
      </w:r>
      <w:r w:rsidRPr="00331F75">
        <w:t>rychle reagovat na společenské a hospodářské potřeby. Zadávací dokumentace v současné době pouze dává navrhovatelům možnost přihlásit se k některé z prioritních oblastí (podoblastí) Národních priorit orientovaného výzkumu, experimentálního vývoje a inovací. I</w:t>
      </w:r>
      <w:r>
        <w:t> </w:t>
      </w:r>
      <w:r w:rsidRPr="00331F75">
        <w:t>v současné době GA ČR podporuje projekty věnované řešení nejvýznamnějších společenských a hospodářských problémů v rámci stávajících veřejných soutěží, zejména standardních projektů. V dosud vyhlašovaných veřejných soutěžích ovšem nemůže být reakce na konkrétní problém, vysoká potřebnost a aktuálnost použita jako kritérium hodnocení.</w:t>
      </w:r>
    </w:p>
    <w:p w:rsidR="00731241" w:rsidRPr="00331F75" w:rsidP="006F65AD" w14:paraId="15674097" w14:textId="77777777">
      <w:r w:rsidRPr="00331F75">
        <w:t>GA ČR proto předloží návrh nové skupiny grantových projektů, která by jí umožnila, obdobně jako u jiných obdobných zahraničních agentur (FWF, DFG, SNSF), každoročně flexibilně vyhlásit vedle stávajících veřejných soutěží také soutěž, která bude zaměřena na řešení konkrétních aktuálních celospolečenských a celohospodářských témat. Pokud by se v</w:t>
      </w:r>
      <w:r>
        <w:t> </w:t>
      </w:r>
      <w:r w:rsidRPr="00331F75">
        <w:t>budoucnu objevil závažný společenský nebo hospodářský problém, který by vyžadoval okamžitou a pružnou reakci, GA ČR by vyhlásila v rámci této skupiny grantových projektů v</w:t>
      </w:r>
      <w:r>
        <w:t> </w:t>
      </w:r>
      <w:r w:rsidRPr="00331F75">
        <w:t>co nejkratší době urgentní veřejnou soutěž na podporu projektů v základním výzkumu řešícím daný problém.</w:t>
      </w:r>
    </w:p>
    <w:p w:rsidR="00731241" w:rsidRPr="006F65AD" w:rsidP="00731241" w14:paraId="352599BA" w14:textId="77777777">
      <w:pPr>
        <w:pStyle w:val="Heading2"/>
        <w:ind w:left="540" w:hanging="540"/>
        <w:rPr>
          <w:rFonts w:ascii="Calibri" w:hAnsi="Calibri" w:cs="Times New Roman"/>
          <w:iCs/>
        </w:rPr>
      </w:pPr>
      <w:bookmarkStart w:id="38" w:name="_Toc256000019"/>
      <w:r w:rsidRPr="006F65AD">
        <w:rPr>
          <w:rFonts w:ascii="Calibri" w:hAnsi="Calibri" w:cs="Times New Roman"/>
          <w:iCs/>
        </w:rPr>
        <w:t>4.2.</w:t>
      </w:r>
      <w:r w:rsidRPr="006F65AD">
        <w:rPr>
          <w:rFonts w:ascii="Calibri" w:hAnsi="Calibri" w:cs="Times New Roman"/>
          <w:iCs/>
        </w:rPr>
        <w:tab/>
        <w:t>Zjednodušení administrativy, zvýšení uživatelské přívětivosti a transparentnosti podpory</w:t>
      </w:r>
      <w:bookmarkEnd w:id="38"/>
      <w:bookmarkEnd w:id="36"/>
    </w:p>
    <w:p w:rsidR="00731241" w:rsidRPr="00331F75" w:rsidP="006F65AD" w14:paraId="7E87493C" w14:textId="77777777">
      <w:r w:rsidRPr="00331F75">
        <w:t>GA ČR dlouhodobě a systematicky pracuje na zlepšování uživatelské přívětivosti a na snižování administrativní náročnosti požadavků kladených na řešitele a navrhovatele projektů a hodnotitele. Zaměřuje se také na zrychlování a zjednodušování administrativních procesů spojených s činností Kanceláře GA ČR.</w:t>
      </w:r>
    </w:p>
    <w:p w:rsidR="00731241" w:rsidRPr="00331F75" w:rsidP="006F65AD" w14:paraId="27118CBE" w14:textId="77777777">
      <w:r w:rsidRPr="00331F75">
        <w:t xml:space="preserve">Prioritou GA ČR je, aby mohli vědci strávit co nejvíce času řešením vědeckých otázek a co nejméně času museli věnovat ostatním přidruženým činnostem spojeným s administrací grantu i grantové žádosti. Řadu usnadnění v minulých letech GA ČR již zavedla – například komunikace mezi kanceláří a navrhovateli a řešiteli, včetně podpisu smlouvy, je nastavená tak, aby mohla probíhat již výhradně elektronicky. I díky tomu se zrychluje celý proces administrativy grantového projektu. Sekundárně tato možnost přispívá i k šetření životního prostředí díky tomu, že není nutné dokumenty tisknout a posílat je prostřednictvím poštovních služeb. </w:t>
      </w:r>
    </w:p>
    <w:p w:rsidR="00731241" w:rsidRPr="00331F75" w:rsidP="006F65AD" w14:paraId="675117EF" w14:textId="77777777">
      <w:r w:rsidRPr="00331F75">
        <w:t>Významný dopad na vědce však měla také aktualizace požadovaného formátu závěrečné zprávy, díky kterému jsou závěrečné zprávy o projektech kratší a řešitelé tak potřebují méně času na jejich vypracování. Vzhledem k novým formulacím došlo k jasnému definování požadavků na závěrečnou zprávu – formulář je tak nyní i srozumitelnější. Byly redukovány také některé části administrativního procesu – u grantů, při jejichž řešení nedochází k žádné změně oproti původní smlouvě, již není potřeba každý rok plnění smlouvy aktualizovat pomocí dodatku ke smlouvě. K dalšímu snížení administrativní zátěže přispělo sloučení vybraných dokumentů, jako jsou čestná prohlášení, do jednoho formuláře.</w:t>
      </w:r>
    </w:p>
    <w:p w:rsidR="00731241" w:rsidRPr="00331F75" w:rsidP="006F65AD" w14:paraId="2D100D88" w14:textId="77777777">
      <w:r w:rsidRPr="00331F75">
        <w:t>GA ČR aktuálně reviduje a sjednocuje další firemní dokumenty, které souvisí s agendou Kanceláře GA ČR. Díky sjednocení a efektivnímu naformátování dokumentů a šablon se dokumenty celkově zkrátí, což také přispěje k nižší spotřebě tisku a k dalšímu reflektování trendů týkajících se udržitelnosti.</w:t>
      </w:r>
    </w:p>
    <w:p w:rsidR="00731241" w:rsidRPr="00331F75" w:rsidP="006F65AD" w14:paraId="5BE3EED9" w14:textId="77777777">
      <w:r w:rsidRPr="00331F75">
        <w:t>GA ČR se také snaží o obdobnou strukturu a znění zadávacích dokumentací jednotlivých grantových soutěží. Vzhledem k tomu, že jsou podmínky soutěží každý rok obdobné, žadatelé se v nich snáze orientují. Meziroční změny jsou jen minimální a zpravidla vycházejí vstříc požadavkům vědecké obce a vedou ke zlepšení podmínek pro řešitele a žadatele.</w:t>
      </w:r>
    </w:p>
    <w:p w:rsidR="00731241" w:rsidRPr="00331F75" w:rsidP="006F65AD" w14:paraId="524EEFDF" w14:textId="77777777">
      <w:r w:rsidRPr="00331F75">
        <w:t>GA ČR v roce 2020 flexibilně reagovala také na pandemii COVID-19 a přijal</w:t>
      </w:r>
      <w:r>
        <w:t>a</w:t>
      </w:r>
      <w:r w:rsidRPr="00331F75">
        <w:t xml:space="preserve"> řadu opatření, která řešitelům a navrhovatelům umožnila nastalou situaci lépe zvládnout. Mezi přijatými opatřeními bylo například posunutí lhůt pro podání návrhů projektů, závěrečných a dílčích zpráv, ale také flexibilnější možnost změny pracovních úvazků a využití prostředků grantu. Bylo tak možné z prostředků grantu platit náklady na telekomunikace, které kompenzovaly možnosti osobního setkání, nebo storno poplatky nákladů spojených se zahraničními výjezdy a konferencemi, které se nakonec neuskutečnily. Řešitelům, kteří se kvůli pandemii nemohli věnovat řešení projektu, bylo také umožněno jeho řešení prodloužit. GA ČR je i do budoucna připravena přijímat opatření, která budou co nejlépe odpovídat nastalým podmínkám a která budou mít pozitivní dopad na řešení projektů i v nenadálých situacích.</w:t>
      </w:r>
    </w:p>
    <w:p w:rsidR="00731241" w:rsidRPr="00331F75" w:rsidP="006F65AD" w14:paraId="39550D36" w14:textId="77777777">
      <w:r w:rsidRPr="00331F75">
        <w:t xml:space="preserve">Samostatnou kapitolou, která má výrazný dopad na administrativní zátěž jak řešitelů, tak Kanceláře GA ČR, je grantová aplikace GRIS. Díky této aplikaci dokáže GA ČR velmi efektivně spravovat každý rok tisíce projektů s minimálními požadavky na personální kapacity. Využívání aplikace je navíc přehledné a </w:t>
      </w:r>
      <w:r w:rsidRPr="00331F75">
        <w:t>jednoduché, aplikace je uživatelsky přívětivá jak k</w:t>
      </w:r>
      <w:r>
        <w:t> </w:t>
      </w:r>
      <w:r w:rsidRPr="00331F75">
        <w:t>navrhovatelům a řešitelům, tak vědcům z celého světa, kteří projekty hodnotí.</w:t>
      </w:r>
    </w:p>
    <w:p w:rsidR="00731241" w:rsidRPr="00331F75" w:rsidP="006F65AD" w14:paraId="0EE8AA3C" w14:textId="77777777">
      <w:r w:rsidRPr="00331F75">
        <w:t>GA ČR je aktivním členem komise, která se v rámci přípravy novely zákona o podpoře výzkumu, vývoje a inovací snaží o celkové zjednodušení administrativy související s vědou a</w:t>
      </w:r>
      <w:r>
        <w:t> </w:t>
      </w:r>
      <w:r w:rsidRPr="00331F75">
        <w:t>výzkumem v České republice.</w:t>
      </w:r>
    </w:p>
    <w:p w:rsidR="00731241" w:rsidRPr="00331F75" w:rsidP="006F65AD" w14:paraId="0ED77C91" w14:textId="77777777">
      <w:r w:rsidRPr="00331F75">
        <w:t>GA ČR i nadále bude analyzovat možnosti zjednodušení administrativy projektů, návrhů projektů i procesů spojených s veškerou činností GA ČR a bude hledat další cesty možného zjednodušení administrativy, a to i s ohledem na zpětnou vazbu, kterou mu pravidelně poskytují řešitelé, navrhovatelé, hodnotitelé a další interesované osoby.</w:t>
      </w:r>
    </w:p>
    <w:p w:rsidR="00731241" w:rsidRPr="00331F75" w:rsidP="006F65AD" w14:paraId="7BD28610" w14:textId="77777777">
      <w:r w:rsidRPr="00331F75">
        <w:t>Vzhledem k omezeným finančním prostředkům může GA ČR podporovat jen ty skutečně nejlepší projekty. Proces hodnocení je nastavený velmi transparentně a promyšleně tak, aby co nejvíce eliminoval možnou přílišnou subjektivitu některých hodnotitelů a jakýkoli možný střet zájmů. Díky aplikaci GRIS mnoho procesů probíhá plně automaticky – například umožnění přístupu hodnotitele ke všem návrhům v rámci svého panelu, s výjimkou vlastního návrhu projektu a návrhů projektů, u nichž je ve střetu zájmů, nebo náhodné přiřazování hodnotitelů k návrhům projektů. Během projednávání jednotlivých projektů prostřednictvím panelů musí všichni panelisté, kteří mohou být ve střetu zájmů, opustit jednací místnost.</w:t>
      </w:r>
    </w:p>
    <w:p w:rsidR="00731241" w:rsidRPr="00331F75" w:rsidP="00731241" w14:paraId="566E0747" w14:textId="77777777">
      <w:pPr>
        <w:pStyle w:val="PlainText"/>
        <w:rPr>
          <w:rFonts w:ascii="Calibri" w:hAnsi="Calibri" w:cs="Times New Roman"/>
          <w:iCs/>
          <w:sz w:val="24"/>
          <w:szCs w:val="24"/>
        </w:rPr>
      </w:pPr>
    </w:p>
    <w:p w:rsidR="00731241" w:rsidRPr="006F65AD" w:rsidP="00731241" w14:paraId="561A052F" w14:textId="77777777">
      <w:pPr>
        <w:pStyle w:val="Heading2"/>
        <w:ind w:left="540" w:hanging="540"/>
        <w:rPr>
          <w:rFonts w:ascii="Calibri" w:hAnsi="Calibri" w:cs="Times New Roman"/>
          <w:iCs/>
        </w:rPr>
      </w:pPr>
      <w:bookmarkStart w:id="39" w:name="_Toc256000020"/>
      <w:r w:rsidRPr="006F65AD">
        <w:rPr>
          <w:rFonts w:ascii="Calibri" w:hAnsi="Calibri" w:cs="Times New Roman"/>
          <w:iCs/>
        </w:rPr>
        <w:t>4.3.</w:t>
      </w:r>
      <w:r w:rsidRPr="006F65AD">
        <w:rPr>
          <w:rFonts w:ascii="Calibri" w:hAnsi="Calibri" w:cs="Times New Roman"/>
          <w:iCs/>
        </w:rPr>
        <w:tab/>
      </w:r>
      <w:bookmarkStart w:id="40" w:name="_Hlk54007204"/>
      <w:r w:rsidRPr="006F65AD">
        <w:rPr>
          <w:rFonts w:ascii="Calibri" w:hAnsi="Calibri" w:cs="Times New Roman"/>
          <w:iCs/>
        </w:rPr>
        <w:t>Podpora</w:t>
      </w:r>
      <w:r w:rsidRPr="006F65AD">
        <w:t xml:space="preserve"> </w:t>
      </w:r>
      <w:r w:rsidRPr="006F65AD">
        <w:rPr>
          <w:rFonts w:ascii="Calibri" w:hAnsi="Calibri" w:cs="Times New Roman"/>
          <w:iCs/>
        </w:rPr>
        <w:t>genderové rovnosti ve výzkumu a vývoji</w:t>
      </w:r>
      <w:bookmarkEnd w:id="40"/>
      <w:r w:rsidRPr="006F65AD">
        <w:rPr>
          <w:rFonts w:ascii="Calibri" w:hAnsi="Calibri" w:cs="Times New Roman"/>
          <w:iCs/>
        </w:rPr>
        <w:t>, podpora sladění profesního a rodinného života řešitelů a řešitelek</w:t>
      </w:r>
      <w:bookmarkEnd w:id="39"/>
      <w:r w:rsidRPr="006F65AD">
        <w:rPr>
          <w:rFonts w:ascii="Calibri" w:hAnsi="Calibri" w:cs="Times New Roman"/>
          <w:iCs/>
        </w:rPr>
        <w:t xml:space="preserve"> </w:t>
      </w:r>
    </w:p>
    <w:p w:rsidR="00731241" w:rsidRPr="00331F75" w:rsidP="006F65AD" w14:paraId="3F45C679" w14:textId="77777777">
      <w:r w:rsidRPr="00331F75">
        <w:t xml:space="preserve">GA ČR od svého vzniku neustále rozšiřuje škálu možností, které navrhovatelům a řešitelům projektů mohou pomoci lépe sladit rodinný a profesní život, jako je například nezapočítávání mateřské nebo rodičovské dovolené do relevantních lhůt (např. lhůta 8 let od získání titulu Ph.D.), možnost změny řešitele iniciované řešitelem (s možností návratu), snížení jeho úvazku nebo i přerušení řešení projektu po dobu mateřské nebo rodičovské dovolené. </w:t>
      </w:r>
    </w:p>
    <w:p w:rsidR="00731241" w:rsidRPr="00331F75" w:rsidP="006F65AD" w14:paraId="72DBE719" w14:textId="77777777">
      <w:r w:rsidRPr="00331F75">
        <w:t xml:space="preserve">V projektech JUNIOR STAR zrušila GA ČR podmínku zahraniční mobility a namísto toho požaduje po potenciální řešitelce/řešiteli významnou mezinárodní vědeckou zkušenost. Za tu se považuje získání doktorského titulu v zahraničí, absolvování dlouhodobějšího výzkumného pobytu na zahraniční instituci během doktorského studia či po jeho skončení, dále pak krátkodobé opakované výzkumné pobyty na zahraniční instituci, popřípadě spolupráci se zahraničními autory, která vyústila ve společné publikace. Úroveň této mezinárodní zkušenosti bude jedním z hodnoticích kritérií. </w:t>
      </w:r>
    </w:p>
    <w:p w:rsidR="00731241" w:rsidRPr="00331F75" w:rsidP="006F65AD" w14:paraId="793D8D6F" w14:textId="77777777">
      <w:r w:rsidRPr="00331F75">
        <w:t>Již nyní agentura obecně umožňuje zahrnout náklady na péči o děti osob podílejících se na řešení projektu do doplňkových nákladů u všech skupin grantových projektů, pokud jsou tyto náklady zdův</w:t>
      </w:r>
      <w:r>
        <w:t xml:space="preserve">odněné, účetně prokazatelné a </w:t>
      </w:r>
      <w:r w:rsidRPr="00331F75">
        <w:t>nezbytné pro řešení projektu.</w:t>
      </w:r>
    </w:p>
    <w:p w:rsidR="00731241" w:rsidRPr="00331F75" w:rsidP="006F65AD" w14:paraId="4967D622" w14:textId="77777777">
      <w:r w:rsidRPr="00331F75">
        <w:t xml:space="preserve">GA ČR zároveň poskytuje plnou součinnost při tvorbě doporučujících i závazných podkladů týkajících se ukotvení genderové tématiky ve VaVaI a rozvíjí spolupráci s dalšími institucemi. Pravidelně reviduje interní podklady i zadávací dokumentace, do souvisejících textů implementuje informace týkající se genderové rovnosti a perspektivy. Díky činnosti dvou genderových koordinátorek, které v GA ČR působí, a pravidelným setkáváním v širším týmu ohledně této problematiky, je genderová perspektiva přirozeně reflektována napříč agenturou a taktéž v průběhu několikastupňových hodnoticích procesů. GA ČR </w:t>
      </w:r>
      <w:r w:rsidRPr="00331F75">
        <w:t xml:space="preserve">dlouhodobě a každoročně zveřejňuje přehledy o zastoupení žen v orgánech GA ČR a projektech jako součást svých Zpráv o činnosti. GA ČR také několikrát ve výzvách k nominacím na členy svých hodnoticích panelů </w:t>
      </w:r>
      <w:r>
        <w:t>doporučuje</w:t>
      </w:r>
      <w:r w:rsidRPr="00331F75">
        <w:t xml:space="preserve"> navrhovatelům, aby při podávání návrhů vzali v úvahu genderové hledisko</w:t>
      </w:r>
      <w:r>
        <w:t>,</w:t>
      </w:r>
      <w:r w:rsidRPr="00331F75">
        <w:t xml:space="preserve"> a pomohli tak k vyššímu zastoupení žen.</w:t>
      </w:r>
    </w:p>
    <w:p w:rsidR="00731241" w:rsidRPr="006F65AD" w:rsidP="00731241" w14:paraId="2F8EA51A" w14:textId="77777777">
      <w:pPr>
        <w:pStyle w:val="Heading2"/>
        <w:ind w:left="540" w:hanging="540"/>
        <w:rPr>
          <w:rFonts w:ascii="Calibri" w:hAnsi="Calibri" w:cs="Times New Roman"/>
          <w:iCs/>
        </w:rPr>
      </w:pPr>
      <w:bookmarkStart w:id="41" w:name="_Toc256000021"/>
      <w:r w:rsidRPr="006F65AD">
        <w:rPr>
          <w:rFonts w:ascii="Calibri" w:hAnsi="Calibri" w:cs="Times New Roman"/>
          <w:iCs/>
        </w:rPr>
        <w:t>4.4.</w:t>
      </w:r>
      <w:r w:rsidRPr="006F65AD">
        <w:rPr>
          <w:rFonts w:ascii="Calibri" w:hAnsi="Calibri" w:cs="Times New Roman"/>
          <w:iCs/>
        </w:rPr>
        <w:tab/>
        <w:t>Podpora orientovaného základního výzkumu</w:t>
      </w:r>
      <w:bookmarkEnd w:id="41"/>
    </w:p>
    <w:p w:rsidR="00731241" w:rsidRPr="006F65AD" w:rsidP="006F65AD" w14:paraId="0E60AC9E" w14:textId="77777777">
      <w:pPr>
        <w:rPr>
          <w:rFonts w:asciiTheme="majorHAnsi" w:hAnsiTheme="majorHAnsi" w:cstheme="majorHAnsi"/>
        </w:rPr>
      </w:pPr>
      <w:r w:rsidRPr="006F65AD">
        <w:rPr>
          <w:rFonts w:asciiTheme="majorHAnsi" w:hAnsiTheme="majorHAnsi" w:cstheme="majorHAnsi"/>
        </w:rPr>
        <w:t xml:space="preserve">Omezení tématu veřejných soutěží na současný společenský nebo hospodářský problém naplňuje znaky orientovaného základního výzkumu. Zákon o podpoře výzkumu, experimentálního vývoje a inovací přitom rozlišuje pouze výzkum základní, výzkum aplikovaný a inovace. Dle vymezení pojmů pro účely statistiky OECD v manuálu Frascati z roku 2015 lze základní výzkum rozdělit na čistý základní – tzv. „badatelský“ výzkum, a orientovaný základní výzkum. Čl. 2.28 tohoto manuálu definuje čistý základní výzkum jako </w:t>
      </w:r>
      <w:r w:rsidRPr="006F65AD">
        <w:rPr>
          <w:rFonts w:asciiTheme="majorHAnsi" w:hAnsiTheme="majorHAnsi" w:cstheme="majorHAnsi"/>
          <w:iCs/>
        </w:rPr>
        <w:t>výzkum, který se provádí v zájmu rozvoje poznání, bez usilování o dlouhodobý ekonomický nebo společenský prospěch nebo snahy aplikovat výsledky na praktické problémy nebo předat výsledky do sektorů odpovědných za jejich aplikaci</w:t>
      </w:r>
      <w:r w:rsidRPr="006F65AD">
        <w:rPr>
          <w:rFonts w:asciiTheme="majorHAnsi" w:hAnsiTheme="majorHAnsi" w:cstheme="majorHAnsi"/>
        </w:rPr>
        <w:t>. Orientovaný základní výzkum je naopak definován jako výzkum, který je prováděn s očekáváním, že vytvoří širokou bázi poznatků, která pravděpodobně bude základem pro řešení již rozpoznaných či předpokládaných (aktuálních či budoucích) problémů nebo objevujících se možností využití. Na základě zmíněného by GA ČR proto přivítala možnost pružněji a každoročně reagovat na tíživé společenské a hospodářské problémy, a zpestřit tak i současná zavedená grantová schémata.</w:t>
      </w:r>
    </w:p>
    <w:p w:rsidR="00731241" w:rsidRPr="006F65AD" w:rsidP="006F65AD" w14:paraId="2DCAD888" w14:textId="77777777">
      <w:pPr>
        <w:rPr>
          <w:rFonts w:asciiTheme="majorHAnsi" w:hAnsiTheme="majorHAnsi" w:cstheme="majorHAnsi"/>
        </w:rPr>
      </w:pPr>
      <w:r w:rsidRPr="006F65AD">
        <w:rPr>
          <w:rFonts w:asciiTheme="majorHAnsi" w:hAnsiTheme="majorHAnsi" w:cstheme="majorHAnsi"/>
        </w:rPr>
        <w:t>GA ČR si uvědomuje potenciál, který by mohly přinést nové veřejné soutěže, vyhlašované se záměrem přispět k řešení významných dlouhodobých společenských a hospodářských problémů, ale zároveň reagovat i na nejzávažnější aktuální společenské a hospodářské problémy, a vytvořit tak vynikajícím vědeckým pracovníkům atraktivní podmínky pro realizaci vlastního výzkumu, jehož výsledky a přínos pro dané téma v mezinárodním měřítku mohou být zásadní pro řešení těchto problémů. Z národních koncepčních materiálů vyplývá, že u orientovaného základního výzkumu je vyšší předpoklad návaznosti a využití výsledků v následném aplikovaném výzkumu, experimentálním vývoji a inovacích, které by měly pro Českou republiku přinášet praktické přínosy a přispět k růstu její konkurenceschopnosti a k naplňování důležitých potřeb rozvoje společnosti.</w:t>
      </w:r>
    </w:p>
    <w:p w:rsidR="00731241" w:rsidRPr="006F65AD" w:rsidP="006F65AD" w14:paraId="59E1968C" w14:textId="77777777">
      <w:pPr>
        <w:rPr>
          <w:rFonts w:asciiTheme="majorHAnsi" w:hAnsiTheme="majorHAnsi" w:cstheme="majorHAnsi"/>
          <w:iCs/>
        </w:rPr>
      </w:pPr>
      <w:r w:rsidRPr="006F65AD">
        <w:rPr>
          <w:rFonts w:asciiTheme="majorHAnsi" w:hAnsiTheme="majorHAnsi" w:cstheme="majorHAnsi"/>
          <w:iCs/>
        </w:rPr>
        <w:t xml:space="preserve">GA ČR v roce 2020 ukázala, že je schopná promptně a flexibilně reagovat na závažný celosvětový problém, jakým bylo vypuknutí pandemie nemoci COVID-19. Ve snaze o zlepšení situace pro řešitele podpořených projektů schválilo předsednictvo GA ČR soubor přechodných opatření pro řešení grantových projektů. Mezi hlavní opatření lze zařadit umožnění přesunů mezi položkami základní skladby grantových prostředků přidělených příjemci do výše až 100 000 Kč do konce roku 2020 bez nutnosti dodatku ke smlouvě či nového rozhodnutí o poskytnutí podpory (změny a přesuny bylo potřeba dodatečně zdůvodnit v dílčí nebo závěrečné zprávě); umožnění zahrnout do způsobilých nákladů do konce roku 2020 náklady přímo související s omezeními přijatými v rámci boje proti šíření pandemie nemoci COVID-19 (např. poplatky za zrušené konference, stornované pobyty v zahraničí, náklady na příslušné telekomunikační služby a techniku, náklady na péči o děti osob podílejících se na projektu, náklady na mzdové náhrady – v nouzovém stavu neuhrazené státem zaměstnavateli, náklady na povinné testy na COVID-19 při cestě do zahraničí atd.). Dalšími opatřeními byly např. možnost zažádat o odklad termínu pro podání závěrečné zprávy; možnost prodloužit dobu řešení projektu v souvislosti s pandemií nemoci COVID-19 o šest měsíců; umožnění flexibilnější změny pracovních úvazků, díky které byla možná až 35% změna pracovní kapacity týmu bez nutnosti schválení nebo uzavření dodatku ke smlouvě. </w:t>
      </w:r>
    </w:p>
    <w:p w:rsidR="00776BD1" w:rsidP="006F65AD" w14:paraId="14ECF448" w14:textId="4829B68F">
      <w:pPr>
        <w:rPr>
          <w:rFonts w:asciiTheme="majorHAnsi" w:hAnsiTheme="majorHAnsi" w:cstheme="majorHAnsi"/>
          <w:iCs/>
        </w:rPr>
      </w:pPr>
      <w:r w:rsidRPr="006F65AD">
        <w:rPr>
          <w:rFonts w:asciiTheme="majorHAnsi" w:hAnsiTheme="majorHAnsi" w:cstheme="majorHAnsi"/>
          <w:iCs/>
        </w:rPr>
        <w:t>GA ČR se podařilo také připojit k urgentním výzvám švýcarské agentury SNSF a rakouské agentury FWF zaměřené na financování projektů spojených s COVID-19. Díky této možnosti čeští vědci získali možnost pracovat na aktuálním tématu orientovaného základního výzkumu, ale pouze ve spolupráci s uvedenými a dalšími přidruženými zeměmi, a tedy možnost využití této podpory byla kvůli nutnosti spolupráce se zahraničními tým</w:t>
      </w:r>
      <w:r w:rsidR="00756FC6">
        <w:rPr>
          <w:rFonts w:asciiTheme="majorHAnsi" w:hAnsiTheme="majorHAnsi" w:cstheme="majorHAnsi"/>
          <w:iCs/>
        </w:rPr>
        <w:t>y</w:t>
      </w:r>
      <w:r w:rsidRPr="006F65AD">
        <w:rPr>
          <w:rFonts w:asciiTheme="majorHAnsi" w:hAnsiTheme="majorHAnsi" w:cstheme="majorHAnsi"/>
          <w:iCs/>
        </w:rPr>
        <w:t xml:space="preserve"> pouze omezená.</w:t>
      </w:r>
    </w:p>
    <w:p w:rsidR="00731241" w:rsidRPr="006F65AD" w:rsidP="006F65AD" w14:paraId="3E595B17" w14:textId="61ABBFE1">
      <w:pPr>
        <w:rPr>
          <w:rFonts w:asciiTheme="majorHAnsi" w:hAnsiTheme="majorHAnsi" w:cstheme="majorHAnsi"/>
          <w:iCs/>
        </w:rPr>
      </w:pPr>
      <w:r w:rsidRPr="006F65AD">
        <w:rPr>
          <w:rFonts w:asciiTheme="majorHAnsi" w:hAnsiTheme="majorHAnsi" w:cstheme="majorHAnsi"/>
          <w:iCs/>
        </w:rPr>
        <w:t>Ze zmíněného vyplývá dosavadní snaha GA ČR naplnit cíle orientovaného základního výzkumu v souvislosti s existencí urgentního celospolečenského problému (epidemie COVID-19), kdy tyto však zatím nejsou dostatečně formálně zakotveny a neumožňují GA ČR efektivně reagovat na závažně celospolečenské problémy. GA ČR proto bude usilovat o širší zapojení orientovaného základního výzkumu v rámci své činnosti.</w:t>
      </w:r>
    </w:p>
    <w:p w:rsidR="00731241" w:rsidRPr="006F65AD" w:rsidP="00731241" w14:paraId="05086038" w14:textId="77777777">
      <w:pPr>
        <w:pStyle w:val="Heading2"/>
        <w:spacing w:line="288" w:lineRule="auto"/>
        <w:ind w:left="540" w:hanging="540"/>
      </w:pPr>
      <w:bookmarkStart w:id="42" w:name="_Toc256000022"/>
      <w:r w:rsidRPr="006F65AD">
        <w:rPr>
          <w:rFonts w:ascii="Calibri" w:hAnsi="Calibri" w:cs="Times New Roman"/>
          <w:iCs/>
        </w:rPr>
        <w:t>4.5.</w:t>
      </w:r>
      <w:r w:rsidRPr="006F65AD">
        <w:rPr>
          <w:rFonts w:ascii="Calibri" w:hAnsi="Calibri" w:cs="Times New Roman"/>
          <w:iCs/>
        </w:rPr>
        <w:tab/>
        <w:t>Podpora Open Science a otevřeného přístupu ke vědě</w:t>
      </w:r>
      <w:bookmarkEnd w:id="42"/>
    </w:p>
    <w:p w:rsidR="00731241" w:rsidRPr="00331F75" w:rsidP="006F65AD" w14:paraId="2D5FF62C" w14:textId="77777777">
      <w:r w:rsidRPr="00331F75">
        <w:t>GA ČR rozpoznává hodnotu podpory otevřeného přístupu ke vědě (Open Science). Otevřený přístup k vědeckým informacím (Open Access) umožňuje snazší rozšíření znalostí, a to jak ve vědecké komunitě, kde se tento efekt projevuje například vyšší citovaností článků publikovaných ve formátu Open Access, tak i v soukromé a podnikatelské sféře, kde snadnější přístup k vědeckým informacím urychluje inovační procesy</w:t>
      </w:r>
      <w:r>
        <w:t>,</w:t>
      </w:r>
      <w:r w:rsidRPr="00331F75">
        <w:t xml:space="preserve"> a tím i zvyšuje pozitivní ekonomické dopady výzkumu. Podpora otevřeného přístupu ke vědě tedy zajišťuje efektivnější zhodnocení prostředků investovaných do výzkumu. </w:t>
      </w:r>
    </w:p>
    <w:p w:rsidR="00731241" w:rsidRPr="00331F75" w:rsidP="006F65AD" w14:paraId="5573C7CE" w14:textId="77777777">
      <w:r w:rsidRPr="00331F75">
        <w:t>Otevřený přístup ke vědě by měl také skrze důraz na transparentnost výzkumných procesů a</w:t>
      </w:r>
      <w:r>
        <w:t> </w:t>
      </w:r>
      <w:r w:rsidRPr="00331F75">
        <w:t>sdílení výzkumných dat (Open Data) v dlouhodobém horizontu zlepšovat kvalitu a</w:t>
      </w:r>
      <w:r>
        <w:t> </w:t>
      </w:r>
      <w:r w:rsidRPr="00331F75">
        <w:t>spolehlivost vědeckých výsledků a z části řešit tzv. replikační krizi.</w:t>
      </w:r>
    </w:p>
    <w:p w:rsidR="00731241" w:rsidRPr="00331F75" w:rsidP="006F65AD" w14:paraId="55C51129" w14:textId="77777777">
      <w:r w:rsidRPr="00331F75">
        <w:t>GA</w:t>
      </w:r>
      <w:r>
        <w:t xml:space="preserve"> </w:t>
      </w:r>
      <w:r w:rsidRPr="00331F75">
        <w:t>ČR v tomto</w:t>
      </w:r>
      <w:r>
        <w:t xml:space="preserve"> směru následuje jak Evropskou u</w:t>
      </w:r>
      <w:r w:rsidRPr="00331F75">
        <w:t xml:space="preserve">nii, která se v oblasti Open Science silně angažuje a snaží se k tomu povzbuzovat i členské státy, tak i Národní strategii otevřeného přístupu ČR k vědeckým informacím a Národní politiku VaVaI 2021+.  </w:t>
      </w:r>
    </w:p>
    <w:p w:rsidR="00731241" w:rsidRPr="00331F75" w:rsidP="006F65AD" w14:paraId="04303E3F" w14:textId="77777777">
      <w:r w:rsidRPr="00331F75">
        <w:t>Praktiky Open Science již GA ČR podporuje poskytováním proplácením náhrad na publikace ve formátu Open Access u řešitelů svých grantových programů a povzbuzením řešitelů ve všech uzavřených smlouvách, aby publikovali ve formátu Open Access, pokud je to možné. GA ČR plánuje dále praktiky Open Science u svých řešitelů podporovat a přidávat další motivační mechanismy, které tyto praktiky podpoří.</w:t>
      </w:r>
    </w:p>
    <w:p w:rsidR="00731241" w:rsidRPr="00331F75" w:rsidP="006F65AD" w14:paraId="49D09D06" w14:textId="77777777">
      <w:pPr>
        <w:rPr>
          <w:rFonts w:eastAsia="Calibri"/>
        </w:rPr>
      </w:pPr>
      <w:r w:rsidRPr="00331F75">
        <w:rPr>
          <w:rFonts w:eastAsia="Calibri"/>
        </w:rPr>
        <w:t>GA ČR je jednou z členských institucí projektu CzechELib, jehož realizace by měla být ukončena koncem roku 2022. Realizátorem projektu je Národní technická knihovna a</w:t>
      </w:r>
      <w:r>
        <w:rPr>
          <w:rFonts w:eastAsia="Calibri"/>
        </w:rPr>
        <w:t> </w:t>
      </w:r>
      <w:r w:rsidRPr="00331F75">
        <w:rPr>
          <w:rFonts w:eastAsia="Calibri"/>
        </w:rPr>
        <w:t>hlavním cílem je v rámci implementace strategie Open Access vytvořit pro členské instituce kvalitnější podmínky pro přístup k elektronickým informačním zdrojům (EIZ), zvýšit výkonnost v oblasti výzkumu, vývoje a vzdělávání a zároveň se zařadit po bok ostatních vyspělých zemí, které podobná národní licenční centra úspěšně provozují. Národní centrum CzechELib bude efektivně zajišťovat centrální nákup klíčových EIZ pro výzkumnou a</w:t>
      </w:r>
      <w:r>
        <w:rPr>
          <w:rFonts w:eastAsia="Calibri"/>
        </w:rPr>
        <w:t> </w:t>
      </w:r>
      <w:r w:rsidRPr="00331F75">
        <w:rPr>
          <w:rFonts w:eastAsia="Calibri"/>
        </w:rPr>
        <w:t>vzdělávací sféru v ČR, tyto zdroje bude spravovat a jejich reálné využívání cílovou skupinou bude statisticky vyhodnocovat. Díky centralizaci know-how, vyjednávání, nákupu a správy zdrojů dojde postupně k výraznému snížení administrativní zátěže pro členské instituce a</w:t>
      </w:r>
      <w:r>
        <w:rPr>
          <w:rFonts w:eastAsia="Calibri"/>
        </w:rPr>
        <w:t> </w:t>
      </w:r>
      <w:r w:rsidRPr="00331F75">
        <w:rPr>
          <w:rFonts w:eastAsia="Calibri"/>
        </w:rPr>
        <w:t>bude vytvořena silnější vyjednávací pozice vůči dodavatelům EIZ.</w:t>
      </w:r>
    </w:p>
    <w:p w:rsidR="00731241" w:rsidRPr="00331F75" w:rsidP="00731241" w14:paraId="6324DA7A" w14:textId="77777777">
      <w:pPr>
        <w:pStyle w:val="PlainText"/>
        <w:rPr>
          <w:rFonts w:ascii="Calibri" w:hAnsi="Calibri" w:cs="Times New Roman"/>
          <w:iCs/>
          <w:sz w:val="24"/>
          <w:szCs w:val="24"/>
        </w:rPr>
      </w:pPr>
      <w:r w:rsidRPr="00331F75">
        <w:rPr>
          <w:rFonts w:ascii="Calibri" w:hAnsi="Calibri"/>
          <w:i/>
          <w:sz w:val="24"/>
          <w:szCs w:val="24"/>
        </w:rPr>
        <w:br w:type="page"/>
      </w:r>
    </w:p>
    <w:p w:rsidR="00731241" w:rsidRPr="00331F75" w:rsidP="00731241" w14:paraId="47F07353" w14:textId="77777777">
      <w:pPr>
        <w:pStyle w:val="Heading1"/>
      </w:pPr>
      <w:bookmarkStart w:id="43" w:name="_Toc443572130"/>
      <w:bookmarkStart w:id="44" w:name="_Toc256000023"/>
      <w:r>
        <w:t>5</w:t>
      </w:r>
      <w:r w:rsidRPr="00331F75">
        <w:t>. SWOT analýza účelové podpory základního výzkumu</w:t>
      </w:r>
      <w:bookmarkEnd w:id="44"/>
      <w:bookmarkEnd w:id="43"/>
    </w:p>
    <w:p w:rsidR="00731241" w:rsidRPr="00331F75" w:rsidP="00731241" w14:paraId="6E850FF1" w14:textId="77777777">
      <w:pPr>
        <w:pStyle w:val="Heading2"/>
      </w:pPr>
      <w:bookmarkStart w:id="45" w:name="_Toc443572131"/>
      <w:bookmarkStart w:id="46" w:name="_Toc256000024"/>
      <w:r>
        <w:t>5</w:t>
      </w:r>
      <w:r w:rsidRPr="00331F75">
        <w:t>.1. Silné stránky (Strengths)</w:t>
      </w:r>
      <w:bookmarkEnd w:id="46"/>
      <w:bookmarkEnd w:id="45"/>
    </w:p>
    <w:p w:rsidR="00731241" w:rsidRPr="00331F75" w:rsidP="00731241" w14:paraId="01C173C3" w14:textId="77777777">
      <w:pPr>
        <w:pStyle w:val="Heading3"/>
      </w:pPr>
      <w:bookmarkStart w:id="47" w:name="_Toc443572132"/>
      <w:bookmarkStart w:id="48" w:name="_Toc256000025"/>
      <w:r>
        <w:t>5</w:t>
      </w:r>
      <w:r w:rsidRPr="00331F75">
        <w:t>.1.1. Výzkumná infrastruktura</w:t>
      </w:r>
      <w:bookmarkEnd w:id="48"/>
      <w:bookmarkEnd w:id="47"/>
      <w:r w:rsidRPr="00331F75">
        <w:t xml:space="preserve"> </w:t>
      </w:r>
    </w:p>
    <w:p w:rsidR="00731241" w:rsidRPr="00331F75" w:rsidP="006F65AD" w14:paraId="75829FD5" w14:textId="77777777">
      <w:r w:rsidRPr="00331F75">
        <w:t xml:space="preserve">V České republice je rozvinutá výzkumná základna, která se i přes nepříznivé podmínky před rokem 1989 neustále rozvíjela a v současnosti čítá stovky výzkumných institucí (pokud, vzhledem k jejich různorodému zaměření, členíme pro tento účel vysoké školy na fakulty), které jsou schopné provádět kvalitní základní výzkum. </w:t>
      </w:r>
    </w:p>
    <w:p w:rsidR="00731241" w:rsidRPr="00331F75" w:rsidP="006F65AD" w14:paraId="2F3A9DBA" w14:textId="77777777">
      <w:r w:rsidRPr="00331F75">
        <w:t xml:space="preserve">Velká část těchto institucí v čele s ústavy Akademie věd České republiky a veřejnými vysokými školami má velkou znalostní základnu a kvalitní týmy renomovaných vědců. </w:t>
      </w:r>
    </w:p>
    <w:p w:rsidR="00731241" w:rsidRPr="00331F75" w:rsidP="006F65AD" w14:paraId="76C1AFF9" w14:textId="77777777">
      <w:r w:rsidRPr="00331F75">
        <w:t>V posledních letech, mj. s ohledem na vyšší míru integrace do evropských výzkumných programů, dosahují čeští vědci, díky tomuto kvalitnímu zázemí a hlubokým kořenům, mezinárodních úspěchů a uznání na poli základního výzkumu.</w:t>
      </w:r>
    </w:p>
    <w:p w:rsidR="00731241" w:rsidRPr="00331F75" w:rsidP="00731241" w14:paraId="7F88E7A1" w14:textId="77777777">
      <w:pPr>
        <w:pStyle w:val="Heading3"/>
      </w:pPr>
      <w:bookmarkStart w:id="49" w:name="_Toc443572133"/>
      <w:bookmarkStart w:id="50" w:name="_Toc256000026"/>
      <w:r>
        <w:t>5</w:t>
      </w:r>
      <w:r w:rsidRPr="00331F75">
        <w:t>.1.2. Personální vybavenost – kvalitní týmy</w:t>
      </w:r>
      <w:bookmarkEnd w:id="50"/>
      <w:bookmarkEnd w:id="49"/>
    </w:p>
    <w:p w:rsidR="00731241" w:rsidRPr="00331F75" w:rsidP="006F65AD" w14:paraId="422AF536" w14:textId="77777777">
      <w:r w:rsidRPr="00331F75">
        <w:t>V České republice pracuje v současné době celá řada vědců, kteří patří mezi evropskou a</w:t>
      </w:r>
      <w:r>
        <w:t> </w:t>
      </w:r>
      <w:r w:rsidRPr="00331F75">
        <w:t xml:space="preserve">světovou elitu. Právě úspěchy českých vědců jsou hnací silou pro další rozvoj lidských zdrojů v oblasti výzkumu a vývoje. </w:t>
      </w:r>
    </w:p>
    <w:p w:rsidR="00731241" w:rsidRPr="00331F75" w:rsidP="006F65AD" w14:paraId="050DFDD9" w14:textId="77777777">
      <w:r w:rsidRPr="00331F75">
        <w:t xml:space="preserve">Excelentní výkony tak podávají vědci napříč generacemi, zaměřením i geografickou polohou pracovišť. Současné vědecké elity staví český výzkum na mezinárodním poli mezi rozvinuté země. </w:t>
      </w:r>
    </w:p>
    <w:p w:rsidR="00731241" w:rsidRPr="00331F75" w:rsidP="00731241" w14:paraId="04D03086" w14:textId="77777777">
      <w:pPr>
        <w:pStyle w:val="Heading3"/>
      </w:pPr>
      <w:bookmarkStart w:id="51" w:name="_Toc443572134"/>
      <w:bookmarkStart w:id="52" w:name="_Toc256000027"/>
      <w:r>
        <w:t>5</w:t>
      </w:r>
      <w:r w:rsidRPr="00331F75">
        <w:t>.1.3. Centralizace rozdělování podpory</w:t>
      </w:r>
      <w:bookmarkEnd w:id="52"/>
      <w:bookmarkEnd w:id="51"/>
      <w:r w:rsidRPr="00331F75">
        <w:t xml:space="preserve"> </w:t>
      </w:r>
    </w:p>
    <w:p w:rsidR="00731241" w:rsidRPr="00331F75" w:rsidP="006F65AD" w14:paraId="41E22B1E" w14:textId="77777777">
      <w:r w:rsidRPr="00331F75">
        <w:t>Další silnou stránkou je pak určitá koncentrace poskytování podpory na základní výzkum. Ta zůstala po roce 1992 zachována (v účelové podpoře byla dále posílena reformou systému VaVaI v roce 2008) a jejím výsledkem je mj. jasné a silné postavení GA ČR jakožto jediného národního poskytovatele grantové podpory výhradně pro základní výzkum.</w:t>
      </w:r>
    </w:p>
    <w:p w:rsidR="00731241" w:rsidRPr="00331F75" w:rsidP="006F65AD" w14:paraId="1C9CFEB5" w14:textId="77777777">
      <w:r w:rsidRPr="00331F75">
        <w:t>Existence jedné instituce podporující formou grantů základní výzkum je zárukou úrovně kvality řešených projektů a v maximální možné míře vyloučení tematických duplicit. Samotní uchazeči potřebují pro plánování výzkumných projektů jistotu v podobě pravidelného vyhlašování transparentní soutěže s jasnými pravidly. Zde hraje významnou roli i velikost ČR, která silně limituje možnost vzniku dalších agentur pro základní výzkum vzhledem k tomu, že v jednom oboru (např. dle klasifikace IS VaVaI) působí průměrně jednotky stovek vědců, což je limitující počet pro grantový systém.</w:t>
      </w:r>
    </w:p>
    <w:p w:rsidR="00731241" w:rsidRPr="00331F75" w:rsidP="006F65AD" w14:paraId="4DE4334E" w14:textId="77777777">
      <w:r w:rsidRPr="00331F75">
        <w:t>Základní výzkum na excelentní úrovni nelze provádět bez dlouhodobého výhledu udržitelnosti a podpory takového výzkumu. Jasná pravidla bez různých tlaků pak může zajistit pouze autonomní nezávislá agentura s odborným vědeckým zázemím ve svém vedení.</w:t>
      </w:r>
    </w:p>
    <w:p w:rsidR="00731241" w:rsidRPr="00331F75" w:rsidP="00731241" w14:paraId="4691111A" w14:textId="77777777">
      <w:pPr>
        <w:pStyle w:val="Heading3"/>
      </w:pPr>
      <w:bookmarkStart w:id="53" w:name="_Toc443572135"/>
      <w:bookmarkStart w:id="54" w:name="_Toc256000028"/>
      <w:r>
        <w:t>5</w:t>
      </w:r>
      <w:r w:rsidRPr="00331F75">
        <w:t>.1.4. Existence programů podpory – již etablované a známé struktury podpory</w:t>
      </w:r>
      <w:bookmarkEnd w:id="54"/>
      <w:bookmarkEnd w:id="53"/>
    </w:p>
    <w:p w:rsidR="00731241" w:rsidRPr="00331F75" w:rsidP="006F65AD" w14:paraId="4649DD26" w14:textId="77777777">
      <w:r w:rsidRPr="00331F75">
        <w:t>Na předchozí bod pak navazuje i existence jednotlivých skupin grantových projektů a zavedených pravidel pro poskytování účelové podpory grantových projektů základního výzkumu. Základní výzkum jako stavební kámen pro další prohlubování poznání ve všech vědeckých disciplínách je zcela specifický v požadavcích na kontinuitu a longitudinální plánování.</w:t>
      </w:r>
    </w:p>
    <w:p w:rsidR="00731241" w:rsidRPr="00331F75" w:rsidP="006F65AD" w14:paraId="1AB5D851" w14:textId="77777777">
      <w:r w:rsidRPr="00331F75">
        <w:t>Pro úspěch v základním výzkumu je tak existence stabilních hodnot v podobě podpory skupin grantových projektů nezbytná, jak prokázala více než dvacetiletá historie GA ČR.</w:t>
      </w:r>
    </w:p>
    <w:p w:rsidR="00731241" w:rsidRPr="00331F75" w:rsidP="00731241" w14:paraId="4D386947" w14:textId="77777777">
      <w:pPr>
        <w:pStyle w:val="Heading3"/>
      </w:pPr>
      <w:bookmarkStart w:id="55" w:name="_Toc443572136"/>
      <w:bookmarkStart w:id="56" w:name="_Toc256000029"/>
      <w:r>
        <w:t>5</w:t>
      </w:r>
      <w:r w:rsidRPr="00331F75">
        <w:t>.1.5. Dosažené výsledky</w:t>
      </w:r>
      <w:bookmarkEnd w:id="56"/>
      <w:bookmarkEnd w:id="55"/>
    </w:p>
    <w:p w:rsidR="00731241" w:rsidRPr="00331F75" w:rsidP="006F65AD" w14:paraId="082B9812" w14:textId="77777777">
      <w:r w:rsidRPr="00331F75">
        <w:t xml:space="preserve">Výsledky jsou cílem každého poznávacího procesu. Pro vědecký svět, kde je nutné zmapovat každou cestu, včetně těch, které jsou slepé, existuje rozmanitá škála výsledků, které popisují danou problematiku. Může se jednat o knihy, články, studie a mnohé další. </w:t>
      </w:r>
    </w:p>
    <w:p w:rsidR="00731241" w:rsidRPr="00331F75" w:rsidP="006F65AD" w14:paraId="0B75A4C3" w14:textId="77777777">
      <w:r w:rsidRPr="00331F75">
        <w:t>Produkce vysoce kvalitních výsledků základního výzkumu není přímo konvertovatelná v  ekonomický zisk či jiné ekonomické ukazatele, ale je nezbytnou podmínkou dalšího výzkumu a vývoje a základním ukazatelem pro další rozvoj a konkurenceschopnost jak celých odvětví, tak i pro ekonomiku a společnost České republiky jako celku. Drtivá část podpory, kterou poskytuje GA ČR, směřuje do vysokých škol a ústavů AV</w:t>
      </w:r>
      <w:r>
        <w:t xml:space="preserve"> ČR</w:t>
      </w:r>
      <w:r w:rsidRPr="00331F75">
        <w:t>. V obou těchto skupinách institucí existují výzkumné týmy, které jsou zaměřeny na aplikovaný výzkum a bezprostředně tak využívají výsledků základního výzkumu dosažené za podpory GA ČR. Na vysokých školách mají výsledky základního výzkumu nezastupitelný význam pro pedagogický proces.</w:t>
      </w:r>
    </w:p>
    <w:p w:rsidR="00731241" w:rsidRPr="00331F75" w:rsidP="00731241" w14:paraId="3B3E857C" w14:textId="77777777">
      <w:pPr>
        <w:pStyle w:val="Heading3"/>
      </w:pPr>
      <w:bookmarkStart w:id="57" w:name="_Toc443572137"/>
      <w:bookmarkStart w:id="58" w:name="_Toc256000030"/>
      <w:r>
        <w:t>5</w:t>
      </w:r>
      <w:r w:rsidRPr="00331F75">
        <w:t>.1.6. Mezinárodní spolupráce</w:t>
      </w:r>
      <w:bookmarkEnd w:id="58"/>
      <w:bookmarkEnd w:id="57"/>
    </w:p>
    <w:p w:rsidR="00731241" w:rsidRPr="00331F75" w:rsidP="006F65AD" w14:paraId="6893CC2C" w14:textId="77777777">
      <w:r w:rsidRPr="00331F75">
        <w:t>Část výše zmíněných skutečností je pak výsledkem spolupráce mezi českými vědci a jejich kolegy z celého světa. Vzájemná výměna znalostí, stáže, pobyty, twinningové aktivity a celá řada podobných aktivit napomáhá nejen rozvoji českého výzkumu a českých vědců, ale napomáhá další integraci a posilování vazeb.</w:t>
      </w:r>
    </w:p>
    <w:p w:rsidR="00731241" w:rsidRPr="00331F75" w:rsidP="006F65AD" w14:paraId="090CA3EE" w14:textId="77777777">
      <w:r w:rsidRPr="00331F75">
        <w:t>Tyto vazby pak svým synergickým efektem zvyšují kvalitu výstupů, snižují náročnost vstupů a posilují i obraz ČR jakožto konkurenceschopného státu a silného partnera v očích dalších zemí.</w:t>
      </w:r>
    </w:p>
    <w:p w:rsidR="00731241" w:rsidRPr="00331F75" w:rsidP="00731241" w14:paraId="44F9A32C" w14:textId="77777777">
      <w:pPr>
        <w:pStyle w:val="PlainText"/>
        <w:rPr>
          <w:rFonts w:ascii="Calibri" w:hAnsi="Calibri" w:cs="Times New Roman"/>
          <w:iCs/>
          <w:sz w:val="24"/>
          <w:szCs w:val="24"/>
        </w:rPr>
      </w:pPr>
    </w:p>
    <w:p w:rsidR="00731241" w:rsidRPr="006776EA" w:rsidP="00731241" w14:paraId="37F5B44A" w14:textId="77777777">
      <w:pPr>
        <w:pStyle w:val="Heading2"/>
        <w:ind w:left="540" w:hanging="540"/>
        <w:rPr>
          <w:rFonts w:ascii="Calibri" w:hAnsi="Calibri" w:cs="Times New Roman"/>
          <w:iCs/>
        </w:rPr>
      </w:pPr>
      <w:bookmarkStart w:id="59" w:name="_Toc443572138"/>
      <w:bookmarkStart w:id="60" w:name="_Toc256000031"/>
      <w:r w:rsidRPr="006776EA">
        <w:rPr>
          <w:rFonts w:ascii="Calibri" w:hAnsi="Calibri" w:cs="Times New Roman"/>
          <w:iCs/>
        </w:rPr>
        <w:t>5.2. Slabé stránky (Weaknesses)</w:t>
      </w:r>
      <w:bookmarkEnd w:id="60"/>
      <w:bookmarkEnd w:id="59"/>
    </w:p>
    <w:p w:rsidR="00731241" w:rsidRPr="00331F75" w:rsidP="00731241" w14:paraId="68124489" w14:textId="77777777">
      <w:pPr>
        <w:pStyle w:val="Heading3"/>
      </w:pPr>
      <w:bookmarkStart w:id="61" w:name="_Toc443572139"/>
      <w:bookmarkStart w:id="62" w:name="_Toc256000032"/>
      <w:r>
        <w:t>5</w:t>
      </w:r>
      <w:r w:rsidRPr="00331F75">
        <w:t>.2.1. Nízká zpětná vazba od uživatelů výsledků základního výzkumu</w:t>
      </w:r>
      <w:bookmarkEnd w:id="62"/>
      <w:bookmarkEnd w:id="61"/>
    </w:p>
    <w:p w:rsidR="00731241" w:rsidRPr="00331F75" w:rsidP="006776EA" w14:paraId="1FDC2AD1" w14:textId="77777777">
      <w:r w:rsidRPr="00331F75">
        <w:t xml:space="preserve">Nejslabším článkem v řetězu celého základního výzkumu je jeho propojení s uživateli výsledků, tedy hlavně s aplikační sférou a dalším aplikovaným výzkumem založeným právě na aktuálních výsledcích základního výzkumu. </w:t>
      </w:r>
    </w:p>
    <w:p w:rsidR="00731241" w:rsidRPr="00331F75" w:rsidP="006776EA" w14:paraId="5C634EBE" w14:textId="77777777">
      <w:r w:rsidRPr="00331F75">
        <w:t>Komunikace, která by měla probíhat mezi těmito dvěma sférami, nedosahuje takové intenzity, aby výsledky základního výzkumu nalézaly širší uplatnění a rozvoj. Tato situace pak základní výzkum poškozuje i v očích veřejnosti a osob neznalých problematiky. Zde pak mohou pramenit i snahy o omezení základního výzkumu.</w:t>
      </w:r>
    </w:p>
    <w:p w:rsidR="00731241" w:rsidRPr="00331F75" w:rsidP="006776EA" w14:paraId="68D0BF6A" w14:textId="77777777">
      <w:r w:rsidRPr="00331F75">
        <w:t>Nedostatečná komunikace je pak oboustrannou bariérou, kdy aplikační sféra nedokáže nebo neumí využít výsledků základního výzkumu, na druhé straně pak vědecké týmy nedokáží identifikovat oblasti zajímavé pro aplikační sféru. Přestože základní výzkum nelze, na rozdíl od aplikovaného, provádět z velké části „na zakázku“, vyšší míra komunikace by dokázala vzájemně propojit producenty a uživatele výsledků základního výzkumu alespoň do té míry, aby jejich spolupráce byla efektivní.</w:t>
      </w:r>
    </w:p>
    <w:p w:rsidR="00731241" w:rsidRPr="00331F75" w:rsidP="00731241" w14:paraId="2B4C3108" w14:textId="77777777">
      <w:pPr>
        <w:pStyle w:val="Heading3"/>
      </w:pPr>
      <w:bookmarkStart w:id="63" w:name="_Toc443572140"/>
      <w:bookmarkStart w:id="64" w:name="_Toc256000033"/>
      <w:r>
        <w:t>5</w:t>
      </w:r>
      <w:r w:rsidRPr="00331F75">
        <w:t>.2.2. Nízká míra uplatnění výsledků základního výzkumu</w:t>
      </w:r>
      <w:bookmarkEnd w:id="64"/>
      <w:bookmarkEnd w:id="63"/>
    </w:p>
    <w:p w:rsidR="00731241" w:rsidRPr="00331F75" w:rsidP="006776EA" w14:paraId="2501CC7C" w14:textId="77777777">
      <w:r w:rsidRPr="00331F75">
        <w:t>Sekundárním efektem nízké zpětné vazby je pak nízká míra uplatnění výsledků základního výzkumu v praxi, kdy může docházet k tomu, že uplatnění výsledků v praxi se nakonec provádí mimo území ČR a ekonomické benefity této aplikace jsou pak pro ČR menší, než by mohly být. Existují samozřejmě obory a výsledky, které na úrovni ČR vzhledem k zaměření její ekonomiky a její síle nebylo v minulosti možné uplatnit (nejznámější jsou výsledky prof. A. Holého), ale i zde dochází k neustálým změnám a vývoji (např. v energetice) a tyto změny musí i základní výzkum sledovat.</w:t>
      </w:r>
    </w:p>
    <w:p w:rsidR="00731241" w:rsidRPr="00331F75" w:rsidP="006776EA" w14:paraId="510E7CF3" w14:textId="77777777">
      <w:r w:rsidRPr="00331F75">
        <w:t>Nicméně je nutné zvýšit zapojení a integraci mezi aplikační sférou a subjekty provádějícími základní výzkum. Zvýšení této integrace pak přinese i pozitivní finanční efekty, kdy z této spolupráce bude těžit i subjekt, který realizoval základní výzkum. Nelze samozřejmě direktivně navázat veškerý základní výzkum na ekonomické efekty, je však nutné nastavit procesy pro komunikaci, nabídku a poptávku tam, kde i v této chvíli tyto potřeby jsou, avšak nejsou vlivem uvedených faktorů uspokojovány.</w:t>
      </w:r>
    </w:p>
    <w:p w:rsidR="00731241" w:rsidRPr="00331F75" w:rsidP="00731241" w14:paraId="33DC5031" w14:textId="77777777">
      <w:pPr>
        <w:pStyle w:val="Heading3"/>
      </w:pPr>
      <w:bookmarkStart w:id="65" w:name="_Toc443572141"/>
      <w:bookmarkStart w:id="66" w:name="_Toc256000034"/>
      <w:r>
        <w:t>5</w:t>
      </w:r>
      <w:r w:rsidRPr="00331F75">
        <w:t>.2.3. Nestabilita prostředí</w:t>
      </w:r>
      <w:bookmarkEnd w:id="66"/>
      <w:bookmarkEnd w:id="65"/>
      <w:r w:rsidRPr="00331F75">
        <w:t xml:space="preserve"> </w:t>
      </w:r>
    </w:p>
    <w:p w:rsidR="00731241" w:rsidRPr="00331F75" w:rsidP="006776EA" w14:paraId="25FD4071" w14:textId="77777777">
      <w:r w:rsidRPr="00331F75">
        <w:t>Jednou ze slabých stránek, které brání v rozvoji základního výzkumu, je nestabilita prostředí ve smyslu příliš rychlých změn politické či jiné situace. Existují sice dlouhodobé strategie pro výzkumnou oblast (např. Aktualizace Národní politiky VaVaI) směry výzkumu (např. Priority VaVaI), avšak každá změna politického vedení znamená změnu pro financování výzkumu a</w:t>
      </w:r>
      <w:r>
        <w:t> </w:t>
      </w:r>
      <w:r w:rsidRPr="00331F75">
        <w:t>jeho pravidel. Může se jednat o změnu proporce mezi základním a aplikovaným výzkumem či preferenci konkrétních vědeckých disciplín, avšak každá tato změna přináší do základního výzkumu, který je prakticky zcela financován z veřejných zdrojů, výrazné změny.</w:t>
      </w:r>
    </w:p>
    <w:p w:rsidR="00731241" w:rsidRPr="00331F75" w:rsidP="006776EA" w14:paraId="7F9E0451" w14:textId="77777777">
      <w:r w:rsidRPr="00331F75">
        <w:t xml:space="preserve">Určitou zárukou stability a bariérou proti častým změnám je existence GA ČR jakožto „nezávislé“ instituce, avšak ani její pozice z hlediska financování a strategického směřování není absolutní. Pro eliminaci nepříznivého dopadu krátkodobých změn do výzkumného prostředí je do budoucna vhodné zachovat legislativně vymezenou pozici GA ČR jakožto jediného poskytovatele </w:t>
      </w:r>
      <w:r>
        <w:t xml:space="preserve">účelové </w:t>
      </w:r>
      <w:r w:rsidRPr="00331F75">
        <w:t>grantové podpory výhradně pro základní výzkum.</w:t>
      </w:r>
    </w:p>
    <w:p w:rsidR="00731241" w:rsidRPr="00331F75" w:rsidP="00731241" w14:paraId="6C188C63" w14:textId="77777777">
      <w:pPr>
        <w:pStyle w:val="Heading3"/>
      </w:pPr>
      <w:bookmarkStart w:id="67" w:name="_Toc443572143"/>
      <w:bookmarkStart w:id="68" w:name="_Toc256000035"/>
      <w:r>
        <w:t>5</w:t>
      </w:r>
      <w:r w:rsidRPr="00331F75">
        <w:t>.2.4. Nízká míra zapojení do mezinárodních programů</w:t>
      </w:r>
      <w:bookmarkEnd w:id="68"/>
      <w:bookmarkEnd w:id="67"/>
    </w:p>
    <w:p w:rsidR="00731241" w:rsidRPr="00331F75" w:rsidP="006776EA" w14:paraId="04CEA0A3" w14:textId="77777777">
      <w:r w:rsidRPr="00331F75">
        <w:t>Přestože se mezi silnými stránkami objevilo zapojení do mezinárodních programů, není rozhodně pravidlem, že každý vědecký tým spolupracuje se zahraničními týmy a odborníky. Stále v ČR převládá orientace na státní zdroje a určitá neochota zapojit se do mezinárodních výzkumných týmů. Přestože mnoho pracovišť základního výzkumu by srovnání s evropskými kolegy sneslo, nechuť riskovat neúspěch v evropské konkurenci stále převládá nad snažením o mezinárodní uznání.</w:t>
      </w:r>
    </w:p>
    <w:p w:rsidR="00731241" w:rsidRPr="00331F75" w:rsidP="006776EA" w14:paraId="05F54BA2" w14:textId="77777777">
      <w:r w:rsidRPr="00331F75">
        <w:t>Tento stav logicky oslabuje celkovou pozici základního výzkumu ČR v evropském a celosvětovém kontextu, a to jak z pohledu zahraničních partnerů pro výzkumné činnosti, tak i z pohledu veřejného.</w:t>
      </w:r>
    </w:p>
    <w:p w:rsidR="00731241" w:rsidRPr="00331F75" w:rsidP="00731241" w14:paraId="2E634518" w14:textId="77777777">
      <w:pPr>
        <w:pStyle w:val="Heading3"/>
      </w:pPr>
      <w:bookmarkStart w:id="69" w:name="_Toc443572144"/>
      <w:bookmarkStart w:id="70" w:name="_Toc256000036"/>
      <w:r>
        <w:t>5</w:t>
      </w:r>
      <w:r w:rsidRPr="00331F75">
        <w:t>.2.5. Nevyvážená podpora různých oborů</w:t>
      </w:r>
      <w:bookmarkEnd w:id="70"/>
      <w:bookmarkEnd w:id="69"/>
    </w:p>
    <w:p w:rsidR="00731241" w:rsidRPr="00331F75" w:rsidP="006776EA" w14:paraId="315E68E2" w14:textId="77777777">
      <w:r w:rsidRPr="00331F75">
        <w:t>Konkluzí předchozích slabých stránek je pak diference mezi jednotlivými vědními obory. Ta je způsobená jednak nízkou mírou komunikace s aplikační sférou, nejasnými a měnícími se podmínkami pro preferované směry výzkumu a dále pak segregací pracovišť, která obdržela podporu v rámci budování výzkumných center. Nakonec zde působí i faktor nízkého zapojení do mezinárodních struktur, který by mohl částečně předchozí problémy zvrátit.</w:t>
      </w:r>
    </w:p>
    <w:p w:rsidR="00731241" w:rsidRPr="00331F75" w:rsidP="006776EA" w14:paraId="0DEA84AA" w14:textId="77777777">
      <w:r w:rsidRPr="00331F75">
        <w:t>Výsledkem je tak výzkum na skutečně mezinárodní úrovni pouze v některých vědních oborech, které však nemusí být ty nejperspektivnější z hlediska dalšího prohlubování poznání ani z hlediska možností spolupráce mezinárodních struktur.</w:t>
      </w:r>
    </w:p>
    <w:p w:rsidR="00731241" w:rsidRPr="00331F75" w:rsidP="00731241" w14:paraId="78F02A12" w14:textId="77777777">
      <w:pPr>
        <w:pStyle w:val="Heading3"/>
        <w:contextualSpacing/>
      </w:pPr>
      <w:bookmarkStart w:id="71" w:name="_Toc443572145"/>
      <w:bookmarkStart w:id="72" w:name="_Toc256000037"/>
      <w:r>
        <w:t>5</w:t>
      </w:r>
      <w:r w:rsidRPr="00331F75">
        <w:t>.2.6. Nevhodný poměr institucionální a účelové podpory</w:t>
      </w:r>
      <w:bookmarkEnd w:id="72"/>
      <w:bookmarkEnd w:id="71"/>
    </w:p>
    <w:p w:rsidR="00731241" w:rsidRPr="00331F75" w:rsidP="006776EA" w14:paraId="308AFD36" w14:textId="77777777">
      <w:r w:rsidRPr="00331F75">
        <w:t>Jedním z nejvážnějších problémů podpory v ČR je vztah mezi institucionálním a účelovým financováním. Navýšení stabilní institucionální podpory s pravidelným mezinárodním hodnocením vědecké úrovně je důležité pro příznivý rozvoj vědeckých institucí. Obecně se uvádí, že pro zdravý rozvoj a chod organizace by měla výše institucionální podpory představovat zhruba 60 % (podle typu instituce) běžných finančních prostředků. Institucionální prostředky musí pokrýt bazální režijní výlohy, platy zaměstnanců přijatých na dobu neurčitou a rovněž rozvoj organizace v minimálním měřítku předmětu činnosti, za jakým byla zřízena. Takto nastavená organizace má velmi dobrou příležitost dalších 20-40 % prostředků získat svojí vlastní aktivitou a krátkodobě řešit významné úkoly. Uvedená orientační proporce mezi institucionálními a účelovými prostředky v sobě odráží i poměr vědců, kteří se zabývají jen vědou, a vědců, kteří se zabývají v určité míře vědou a</w:t>
      </w:r>
      <w:r>
        <w:t> </w:t>
      </w:r>
      <w:r w:rsidRPr="00331F75">
        <w:t>managementem.</w:t>
      </w:r>
    </w:p>
    <w:p w:rsidR="00731241" w:rsidRPr="00331F75" w:rsidP="006776EA" w14:paraId="5F20C014" w14:textId="77777777">
      <w:r w:rsidRPr="00331F75">
        <w:t xml:space="preserve">Na tento stav poukazuje i Rada pro výzkum, vývoj a inovace, která rozvedla vládní usnesení č. 445 ze dne 27. června 2018 týkajícího se prostředků na výzkum, vědu a inovaci, kdy v bodu 3 vyjadřuje cíl </w:t>
      </w:r>
      <w:r w:rsidRPr="00C4628F">
        <w:rPr>
          <w:i/>
        </w:rPr>
        <w:t>„podporovat postupný nárůst institucionální složky financování vědy a výzkumu a její adekvátní poměr vůči účelové složce financování s cílem stabilizovat a zefektivnit výzkumné prostředí České republiky“</w:t>
      </w:r>
      <w:r w:rsidRPr="00331F75">
        <w:t>.</w:t>
      </w:r>
      <w:r>
        <w:rPr>
          <w:rStyle w:val="FootnoteReference"/>
          <w:rFonts w:ascii="Calibri" w:hAnsi="Calibri"/>
          <w:iCs/>
          <w:sz w:val="24"/>
          <w:szCs w:val="24"/>
        </w:rPr>
        <w:footnoteReference w:id="6"/>
      </w:r>
      <w:r w:rsidRPr="00331F75">
        <w:t xml:space="preserve"> </w:t>
      </w:r>
    </w:p>
    <w:p w:rsidR="00731241" w:rsidRPr="00331F75" w:rsidP="006776EA" w14:paraId="0675B9B4" w14:textId="77777777">
      <w:r w:rsidRPr="00331F75">
        <w:t xml:space="preserve">Podobná argumentace je zmíněna i v cíli 1.1. Národní politiky VaVaI, kterým je </w:t>
      </w:r>
      <w:r w:rsidRPr="00C4628F">
        <w:rPr>
          <w:i/>
        </w:rPr>
        <w:t>„zajištění nastavení adekvátního poměru výše institucionální a účelové složky financování s cílem stabilizovat a zefektivnit výzkumné prostředí, a to při současném zachování alespoň stávající výše účelové složky“</w:t>
      </w:r>
      <w:r w:rsidRPr="00C4628F">
        <w:t>.</w:t>
      </w:r>
    </w:p>
    <w:p w:rsidR="00731241" w:rsidRPr="00331F75" w:rsidP="006776EA" w14:paraId="6D61DA39" w14:textId="77777777">
      <w:r w:rsidRPr="00331F75">
        <w:t>Nevhodný poměr institucionální a účelové podpory se nepromítá pouze do méně efektivního nakládání s podporou na straně poskytovatele, ale i na straně příjemce. Někteří příjemci jsou za cenu zvýšených nákladů na administraci projektů nuceni sanovat nedostatek prostředků z institucionální podpory na dlouhodobý koncepční rozvoj výzkumných organizací prostřednictvím prostředků, které obdržely na projekty výzkumu, vývoje a inovací.</w:t>
      </w:r>
    </w:p>
    <w:p w:rsidR="00731241" w:rsidRPr="00331F75" w:rsidP="00731241" w14:paraId="5DFDA083" w14:textId="77777777">
      <w:pPr>
        <w:pStyle w:val="PlainText"/>
        <w:rPr>
          <w:rFonts w:ascii="Calibri" w:hAnsi="Calibri" w:cs="Times New Roman"/>
          <w:iCs/>
          <w:sz w:val="24"/>
          <w:szCs w:val="24"/>
        </w:rPr>
      </w:pPr>
    </w:p>
    <w:p w:rsidR="00731241" w:rsidRPr="006776EA" w:rsidP="00731241" w14:paraId="66039954" w14:textId="77777777">
      <w:pPr>
        <w:pStyle w:val="Heading2"/>
        <w:ind w:left="540" w:hanging="540"/>
        <w:rPr>
          <w:rFonts w:ascii="Calibri" w:hAnsi="Calibri" w:cs="Times New Roman"/>
          <w:iCs/>
        </w:rPr>
      </w:pPr>
      <w:bookmarkStart w:id="73" w:name="_Toc443572146"/>
      <w:bookmarkStart w:id="74" w:name="_Toc256000038"/>
      <w:r w:rsidRPr="006776EA">
        <w:rPr>
          <w:rFonts w:ascii="Calibri" w:hAnsi="Calibri" w:cs="Times New Roman"/>
          <w:iCs/>
        </w:rPr>
        <w:t>5.3. Příležitosti (Opportunities)</w:t>
      </w:r>
      <w:bookmarkEnd w:id="74"/>
      <w:bookmarkEnd w:id="73"/>
    </w:p>
    <w:p w:rsidR="00731241" w:rsidRPr="00331F75" w:rsidP="00731241" w14:paraId="331E2041" w14:textId="77777777">
      <w:pPr>
        <w:pStyle w:val="Heading3"/>
      </w:pPr>
      <w:bookmarkStart w:id="75" w:name="_Toc443572147"/>
      <w:bookmarkStart w:id="76" w:name="_Toc256000039"/>
      <w:r>
        <w:t>5</w:t>
      </w:r>
      <w:r w:rsidRPr="00331F75">
        <w:t>.3.1. Množství potenciálních odběratelů a uživatelů výsledků základního výzkumu</w:t>
      </w:r>
      <w:bookmarkEnd w:id="76"/>
      <w:bookmarkEnd w:id="75"/>
    </w:p>
    <w:p w:rsidR="00731241" w:rsidRPr="00331F75" w:rsidP="006776EA" w14:paraId="25C8374E" w14:textId="77777777">
      <w:r w:rsidRPr="00331F75">
        <w:t>Vzhledem k nízké míře uplatnění výsledků základního výzkumu je největší příležitostí pro základní výzkum tuto situaci změnit. Z návazné aplikace výsledků základního výzkumu profitují všechny strany, mělo by tak být přirozenou snahou výzkumných týmů své výsledky prezentovat a dále nabízet k aplikaci. V oborech, kde je to možné, bude účelné motivovat výzkumné týmy, které se zaměřují na orientovaný základní výzkum.</w:t>
      </w:r>
    </w:p>
    <w:p w:rsidR="00731241" w:rsidRPr="00331F75" w:rsidP="006776EA" w14:paraId="0CFE6F13" w14:textId="77777777">
      <w:r w:rsidRPr="00331F75">
        <w:t>Vzhledem k nevyužitému potenciálu je tato příležitost využitelná i bez zásadních investic. V říjnu 2018 proto podepsali předsedkyně GA ČR a předseda Technologické agentury ČR (TA</w:t>
      </w:r>
      <w:r>
        <w:t> </w:t>
      </w:r>
      <w:r w:rsidRPr="00331F75">
        <w:t xml:space="preserve">ČR) memorandum o spolupráci. Společným cílem byl stanoven především synergický rozvoj podpůrných aktivit, směřujících </w:t>
      </w:r>
      <w:r w:rsidRPr="00331F75">
        <w:t>k provázanosti základního a aplikovaného výzkumu, jakožto vzájemně nepostradatelných součástí inovačního procesu v ČR.</w:t>
      </w:r>
    </w:p>
    <w:p w:rsidR="00731241" w:rsidRPr="00331F75" w:rsidP="006776EA" w14:paraId="17F7E72C" w14:textId="77777777">
      <w:r w:rsidRPr="00331F75">
        <w:t>Spolupráce spočívá zejména v poskytnutí informací a metodické pomoci řešitelům kvalitních projektů, které byly podpořeny GA ČR. Zároveň docház</w:t>
      </w:r>
      <w:r>
        <w:t xml:space="preserve">í ze strany GA ČR k vyhledávání </w:t>
      </w:r>
      <w:r w:rsidRPr="00331F75">
        <w:t>a</w:t>
      </w:r>
      <w:r>
        <w:t xml:space="preserve"> </w:t>
      </w:r>
      <w:r w:rsidRPr="00331F75">
        <w:t>monitoringu projektů s vysokým potenciálem návaznosti v rámci aplikovaného výzkumu. GA ČR výhledově plánuje navázat úzkou spolupráci také s Ministerstvem školství, mládeže a</w:t>
      </w:r>
      <w:r>
        <w:t> </w:t>
      </w:r>
      <w:r w:rsidRPr="00331F75">
        <w:t>tělovýchovy, které je ústředním orgánem státní správy v otázce vědní politiky, výzkumu a</w:t>
      </w:r>
      <w:r>
        <w:t> </w:t>
      </w:r>
      <w:r w:rsidRPr="00331F75">
        <w:t>vývoje, včetně mezinárodní spolupráce v těchto oblastech.</w:t>
      </w:r>
    </w:p>
    <w:p w:rsidR="00731241" w:rsidRPr="00331F75" w:rsidP="00731241" w14:paraId="1C6C5076" w14:textId="77777777">
      <w:pPr>
        <w:pStyle w:val="Heading3"/>
      </w:pPr>
      <w:bookmarkStart w:id="77" w:name="_Toc443572148"/>
      <w:bookmarkStart w:id="78" w:name="_Toc256000040"/>
      <w:r>
        <w:t>5</w:t>
      </w:r>
      <w:r w:rsidRPr="00331F75">
        <w:t>.3.2. Prohloubení spolupráce</w:t>
      </w:r>
      <w:bookmarkEnd w:id="78"/>
      <w:bookmarkEnd w:id="77"/>
    </w:p>
    <w:p w:rsidR="00731241" w:rsidRPr="00331F75" w:rsidP="006776EA" w14:paraId="025791AB" w14:textId="77777777">
      <w:r w:rsidRPr="00331F75">
        <w:t>Spolupráce však nemusí probíhat pouze formou využití výsledků aplikační sférou, důležité jsou i další formy spolupráce. Jde o vzájemný transfer personálních kapacit a know-how, o</w:t>
      </w:r>
      <w:r>
        <w:t> </w:t>
      </w:r>
      <w:r w:rsidRPr="00331F75">
        <w:t>společné výzkumné projekty, ať už formou programových projektů (jejichž součástí může být i část či etapa základního výzkumu) nebo smluvního výzkumu atd. Stejně tak je nutné zlepšení spolupráce napříč jednotlivými uživatelskými sférami, tedy nikoli pouze mezi základní a aplikační sférou.</w:t>
      </w:r>
    </w:p>
    <w:p w:rsidR="00731241" w:rsidRPr="00331F75" w:rsidP="006776EA" w14:paraId="747BF594" w14:textId="77777777">
      <w:r w:rsidRPr="00331F75">
        <w:t>Stejně důležité je i nezaměřovat se na jediný vědní obor a posilovat interdisciplinaritu výzkumu, tedy mezioborové projekty, na kterých se budou podílet odborníci z několika oblastí vědy. Výsledky takovéhoto výzkumu pak mají vyšší potenciál a dokáží oslovit širší spektrum uživatelů. Komunikace a spolupráce je jednou z nejsilnějších hnacích sil pro kvalitní a konkurenceschopný výzkum.</w:t>
      </w:r>
    </w:p>
    <w:p w:rsidR="00731241" w:rsidRPr="00331F75" w:rsidP="006776EA" w14:paraId="52893244" w14:textId="77777777">
      <w:r w:rsidRPr="00331F75">
        <w:t>Tato spolupráce pak může být efektivně pře</w:t>
      </w:r>
      <w:r>
        <w:t xml:space="preserve">nesena i mimo výzkumné procesy – </w:t>
      </w:r>
      <w:r w:rsidRPr="00331F75">
        <w:t xml:space="preserve">tedy </w:t>
      </w:r>
      <w:r>
        <w:t xml:space="preserve">může vést k </w:t>
      </w:r>
      <w:r w:rsidRPr="00331F75">
        <w:t>zapojení přímých průmyslových partnerů a dalších subjektů do celého procesu od samotného výzkumu, přes produkci výsledku až po jeho aplikaci.</w:t>
      </w:r>
    </w:p>
    <w:p w:rsidR="00731241" w:rsidRPr="00331F75" w:rsidP="00731241" w14:paraId="745A4313" w14:textId="77777777">
      <w:pPr>
        <w:pStyle w:val="Heading3"/>
      </w:pPr>
      <w:bookmarkStart w:id="79" w:name="_Toc443572150"/>
      <w:bookmarkStart w:id="80" w:name="_Toc256000041"/>
      <w:r>
        <w:t>5</w:t>
      </w:r>
      <w:r w:rsidRPr="00331F75">
        <w:t>.3.3. Rozvoj odbornosti a konkurenceschopnosti pracovišť i výzkumných týmů a</w:t>
      </w:r>
      <w:r>
        <w:t> </w:t>
      </w:r>
      <w:r w:rsidRPr="00331F75">
        <w:t>jedinců</w:t>
      </w:r>
      <w:bookmarkEnd w:id="80"/>
      <w:bookmarkEnd w:id="79"/>
    </w:p>
    <w:p w:rsidR="00731241" w:rsidRPr="00331F75" w:rsidP="006776EA" w14:paraId="45CC3114" w14:textId="77777777">
      <w:r w:rsidRPr="00331F75">
        <w:t>Jako další příležitost je potřeba vnímat plně veškeré možnosti, které se výzkumným institucím a jejich</w:t>
      </w:r>
      <w:r>
        <w:t xml:space="preserve"> pracovníkům nabízejí. Jedná se</w:t>
      </w:r>
      <w:r w:rsidRPr="00331F75">
        <w:t xml:space="preserve"> o zmíněnou spolupráci například s centry excelence, ale hlavně o možnosti mezinárodní spolupráce, prezentace výsledků v uznávaných časopisech a mnohé další. Je potřeba soustavně vyvíjet mírný tlak na sebezdokonalování a sbírání dalších zkušeností. Tato o</w:t>
      </w:r>
      <w:r>
        <w:t xml:space="preserve">patření musí být </w:t>
      </w:r>
      <w:r w:rsidRPr="00331F75">
        <w:t xml:space="preserve">dostatečně zajištěna po stránce financování. Je tedy nutné, aby byl zajištěn dostatek zdrojů ze státního rozpočtu, který bude adekvátně rozdělován na základě veřejné soutěže právě těm týmům a institucím, které nejlépe </w:t>
      </w:r>
      <w:r>
        <w:t xml:space="preserve">zvládnou </w:t>
      </w:r>
      <w:r w:rsidRPr="00331F75">
        <w:t>tyto příležitosti využít.</w:t>
      </w:r>
    </w:p>
    <w:p w:rsidR="00731241" w:rsidRPr="00331F75" w:rsidP="00731241" w14:paraId="4583ABCD" w14:textId="77777777">
      <w:pPr>
        <w:pStyle w:val="Heading3"/>
      </w:pPr>
      <w:bookmarkStart w:id="81" w:name="_Toc443572151"/>
      <w:bookmarkStart w:id="82" w:name="_Toc256000042"/>
      <w:r>
        <w:t>5</w:t>
      </w:r>
      <w:r w:rsidRPr="00331F75">
        <w:t>.3.4. Popularizace výzkumu, větší akcent na mladší generaci jako základ nových výzkumných týmů</w:t>
      </w:r>
      <w:bookmarkEnd w:id="82"/>
      <w:bookmarkEnd w:id="81"/>
    </w:p>
    <w:p w:rsidR="00731241" w:rsidRPr="00331F75" w:rsidP="006776EA" w14:paraId="6762A1A6" w14:textId="77777777">
      <w:r w:rsidRPr="00331F75">
        <w:t xml:space="preserve">Výzkum a vývoj v České republice má v povědomí společnosti své místo, avšak jen málo lidí z laické veřejnosti skutečně ví, jak výzkum v ČR probíhá, jaké jsou jeho cíle a směry a praktické užití jeho výsledků. Přesto si podle výzkumů veřejného mínění většina lidí uvědomuje důležitost vědy a výzkumu. Tomu napomáhají hlavně individuální výrazné úspěchy, které se podaří medializovat a také různé vzdělávací a propagační akce, jako je Česká hlava nebo </w:t>
      </w:r>
      <w:r>
        <w:t>C</w:t>
      </w:r>
      <w:r w:rsidRPr="00331F75">
        <w:t xml:space="preserve">ena předsedy GA ČR a podobné. I přesto jsou zde </w:t>
      </w:r>
      <w:r>
        <w:t>další</w:t>
      </w:r>
      <w:r w:rsidRPr="00331F75">
        <w:t xml:space="preserve"> možnosti, jak výzkum a vývoj přiblížit laické veřejnosti, a hlavně mladší generaci, která bude brzy volit svou životní kariéru. Pro mnoho </w:t>
      </w:r>
      <w:r>
        <w:t>z nich</w:t>
      </w:r>
      <w:r w:rsidRPr="00331F75">
        <w:t xml:space="preserve"> není vědecká kariéra prioritou, a to v řadě případů nikoli z objektivních důvodů.</w:t>
      </w:r>
    </w:p>
    <w:p w:rsidR="00731241" w:rsidRPr="00331F75" w:rsidP="006776EA" w14:paraId="4DE056C3" w14:textId="77777777">
      <w:r w:rsidRPr="00331F75">
        <w:t>Pro základní výzkum, který je díky své povaze laickou veřejností vnímán jako relativně málo srozumitelná část výzkumu, je tak výzvou a nutností kvalitními informačními kampaněmi tyto předsudky rozptýlit. Podpora veřejnosti a zájem mladých perspektivních vzdělaných lidí o</w:t>
      </w:r>
      <w:r>
        <w:t> </w:t>
      </w:r>
      <w:r w:rsidRPr="00331F75">
        <w:t>odvětví výzkumu a vývoje jsou tak klíčové pro další rozvoj.</w:t>
      </w:r>
    </w:p>
    <w:p w:rsidR="00731241" w:rsidRPr="00331F75" w:rsidP="00731241" w14:paraId="326D618A" w14:textId="77777777">
      <w:pPr>
        <w:pStyle w:val="Heading3"/>
      </w:pPr>
      <w:bookmarkStart w:id="83" w:name="_Toc443572152"/>
      <w:bookmarkStart w:id="84" w:name="_Toc256000043"/>
      <w:r>
        <w:t>5</w:t>
      </w:r>
      <w:r w:rsidRPr="00331F75">
        <w:t>.3.5. Využití prostředků z fondů EU na VaV</w:t>
      </w:r>
      <w:bookmarkEnd w:id="84"/>
      <w:bookmarkEnd w:id="83"/>
    </w:p>
    <w:p w:rsidR="00731241" w:rsidRPr="00331F75" w:rsidP="006776EA" w14:paraId="2943B7C9" w14:textId="77777777">
      <w:r w:rsidRPr="00331F75">
        <w:t>Kromě již zmiňované klíčové role zapojení do mezinárodních projektů je další příležitostí využití prostředků na VaV z fondů EU. Tyto programy nabízejí širokou škálu opatření, která mohou výzkumným institucím, provádějícím základní výzkum, výrazně pomoci. Ať se již jedná o přímou podporu VaV – například Operační program Výzkum, vývoj a vzdělávání (dále jen „OP VVV“), připravovaný OP Jan Amos Komenský (</w:t>
      </w:r>
      <w:r>
        <w:t>„</w:t>
      </w:r>
      <w:r w:rsidRPr="00331F75">
        <w:t>OP JAK</w:t>
      </w:r>
      <w:r>
        <w:t>“</w:t>
      </w:r>
      <w:r w:rsidRPr="00331F75">
        <w:t>), ale i další opatření na podporu vzdělávání, lidských zdrojů a mnohé další.</w:t>
      </w:r>
    </w:p>
    <w:p w:rsidR="00731241" w:rsidRPr="00331F75" w:rsidP="006776EA" w14:paraId="25EE6CE4" w14:textId="77777777"/>
    <w:p w:rsidR="00731241" w:rsidRPr="006776EA" w:rsidP="00731241" w14:paraId="46D43C9F" w14:textId="77777777">
      <w:pPr>
        <w:pStyle w:val="Heading2"/>
        <w:ind w:left="540" w:hanging="540"/>
        <w:rPr>
          <w:rFonts w:ascii="Calibri" w:hAnsi="Calibri" w:cs="Times New Roman"/>
          <w:iCs/>
        </w:rPr>
      </w:pPr>
      <w:bookmarkStart w:id="85" w:name="_Toc443572153"/>
      <w:bookmarkStart w:id="86" w:name="_Toc256000044"/>
      <w:r w:rsidRPr="006776EA">
        <w:rPr>
          <w:rFonts w:ascii="Calibri" w:hAnsi="Calibri" w:cs="Times New Roman"/>
          <w:iCs/>
        </w:rPr>
        <w:t>5.4. Hrozby (Threats)</w:t>
      </w:r>
      <w:bookmarkEnd w:id="86"/>
      <w:bookmarkEnd w:id="85"/>
    </w:p>
    <w:p w:rsidR="00731241" w:rsidRPr="00331F75" w:rsidP="00731241" w14:paraId="572678C7" w14:textId="77777777">
      <w:pPr>
        <w:pStyle w:val="Heading3"/>
      </w:pPr>
      <w:bookmarkStart w:id="87" w:name="_Toc443572154"/>
      <w:bookmarkStart w:id="88" w:name="_Toc256000045"/>
      <w:r>
        <w:t>5</w:t>
      </w:r>
      <w:r w:rsidRPr="00331F75">
        <w:t>.4.1. Propad konkurenceschopnosti ČR při nedostatku financí na základní výzkum</w:t>
      </w:r>
      <w:bookmarkEnd w:id="88"/>
      <w:bookmarkEnd w:id="87"/>
    </w:p>
    <w:p w:rsidR="00731241" w:rsidRPr="00331F75" w:rsidP="006776EA" w14:paraId="79F43C09" w14:textId="77777777">
      <w:r w:rsidRPr="00331F75">
        <w:t xml:space="preserve">Zásadní hrozbou, kterou je potřeba neustále odvracet, je nedostatek finančních prostředků na základní výzkum. Tento typ výzkumu byl a nadále musí být majoritně financován z veřejných zdrojů. </w:t>
      </w:r>
    </w:p>
    <w:p w:rsidR="00731241" w:rsidRPr="00331F75" w:rsidP="006776EA" w14:paraId="29B02BFE" w14:textId="77777777">
      <w:r w:rsidRPr="00331F75">
        <w:t>Důsledky nedostatku finančních prostředků by byly dlouhodobě fatální pro celou ekonomiku. Omezení technologického růstu (dovoz technologií ze zahraničí a lidí schopných je využít, ať už jakoukoli formou, má svá výrazná omezení) a snížení konkurenceschopnosti by mělo za následek segregaci ČR od vyspělých států a uvrhlo by ČR do pozice „montážní dílny“ pro vyspělejší země.</w:t>
      </w:r>
    </w:p>
    <w:p w:rsidR="00731241" w:rsidRPr="00331F75" w:rsidP="006776EA" w14:paraId="66947986" w14:textId="77777777">
      <w:r w:rsidRPr="00331F75">
        <w:t>Přesto v minulosti nebyly výjimkou situace, kdy z úst vrcholných představitelů zněla slova o omezení podpory základního výzkumu. Těmto situacím je třeba předcházet, a to hlavně nezpochybnitelnými výsledky výzkumu. Také je nutné využít příležitostí, aby tyto výsledky byly efektivně uplatňovány, což zlepší pozici základního výzkumu nejen v očích veřejnosti, ale i politiků, pro které nebude prázdná rétorika o omezení podpory snadným ziskem politických bodů, ale právě naopak.</w:t>
      </w:r>
    </w:p>
    <w:p w:rsidR="00731241" w:rsidRPr="00331F75" w:rsidP="00731241" w14:paraId="69070A1B" w14:textId="77777777">
      <w:pPr>
        <w:pStyle w:val="Heading3"/>
      </w:pPr>
      <w:bookmarkStart w:id="89" w:name="_Toc443572155"/>
      <w:bookmarkStart w:id="90" w:name="_Toc256000046"/>
      <w:r>
        <w:t>5</w:t>
      </w:r>
      <w:r w:rsidRPr="00331F75">
        <w:t>.4.2. Ohrožení výzkumu jako celku v návaznosti na nízkou podporu základního výzkumu</w:t>
      </w:r>
      <w:bookmarkEnd w:id="90"/>
      <w:bookmarkEnd w:id="89"/>
    </w:p>
    <w:p w:rsidR="00731241" w:rsidRPr="00331F75" w:rsidP="006776EA" w14:paraId="4E1B9463" w14:textId="77777777">
      <w:r w:rsidRPr="00331F75">
        <w:t>Aplikovaný výzkum a experimentální vývoj je často dáván za příklad ekonomicky návratného výzkumu – kdy např. příjmy z licencí a patentů mohou zaplatit samotný výzkum. V této souvislosti se však zapomíná na roli základního výzkumu jako nutného předpokladu pro oba tyto typy výzkumu. Nejprve je potřeba základní výzkum – tedy poznání jevů a skutečností, teprve pak je možné tyto poznatky aplikovat v návazném procesu. Základní výzkum, aplikovaný výzkum a experimentální vývoj je nutné chápat jako neoddělitelné součásti, představují navzájem propojený živý organismus. Proto jakékoli snížení či omezování podpory základního výzkumu vede ke stagnaci tohoto organismu a paralýze celého systému, což by se v důsledku negativně odrazilo na ekonomice země.</w:t>
      </w:r>
    </w:p>
    <w:p w:rsidR="00731241" w:rsidRPr="00331F75" w:rsidP="00731241" w14:paraId="131866FF" w14:textId="77777777">
      <w:pPr>
        <w:pStyle w:val="Heading3"/>
      </w:pPr>
      <w:bookmarkStart w:id="91" w:name="_Toc443572156"/>
      <w:bookmarkStart w:id="92" w:name="_Toc256000047"/>
      <w:r>
        <w:t>5</w:t>
      </w:r>
      <w:r w:rsidRPr="00331F75">
        <w:t>.4.3. Odchody výzkumníků do zahraničí</w:t>
      </w:r>
      <w:bookmarkEnd w:id="92"/>
      <w:bookmarkEnd w:id="91"/>
    </w:p>
    <w:p w:rsidR="00731241" w:rsidRPr="00331F75" w:rsidP="006776EA" w14:paraId="2A33EDA0" w14:textId="77777777">
      <w:r w:rsidRPr="00331F75">
        <w:t xml:space="preserve">V České republice pracuje řada vědců, jejichž znalosti a výsledky jsou minimálně srovnatelné s těmi nejlepšími vědci nejen v evropském, ale i celosvětovém měřítku. Aby tito špičkoví výzkumníci měli zájem pracovat v ČR i nadále, je nutné jim zajistit také srovnatelné </w:t>
      </w:r>
      <w:r>
        <w:t>podmínky i pro jejich výzkum. N</w:t>
      </w:r>
      <w:r w:rsidRPr="00331F75">
        <w:t xml:space="preserve">ejedná se pouze o podmínky platové, kdy mezi ČR a vyspělými státy s vysokým podílem výdajů na VaVaI na HDP panuje velký rozdíl. Pro většinu výzkumníků jsou minimálně stejně důležité, a pro mnohé jistě i </w:t>
      </w:r>
      <w:r w:rsidRPr="00331F75">
        <w:t xml:space="preserve">důležitější, podmínky, ve kterých pracují. Jedná se o komplexní souhrn přístrojového vybavení, infrastruktury, ale i administrativních bariér při předkládání projektů a uplatňování výsledků. </w:t>
      </w:r>
    </w:p>
    <w:p w:rsidR="00731241" w:rsidRPr="00331F75" w:rsidP="006776EA" w14:paraId="252FD451" w14:textId="77777777">
      <w:r w:rsidRPr="00331F75">
        <w:t>Pro udržení těchto špičkových vědců v ČR je nutné maximum těchto bariér eliminovat a zajistit přiměřené platové ohodnocení a důstojné podmínky pro samotný výzkum. Pokud se toto nepovede, čím dál více špičkových vědců bude odcházet do zahraničí. ČR by se tak mohla stát jakousi „chovnou stanicí“ pro úspěšné vědce, kteří odejdou po prvních dosažených úspěších, a plody jejich práce bude sklízet některá ze zahraničních institucí.</w:t>
      </w:r>
    </w:p>
    <w:p w:rsidR="00731241" w:rsidRPr="00331F75" w:rsidP="006776EA" w14:paraId="36F0DBF4" w14:textId="77777777">
      <w:r w:rsidRPr="00331F75">
        <w:t>Samozřejmě by to mělo dopad i na ekonomiku země. Výzkum v ČR by se v tomto případě nikdy nepřiblížil vyspělým zemím, ČR by produkovala pouze „polotovary“ – tedy produkty s nízkou přidanou hodnotou, které by levně prodala do okolních států, kde by je původem čeští vědci dovyvinuli do hi-tech produktů s vysokou přidanou hodnotou.</w:t>
      </w:r>
    </w:p>
    <w:p w:rsidR="00731241" w:rsidRPr="00331F75" w:rsidP="00731241" w14:paraId="5132DFC7" w14:textId="77777777">
      <w:pPr>
        <w:pStyle w:val="Heading3"/>
      </w:pPr>
      <w:bookmarkStart w:id="93" w:name="_Toc443572157"/>
      <w:bookmarkStart w:id="94" w:name="_Toc256000048"/>
      <w:r>
        <w:t>5</w:t>
      </w:r>
      <w:r w:rsidRPr="00331F75">
        <w:t>.4.4. Disproporce v rámci vědních oborů – i VaV podléhá trendům</w:t>
      </w:r>
      <w:bookmarkEnd w:id="94"/>
      <w:bookmarkEnd w:id="93"/>
    </w:p>
    <w:p w:rsidR="00731241" w:rsidRPr="00331F75" w:rsidP="006776EA" w14:paraId="27BFC1B7" w14:textId="77777777">
      <w:r w:rsidRPr="00331F75">
        <w:t xml:space="preserve">V průběhu let je možné pozorovat jisté trendy, které mají na základní výzkum vliv a které upozorňují na existující disproporce v rámci vědních oborů. Ty mají přirozené příčiny a mohou mít i pozitivní důsledky. Úspěchy jednoho vědeckého týmu v jedné oblasti (navíc někdy podpořené i mediálním zájmem a zájmem veřejnosti) na tuto oblast pak strhává pozornost na úkor jiných oblastí. </w:t>
      </w:r>
    </w:p>
    <w:p w:rsidR="00731241" w:rsidRPr="00331F75" w:rsidP="006776EA" w14:paraId="02775CF4" w14:textId="77777777">
      <w:r w:rsidRPr="00331F75">
        <w:t>Důležitým prvkem, který dokáže eliminovat příliš tendenční, mnohdy krátkodobé, směřování výzkumu, je prvek jednoho poskytovatele účelové podpory na grantové projekty – GA ČR, který podporuje všechny vědní obory. GA ČR tak zajišťuje, že v ČR nedochází ke ztrátě alespoň minimální podpory v oblastech, které se v určitém čase nejeví jako nejperspektivnější, ale v delším horizontu se mohou ukázat jako nepostradatelné.</w:t>
      </w:r>
    </w:p>
    <w:p w:rsidR="00731241" w:rsidRPr="00331F75" w:rsidP="00731241" w14:paraId="3835BD74" w14:textId="77777777">
      <w:pPr>
        <w:pStyle w:val="Heading3"/>
      </w:pPr>
      <w:bookmarkStart w:id="95" w:name="_Toc443572158"/>
      <w:bookmarkStart w:id="96" w:name="_Toc256000049"/>
      <w:r>
        <w:t>5</w:t>
      </w:r>
      <w:r w:rsidRPr="00331F75">
        <w:t>.4.5. Zvýšení administrativní zátěže</w:t>
      </w:r>
      <w:bookmarkEnd w:id="96"/>
      <w:bookmarkEnd w:id="95"/>
    </w:p>
    <w:p w:rsidR="00731241" w:rsidRPr="00331F75" w:rsidP="006776EA" w14:paraId="00B1E98F" w14:textId="77777777">
      <w:r w:rsidRPr="00331F75">
        <w:t xml:space="preserve">Poslední hrozbou pro základní výzkum je neadekvátní zvyšování administrativní zátěže, a to jak na samotné uchazeče o </w:t>
      </w:r>
      <w:r>
        <w:t>podporu</w:t>
      </w:r>
      <w:r w:rsidRPr="00331F75">
        <w:t>, tak i pro poskytovatele této účelové podpory. Byrokratické procesy a administrativní zátěž v ČR jsou podle všech výzkumů na poměrně vysoké úrovni a jejich další zvyšování by mělo negativní důsledky pro základní výzkum. Čas strávený administrací projektových žádostí uchazečem, ale i řídicím orgánem, nesmí být na úkor času na samotný výzkum. I zde GA ČR slouží jako instituce se zavedenými procesy, které nekladou na výzkumné týmy přehnané nároky. Tento stav je nutné udržet a v rámci legislativou daných možností usilovat o snižování administrativní zátěže na obou stranách.</w:t>
      </w:r>
    </w:p>
    <w:p w:rsidR="00731241" w:rsidRPr="00331F75" w:rsidP="00731241" w14:paraId="4459B1F8" w14:textId="77777777">
      <w:pPr>
        <w:pStyle w:val="PlainText"/>
        <w:ind w:left="709" w:hanging="283"/>
        <w:rPr>
          <w:rFonts w:ascii="Calibri" w:hAnsi="Calibri" w:cs="Times New Roman"/>
          <w:iCs/>
          <w:sz w:val="24"/>
          <w:szCs w:val="24"/>
        </w:rPr>
      </w:pPr>
    </w:p>
    <w:p w:rsidR="00731241" w:rsidRPr="00331F75" w:rsidP="00731241" w14:paraId="400D5894" w14:textId="77777777">
      <w:pPr>
        <w:pStyle w:val="Heading1"/>
        <w:ind w:left="709" w:hanging="283"/>
        <w:rPr>
          <w:rFonts w:ascii="Calibri" w:hAnsi="Calibri" w:cs="Times New Roman"/>
        </w:rPr>
      </w:pPr>
      <w:r w:rsidRPr="00331F75">
        <w:rPr>
          <w:rFonts w:ascii="Calibri" w:hAnsi="Calibri" w:cs="Times New Roman"/>
          <w:b w:val="0"/>
          <w:iCs/>
          <w:sz w:val="24"/>
          <w:szCs w:val="24"/>
        </w:rPr>
        <w:br w:type="page"/>
      </w:r>
      <w:bookmarkStart w:id="97" w:name="_Toc443572159"/>
      <w:bookmarkStart w:id="98" w:name="_Toc256000050"/>
      <w:r>
        <w:rPr>
          <w:rFonts w:ascii="Calibri" w:hAnsi="Calibri" w:cs="Times New Roman"/>
        </w:rPr>
        <w:t>6</w:t>
      </w:r>
      <w:r w:rsidRPr="00331F75">
        <w:rPr>
          <w:rFonts w:ascii="Calibri" w:hAnsi="Calibri" w:cs="Times New Roman"/>
        </w:rPr>
        <w:t>. Plnění úkolů vyplývajících z koncepčních dokumentů vztahujících se ke GA ČR</w:t>
      </w:r>
      <w:bookmarkEnd w:id="98"/>
      <w:bookmarkEnd w:id="97"/>
      <w:r w:rsidRPr="00331F75">
        <w:rPr>
          <w:rFonts w:ascii="Calibri" w:hAnsi="Calibri" w:cs="Times New Roman"/>
        </w:rPr>
        <w:t xml:space="preserve"> </w:t>
      </w:r>
    </w:p>
    <w:p w:rsidR="00731241" w:rsidRPr="00331F75" w:rsidP="006776EA" w14:paraId="5B0BF0C4" w14:textId="77777777">
      <w:r w:rsidRPr="00331F75">
        <w:t>Koncepčními dokumenty České rep</w:t>
      </w:r>
      <w:r>
        <w:t>ubliky vztahujícími se ke GA ČR</w:t>
      </w:r>
      <w:r w:rsidRPr="00331F75">
        <w:t xml:space="preserve"> jsou:</w:t>
      </w:r>
    </w:p>
    <w:p w:rsidR="00731241" w:rsidRPr="00331F75" w:rsidP="00BD43EF" w14:paraId="74208896" w14:textId="77777777">
      <w:pPr>
        <w:pStyle w:val="ListParagraph"/>
        <w:numPr>
          <w:ilvl w:val="0"/>
          <w:numId w:val="16"/>
        </w:numPr>
      </w:pPr>
      <w:r w:rsidRPr="00331F75">
        <w:t xml:space="preserve">Zákon </w:t>
      </w:r>
      <w:r>
        <w:t xml:space="preserve">č. 130/2002 Sb., </w:t>
      </w:r>
      <w:r w:rsidRPr="00331F75">
        <w:t>o podpoře výzkumu, experimentálního vývoje a inovací</w:t>
      </w:r>
      <w:r>
        <w:t xml:space="preserve"> </w:t>
      </w:r>
      <w:r w:rsidRPr="00331F75">
        <w:t>z</w:t>
      </w:r>
      <w:r>
        <w:t> </w:t>
      </w:r>
      <w:r w:rsidRPr="00331F75">
        <w:t>veřejných prostředků a o změně některých souvisejících zákonů</w:t>
      </w:r>
      <w:r>
        <w:t xml:space="preserve"> (</w:t>
      </w:r>
      <w:r w:rsidRPr="00A902FE">
        <w:t>zákon o podpoře výzkumu, experimentálního vývoje a inovací)</w:t>
      </w:r>
      <w:r w:rsidRPr="00331F75">
        <w:t>, ve znění pozdějších předpisů.</w:t>
      </w:r>
    </w:p>
    <w:p w:rsidR="00731241" w:rsidRPr="00331F75" w:rsidP="00BD43EF" w14:paraId="1F24C639" w14:textId="77777777">
      <w:pPr>
        <w:pStyle w:val="ListParagraph"/>
        <w:numPr>
          <w:ilvl w:val="0"/>
          <w:numId w:val="16"/>
        </w:numPr>
      </w:pPr>
      <w:r w:rsidRPr="006776EA">
        <w:rPr>
          <w:rFonts w:eastAsia="Times New Roman"/>
          <w:lang w:eastAsia="cs-CZ"/>
        </w:rPr>
        <w:t>Národní politika výzkumu, vývoje a inovací České republiky 2021+, schválená usnesením vlády České republiky ze dne 20. 7. 2020 č. 759 (dále jen „</w:t>
      </w:r>
      <w:bookmarkStart w:id="99" w:name="_Hlk58840398"/>
      <w:r w:rsidRPr="006776EA">
        <w:rPr>
          <w:rFonts w:eastAsia="Times New Roman"/>
          <w:lang w:eastAsia="cs-CZ"/>
        </w:rPr>
        <w:t>Národní politika VaVaI</w:t>
      </w:r>
      <w:bookmarkEnd w:id="99"/>
      <w:r w:rsidRPr="006776EA">
        <w:rPr>
          <w:rFonts w:eastAsia="Times New Roman"/>
          <w:lang w:eastAsia="cs-CZ"/>
        </w:rPr>
        <w:t>“).</w:t>
      </w:r>
    </w:p>
    <w:p w:rsidR="00731241" w:rsidRPr="00331F75" w:rsidP="00BD43EF" w14:paraId="60D5498E" w14:textId="77777777">
      <w:pPr>
        <w:pStyle w:val="ListParagraph"/>
        <w:numPr>
          <w:ilvl w:val="0"/>
          <w:numId w:val="16"/>
        </w:numPr>
      </w:pPr>
      <w:r w:rsidRPr="00331F75">
        <w:t>Národní priority orientovaného výzkumu, experimentálního vývoje a inovací, schválené usnesením vlády České republiky ze dne 19. července 2012 č. 552.</w:t>
      </w:r>
    </w:p>
    <w:p w:rsidR="00731241" w:rsidRPr="00331F75" w:rsidP="00BD43EF" w14:paraId="7173A60C" w14:textId="77777777">
      <w:pPr>
        <w:pStyle w:val="ListParagraph"/>
        <w:numPr>
          <w:ilvl w:val="0"/>
          <w:numId w:val="16"/>
        </w:numPr>
      </w:pPr>
      <w:r w:rsidRPr="00331F75">
        <w:t>Implementace Národních priorit orientovaného výzkumu, experimentálního vývoje a</w:t>
      </w:r>
      <w:r>
        <w:t> </w:t>
      </w:r>
      <w:r w:rsidRPr="00331F75">
        <w:t xml:space="preserve">inovací, schválená usnesením vlády České republiky ze dne 31. července 2013 č. 569. </w:t>
      </w:r>
    </w:p>
    <w:p w:rsidR="00731241" w:rsidRPr="00331F75" w:rsidP="00BD43EF" w14:paraId="7CB615EA" w14:textId="77777777">
      <w:pPr>
        <w:pStyle w:val="ListParagraph"/>
        <w:numPr>
          <w:ilvl w:val="0"/>
          <w:numId w:val="16"/>
        </w:numPr>
      </w:pPr>
      <w:r w:rsidRPr="00331F75">
        <w:t>Inovační strategie České republiky 2019–2030 schválená usnesením vlády České republiky ze dne 4. února 2019 č. 104</w:t>
      </w:r>
      <w:r>
        <w:t>.</w:t>
      </w:r>
    </w:p>
    <w:p w:rsidR="00731241" w:rsidRPr="00331F75" w:rsidP="00BD43EF" w14:paraId="7073A013" w14:textId="77777777">
      <w:pPr>
        <w:pStyle w:val="ListParagraph"/>
        <w:numPr>
          <w:ilvl w:val="0"/>
          <w:numId w:val="16"/>
        </w:numPr>
      </w:pPr>
      <w:r w:rsidRPr="00331F75">
        <w:t>Národní výzkumná a inovační strategie pro inteligentní specializaci ČR schválená usnesením vlády České republiky ze dne 8. prosince 2014 č. 1028.</w:t>
      </w:r>
    </w:p>
    <w:p w:rsidR="00731241" w:rsidRPr="00331F75" w:rsidP="006776EA" w14:paraId="1ED0F2AA" w14:textId="77777777">
      <w:r w:rsidRPr="00331F75">
        <w:t>Koncepčními dokumenty Evropské unie vztahujícími se ke GA ČR jsou:</w:t>
      </w:r>
    </w:p>
    <w:p w:rsidR="00731241" w:rsidRPr="00331F75" w:rsidP="00BD43EF" w14:paraId="50FA1DAD" w14:textId="77777777">
      <w:pPr>
        <w:pStyle w:val="ListParagraph"/>
        <w:numPr>
          <w:ilvl w:val="0"/>
          <w:numId w:val="17"/>
        </w:numPr>
      </w:pPr>
      <w:r w:rsidRPr="00331F75">
        <w:t>Nařízení Komise (EU) č. 651/2014 ze dne 17. června 2014, kterým se v souladu s články 107 a 108 Smlouvy prohlašují určité kategorie podpory za slučitelné s vnitřním trhem – General Block Exemption Regulation (GBER).</w:t>
      </w:r>
    </w:p>
    <w:p w:rsidR="00731241" w:rsidRPr="00331F75" w:rsidP="00BD43EF" w14:paraId="26515F59" w14:textId="77777777">
      <w:pPr>
        <w:pStyle w:val="ListParagraph"/>
        <w:numPr>
          <w:ilvl w:val="0"/>
          <w:numId w:val="17"/>
        </w:numPr>
      </w:pPr>
      <w:r w:rsidRPr="00331F75">
        <w:t xml:space="preserve">Sdělení Komise: Rámec Společenství pro státní podporu výzkumu, vývoje a inovací (2014/C 198/01). </w:t>
      </w:r>
    </w:p>
    <w:p w:rsidR="00731241" w:rsidRPr="00331F75" w:rsidP="006776EA" w14:paraId="1AC3A995" w14:textId="77777777">
      <w:r w:rsidRPr="00331F75">
        <w:t>GA ČR postupuje v plném souladu se zákonem o podpoře výzkumu, experimentálního vývoje a inovací. Kontrolní mechanismy nastavené v GA ČR, dané především jejím uspořádáním (předsednictvo GA ČR je výkonným orgánem GA ČR, vědecká rada GA ČR je koncepčním orgánem GA ČR a kontrolní rada GA ČR je kontrolním orgánem GA ČR), zaručují dodržovaní zákona o podpoře výzkumu, experimentálního vývoje a inovací. GA ČR v souladu se zákonem o podpoře výzkumu, experimentálního vývoje a inovací za poslední roky nastavila v</w:t>
      </w:r>
      <w:r>
        <w:t> </w:t>
      </w:r>
      <w:r w:rsidRPr="00331F75">
        <w:t>hodnoticím procesu transparentní mechanismy a provedla řadu pozitivních změn ve fungování agentury, které vedly k posílení pozice GA ČR jako efektivní a moderní agentury na podporu vědy a základního výzkumu v ČR.</w:t>
      </w:r>
      <w:r>
        <w:t xml:space="preserve"> GA ČR zároveň reflektuje i ostatní strategické dokumenty ČR, kdy je připravena</w:t>
      </w:r>
      <w:r w:rsidRPr="00311C31">
        <w:t xml:space="preserve"> </w:t>
      </w:r>
      <w:r>
        <w:t>se podílet např. na</w:t>
      </w:r>
      <w:r w:rsidRPr="00311C31">
        <w:t xml:space="preserve"> Národním plánu obnovy.</w:t>
      </w:r>
      <w:r>
        <w:rPr>
          <w:rStyle w:val="FootnoteReference"/>
          <w:rFonts w:ascii="Calibri" w:hAnsi="Calibri"/>
          <w:iCs/>
          <w:sz w:val="24"/>
          <w:szCs w:val="24"/>
        </w:rPr>
        <w:footnoteReference w:id="7"/>
      </w:r>
    </w:p>
    <w:p w:rsidR="00731241" w:rsidRPr="00331F75" w:rsidP="006776EA" w14:paraId="5F4D8135" w14:textId="77777777">
      <w:r w:rsidRPr="00331F75">
        <w:t>Zhodnocení dopadů opatření z hlediska Národní politiky VaVaI 2021+ a Implementace Priorit je podrobně popsáno v následující kapitole – Zabezpečení vybraných cílů Národní politiky VaVaI 2021+ a Priorit VaVaI v Koncepci.</w:t>
      </w:r>
    </w:p>
    <w:p w:rsidR="00731241" w:rsidRPr="00331F75" w:rsidP="006776EA" w14:paraId="3B62C46B" w14:textId="77777777">
      <w:r w:rsidRPr="00331F75">
        <w:t>GA ČR neustále sleduje vývoj výkladu evropských předpisů Českou republi</w:t>
      </w:r>
      <w:r>
        <w:t>kou (např. jednání s Evropskou k</w:t>
      </w:r>
      <w:r w:rsidRPr="00331F75">
        <w:t xml:space="preserve">omisí, stanoviska Úřadu pro ochranu hospodářské soutěže, vyjádření a doporučení Rady pro výzkum, vývoj a inovace atd.) a nové poznatky zapracovává do svých interních dokumentů i zadávacích </w:t>
      </w:r>
      <w:r w:rsidRPr="00331F75">
        <w:t>dokumentací veřejných soutěží jednotlivých skupin grantových projektů tak, aby bylo vše v souladu s evropskými předpisy.</w:t>
      </w:r>
    </w:p>
    <w:p w:rsidR="00731241" w:rsidRPr="00331F75" w:rsidP="006776EA" w14:paraId="57160181" w14:textId="28BCF495">
      <w:pPr>
        <w:pStyle w:val="Heading1"/>
      </w:pPr>
      <w:r w:rsidRPr="00331F75">
        <w:br w:type="page"/>
      </w:r>
      <w:bookmarkStart w:id="100" w:name="_Toc443572160"/>
      <w:bookmarkStart w:id="101" w:name="_Toc256000051"/>
      <w:r>
        <w:t>7</w:t>
      </w:r>
      <w:r w:rsidRPr="00331F75">
        <w:t xml:space="preserve">. ZABEZPEČENÍ VYBRANÝCH CÍLŮ </w:t>
      </w:r>
      <w:bookmarkStart w:id="102" w:name="_Hlk54007512"/>
      <w:r w:rsidRPr="00331F75">
        <w:t>NÁRODNÍ POLITIKY VAVAI 2021+</w:t>
      </w:r>
      <w:bookmarkEnd w:id="102"/>
      <w:r w:rsidRPr="00331F75">
        <w:t xml:space="preserve"> A PRIORIT VAVAI V KONCEPCI</w:t>
      </w:r>
      <w:bookmarkEnd w:id="101"/>
      <w:bookmarkEnd w:id="100"/>
    </w:p>
    <w:p w:rsidR="00731241" w:rsidRPr="006776EA" w:rsidP="00731241" w14:paraId="02449A64" w14:textId="77777777">
      <w:pPr>
        <w:pStyle w:val="Heading2"/>
        <w:ind w:left="540" w:hanging="540"/>
        <w:rPr>
          <w:rFonts w:ascii="Calibri" w:hAnsi="Calibri" w:cs="Times New Roman"/>
          <w:iCs/>
        </w:rPr>
      </w:pPr>
      <w:bookmarkStart w:id="103" w:name="_Toc443572161"/>
      <w:bookmarkStart w:id="104" w:name="_Toc256000052"/>
      <w:r w:rsidRPr="006776EA">
        <w:rPr>
          <w:rFonts w:ascii="Calibri" w:hAnsi="Calibri" w:cs="Times New Roman"/>
          <w:iCs/>
        </w:rPr>
        <w:t>7.1.</w:t>
      </w:r>
      <w:r w:rsidRPr="006776EA">
        <w:rPr>
          <w:rFonts w:ascii="Calibri" w:hAnsi="Calibri" w:cs="Times New Roman"/>
          <w:iCs/>
        </w:rPr>
        <w:tab/>
        <w:t>Zabezpečení vybraných cílů Národní politiky VaVaI</w:t>
      </w:r>
      <w:bookmarkEnd w:id="103"/>
      <w:r w:rsidRPr="006776EA">
        <w:rPr>
          <w:rFonts w:ascii="Calibri" w:hAnsi="Calibri" w:cs="Times New Roman"/>
          <w:iCs/>
        </w:rPr>
        <w:t xml:space="preserve"> 2021+</w:t>
      </w:r>
      <w:bookmarkEnd w:id="104"/>
    </w:p>
    <w:p w:rsidR="00731241" w:rsidRPr="00331F75" w:rsidP="006776EA" w14:paraId="1CE3B0B8" w14:textId="77777777">
      <w:r w:rsidRPr="00331F75">
        <w:t xml:space="preserve">Národní politika výzkumu, vývoje a inovací České republiky 2021+ byla schválena usnesením vlády České republiky č. 759 ze dne 20. července 2020. </w:t>
      </w:r>
    </w:p>
    <w:p w:rsidR="00731241" w:rsidRPr="00331F75" w:rsidP="006776EA" w14:paraId="65FF33C6" w14:textId="77777777">
      <w:r w:rsidRPr="00331F75">
        <w:t>Národní politika představuje zastřešující strategický dokument na národní úrovni pro rozvoj všech složek výzkumu, vývoje a inovací v České republice a přispívá k naplňování některých kritérií pro možnost čerpání prostředků z fondů Evropské unie v</w:t>
      </w:r>
      <w:r>
        <w:t> </w:t>
      </w:r>
      <w:r w:rsidRPr="00331F75">
        <w:t>programovém období 2021–2027.</w:t>
      </w:r>
    </w:p>
    <w:p w:rsidR="00731241" w:rsidRPr="00331F75" w:rsidP="006776EA" w14:paraId="0A7214DD" w14:textId="77777777">
      <w:r w:rsidRPr="00331F75">
        <w:t>Vizí Národní politiky je prostřednictvím efektivní podpory a zacílení výzkumu, vývoje a inovací přispět k prosperitě České republiky</w:t>
      </w:r>
      <w:r>
        <w:t>, která má být zemí</w:t>
      </w:r>
      <w:r w:rsidRPr="00331F75">
        <w:t>, jejíž ekonomika je založena na znalostech a</w:t>
      </w:r>
      <w:r>
        <w:t> </w:t>
      </w:r>
      <w:r w:rsidRPr="00331F75">
        <w:t>schopnosti inovovat, občané disponují kv</w:t>
      </w:r>
      <w:r>
        <w:t xml:space="preserve">alitními životními podmínkami a </w:t>
      </w:r>
      <w:r w:rsidRPr="00331F75">
        <w:t>je uznávaným partnerem ve společenství evropských zemí i celosvětově.</w:t>
      </w:r>
    </w:p>
    <w:p w:rsidR="00731241" w:rsidRPr="00331F75" w:rsidP="006776EA" w14:paraId="55972545" w14:textId="77777777">
      <w:r w:rsidRPr="00331F75">
        <w:t>Národní politika by měla přispět k rozvoji a dosažení pokroku v těchto klíčových oblastech: řízení a financování systému výzkumu, vývoje a inovací; motivace lidí k výzkumné kariéře a</w:t>
      </w:r>
      <w:r>
        <w:t> </w:t>
      </w:r>
      <w:r w:rsidRPr="00331F75">
        <w:t>rozvoj lidských zdrojů; kvalita a mezinárodní excelence ve výzkumu a vývoji; spolupráce výzkumné a aplikační sféry; inovační potenciál České republiky. Reaguje rovněž na rizika a</w:t>
      </w:r>
      <w:r>
        <w:t> </w:t>
      </w:r>
      <w:r w:rsidRPr="00331F75">
        <w:t xml:space="preserve">hrozby globální povahy 21. století. </w:t>
      </w:r>
    </w:p>
    <w:p w:rsidR="00731241" w:rsidRPr="006776EA" w:rsidP="00731241" w14:paraId="227DB0BE" w14:textId="77777777">
      <w:pPr>
        <w:pStyle w:val="Heading2"/>
        <w:ind w:left="540" w:hanging="540"/>
        <w:rPr>
          <w:rFonts w:ascii="Calibri" w:hAnsi="Calibri" w:cs="Times New Roman"/>
          <w:iCs/>
        </w:rPr>
      </w:pPr>
      <w:bookmarkStart w:id="105" w:name="_Toc443572162"/>
      <w:bookmarkStart w:id="106" w:name="_Toc256000053"/>
      <w:r w:rsidRPr="006776EA">
        <w:rPr>
          <w:rFonts w:ascii="Calibri" w:hAnsi="Calibri" w:cs="Times New Roman"/>
          <w:iCs/>
        </w:rPr>
        <w:t>7.2.</w:t>
      </w:r>
      <w:r w:rsidRPr="006776EA">
        <w:rPr>
          <w:rFonts w:ascii="Calibri" w:hAnsi="Calibri" w:cs="Times New Roman"/>
          <w:iCs/>
        </w:rPr>
        <w:tab/>
        <w:t>Vazby Koncepce a Priorit</w:t>
      </w:r>
      <w:bookmarkEnd w:id="106"/>
      <w:bookmarkEnd w:id="105"/>
    </w:p>
    <w:p w:rsidR="00731241" w:rsidRPr="00331F75" w:rsidP="006776EA" w14:paraId="4AF23959" w14:textId="77777777">
      <w:r w:rsidRPr="00331F75">
        <w:t>Usnesením vlády České republiky ze dne 19. července 2012 č. 552 schválila vláda ČR Národní priority orientovaného výzkumu, experimentálního vývoje a inovací do roku 2030 a usnesením vlády České republiky ze dne 31. července 2013 č. 569 schválila Implementaci Národních priorit orientovaného výzkumu, experimentálního vývoje a inovací. Priority V</w:t>
      </w:r>
      <w:r>
        <w:t xml:space="preserve">aVaI jsou stanoveny jako </w:t>
      </w:r>
      <w:r w:rsidRPr="00331F75">
        <w:t>konkrétní předmět státního a veřejného zájmu, který je kombinací dlouhodobého cíle a multioborového zaměření, je celospolečensky uplatnitelný a žádoucí, pro jeho dosažení má Česká republika dostatečné materiální a personální podmínky, je v</w:t>
      </w:r>
      <w:r>
        <w:t> </w:t>
      </w:r>
      <w:r w:rsidRPr="00331F75">
        <w:t>dlouhodobém horizontu řešitelný a je dosažitelný prostřednictvím aktivit VaVaI. Aplikací Priorit VaVaI dojde k efektivnějšímu využívání veřejných prostředků na účelovou podporu VaVaI, která tak bude lépe odpovídat klíčovým potřebám rozvoje české společnosti. Hlavním přínosem a smyslem formulace Priorit VaVaI je strategické zaměření části (zejména aplikovaného) národního VaVaI do oblastí, které napomohou řešit zásadní současné a</w:t>
      </w:r>
      <w:r>
        <w:t> </w:t>
      </w:r>
      <w:r w:rsidRPr="00331F75">
        <w:t xml:space="preserve">předvídatelné budoucí problémy a výzvy ČR a umožní využít potenciální příležitosti pro vyvážený rozvoj ČR. </w:t>
      </w:r>
    </w:p>
    <w:p w:rsidR="00731241" w:rsidRPr="00331F75" w:rsidP="006776EA" w14:paraId="498EDA62" w14:textId="77777777">
      <w:r w:rsidRPr="00331F75">
        <w:t>Jedním z cílů Národní politiky VaVaI 2021+ je redefinovat Priority s cílem zvýšení odolnosti české společnosti tak, aby poskytovatelé podpory v oblasti VaVaI, a zejména poskytovatelé účelové podpory, byli motivováni k podpoře specificky zaměřených výzkumných programů relevantních pro oblasti definovaných hrozeb s celospolečenským dopadem, a to flexibilní alokací a přeskupováním části výzkumných kapacit a fi</w:t>
      </w:r>
      <w:r>
        <w:t>nančních zdrojů ve své gesci. (V</w:t>
      </w:r>
      <w:r w:rsidRPr="00331F75">
        <w:t>iz Opatření</w:t>
      </w:r>
      <w:r>
        <w:t xml:space="preserve"> 27 Národní politiky VaVaI 2021</w:t>
      </w:r>
      <w:r w:rsidRPr="00331F75">
        <w:t>+.)</w:t>
      </w:r>
    </w:p>
    <w:p w:rsidR="00731241" w:rsidRPr="00331F75" w:rsidP="006776EA" w14:paraId="085CAD48" w14:textId="77777777">
      <w:r w:rsidRPr="00331F75">
        <w:t xml:space="preserve">GA ČR si uvědomuje potenciál v podpoře oblastí výzkumu definovaných Prioritami a chce podporovat orientovaný základní výzkum v rámci nové skupiny grantových projektů orientovaného základního výzkumu, která by vycházela především z Priorit VaVaI. Tyto nové veřejné soutěže by byly tedy přímo vyhlašované se záměrem přispět k řešení významných dlouhodobých společenských a hospodářských problémů, ale zároveň reagovat i na nejzávažnější aktuální společenské a hospodářské </w:t>
      </w:r>
      <w:r>
        <w:t>výzvy</w:t>
      </w:r>
      <w:r w:rsidRPr="00331F75">
        <w:t xml:space="preserve">. GA ČR by </w:t>
      </w:r>
      <w:r w:rsidRPr="00331F75">
        <w:t>tím tedy získala nový motivační nástroj k zaměření pozornosti výzkumníků na důležité problémy a přispěla by ještě více ke strategickému rozvoji ČR.</w:t>
      </w:r>
    </w:p>
    <w:p w:rsidR="00731241" w:rsidRPr="006776EA" w:rsidP="00731241" w14:paraId="6670682A" w14:textId="77777777">
      <w:pPr>
        <w:pStyle w:val="Heading2"/>
        <w:ind w:left="540" w:hanging="540"/>
        <w:rPr>
          <w:rFonts w:ascii="Calibri" w:hAnsi="Calibri" w:cs="Times New Roman"/>
          <w:iCs/>
        </w:rPr>
      </w:pPr>
      <w:bookmarkStart w:id="107" w:name="_Toc443572163"/>
      <w:bookmarkStart w:id="108" w:name="_Toc256000054"/>
      <w:r w:rsidRPr="006776EA">
        <w:rPr>
          <w:rFonts w:ascii="Calibri" w:hAnsi="Calibri" w:cs="Times New Roman"/>
          <w:iCs/>
        </w:rPr>
        <w:t>7.3.</w:t>
      </w:r>
      <w:r w:rsidRPr="006776EA">
        <w:rPr>
          <w:rFonts w:ascii="Calibri" w:hAnsi="Calibri" w:cs="Times New Roman"/>
          <w:iCs/>
        </w:rPr>
        <w:tab/>
        <w:t>Hodnocení grantových projektů</w:t>
      </w:r>
      <w:bookmarkEnd w:id="108"/>
      <w:bookmarkEnd w:id="107"/>
    </w:p>
    <w:p w:rsidR="00731241" w:rsidRPr="00331F75" w:rsidP="006776EA" w14:paraId="0158F844" w14:textId="77777777">
      <w:r>
        <w:t xml:space="preserve">Systém hodnocení grantových projektů reflektuje vybraná ustanovení </w:t>
      </w:r>
      <w:r w:rsidRPr="00386B29">
        <w:t>Národní politiky VaVaI 2021+ a Priorit VaVaI</w:t>
      </w:r>
      <w:r>
        <w:t>,</w:t>
      </w:r>
      <w:r>
        <w:rPr>
          <w:rStyle w:val="FootnoteReference"/>
          <w:rFonts w:ascii="Calibri" w:hAnsi="Calibri"/>
          <w:iCs/>
          <w:sz w:val="24"/>
          <w:szCs w:val="24"/>
        </w:rPr>
        <w:footnoteReference w:id="8"/>
      </w:r>
      <w:r>
        <w:t xml:space="preserve"> přičemž je jeho cílem vytvoření transparentní, efektivní a hospodárné platformy jdoucí kvalitativně nad rámec zákonných požadavků.</w:t>
      </w:r>
      <w:r w:rsidRPr="00386B29">
        <w:t xml:space="preserve"> </w:t>
      </w:r>
      <w:r w:rsidRPr="00331F75">
        <w:t>Návrhy projektů jsou postupně hodnoceny ve čtyřech krocích. Prvním z nich je „Přijímání návrhů projektů“, které se provádí podle zákona o podpoře výzkumu, experimentálního vývoje a inovací</w:t>
      </w:r>
      <w:r>
        <w:t>.</w:t>
      </w:r>
      <w:r w:rsidRPr="00331F75">
        <w:t xml:space="preserve"> Následuje bezprostředně po ukončení soutěžní lhůty a je ukončeno rozhodnutím poskytovatele o přijetí nebo nepřijetí návrhů projektů do veřejné soutěže.</w:t>
      </w:r>
    </w:p>
    <w:p w:rsidR="00731241" w:rsidRPr="00331F75" w:rsidP="006776EA" w14:paraId="4D38F67C" w14:textId="77777777">
      <w:r w:rsidRPr="00331F75">
        <w:t>Dalším krokem je „Hodnocení pravdivosti, úplnosti a správnosti údajů“ v návrzích projektů, které zahrnuje i kontrolu vzájemné nerozpornosti údajů obsažených v těchto návrzích. Následuje po rozhodnutí poskytovatele o přijetí návrhů projektů do veřejné soutěže a provádí se v průběhu celé hodnoticí lhůty.</w:t>
      </w:r>
    </w:p>
    <w:p w:rsidR="00731241" w:rsidRPr="00331F75" w:rsidP="006776EA" w14:paraId="1D54CC37" w14:textId="77777777">
      <w:r w:rsidRPr="00331F75">
        <w:t>Třetím krokem je „Hodnocení odborné úrovně návrhů projektů“. Během něho se provádí odborné hodnocení návrhů projektů oborovými komisemi podle</w:t>
      </w:r>
      <w:r w:rsidRPr="00331F75">
        <w:rPr>
          <w:rFonts w:eastAsia="SimSun"/>
        </w:rPr>
        <w:t xml:space="preserve"> zákona o podpoře výzkumu, experimentálního vývoje a inovací.</w:t>
      </w:r>
      <w:r w:rsidRPr="00331F75">
        <w:t xml:space="preserve"> Následuje po rozhodnutí poskytovatele o přijetí návrhů projektů do veřejné soutěže a končí zpracováním protokolů o hodnocení návrhů projektů.</w:t>
      </w:r>
    </w:p>
    <w:p w:rsidR="00731241" w:rsidP="006776EA" w14:paraId="592B1EC3" w14:textId="77777777">
      <w:r w:rsidRPr="00331F75">
        <w:t>Posledním krokem je „Hodnocení navržených uznaných nákladů“. Při něm se provádí kontrola relevantnosti a správnosti navržených uznaných nákladů uvedených v návrzích projektů, a to co do rozsahu a vymezení uznaných nákladů i co do výše navržených uznaných nákladů. Následuje po rozhodnutí poskytovatele o přijetí návrhů projektů do veřejné soutěže a končí zpracováním protokolů o hodnocení návrhů projektů.</w:t>
      </w:r>
    </w:p>
    <w:p w:rsidR="00731241" w:rsidRPr="00331F75" w:rsidP="00731241" w14:paraId="6648154D" w14:textId="77777777">
      <w:pPr>
        <w:pStyle w:val="Heading3"/>
      </w:pPr>
      <w:bookmarkStart w:id="109" w:name="_Toc256000055"/>
      <w:r>
        <w:t>7</w:t>
      </w:r>
      <w:r w:rsidRPr="00331F75">
        <w:t>.3.1</w:t>
      </w:r>
      <w:r>
        <w:t>.</w:t>
      </w:r>
      <w:r w:rsidRPr="00331F75">
        <w:t xml:space="preserve"> Proces hodnocení návrhů </w:t>
      </w:r>
      <w:r>
        <w:t>standardních a</w:t>
      </w:r>
      <w:r w:rsidRPr="00331F75">
        <w:t xml:space="preserve"> bilaterálních (mezinárodních) grantových projektů</w:t>
      </w:r>
      <w:r>
        <w:t xml:space="preserve"> a projektů POSTDOC INDIVIDUAL FELLOWSHIP</w:t>
      </w:r>
      <w:bookmarkEnd w:id="109"/>
    </w:p>
    <w:p w:rsidR="00731241" w:rsidRPr="00331F75" w:rsidP="006776EA" w14:paraId="76660B7A" w14:textId="77777777">
      <w:r w:rsidRPr="00331F75">
        <w:t>Proces hodnocení návrhů grantových projektů je založen na vzájemném porovnávání úrovně návrhů grantových projektů a probíhá v souladu se zákonem o podpoře výzkumu, experimentálního vývoje a inovací – podrobněji níže.</w:t>
      </w:r>
    </w:p>
    <w:p w:rsidR="00731241" w:rsidRPr="00331F75" w:rsidP="006776EA" w14:paraId="43D345B9" w14:textId="77777777">
      <w:r w:rsidRPr="00331F75">
        <w:t>Proces hodnocení grantových projektů je rozdělen na dvě fáze, přičemž každá se člení na tři etapy.</w:t>
      </w:r>
    </w:p>
    <w:p w:rsidR="00731241" w:rsidRPr="00331F75" w:rsidP="006776EA" w14:paraId="1B26B488" w14:textId="77777777">
      <w:r w:rsidRPr="00331F75">
        <w:t>První etapa první fáze hodnocení začíná tím, že každý návrh projektu je přidělen k posouzení čtyřem členům hodnoticího panelu. Ti nezávisle zařadí všechny jim přidělené návrhy projektů podle kvality do tří kategorií s pracovním označením A, B, C, a to v předem určeném poměru (např. 30 % A, 40 % B, 30 % C) s tím, že kategorie A znamená vysoce kvalitní návrh projektu a člen hodnoticího panelu jej doporučuje k postupu do druhé fáze; kategorie B znamená kvalitní návrh projektu a člen hodnoticího panelu jej doporučuje k postupu do druhé fáze; kategorie C znamená méně kvalitní návrh projektu, člen hodnoticího panelu jej nedoporučuje k postupu do druhé fáze.</w:t>
      </w:r>
    </w:p>
    <w:p w:rsidR="00731241" w:rsidRPr="00331F75" w:rsidP="006776EA" w14:paraId="36E89595" w14:textId="77777777">
      <w:r w:rsidRPr="00331F75">
        <w:t xml:space="preserve">Na zasedání hodnoticího panelu je v panelové diskusi vytvořen seznam méně kvalitních návrhů projektů, které nejsou doporučeny k postupu do druhé fáze, a tudíž nebudou zasílány k posouzení zahraničním </w:t>
      </w:r>
      <w:r w:rsidRPr="00331F75">
        <w:t>oponentům. Celkový počet projektů zařazených do kategorie C činí předem zadaný podíl (např. nejméně 30 %) ze všech návrhů projektů posuzovaných v hodnoticím panelu. Hodnoticí panel na základě doporučení zpravodajů dále rozhodne o přidělení zahraničních oponentů pro projekty zařazené do kategorií A nebo B.</w:t>
      </w:r>
    </w:p>
    <w:p w:rsidR="00731241" w:rsidRPr="00331F75" w:rsidP="006776EA" w14:paraId="13BF363F" w14:textId="77777777">
      <w:r w:rsidRPr="00331F75">
        <w:t xml:space="preserve">Členové oborové komise se ve druhé etapě první fáze hodnocení před zasedáním seznámí se všemi podklady k jednotlivým návrhům projektů. Oborové komise projednají a doporučí návrh příslušných hodnoticích panelů na zařazení návrhů projektů do kategorie C. Návrhy projektů zařazené do této kategorie nepostupují do druhé fáze hodnocení. </w:t>
      </w:r>
    </w:p>
    <w:p w:rsidR="00731241" w:rsidRPr="00331F75" w:rsidP="006776EA" w14:paraId="2990BC72" w14:textId="77777777">
      <w:r w:rsidRPr="00331F75">
        <w:t>Ve třetí etapě první fáze hodnocení předsednictvo na základě doporučení oborových komisí rozhodne, které návrhy projektů nebudou prostřednictvím Kanceláře zaslány zahraničním oponentům.</w:t>
      </w:r>
    </w:p>
    <w:p w:rsidR="00731241" w:rsidRPr="00331F75" w:rsidP="006776EA" w14:paraId="309A25AD" w14:textId="77777777">
      <w:r w:rsidRPr="00331F75">
        <w:t>První etapa druhé fáze začíná, když jsou pro každý návrh projektu získány posudky (obvykle 2) od zahraničních oponentů. Před zasedáním hodnoticího panelu se všichni členové hodnoticího panelu seznámí se všemi návrhy projektů, které postoupily do druhé fáze posuzování, včetně všech podkladů k jednotlivým návrhům projektů. Každý člen panelu před zasedáním panelu nezávisle zařadí prostřednictvím elektronické aplikace všechny návrhy projektů daného panelu podle kvality do tří kategorií A, B, C, přičemž do kategorie A je zařazen nejvýše předem stanovený podíl (např. 30 %) návrhů projektů posuzovaných v druhé fázi; u kategorií B a C kvóta není stanovena. Kategorie A znamená velmi kvalitní projekt, který je doporučen k financování; kategorie B znamená méně kvalitní projekt, který je doporučen k financování v případě dostatku finančních prostředků a kategorie C znamená méně kvalitní návrh projektu, který není nedoporučen k financování. Následuje panelové hodnocení ve druhé fázi. Zpravodajové každého návrhu projektu postupně prezentují jednotlivé návrhy projektů. Po podrobné diskusi hodnoticí panel rozdělí všechny návrhy projektů do tří skupin: 1. skupina má nejvýše předem určený podíl z počtu návrhů projektů, které jsou doporučeny k financování (jsou označeny písmenem A, podíl je např. 30 % návrhů projektů ve druhé fázi); 2. skupina jsou projekty, které jsou doporučeny k financování v případě dostatečných finančních prostředků (označení B) 3. skupina jsou návrhy projektů, které nejsou doporučeny k financování (podíl návrhů zařazených do kategorie C již v této fázi hodnocení stanoven není). Dále na základě diskuse a vzájemného porovnávání jednotlivých návrhů projektů hodnoticí panel navrhne pořadí projektů kategorie A a B. U všech projektů kategorie A a B hodnoticí panel projedná adekvátnost požadovaných finančních prostředků a přiměřenost plánované pracovní kapacity. Průběh jednání je zaznamenán v zápise, který slouží jako podklad pro protokol hodnocení projektu. Na závěr jednání je stanovisko hodnoticího panelu a pořadí zapsáno do protokolu hodnocení každého projektu poté, co bylo členy panelu hlasováním přijato.</w:t>
      </w:r>
    </w:p>
    <w:p w:rsidR="00731241" w:rsidRPr="00331F75" w:rsidP="006776EA" w14:paraId="24A42388" w14:textId="77777777">
      <w:r w:rsidRPr="00331F75">
        <w:t>Druhá etapa druhé fáze hodnocení probíhá na úrovni příslušné oborové komise GA ČR. V tomto stupni se již návrhy projektů nehodnotí individuálně, ale porovnávají se mezi sebou návrhy projektů všech hodnoticích panelů, které patří do dané oborové komise GA ČR, a hlasováním se sestavují pořadí návrhů projektů. Návrhy oborových komisí GA ČR jsou předloženy předsednictvu GA ČR k rozhodnutí.</w:t>
      </w:r>
    </w:p>
    <w:p w:rsidR="00731241" w:rsidRPr="00331F75" w:rsidP="006776EA" w14:paraId="47F3EF66" w14:textId="77777777">
      <w:r w:rsidRPr="00331F75">
        <w:t>Třetí etapa druhé fáze hodnocení – s přihlédnutím k návrhům oborových komisí GA ČR předsednictvo GA ČR připraví konečné rozhodnutí o financování projektů, které projedná s</w:t>
      </w:r>
      <w:r>
        <w:t> </w:t>
      </w:r>
      <w:r w:rsidRPr="00331F75">
        <w:t>předsedy oborových komisí GA ČR. Poté rozhodne a vyhlásí výsledky veřejné soutěže.</w:t>
      </w:r>
    </w:p>
    <w:p w:rsidR="00731241" w:rsidRPr="00331F75" w:rsidP="00731241" w14:paraId="7433F178" w14:textId="77777777">
      <w:pPr>
        <w:pStyle w:val="Heading3"/>
        <w:rPr>
          <w:b/>
          <w:iCs/>
        </w:rPr>
      </w:pPr>
      <w:bookmarkStart w:id="110" w:name="_Toc256000056"/>
      <w:r>
        <w:t>7</w:t>
      </w:r>
      <w:r w:rsidRPr="00331F75">
        <w:t xml:space="preserve">.3.2 </w:t>
      </w:r>
      <w:r w:rsidRPr="00331F75">
        <w:rPr>
          <w:iCs/>
        </w:rPr>
        <w:t>Proces hodnocení návrhů grantových projektů EXPRO a JUNIOR STAR</w:t>
      </w:r>
      <w:bookmarkEnd w:id="110"/>
    </w:p>
    <w:p w:rsidR="00731241" w:rsidRPr="00331F75" w:rsidP="006776EA" w14:paraId="07C38B7F" w14:textId="77777777">
      <w:pPr>
        <w:rPr>
          <w:lang w:eastAsia="zh-CN"/>
        </w:rPr>
      </w:pPr>
      <w:r w:rsidRPr="00331F75">
        <w:rPr>
          <w:lang w:eastAsia="zh-CN"/>
        </w:rPr>
        <w:t>Proces hodnocení návrhů grantových projektů EXPRO a JUNIOR STAR probíhá s několika odlišnostmi, a to za účelem profesionalizace a zvýšení účinnosti systému hodnocení návrhů projektů, vzájemného porovnávání návrhů projektů v měřítku mezinárodní excelence a</w:t>
      </w:r>
      <w:r>
        <w:rPr>
          <w:lang w:eastAsia="zh-CN"/>
        </w:rPr>
        <w:t> </w:t>
      </w:r>
      <w:r w:rsidRPr="00331F75">
        <w:rPr>
          <w:lang w:eastAsia="zh-CN"/>
        </w:rPr>
        <w:t>posílení transparentnosti a nezávislosti posuzování.</w:t>
      </w:r>
    </w:p>
    <w:p w:rsidR="00731241" w:rsidRPr="00331F75" w:rsidP="006776EA" w14:paraId="73CB4733" w14:textId="77777777">
      <w:pPr>
        <w:rPr>
          <w:lang w:eastAsia="zh-CN"/>
        </w:rPr>
      </w:pPr>
      <w:r w:rsidRPr="00331F75">
        <w:rPr>
          <w:lang w:eastAsia="zh-CN"/>
        </w:rPr>
        <w:t>Systém hodnocení je dvouetapový. Rozhodujícím orgánem je předsednictvo, oborové komise (OK-EX), složené výlučně ze zahraničních odborníků, jsou odbornými poradními orgány dle zákona č. 130/2002 Sb. Zákonem stanovená hodnoticí lhůta činí 8 měsíců.</w:t>
      </w:r>
    </w:p>
    <w:p w:rsidR="00731241" w:rsidRPr="00331F75" w:rsidP="00731241" w14:paraId="587754FB" w14:textId="77777777">
      <w:pPr>
        <w:rPr>
          <w:rFonts w:ascii="Calibri" w:hAnsi="Calibri"/>
          <w:iCs/>
        </w:rPr>
      </w:pPr>
    </w:p>
    <w:p w:rsidR="00731241" w:rsidRPr="006776EA" w:rsidP="006776EA" w14:paraId="7503F8EC" w14:textId="77777777">
      <w:pPr>
        <w:rPr>
          <w:b/>
        </w:rPr>
      </w:pPr>
      <w:r w:rsidRPr="006776EA">
        <w:rPr>
          <w:b/>
        </w:rPr>
        <w:t>První fáze hodnocení před zasedáním OK-EX</w:t>
      </w:r>
    </w:p>
    <w:p w:rsidR="00731241" w:rsidRPr="006776EA" w:rsidP="006776EA" w14:paraId="34716A79" w14:textId="77777777">
      <w:pPr>
        <w:rPr>
          <w:b/>
          <w:lang w:eastAsia="zh-CN"/>
        </w:rPr>
      </w:pPr>
      <w:r w:rsidRPr="006776EA">
        <w:rPr>
          <w:b/>
          <w:lang w:eastAsia="zh-CN"/>
        </w:rPr>
        <w:t>Hodnocení v první fázi</w:t>
      </w:r>
    </w:p>
    <w:p w:rsidR="00731241" w:rsidRPr="00331F75" w:rsidP="006776EA" w14:paraId="7E0E7DCB" w14:textId="77777777">
      <w:pPr>
        <w:rPr>
          <w:lang w:eastAsia="zh-CN"/>
        </w:rPr>
      </w:pPr>
      <w:r w:rsidRPr="00331F75">
        <w:rPr>
          <w:lang w:eastAsia="zh-CN"/>
        </w:rPr>
        <w:t xml:space="preserve">Každý podaný projekt je zařazen do OK-EX uvedené v návrhu navrhovatelem. Předseda OK-EX </w:t>
      </w:r>
      <w:r>
        <w:rPr>
          <w:lang w:eastAsia="zh-CN"/>
        </w:rPr>
        <w:t>se seznámí s</w:t>
      </w:r>
      <w:r w:rsidRPr="00331F75">
        <w:rPr>
          <w:lang w:eastAsia="zh-CN"/>
        </w:rPr>
        <w:t xml:space="preserve"> návrhy všech projektů a v případě, že návrh tematicky spadá do jiné OK-EX, navrhne jeho přeřazení ještě před přiřazením zpravodajů. V případě, že budou souhlasit předsedové obou dotčených OK-EX, bude návrh přeřazen, v opačném případě bude posuzován v OK-EX, do které byl podán. Každý návrh projektu je přidělen k posouzení čtyřem členům OK-EX (zpravodajům) k vypracování posudku (v případě mezioborových projektů je jeden ze čtyř zpravodajů určen z vedlejší OK-EX) následujícím postupem:</w:t>
      </w:r>
    </w:p>
    <w:p w:rsidR="00731241" w:rsidRPr="00331F75" w:rsidP="006776EA" w14:paraId="0CFCCCC9" w14:textId="77777777">
      <w:pPr>
        <w:rPr>
          <w:lang w:eastAsia="zh-CN"/>
        </w:rPr>
      </w:pPr>
      <w:r w:rsidRPr="00331F75">
        <w:rPr>
          <w:lang w:eastAsia="zh-CN"/>
        </w:rPr>
        <w:t>Předseda, případně místopředseda OK-EX určí čtyři zpravodaje pro každý návrh projektu</w:t>
      </w:r>
      <w:r>
        <w:rPr>
          <w:lang w:eastAsia="zh-CN"/>
        </w:rPr>
        <w:t xml:space="preserve"> </w:t>
      </w:r>
      <w:r w:rsidRPr="00331F75">
        <w:rPr>
          <w:lang w:eastAsia="zh-CN"/>
        </w:rPr>
        <w:t>(v případě mezioborového projektu tři a</w:t>
      </w:r>
      <w:r>
        <w:rPr>
          <w:lang w:eastAsia="zh-CN"/>
        </w:rPr>
        <w:t> </w:t>
      </w:r>
      <w:r w:rsidRPr="00331F75">
        <w:rPr>
          <w:lang w:eastAsia="zh-CN"/>
        </w:rPr>
        <w:t>čtvrtého zpravodaje určí předseda vedlejší OK-EX). Byl-li přidělen projektu zpravodaj, který je ve střetu zájmů, odmítne jej a předseda příslušné OK-EX přidělí nového zpravodaje. Zpravodajové prostudují návrh projektu a nezávisle vypracují vlastní posudek. Každý ze 4 zpravodajů nezávisle posoudí návrh projektu z hlediska dvou kritérií: (1) excelence navrhovatele a jeho schopnost projekt řešit, (2) význam a cíl projektu a způsob jeho dosažení. Zpravodajové hodnotí návrhy jednak slovně do formuláře, jednak číselně, a to škálou od 1 bodu do 5 bodů se stupnicí po jednom bodu (každý zpravodaj dostane doporučení udělit hodnocení 4 a 5 bodů u maximálně 30 % návrhů projektů a 5 bodů u max. 10 % návrhů projektů). Členové OK-EX nesmějí žádnou formou sdělovat ostatním členům OK-EX informaci o posuzovaných projektech ani o jejich hodnocení do doby cca tří dnů před zasedáním OK-EX, kdy jsou hodnocení zveřejněna všem členům OK-EX. Každý z</w:t>
      </w:r>
      <w:r>
        <w:rPr>
          <w:lang w:eastAsia="zh-CN"/>
        </w:rPr>
        <w:t> </w:t>
      </w:r>
      <w:r w:rsidRPr="00331F75">
        <w:rPr>
          <w:lang w:eastAsia="zh-CN"/>
        </w:rPr>
        <w:t>členů OK-EX tři dny před zasedáním OK-EX získá prostřednictvím elektronické aplikace přístup ke všem návrhům ze svého OK-EX, s výjimkou návrhů projektů, u nichž je ve střetu zájmů. Aplikace stanoví pořadí všech projektů dané OK-EX tak, že u každého návrhu sečte obě známky (kvalita navrhovatele a kvalita projektu) a vydělí dvěma pro každého zpravodaje a následné pořadí bude stanoveno s pomocí průměru ze známek návrhu projektu od všech zpravodajů. Každý ze zpravodajů přiřazených k danému návrhu projektu s využitím aplikace Expert Lookup doporučí 4-5 vhodných externích zahraničních oponentů pro projekty, které zařadil do lepší poloviny projektů.</w:t>
      </w:r>
    </w:p>
    <w:p w:rsidR="00731241" w:rsidRPr="006776EA" w:rsidP="006776EA" w14:paraId="5948EE32" w14:textId="77777777">
      <w:pPr>
        <w:rPr>
          <w:b/>
          <w:lang w:eastAsia="zh-CN"/>
        </w:rPr>
      </w:pPr>
      <w:r w:rsidRPr="006776EA">
        <w:rPr>
          <w:b/>
          <w:lang w:eastAsia="zh-CN"/>
        </w:rPr>
        <w:t>Hodnocení OK-EX v první fázi</w:t>
      </w:r>
    </w:p>
    <w:p w:rsidR="00731241" w:rsidRPr="00331F75" w:rsidP="006776EA" w14:paraId="5DE6D053" w14:textId="77777777">
      <w:pPr>
        <w:rPr>
          <w:lang w:eastAsia="zh-CN"/>
        </w:rPr>
      </w:pPr>
      <w:r>
        <w:rPr>
          <w:lang w:eastAsia="zh-CN"/>
        </w:rPr>
        <w:t>Zasedání OK-EX se uskutečňuje</w:t>
      </w:r>
      <w:r w:rsidRPr="00331F75">
        <w:rPr>
          <w:lang w:eastAsia="zh-CN"/>
        </w:rPr>
        <w:t xml:space="preserve"> prostřednictvím moderované videokonfere</w:t>
      </w:r>
      <w:r>
        <w:rPr>
          <w:lang w:eastAsia="zh-CN"/>
        </w:rPr>
        <w:t>nce. Videokonference se zúčastňuje</w:t>
      </w:r>
      <w:r w:rsidRPr="00331F75">
        <w:rPr>
          <w:lang w:eastAsia="zh-CN"/>
        </w:rPr>
        <w:t xml:space="preserve"> kromě členů OK-EX ještě zástupce kanceláře GA</w:t>
      </w:r>
      <w:r>
        <w:rPr>
          <w:lang w:eastAsia="zh-CN"/>
        </w:rPr>
        <w:t xml:space="preserve"> </w:t>
      </w:r>
      <w:r w:rsidRPr="00331F75">
        <w:rPr>
          <w:lang w:eastAsia="zh-CN"/>
        </w:rPr>
        <w:t xml:space="preserve">ČR a člen předsednictva zodpovědný za </w:t>
      </w:r>
      <w:r w:rsidRPr="00331F75">
        <w:rPr>
          <w:lang w:eastAsia="zh-CN"/>
        </w:rPr>
        <w:t>příslušnou OK-EX nebo jeho zástupce z členů předsednictva. Aplikace připraví pořadí návrhů projektů a 50% hranici. Výstupem z jednání OK-EX je protokol ze zasedání OK-EX s návrhem na zařazení projektů do kategorie pokračující a do kategorie nepostupující, tento protokol schvaluje předseda OK-EX. U projektů zařazených na zasedání OK-EX do kategorie nepostupující zpracuje v aplikaci hlavní zpravodaj po/v průběhu zasedání protokol hodnocení návrhu projektu, jehož text bude korespondenčně odsouhlasen členy OK-EX. V protokolu hodnocení návrhu projektu musí být jasně formulován závěr kolektivního posouzení v OK-EX. Je přirozené, že s ohledem na nezávislé vypracování posudků zpravodaji se jejich hodnocení může lišit. Pokud je závěr posouzení v OK-EX v</w:t>
      </w:r>
      <w:r>
        <w:rPr>
          <w:lang w:eastAsia="zh-CN"/>
        </w:rPr>
        <w:t> </w:t>
      </w:r>
      <w:r w:rsidRPr="00331F75">
        <w:rPr>
          <w:lang w:eastAsia="zh-CN"/>
        </w:rPr>
        <w:t>rozporu s některým z</w:t>
      </w:r>
      <w:r>
        <w:rPr>
          <w:lang w:eastAsia="zh-CN"/>
        </w:rPr>
        <w:t> </w:t>
      </w:r>
      <w:r w:rsidRPr="00331F75">
        <w:rPr>
          <w:lang w:eastAsia="zh-CN"/>
        </w:rPr>
        <w:t>posudků zpravodaje, je třeba takový nesoulad v protokolu hodnocení návrhu projektu vysvětlit. Zejména u hodnocení nepostupujících projektů musí být protokol jednoznačný, je účelné kvalitu návrhu projektu vztáhnout k mezinárodní excelenci i</w:t>
      </w:r>
      <w:r>
        <w:rPr>
          <w:lang w:eastAsia="zh-CN"/>
        </w:rPr>
        <w:t> </w:t>
      </w:r>
      <w:r w:rsidRPr="00331F75">
        <w:rPr>
          <w:lang w:eastAsia="zh-CN"/>
        </w:rPr>
        <w:t>k ostatním posuzovaným návrhům. OK-EX na základě doporučení zpravodajů dále rozhodne o přidělení externích oponentů pro projekty postupující.</w:t>
      </w:r>
    </w:p>
    <w:p w:rsidR="00731241" w:rsidRPr="006776EA" w:rsidP="006776EA" w14:paraId="7AD2EA06" w14:textId="77777777">
      <w:pPr>
        <w:rPr>
          <w:b/>
        </w:rPr>
      </w:pPr>
      <w:r w:rsidRPr="006776EA">
        <w:rPr>
          <w:b/>
        </w:rPr>
        <w:t>Druhá fáze hodnocení před zasedáním OK-EX</w:t>
      </w:r>
    </w:p>
    <w:p w:rsidR="00731241" w:rsidRPr="00331F75" w:rsidP="006776EA" w14:paraId="0868DB46" w14:textId="77777777">
      <w:r w:rsidRPr="00331F75">
        <w:t xml:space="preserve">V druhé fázi jsou získány </w:t>
      </w:r>
      <w:r>
        <w:t>alespoň</w:t>
      </w:r>
      <w:r w:rsidRPr="00331F75">
        <w:t xml:space="preserve"> dva posudky od externích zahraničních oponentů. Jakmile jsou u projektu získány tři posudky, je externí hodnocení uzavřeno a případné další došlé posudky nebudou brány v úvahu (členové OK-EX nebudou s jejich obsahem seznámeni).</w:t>
      </w:r>
    </w:p>
    <w:p w:rsidR="00731241" w:rsidRPr="00331F75" w:rsidP="006776EA" w14:paraId="39B0BFE8" w14:textId="77777777">
      <w:r w:rsidRPr="00331F75">
        <w:t>Externí posuzovatelé mají k dispozici pro hodnocení stejnou stupnici jako členové OK-EX (1</w:t>
      </w:r>
      <w:r>
        <w:t> </w:t>
      </w:r>
      <w:r w:rsidRPr="00331F75">
        <w:t>až 5) a při hodnocení cíle projektu a kvality navrhovatele budou používat stejná kritéria jako členové OK-EX (tj. každý externí posuzovatel před zasedáním OK-EX nezávisle bodově ohodnotí každý návrh projektu známkou 1-5 podle cílů projektu a 1-5 podle kvality navrhovatele). Před zasedáním OK-EX se všichni členové OK-EX (s výjimkou těch, kteří jsou ve střetu zájmu) seznámí se všemi návrhy projektů, které postoupily do druhé fáze posuzování, včetně všech podkladů k jednotlivým návrhům projektů, tedy čtyři posudky od zpravodajů OK-EX a alespoň dva posudky od externích oponentů.</w:t>
      </w:r>
    </w:p>
    <w:p w:rsidR="00731241" w:rsidRPr="00331F75" w:rsidP="006776EA" w14:paraId="4CBEF8F4" w14:textId="77777777">
      <w:r w:rsidRPr="00331F75">
        <w:t>Každý člen OK-EX před zasedáním OK-EX nezávisle bodově ohodnotí každý návrh projektu známkou 1-5 podle cílů projektu a 1-5 podle kvality navrhovatele. Aplikace následně spočítá průměr na tři desetinná místa všech takto získaných bodových hodnocení cíle projektu a</w:t>
      </w:r>
      <w:r>
        <w:t> </w:t>
      </w:r>
      <w:r w:rsidRPr="00331F75">
        <w:t>kvality navrhovatele od všech členů OK-EX. Každý projekt bude mít přiřazenu tuto jednu hodnotu, s pomocí které bude v aplikaci stanoveno pořadí hodnocení kvality projektů, které bude vstupem pro hodnocení OK-EX.</w:t>
      </w:r>
    </w:p>
    <w:p w:rsidR="00731241" w:rsidRPr="006776EA" w:rsidP="006776EA" w14:paraId="55618207" w14:textId="77777777">
      <w:pPr>
        <w:rPr>
          <w:b/>
        </w:rPr>
      </w:pPr>
      <w:r w:rsidRPr="006776EA">
        <w:rPr>
          <w:b/>
        </w:rPr>
        <w:t>Hodnocení OK-EX ve druhé fázi</w:t>
      </w:r>
    </w:p>
    <w:p w:rsidR="00731241" w:rsidRPr="00331F75" w:rsidP="006776EA" w14:paraId="18C63B22" w14:textId="77777777">
      <w:r w:rsidRPr="00331F75">
        <w:t>Zasedání OK-EX se koná za přítomnosti všech členů dané OK-EX v Praze v prostorách GA</w:t>
      </w:r>
      <w:r>
        <w:t xml:space="preserve"> </w:t>
      </w:r>
      <w:r w:rsidRPr="00331F75">
        <w:t xml:space="preserve">ČR. Na zasedání jsou přítomni kromě jednoho pracovníka kanceláře i odpovídající člen předsednictva, který ale nevstupuje do diskuze. Hlavní zpravodajové každého návrhu projektu nejprve postupně prezentují jednotlivé návrhy projektů. Pořadí se může měnit tak, že se změní ad hoc hodnota, která odpovídala průměru všech hodnocení u daného návrhu projektu, a to s přesností na tři desetinná místa s tím, že není možné překročit nejvyšší bodovou hodnotu dosaženou v příslušné OK-EX. Výsledkem tohoto procesu bude číslo určující pro každý projekt jeho výslednou bodovou hodnotu a výsledné pořadí v rámci dané OK-EX. U všech projektů kategorie navržených k financování OK-EX projedná adekvátnost požadovaných finančních prostředků a přiměřenost plánované pracovní kapacity. O výsledku jednání OK-EX a o navrženém pořadí projektů ve 2. fázi hodnocení OK-EX hlasuje a výsledek je zaznamenán v protokolu ze zasedání OK-EX, průběh jednání je zaznamenán v zápise. Hlavní zpravodaj každého projektu zpracuje po/v průběhu zasedání OK-EX souhrnné hodnocení návrhu projektu v protokolu </w:t>
      </w:r>
      <w:r w:rsidRPr="00331F75">
        <w:t>hodnocení návrhu projektu, jehož text bude na místě či korespondenčně odsouhlasen členy OK-EX. Stejně jako v první fázi hodnocení, musí být v</w:t>
      </w:r>
      <w:r>
        <w:t> </w:t>
      </w:r>
      <w:r w:rsidRPr="00331F75">
        <w:t>protokolu hodnocení návrhu projektu jasně formulován závěr kolektivního posouzení v OK-EX. Pokud je závěr v rozporu s některým z posudků zpravodaje či zahraničního oponenta je třeba nesoulad vysvětlit. Protokol musí být jednoznačný, je účelné kvalitu návrhu projektu vztáhnout k ostatním posuzovaným návrhům i k excelenci v mezinárodním měřítku.</w:t>
      </w:r>
    </w:p>
    <w:p w:rsidR="00731241" w:rsidRPr="00331F75" w:rsidP="006776EA" w14:paraId="07D7531C" w14:textId="77777777">
      <w:pPr>
        <w:rPr>
          <w:b/>
        </w:rPr>
      </w:pPr>
      <w:r w:rsidRPr="00331F75">
        <w:rPr>
          <w:b/>
        </w:rPr>
        <w:t>Rozhodnutí předsednictva ve smyslu § 21 odst. 7 zákona č. 130/2002 Sb.</w:t>
      </w:r>
    </w:p>
    <w:p w:rsidR="00731241" w:rsidRPr="00331F75" w:rsidP="006776EA" w14:paraId="6A9BFEC9" w14:textId="77777777">
      <w:r w:rsidRPr="00331F75">
        <w:t>Podkladem pro společné jednání předsednictva a předsedů OK-EX</w:t>
      </w:r>
      <w:r>
        <w:t xml:space="preserve"> </w:t>
      </w:r>
      <w:r w:rsidRPr="00331F75">
        <w:t>je zipované pořadí napříč všemi OK-EX podle bodového hodnocení vzešlého ze zasedání jednotlivých OK-EX. Zároveň má předsednictvo k dispozici informace o počtu návrhů, bodovém hodnocení a finančních požadavcích v rámci jednotlivých OK-EX. Předsednictvo se při konečném rozhodnutí o</w:t>
      </w:r>
      <w:r>
        <w:t> </w:t>
      </w:r>
      <w:r w:rsidRPr="00331F75">
        <w:t xml:space="preserve">financování </w:t>
      </w:r>
      <w:r>
        <w:t>řídí</w:t>
      </w:r>
      <w:r w:rsidRPr="00331F75">
        <w:t xml:space="preserve"> bodovou hodnotou jednotlivých návrhů bez ohledu na příslušnost k</w:t>
      </w:r>
      <w:r>
        <w:t> </w:t>
      </w:r>
      <w:r w:rsidRPr="00331F75">
        <w:t>OK-EX. Pokud předsednictvo změní pořadí OK-EX, tak toto rozhodnutí písemně odůvodní a</w:t>
      </w:r>
      <w:r>
        <w:t> </w:t>
      </w:r>
      <w:r w:rsidRPr="00331F75">
        <w:t>vyvěsí na stránkách GA ČR.</w:t>
      </w:r>
    </w:p>
    <w:p w:rsidR="00731241" w:rsidRPr="00331F75" w:rsidP="00731241" w14:paraId="7D8A45E6" w14:textId="77777777"/>
    <w:p w:rsidR="00731241" w:rsidRPr="00331F75" w:rsidP="006776EA" w14:paraId="3CA88370" w14:textId="77777777">
      <w:pPr>
        <w:pStyle w:val="Heading3"/>
      </w:pPr>
      <w:bookmarkStart w:id="111" w:name="_Toc256000057"/>
      <w:r>
        <w:t>7</w:t>
      </w:r>
      <w:r w:rsidRPr="00331F75">
        <w:t>.3.3 Průběžné a závěrečné hodnocení grantových projektů</w:t>
      </w:r>
      <w:bookmarkEnd w:id="111"/>
    </w:p>
    <w:p w:rsidR="00731241" w:rsidRPr="00331F75" w:rsidP="006776EA" w14:paraId="27C73555" w14:textId="77777777">
      <w:r w:rsidRPr="00331F75">
        <w:t>Hodnocení průběhu řešení grantového projektu provádí každoročně na základě posouzení hodnoticím panelem oborová komise, do jejíž působnosti grantový projekt spadá, a to na základě předložených dílčích zpráv a výsledků kontrolní činnosti poskytovatele. GA ČR hodnotí postup při řešení grantového projektu podle těchto hlavních kritérií:</w:t>
      </w:r>
    </w:p>
    <w:p w:rsidR="00731241" w:rsidRPr="00331F75" w:rsidP="006776EA" w14:paraId="2055C8F6" w14:textId="77777777">
      <w:pPr>
        <w:ind w:left="708"/>
      </w:pPr>
      <w:r w:rsidRPr="00331F75">
        <w:t>a) postup prací a jejich soulad s plněním stanovených cílů;</w:t>
      </w:r>
    </w:p>
    <w:p w:rsidR="00731241" w:rsidRPr="00331F75" w:rsidP="006776EA" w14:paraId="160B38FF" w14:textId="77777777">
      <w:pPr>
        <w:ind w:left="708"/>
      </w:pPr>
      <w:r w:rsidRPr="00331F75">
        <w:t>b) zajištění řešení po stránce odborné a personální;</w:t>
      </w:r>
    </w:p>
    <w:p w:rsidR="00731241" w:rsidRPr="00331F75" w:rsidP="006776EA" w14:paraId="479647E2" w14:textId="77777777">
      <w:pPr>
        <w:ind w:left="708"/>
      </w:pPr>
      <w:r w:rsidRPr="00331F75">
        <w:t>c) využití materiálního technického a přístrojového vybavení pořízeného z poskytnuté účelové podpory;</w:t>
      </w:r>
    </w:p>
    <w:p w:rsidR="00731241" w:rsidRPr="00331F75" w:rsidP="006776EA" w14:paraId="6B507A3F" w14:textId="77777777">
      <w:pPr>
        <w:ind w:left="708"/>
      </w:pPr>
      <w:r w:rsidRPr="00331F75">
        <w:t>d) dosažení cílů a výstupů řešení v porovnání s plánem stanoveným v návrhu projektu, předpoklady celkového časového a věcného splnění úkolu;</w:t>
      </w:r>
    </w:p>
    <w:p w:rsidR="00731241" w:rsidRPr="00331F75" w:rsidP="006776EA" w14:paraId="096EB83A" w14:textId="77777777">
      <w:pPr>
        <w:ind w:left="708"/>
      </w:pPr>
      <w:r w:rsidRPr="00331F75">
        <w:t>e) vyhodnocení dosavadního hospodaření s poskytnutou účelovou podporou, event. navrhovaného rozpočtu na další období (kontroluje se čerpání přidělených prostředků, účelnost jejich vynaložení a dodržení jejich skladby, řádné zdůvodnění event. přesunů či změn);</w:t>
      </w:r>
    </w:p>
    <w:p w:rsidR="00731241" w:rsidRPr="00331F75" w:rsidP="006776EA" w14:paraId="779E4DED" w14:textId="77777777">
      <w:pPr>
        <w:ind w:left="708"/>
      </w:pPr>
      <w:r w:rsidRPr="00331F75">
        <w:t xml:space="preserve">f) posouzení výsledků v členění podle druhů definovaných v aktuálně platné Metodice hodnocení výsledků výzkumných organizací. </w:t>
      </w:r>
    </w:p>
    <w:p w:rsidR="00731241" w:rsidRPr="00331F75" w:rsidP="006776EA" w14:paraId="0F207A88" w14:textId="77777777">
      <w:r w:rsidRPr="00331F75">
        <w:t xml:space="preserve">Jsou-li splněny předpoklady pro pokračování řešení grantového projektu a GA ČR rozhodne o pokračování podpory grantového projektu, je příjemci poskytnuta účelová podpora na další rok řešení projektu. Nejsou-li však splněny předpoklady pro pokračování řešení grantového projektu, je GA ČR oprávněna řešení grantového projektu zastavit, resp. neposkytnout účelovou podporu (resp. od smlouvy o poskytnutí podpory odstoupit nebo rozhodnutí o poskytnutí podpory zrušit). </w:t>
      </w:r>
    </w:p>
    <w:p w:rsidR="00731241" w:rsidRPr="00331F75" w:rsidP="006776EA" w14:paraId="6C096994" w14:textId="77777777">
      <w:r w:rsidRPr="00331F75">
        <w:t xml:space="preserve">Hodnocení ukončeného grantového projektu provádí na základě posouzení hodnoticím panelem oborová komise, do jejíž působnosti grantový projekt spadá, a to na základě závěrečné zprávy a výsledku kontrolní činnosti o hospodaření s poskytnutou účelovou podporou. Oborová komise a hodnoticí panel </w:t>
      </w:r>
      <w:r w:rsidRPr="00331F75">
        <w:t>při celkovém hodnocení ukončeného grantového projektu přihlíží také k dodržování podmínek hospodaření s poskytnutou účelovou podporou. Grantový projekt, kromě případů negativního odborného hodnocení, je hodnocen známkou „nesplněno“ vždy v případech, kdy nebyly doručeny všechny části závěrečné zprávy, nebo poskytovatel odstoupil od smlouvy o poskytnutí podpory nebo zrušil rozhodnutí o poskytnutí podpory</w:t>
      </w:r>
      <w:r>
        <w:t xml:space="preserve">, nebo </w:t>
      </w:r>
      <w:r w:rsidRPr="00C16AF8">
        <w:t>nebyly splněny podmínky pro předání výsledků do informačního systému výzkumu, vývoje a inovací (IS VaVaI), část Rejstřík informací o</w:t>
      </w:r>
      <w:r>
        <w:t> </w:t>
      </w:r>
      <w:r w:rsidRPr="00C16AF8">
        <w:t>výsledcích (RIV).</w:t>
      </w:r>
    </w:p>
    <w:p w:rsidR="00731241" w:rsidRPr="00331F75" w:rsidP="006776EA" w14:paraId="4024391E" w14:textId="77777777">
      <w:r w:rsidRPr="00331F75">
        <w:t>GA ČR při závěrečném hodnocení grantových projektů po ukončení jejich řešení v souladu se zákonem o podpoře výzkumu, experimentálního vývoje a inovací zhodnotí dosažení cílů stanovených ve smlouvě nebo rozhodnutí o poskytnutí účelové podpory, dosažené výsledky projektu, jejich vztah k cílům projektu a poskytne o nich do informačního systému výzkumu, experimentálního vývoje a inovací údaje. GA</w:t>
      </w:r>
      <w:r>
        <w:t xml:space="preserve"> </w:t>
      </w:r>
      <w:r w:rsidRPr="00331F75">
        <w:t xml:space="preserve">ČR též počítá se systematickou analýzou hlavních výstupů z grantových projektů po ukončení jejich řešení. Tyto výstupy budou porovnány s evropskými a světovými standardy podle obvyklých oborových zvyklostí a případně navázány na celostátní hodnocení výsledků výzkumných organizací. </w:t>
      </w:r>
    </w:p>
    <w:p w:rsidR="00731241" w:rsidRPr="00331F75" w:rsidP="006776EA" w14:paraId="48B01288" w14:textId="77777777">
      <w:r w:rsidRPr="00331F75">
        <w:t>GA ČR věnuje pozornost zefektivnění průběžného a závěrečného hodnocení grantových projektů. Jednou z cest, které zvažuje je vést příjemce k sebeevaluaci v průběhu (a po skončení) řešení projektu. Cílem tohoto kroku by mělo být přimět příjemce k tomu, aby sám definoval problémy, které při řešení projektu přicházejí, a sám navrhl vhodná opatření. GA</w:t>
      </w:r>
      <w:r>
        <w:t> </w:t>
      </w:r>
      <w:r w:rsidRPr="00331F75">
        <w:t>ČR by pak tato opatření analyzovala a příjemcům pomáhala řešit komplikace vzniklé v</w:t>
      </w:r>
      <w:r>
        <w:t> </w:t>
      </w:r>
      <w:r w:rsidRPr="00331F75">
        <w:t>průběhu projektu. Toto opatření je však považováno za diskutabilní</w:t>
      </w:r>
      <w:r>
        <w:t>,</w:t>
      </w:r>
      <w:r w:rsidRPr="00331F75">
        <w:t xml:space="preserve"> protože většina příjemců pravděpodobně nebude mít zájem na problémy upozorňovat GA ČR dopředu a</w:t>
      </w:r>
      <w:r>
        <w:t> </w:t>
      </w:r>
      <w:r w:rsidRPr="00331F75">
        <w:t>místo přínosného procesu by se podrobná sebeevaluace během a po skončení řešení projektu mohla stát jen administrativní zátěží (na obou stranách). Proto tento krok bude ještě podrobně analyzován a teprve po vyhodnocení zjištěných skutečností budou přijata patřičná opatření.</w:t>
      </w:r>
    </w:p>
    <w:p w:rsidR="00731241" w:rsidRPr="00331F75" w:rsidP="00731241" w14:paraId="25C3D50F" w14:textId="77777777">
      <w:pPr>
        <w:pStyle w:val="PlainText"/>
        <w:rPr>
          <w:rFonts w:ascii="Calibri" w:hAnsi="Calibri" w:cs="Times New Roman"/>
          <w:iCs/>
          <w:sz w:val="24"/>
          <w:szCs w:val="24"/>
        </w:rPr>
      </w:pPr>
      <w:r w:rsidRPr="00331F75">
        <w:rPr>
          <w:rFonts w:ascii="Calibri" w:hAnsi="Calibri" w:cs="Times New Roman"/>
          <w:iCs/>
          <w:sz w:val="24"/>
          <w:szCs w:val="24"/>
        </w:rPr>
        <w:t xml:space="preserve"> </w:t>
      </w:r>
    </w:p>
    <w:p w:rsidR="00731241" w:rsidRPr="00331F75" w:rsidP="00731241" w14:paraId="64D15845" w14:textId="77777777">
      <w:pPr>
        <w:pStyle w:val="PlainText"/>
        <w:rPr>
          <w:rFonts w:ascii="Calibri" w:hAnsi="Calibri" w:cs="Times New Roman"/>
          <w:iCs/>
          <w:sz w:val="24"/>
          <w:szCs w:val="24"/>
        </w:rPr>
      </w:pPr>
    </w:p>
    <w:p w:rsidR="00731241" w:rsidRPr="00331F75" w:rsidP="00731241" w14:paraId="4E343545" w14:textId="461A3322">
      <w:pPr>
        <w:pStyle w:val="Heading1"/>
        <w:rPr>
          <w:rFonts w:ascii="Calibri" w:hAnsi="Calibri" w:cs="Times New Roman"/>
        </w:rPr>
      </w:pPr>
      <w:r w:rsidRPr="00331F75">
        <w:rPr>
          <w:rFonts w:ascii="Calibri" w:hAnsi="Calibri" w:cs="Times New Roman"/>
          <w:b w:val="0"/>
          <w:sz w:val="24"/>
          <w:szCs w:val="24"/>
        </w:rPr>
        <w:br w:type="page"/>
      </w:r>
      <w:bookmarkStart w:id="112" w:name="_Toc443572164"/>
      <w:bookmarkStart w:id="113" w:name="_Toc256000058"/>
      <w:r>
        <w:rPr>
          <w:rFonts w:ascii="Calibri" w:hAnsi="Calibri" w:cs="Times New Roman"/>
        </w:rPr>
        <w:t>8</w:t>
      </w:r>
      <w:r w:rsidRPr="00331F75">
        <w:rPr>
          <w:rFonts w:ascii="Calibri" w:hAnsi="Calibri" w:cs="Times New Roman"/>
        </w:rPr>
        <w:t>. ZABEZPEČENÍ REALIZACE KONCEPCE</w:t>
      </w:r>
      <w:bookmarkEnd w:id="113"/>
      <w:bookmarkEnd w:id="112"/>
    </w:p>
    <w:p w:rsidR="00731241" w:rsidRPr="00331F75" w:rsidP="006776EA" w14:paraId="43EC689D" w14:textId="77777777">
      <w:r w:rsidRPr="00331F75">
        <w:t>Koncepce se bude realizovat zejména prostřednictvím skupin grantových projektů – standardních grantových projektů, bilaterálních (mezinárodních) grantových projektů, „LA grantů“, projektů JUNIOR STAR, projektů POSTDOC INDIVIDUAL FELLOWSHIP a projektů excelence v základním výzkumu EXPRO (podrobněji viz kapitola 4). Konkrétní podmínky příslušných veřejných soutěží v základním výzkumu, včetně jednotlivých požadavků a kritérií, jsou definovány v jednotlivých zadávacích dokumentacích a průběžně upravovány tak, aby odpovídaly aktuální celospolečenské situaci a vyvíjejícím se potřebám společnosti. Pro zabezpečení realizace Koncepce jsou přijímána administrativní, organizační, personální a</w:t>
      </w:r>
      <w:r>
        <w:t> </w:t>
      </w:r>
      <w:r w:rsidRPr="00331F75">
        <w:t>další opatření, která jsou popsána v této části.</w:t>
      </w:r>
    </w:p>
    <w:p w:rsidR="00731241" w:rsidRPr="006776EA" w:rsidP="00731241" w14:paraId="5F7632FD" w14:textId="77777777">
      <w:pPr>
        <w:pStyle w:val="Heading2"/>
        <w:shd w:val="clear" w:color="auto" w:fill="FFFFFF"/>
        <w:ind w:left="540" w:hanging="540"/>
        <w:rPr>
          <w:rFonts w:ascii="Calibri" w:hAnsi="Calibri" w:cs="Times New Roman"/>
          <w:iCs/>
        </w:rPr>
      </w:pPr>
      <w:bookmarkStart w:id="114" w:name="_Toc443572165"/>
      <w:bookmarkStart w:id="115" w:name="_Toc256000059"/>
      <w:r w:rsidRPr="006776EA">
        <w:rPr>
          <w:rFonts w:ascii="Calibri" w:hAnsi="Calibri" w:cs="Times New Roman"/>
          <w:iCs/>
        </w:rPr>
        <w:t>8.1.</w:t>
      </w:r>
      <w:r w:rsidRPr="006776EA">
        <w:rPr>
          <w:rFonts w:ascii="Calibri" w:hAnsi="Calibri" w:cs="Times New Roman"/>
          <w:iCs/>
        </w:rPr>
        <w:tab/>
        <w:t>Řízení, organizace a koordinace</w:t>
      </w:r>
      <w:bookmarkEnd w:id="115"/>
      <w:bookmarkEnd w:id="114"/>
    </w:p>
    <w:p w:rsidR="00731241" w:rsidRPr="00331F75" w:rsidP="006776EA" w14:paraId="548EF996" w14:textId="77777777">
      <w:r w:rsidRPr="00331F75">
        <w:t>Působnosti jednotlivých orgánů GA ČR jsou stanoveny zákonem o podpoře výzkumu, experimentálního vývoje a inovací a Statutem Grantové agentury České republiky, schváleném usnesením vlády České republiky, a jsou následující:</w:t>
      </w:r>
    </w:p>
    <w:p w:rsidR="00731241" w:rsidRPr="00331F75" w:rsidP="00BD43EF" w14:paraId="0C09DBFE" w14:textId="77777777">
      <w:pPr>
        <w:pStyle w:val="ListParagraph"/>
        <w:numPr>
          <w:ilvl w:val="0"/>
          <w:numId w:val="18"/>
        </w:numPr>
      </w:pPr>
      <w:r w:rsidRPr="006776EA">
        <w:rPr>
          <w:b/>
        </w:rPr>
        <w:t xml:space="preserve">Předseda GA ČR </w:t>
      </w:r>
      <w:r w:rsidRPr="00331F75">
        <w:t>zastupuje GA ČR navenek a jedná jejím jménem ve všech jejích věcech.</w:t>
      </w:r>
    </w:p>
    <w:p w:rsidR="00731241" w:rsidRPr="00331F75" w:rsidP="00BD43EF" w14:paraId="71495359" w14:textId="77777777">
      <w:pPr>
        <w:pStyle w:val="ListParagraph"/>
        <w:numPr>
          <w:ilvl w:val="0"/>
          <w:numId w:val="18"/>
        </w:numPr>
      </w:pPr>
      <w:r w:rsidRPr="006776EA">
        <w:rPr>
          <w:b/>
        </w:rPr>
        <w:t>Předsednictvo GA ČR</w:t>
      </w:r>
      <w:r w:rsidRPr="00331F75">
        <w:t xml:space="preserve"> je výkonným orgánem GA ČR, který schvaluje vyhlášení veřejných soutěží ve výzkumu, vývoji a inovacích, rozhoduje o uzavření smluv a o poskytnutí podpory nebo o vydání rozhodnutí o poskytnutí podpory. Předkládá vládě ke schválení návrh statutu GA ČR a jeho změn a předkládá návrh rozpočtu GA ČR. Koordinuje činnost oborových komisí jako poradních orgánů </w:t>
      </w:r>
      <w:r>
        <w:t>GA ČR</w:t>
      </w:r>
      <w:r w:rsidRPr="00331F75">
        <w:t>, které posuzují a hodnotí návrhy grantových projektů.</w:t>
      </w:r>
    </w:p>
    <w:p w:rsidR="00731241" w:rsidRPr="00331F75" w:rsidP="00BD43EF" w14:paraId="250F6064" w14:textId="77777777">
      <w:pPr>
        <w:pStyle w:val="ListParagraph"/>
        <w:numPr>
          <w:ilvl w:val="0"/>
          <w:numId w:val="18"/>
        </w:numPr>
      </w:pPr>
      <w:r w:rsidRPr="006776EA">
        <w:rPr>
          <w:b/>
        </w:rPr>
        <w:t>Vědecká rada GA ČR</w:t>
      </w:r>
      <w:r w:rsidRPr="00331F75">
        <w:t xml:space="preserve"> je koncepčním orgánem Grantové agentury České republiky, který zejména navrhuje předsednictvu GA ČR ustavení a zaměření oborových komisí, skupiny grantových projektů a jejich zaměření, vyhodnocuje vědeckou úroveň GA ČR a navrhuje potřebná opatření. </w:t>
      </w:r>
    </w:p>
    <w:p w:rsidR="00731241" w:rsidRPr="001633B0" w:rsidP="00BD43EF" w14:paraId="59F194E6" w14:textId="77777777">
      <w:pPr>
        <w:pStyle w:val="ListParagraph"/>
        <w:numPr>
          <w:ilvl w:val="0"/>
          <w:numId w:val="18"/>
        </w:numPr>
      </w:pPr>
      <w:r w:rsidRPr="006776EA">
        <w:rPr>
          <w:b/>
        </w:rPr>
        <w:t>Kontrolní rada GA ČR</w:t>
      </w:r>
      <w:r w:rsidRPr="00331F75">
        <w:t xml:space="preserve"> je kontrolním orgánem GA ČR, který kontroluje rozdělování finančních prostředků GA ČR a hospodaření s majetkem státu, k němuž má GA ČR příslušnost hospodaření. Projednává stížnosti na postup poskytovatele při hodnocení návrhu grantového projektu a předkládá svá stanoviska předsednictvu GA ČR. Stanoviska, která jsou vydávána v rámci kompetence kontrolní rady GA ČR, jsou pro předsednictvo GA ČR závazná. </w:t>
      </w:r>
    </w:p>
    <w:p w:rsidR="00731241" w:rsidRPr="00331F75" w:rsidP="00BD43EF" w14:paraId="23EA1AB7" w14:textId="77777777">
      <w:pPr>
        <w:pStyle w:val="ListParagraph"/>
        <w:numPr>
          <w:ilvl w:val="0"/>
          <w:numId w:val="18"/>
        </w:numPr>
      </w:pPr>
      <w:r w:rsidRPr="006776EA">
        <w:rPr>
          <w:b/>
        </w:rPr>
        <w:t>Oborové komise GA ČR</w:t>
      </w:r>
      <w:r w:rsidRPr="00331F75">
        <w:t xml:space="preserve"> jsou stálými odbornými poradními orgány předsednictva. Jejich hlavním úkolem je hodnocení návrhů grantových projektů a průběžné i závěrečné hodnocení řešených projektů. Pro standardní a mezinárodní projekty je ustaveno pět oborových komisí (OK)</w:t>
      </w:r>
      <w:r>
        <w:t xml:space="preserve"> </w:t>
      </w:r>
      <w:r w:rsidRPr="00331F75">
        <w:t>pro obory dané statutem GA ČR:</w:t>
      </w:r>
    </w:p>
    <w:p w:rsidR="00731241" w:rsidRPr="00331F75" w:rsidP="00BD43EF" w14:paraId="670FAC2E" w14:textId="77777777">
      <w:pPr>
        <w:pStyle w:val="ListParagraph"/>
        <w:numPr>
          <w:ilvl w:val="1"/>
          <w:numId w:val="19"/>
        </w:numPr>
      </w:pPr>
      <w:r w:rsidRPr="00331F75">
        <w:t xml:space="preserve">OK1 </w:t>
      </w:r>
      <w:bookmarkStart w:id="116" w:name="_Hlk58334529"/>
      <w:r w:rsidRPr="00331F75">
        <w:t>–</w:t>
      </w:r>
      <w:bookmarkEnd w:id="116"/>
      <w:r w:rsidRPr="00331F75">
        <w:t xml:space="preserve"> technické vědy</w:t>
      </w:r>
    </w:p>
    <w:p w:rsidR="00731241" w:rsidRPr="00331F75" w:rsidP="00BD43EF" w14:paraId="5F4D4869" w14:textId="77777777">
      <w:pPr>
        <w:pStyle w:val="ListParagraph"/>
        <w:numPr>
          <w:ilvl w:val="1"/>
          <w:numId w:val="19"/>
        </w:numPr>
      </w:pPr>
      <w:r w:rsidRPr="00331F75">
        <w:t>OK2 – vědy o neživé přírodě</w:t>
      </w:r>
    </w:p>
    <w:p w:rsidR="00731241" w:rsidRPr="00331F75" w:rsidP="00BD43EF" w14:paraId="32DFCCF8" w14:textId="77777777">
      <w:pPr>
        <w:pStyle w:val="ListParagraph"/>
        <w:numPr>
          <w:ilvl w:val="1"/>
          <w:numId w:val="19"/>
        </w:numPr>
      </w:pPr>
      <w:r w:rsidRPr="00331F75">
        <w:t>OK3 – lékařské a biologické vědy</w:t>
      </w:r>
    </w:p>
    <w:p w:rsidR="00731241" w:rsidRPr="00331F75" w:rsidP="00BD43EF" w14:paraId="4EC7245A" w14:textId="77777777">
      <w:pPr>
        <w:pStyle w:val="ListParagraph"/>
        <w:numPr>
          <w:ilvl w:val="1"/>
          <w:numId w:val="19"/>
        </w:numPr>
      </w:pPr>
      <w:r w:rsidRPr="00331F75">
        <w:t>OK4 – společenské a humanitní vědy</w:t>
      </w:r>
    </w:p>
    <w:p w:rsidR="00731241" w:rsidRPr="00331F75" w:rsidP="00BD43EF" w14:paraId="48CA7DDE" w14:textId="77777777">
      <w:pPr>
        <w:pStyle w:val="ListParagraph"/>
        <w:numPr>
          <w:ilvl w:val="1"/>
          <w:numId w:val="19"/>
        </w:numPr>
      </w:pPr>
      <w:r w:rsidRPr="00331F75">
        <w:t>OK5 – zemědělské a biologicko-environmentální vědy</w:t>
      </w:r>
    </w:p>
    <w:p w:rsidR="00731241" w:rsidRPr="00331F75" w:rsidP="006776EA" w14:paraId="1B4B7A14" w14:textId="77777777">
      <w:pPr>
        <w:pStyle w:val="ListParagraph"/>
      </w:pPr>
      <w:r w:rsidRPr="00331F75">
        <w:t>Pro projekty EXPRO a JUNIOR STAR je vytvořeno osm oborových komisí (EX) v souladu se Statutem GA ČR:</w:t>
      </w:r>
    </w:p>
    <w:p w:rsidR="00731241" w:rsidRPr="00331F75" w:rsidP="00BD43EF" w14:paraId="39970F3B" w14:textId="77777777">
      <w:pPr>
        <w:pStyle w:val="ListParagraph"/>
        <w:numPr>
          <w:ilvl w:val="1"/>
          <w:numId w:val="19"/>
        </w:numPr>
      </w:pPr>
      <w:r w:rsidRPr="00331F75">
        <w:t>EX1 – Matematika a fyzika 1</w:t>
      </w:r>
    </w:p>
    <w:p w:rsidR="00731241" w:rsidRPr="00331F75" w:rsidP="00BD43EF" w14:paraId="73302C96" w14:textId="77777777">
      <w:pPr>
        <w:pStyle w:val="ListParagraph"/>
        <w:numPr>
          <w:ilvl w:val="1"/>
          <w:numId w:val="19"/>
        </w:numPr>
      </w:pPr>
      <w:r w:rsidRPr="00331F75">
        <w:t>EX2 – Fyzika 2</w:t>
      </w:r>
    </w:p>
    <w:p w:rsidR="00731241" w:rsidRPr="00331F75" w:rsidP="00BD43EF" w14:paraId="1A2B74C0" w14:textId="77777777">
      <w:pPr>
        <w:pStyle w:val="ListParagraph"/>
        <w:numPr>
          <w:ilvl w:val="1"/>
          <w:numId w:val="19"/>
        </w:numPr>
      </w:pPr>
      <w:r w:rsidRPr="00331F75">
        <w:t>EX3 – Chemie</w:t>
      </w:r>
    </w:p>
    <w:p w:rsidR="00731241" w:rsidRPr="00331F75" w:rsidP="00BD43EF" w14:paraId="102A9FC7" w14:textId="77777777">
      <w:pPr>
        <w:pStyle w:val="ListParagraph"/>
        <w:numPr>
          <w:ilvl w:val="1"/>
          <w:numId w:val="19"/>
        </w:numPr>
      </w:pPr>
      <w:r w:rsidRPr="00331F75">
        <w:t>EX4 – Biologie člověka a lékařské vědy</w:t>
      </w:r>
    </w:p>
    <w:p w:rsidR="00731241" w:rsidRPr="00331F75" w:rsidP="00BD43EF" w14:paraId="4E404758" w14:textId="77777777">
      <w:pPr>
        <w:pStyle w:val="ListParagraph"/>
        <w:numPr>
          <w:ilvl w:val="1"/>
          <w:numId w:val="19"/>
        </w:numPr>
      </w:pPr>
      <w:r w:rsidRPr="00331F75">
        <w:t>EX5 – Biologie a zemědělské vědy</w:t>
      </w:r>
    </w:p>
    <w:p w:rsidR="00731241" w:rsidRPr="00331F75" w:rsidP="00BD43EF" w14:paraId="12FDE1B3" w14:textId="77777777">
      <w:pPr>
        <w:pStyle w:val="ListParagraph"/>
        <w:numPr>
          <w:ilvl w:val="1"/>
          <w:numId w:val="19"/>
        </w:numPr>
      </w:pPr>
      <w:r w:rsidRPr="00331F75">
        <w:t>EX6 – Společenské vědy</w:t>
      </w:r>
    </w:p>
    <w:p w:rsidR="00731241" w:rsidRPr="00331F75" w:rsidP="00BD43EF" w14:paraId="30C844A1" w14:textId="77777777">
      <w:pPr>
        <w:pStyle w:val="ListParagraph"/>
        <w:numPr>
          <w:ilvl w:val="1"/>
          <w:numId w:val="19"/>
        </w:numPr>
      </w:pPr>
      <w:r w:rsidRPr="00331F75">
        <w:t>EX7 – Humanitní vědy</w:t>
      </w:r>
    </w:p>
    <w:p w:rsidR="00731241" w:rsidRPr="00331F75" w:rsidP="00BD43EF" w14:paraId="0DFD9B99" w14:textId="77777777">
      <w:pPr>
        <w:pStyle w:val="ListParagraph"/>
        <w:numPr>
          <w:ilvl w:val="1"/>
          <w:numId w:val="19"/>
        </w:numPr>
      </w:pPr>
      <w:r w:rsidRPr="00331F75">
        <w:t>EX8 – Technické vě</w:t>
      </w:r>
      <w:r>
        <w:t>dy a informatika</w:t>
      </w:r>
    </w:p>
    <w:p w:rsidR="00731241" w:rsidRPr="00331F75" w:rsidP="00BD43EF" w14:paraId="5546FE85" w14:textId="77777777">
      <w:pPr>
        <w:pStyle w:val="ListParagraph"/>
        <w:numPr>
          <w:ilvl w:val="0"/>
          <w:numId w:val="19"/>
        </w:numPr>
      </w:pPr>
      <w:r w:rsidRPr="006776EA">
        <w:rPr>
          <w:b/>
        </w:rPr>
        <w:t>Hodnoticí panely</w:t>
      </w:r>
      <w:r w:rsidRPr="00331F75">
        <w:t xml:space="preserve"> jsou expertními orgány oborových komisí. Vypracovávají interní posudky návrhů projektů, navrhují externí oponenty, připravují podklady a doporučení pro jednání oborových komisí. Celkový počet hodnoticích panelů je 39.</w:t>
      </w:r>
    </w:p>
    <w:p w:rsidR="00731241" w:rsidRPr="00331F75" w:rsidP="00BD43EF" w14:paraId="1F9F082A" w14:textId="77777777">
      <w:pPr>
        <w:pStyle w:val="ListParagraph"/>
        <w:numPr>
          <w:ilvl w:val="0"/>
          <w:numId w:val="19"/>
        </w:numPr>
      </w:pPr>
      <w:r w:rsidRPr="006776EA">
        <w:rPr>
          <w:b/>
        </w:rPr>
        <w:t>Kancelář GA ČR</w:t>
      </w:r>
      <w:r w:rsidRPr="00331F75">
        <w:t xml:space="preserve"> zajišťuje po organizační a administrativní stránce činnost GA ČR.</w:t>
      </w:r>
    </w:p>
    <w:p w:rsidR="00731241" w:rsidRPr="00331F75" w:rsidP="006776EA" w14:paraId="79011B06" w14:textId="77777777">
      <w:r w:rsidRPr="00331F75">
        <w:t xml:space="preserve">Členové předsednictva GA ČR, vědecké rady, resp. kontrolní rady jsou jmenováni z řad odborníků vládou ČR, resp. Poslaneckou sněmovnou Parlamentu ČR. </w:t>
      </w:r>
    </w:p>
    <w:p w:rsidR="00731241" w:rsidRPr="00331F75" w:rsidP="006776EA" w14:paraId="3A76B229" w14:textId="77777777">
      <w:r w:rsidRPr="00331F75">
        <w:t>GA ČR dlouhodobě klade velký důraz na personální obsazení. Členové oborových komisí GA</w:t>
      </w:r>
      <w:r>
        <w:t> </w:t>
      </w:r>
      <w:r w:rsidRPr="00331F75">
        <w:t>ČR a hodnoticích panelů jsou jmenováni předsednictvem GA ČR na návrh pracovních skupin. Vybíráni jsou vědci s vysokou odbornou erudicí a s předpokladem respektu k zásadám etiky a nestrannosti. Jedním z důležitých požadavků na člena hodnoticího panelu je ochota a</w:t>
      </w:r>
      <w:r>
        <w:t> </w:t>
      </w:r>
      <w:r w:rsidRPr="00331F75">
        <w:t>schopnost umět s určitým nadhledem posoudit v rámci panelu širší úsek oboru, tedy nejen specializaci vlastní vědecko</w:t>
      </w:r>
      <w:r w:rsidRPr="00331F75">
        <w:rPr>
          <w:rFonts w:hint="eastAsia"/>
        </w:rPr>
        <w:t>‐</w:t>
      </w:r>
      <w:r w:rsidRPr="00331F75">
        <w:t xml:space="preserve">výzkumné činnosti. Dále je třeba zdůraznit, že člen hodnoticího panelu je nominován jako vědecká osobnost, nikoli jako zástupce instituce, v níž působí. Povinností člena hodnoticího panelu je vyjádřit se ke značnému počtu projektů, seznámit se se všemi předloženými projekty a dále zúčastnit se všech zasedání hodnoticího panelu. </w:t>
      </w:r>
    </w:p>
    <w:p w:rsidR="00731241" w:rsidRPr="00331F75" w:rsidP="00731241" w14:paraId="769DA7D5" w14:textId="77777777">
      <w:pPr>
        <w:pStyle w:val="PlainText"/>
        <w:ind w:left="540"/>
        <w:rPr>
          <w:rFonts w:ascii="Calibri" w:hAnsi="Calibri" w:cs="Times New Roman"/>
          <w:i/>
          <w:sz w:val="24"/>
          <w:szCs w:val="24"/>
        </w:rPr>
      </w:pPr>
    </w:p>
    <w:p w:rsidR="00731241" w:rsidRPr="006776EA" w:rsidP="00731241" w14:paraId="193C8786" w14:textId="77777777">
      <w:pPr>
        <w:pStyle w:val="Heading2"/>
        <w:ind w:left="540" w:hanging="540"/>
        <w:rPr>
          <w:rFonts w:ascii="Calibri" w:hAnsi="Calibri" w:cs="Times New Roman"/>
          <w:iCs/>
        </w:rPr>
      </w:pPr>
      <w:bookmarkStart w:id="117" w:name="_Toc443572167"/>
      <w:bookmarkStart w:id="118" w:name="_Toc256000060"/>
      <w:r w:rsidRPr="006776EA">
        <w:rPr>
          <w:rFonts w:ascii="Calibri" w:hAnsi="Calibri" w:cs="Times New Roman"/>
          <w:iCs/>
        </w:rPr>
        <w:t>8.2.</w:t>
      </w:r>
      <w:r w:rsidRPr="006776EA">
        <w:rPr>
          <w:rFonts w:ascii="Calibri" w:hAnsi="Calibri" w:cs="Times New Roman"/>
          <w:iCs/>
        </w:rPr>
        <w:tab/>
        <w:t>Aplikace pro návrhy a správu grantových projektů (GRIS)</w:t>
      </w:r>
      <w:bookmarkEnd w:id="118"/>
      <w:r w:rsidRPr="006776EA">
        <w:rPr>
          <w:rFonts w:ascii="Calibri" w:hAnsi="Calibri" w:cs="Times New Roman"/>
          <w:iCs/>
        </w:rPr>
        <w:t xml:space="preserve"> </w:t>
      </w:r>
      <w:bookmarkEnd w:id="117"/>
    </w:p>
    <w:p w:rsidR="00731241" w:rsidRPr="00331F75" w:rsidP="006776EA" w14:paraId="4227DDF2" w14:textId="77777777">
      <w:bookmarkStart w:id="119" w:name="_Hlk58840261"/>
      <w:r w:rsidRPr="00331F75">
        <w:t>Aplikace pro návrhy a správu grantových projektů GA ČR je určena nejen k</w:t>
      </w:r>
      <w:r w:rsidRPr="00331F75">
        <w:rPr>
          <w:rFonts w:cs="Arial"/>
        </w:rPr>
        <w:t> </w:t>
      </w:r>
      <w:r w:rsidRPr="00331F75">
        <w:t xml:space="preserve">zadávání žádostí o účelové financování výzkumu a vývoje, ale také k podpoře hodnoticího procesu, administraci a správě podpořených projektů, stejně jako k mnoha dalším činnostem, které </w:t>
      </w:r>
      <w:r>
        <w:t>GA ČR</w:t>
      </w:r>
      <w:r w:rsidRPr="00331F75">
        <w:t xml:space="preserve"> ukládá zákon, např. vytváření datových exportů pro informační systém VaVaI. V aplikaci probíhá vyhodnocování jednotlivých žádostí a sledování a vyhodnocování podpořených projektů na úrovni dílčích zpráv a závěrečných zpráv. Kromě toho slouží k</w:t>
      </w:r>
      <w:r>
        <w:t> </w:t>
      </w:r>
      <w:r w:rsidRPr="00331F75">
        <w:t xml:space="preserve">podpoře činností pracovníků GA ČR v rámci grantového řízení. </w:t>
      </w:r>
    </w:p>
    <w:p w:rsidR="00731241" w:rsidRPr="00331F75" w:rsidP="006776EA" w14:paraId="0E7A6495" w14:textId="77777777">
      <w:r w:rsidRPr="00331F75">
        <w:t>Veškeré činnosti spojené s </w:t>
      </w:r>
      <w:r>
        <w:t>administrací veřejných soutěží, správa běžících projektů a export údajů</w:t>
      </w:r>
      <w:r w:rsidRPr="00331F75">
        <w:t xml:space="preserve"> pro IS VaVaI probíhají v</w:t>
      </w:r>
      <w:r>
        <w:t> </w:t>
      </w:r>
      <w:r w:rsidRPr="00331F75">
        <w:t>aplikaci</w:t>
      </w:r>
      <w:r>
        <w:t>,</w:t>
      </w:r>
      <w:r w:rsidRPr="00331F75">
        <w:t xml:space="preserve"> a nemůže tak dojít ke zkreslení či ztrátě dat, ke kterému dochází při migraci dat mezi různými aplikacemi</w:t>
      </w:r>
      <w:r>
        <w:t>,</w:t>
      </w:r>
      <w:r w:rsidRPr="00331F75">
        <w:t xml:space="preserve"> jak to bylo v minulosti, kdy GA ČR neměla sjednocující aplikaci a data se neustále přenášela mezi jednotlivými na sobě nezávislými aplikacemi (aplikace pro podávání návrhů projektů, aplikace pro zahraniční oponenty, aplikace pro interní oponenty, aplikace pro dílčí a</w:t>
      </w:r>
      <w:r>
        <w:t> </w:t>
      </w:r>
      <w:r w:rsidRPr="00331F75">
        <w:t>závěrečné zprávy, provozní databáze</w:t>
      </w:r>
      <w:r>
        <w:t>)</w:t>
      </w:r>
      <w:r w:rsidRPr="00331F75">
        <w:t>.</w:t>
      </w:r>
    </w:p>
    <w:p w:rsidR="00731241" w:rsidRPr="00331F75" w:rsidP="006776EA" w14:paraId="08716F8A" w14:textId="77777777">
      <w:r w:rsidRPr="00331F75">
        <w:t xml:space="preserve">Aplikace pro návrhy a správu grantových projektů GA ČR slouží k podpoře velkého množství činností GA ČR a skládá se z různých modulů: </w:t>
      </w:r>
    </w:p>
    <w:p w:rsidR="00731241" w:rsidRPr="00331F75" w:rsidP="00BD43EF" w14:paraId="02D0B895" w14:textId="77777777">
      <w:pPr>
        <w:pStyle w:val="ListParagraph"/>
        <w:numPr>
          <w:ilvl w:val="0"/>
          <w:numId w:val="20"/>
        </w:numPr>
      </w:pPr>
      <w:r w:rsidRPr="00331F75">
        <w:t>webová aplikace pro externí uživatele,</w:t>
      </w:r>
    </w:p>
    <w:p w:rsidR="00731241" w:rsidRPr="00331F75" w:rsidP="00BD43EF" w14:paraId="1C45EF7E" w14:textId="77777777">
      <w:pPr>
        <w:pStyle w:val="ListParagraph"/>
        <w:numPr>
          <w:ilvl w:val="0"/>
          <w:numId w:val="20"/>
        </w:numPr>
      </w:pPr>
      <w:r w:rsidRPr="00331F75">
        <w:t>rozhraní elektronických formulářů pro jednotlivé typy soutěží, dílčích a závěrečných zpráv,</w:t>
      </w:r>
    </w:p>
    <w:p w:rsidR="00731241" w:rsidRPr="00331F75" w:rsidP="00BD43EF" w14:paraId="42017391" w14:textId="77777777">
      <w:pPr>
        <w:pStyle w:val="ListParagraph"/>
        <w:numPr>
          <w:ilvl w:val="0"/>
          <w:numId w:val="20"/>
        </w:numPr>
      </w:pPr>
      <w:r w:rsidRPr="00331F75">
        <w:t>rozhraní pro generování souborů dat pro centrální informační systém VaVaI,</w:t>
      </w:r>
    </w:p>
    <w:p w:rsidR="00731241" w:rsidRPr="00331F75" w:rsidP="00BD43EF" w14:paraId="4CBB5465" w14:textId="77777777">
      <w:pPr>
        <w:pStyle w:val="ListParagraph"/>
        <w:numPr>
          <w:ilvl w:val="0"/>
          <w:numId w:val="20"/>
        </w:numPr>
      </w:pPr>
      <w:r w:rsidRPr="00331F75">
        <w:t xml:space="preserve">rozhraní pro informační systém datových schránek včetně </w:t>
      </w:r>
      <w:r w:rsidRPr="006776EA">
        <w:rPr>
          <w:rFonts w:eastAsia="Times New Roman"/>
          <w:lang w:eastAsia="cs-CZ"/>
        </w:rPr>
        <w:t>rozhraní pro generování dokumentů v PDF formátu, které se odesílají prostřednictvím datových schránek,</w:t>
      </w:r>
    </w:p>
    <w:p w:rsidR="00731241" w:rsidRPr="00331F75" w:rsidP="00BD43EF" w14:paraId="49A194E9" w14:textId="77777777">
      <w:pPr>
        <w:pStyle w:val="ListParagraph"/>
        <w:numPr>
          <w:ilvl w:val="0"/>
          <w:numId w:val="20"/>
        </w:numPr>
      </w:pPr>
      <w:r w:rsidRPr="00331F75">
        <w:t>rozhraní pro hodnocení návrhů projektů členy expertních a poradních orgánů,</w:t>
      </w:r>
    </w:p>
    <w:p w:rsidR="00731241" w:rsidRPr="00331F75" w:rsidP="00BD43EF" w14:paraId="56DA8FE6" w14:textId="77777777">
      <w:pPr>
        <w:pStyle w:val="ListParagraph"/>
        <w:numPr>
          <w:ilvl w:val="0"/>
          <w:numId w:val="20"/>
        </w:numPr>
      </w:pPr>
      <w:r w:rsidRPr="00331F75">
        <w:t xml:space="preserve">modul automatizovaného odesílání emailů při oslovování zahraničních oponentů, </w:t>
      </w:r>
      <w:r w:rsidRPr="006776EA">
        <w:rPr>
          <w:rFonts w:eastAsia="Times New Roman"/>
          <w:lang w:eastAsia="cs-CZ"/>
        </w:rPr>
        <w:t>řešitelů projektů s upozorněním na zpřístupnění formulářů dílčích a závěrečných zpráv a upozornění na blížící se termín odevzdání zpráv,</w:t>
      </w:r>
    </w:p>
    <w:p w:rsidR="00731241" w:rsidRPr="00331F75" w:rsidP="00BD43EF" w14:paraId="19CF61EB" w14:textId="77777777">
      <w:pPr>
        <w:pStyle w:val="ListParagraph"/>
        <w:numPr>
          <w:ilvl w:val="0"/>
          <w:numId w:val="20"/>
        </w:numPr>
      </w:pPr>
      <w:r w:rsidRPr="00331F75">
        <w:t>modul pro podporu zahraničních zpravodajů, kteří dohlíží na hodnocení projektů podaných členy panelů,</w:t>
      </w:r>
    </w:p>
    <w:p w:rsidR="00731241" w:rsidRPr="00331F75" w:rsidP="00BD43EF" w14:paraId="43EC3569" w14:textId="77777777">
      <w:pPr>
        <w:pStyle w:val="ListParagraph"/>
        <w:numPr>
          <w:ilvl w:val="0"/>
          <w:numId w:val="20"/>
        </w:numPr>
      </w:pPr>
      <w:r w:rsidRPr="00331F75">
        <w:t>modul pro zveřejňování anonymizovaných smluv a dodatků v Registru smluv,</w:t>
      </w:r>
    </w:p>
    <w:p w:rsidR="00731241" w:rsidRPr="00331F75" w:rsidP="00BD43EF" w14:paraId="57C9CA18" w14:textId="77777777">
      <w:pPr>
        <w:pStyle w:val="ListParagraph"/>
        <w:numPr>
          <w:ilvl w:val="0"/>
          <w:numId w:val="20"/>
        </w:numPr>
      </w:pPr>
      <w:r w:rsidRPr="00331F75">
        <w:t>modul pro elektronické uzavírání smluv a dodatků, kontrola platnosti elektronických certifikátů,</w:t>
      </w:r>
    </w:p>
    <w:p w:rsidR="00731241" w:rsidRPr="00331F75" w:rsidP="00BD43EF" w14:paraId="735AE976" w14:textId="77777777">
      <w:pPr>
        <w:pStyle w:val="ListParagraph"/>
        <w:numPr>
          <w:ilvl w:val="0"/>
          <w:numId w:val="20"/>
        </w:numPr>
      </w:pPr>
      <w:r w:rsidRPr="00331F75">
        <w:t>rozhraní pro platby zahraničním oponentům za vyhotovené posudky,</w:t>
      </w:r>
    </w:p>
    <w:p w:rsidR="00731241" w:rsidRPr="00331F75" w:rsidP="00BD43EF" w14:paraId="01BB3F8B" w14:textId="77777777">
      <w:pPr>
        <w:pStyle w:val="ListParagraph"/>
        <w:numPr>
          <w:ilvl w:val="0"/>
          <w:numId w:val="20"/>
        </w:numPr>
      </w:pPr>
      <w:r w:rsidRPr="00331F75">
        <w:t>evidence veškerých dokumentů k projektům, administrace změnového řízení podpořených projektů,</w:t>
      </w:r>
    </w:p>
    <w:p w:rsidR="00731241" w:rsidRPr="00331F75" w:rsidP="00BD43EF" w14:paraId="07816BBA" w14:textId="77777777">
      <w:pPr>
        <w:pStyle w:val="ListParagraph"/>
        <w:numPr>
          <w:ilvl w:val="0"/>
          <w:numId w:val="20"/>
        </w:numPr>
      </w:pPr>
      <w:r w:rsidRPr="00331F75">
        <w:t>vícero rozhraní pro vytváření finančních, personálních a projektových reportů pro usnadnění kontrol,</w:t>
      </w:r>
    </w:p>
    <w:p w:rsidR="00731241" w:rsidRPr="00331F75" w:rsidP="00BD43EF" w14:paraId="0B0E62D7" w14:textId="77777777">
      <w:pPr>
        <w:pStyle w:val="ListParagraph"/>
        <w:numPr>
          <w:ilvl w:val="0"/>
          <w:numId w:val="20"/>
        </w:numPr>
      </w:pPr>
      <w:r w:rsidRPr="00331F75">
        <w:t>rozhraní pro ucelený soubor kompletních dat pro navrhovatele a řešitele týkající se hodnocení návrhů projektů, dílčích a závěrečných zpráv.</w:t>
      </w:r>
    </w:p>
    <w:p w:rsidR="00731241" w:rsidRPr="00331F75" w:rsidP="006776EA" w14:paraId="41F29947" w14:textId="77777777">
      <w:r w:rsidRPr="00331F75">
        <w:t>Aplikace je propojená s dalšími elektronickými aplikacemi, které jsou bezpodmínečně nutné pro práci GA ČR. Webová aplikace je vytvořena v anglické jazykové mutaci. Elektronické formuláře jsou pak vytvořeny v české i anglické jazykové mutaci.</w:t>
      </w:r>
    </w:p>
    <w:p w:rsidR="00731241" w:rsidRPr="00331F75" w:rsidP="006776EA" w14:paraId="12EF18CF" w14:textId="77777777">
      <w:r w:rsidRPr="00331F75">
        <w:t xml:space="preserve">Aplikace splňuje základní požadavek na </w:t>
      </w:r>
      <w:r>
        <w:t>flexibilitu</w:t>
      </w:r>
      <w:r w:rsidRPr="00331F75">
        <w:t xml:space="preserve"> a díky tomu je možné, aby k danému návrhu žádosti mohlo přistupovat zároveň více uživatelů</w:t>
      </w:r>
      <w:r>
        <w:t>,</w:t>
      </w:r>
      <w:r w:rsidRPr="00331F75">
        <w:t xml:space="preserve"> včetně definování jejich rolí ze strany administrátora projektů. Zároveň je takto posílena bezpečnost celé aplikace.</w:t>
      </w:r>
    </w:p>
    <w:p w:rsidR="00731241" w:rsidRPr="00331F75" w:rsidP="006776EA" w14:paraId="79976BE0" w14:textId="77777777">
      <w:r w:rsidRPr="00331F75">
        <w:t>V aplikaci v návrhu téhož projektu mohou nezávisle na sobě pracovat jak navrhovatel, tak spolunavrhovatelé a další osoby, jako např. projektový manažer nebo účetní. Každá z těchto osob může mít svůj vlastní uživatelský účet.</w:t>
      </w:r>
    </w:p>
    <w:p w:rsidR="00731241" w:rsidRPr="00331F75" w:rsidP="006776EA" w14:paraId="411276CC" w14:textId="77777777">
      <w:r w:rsidRPr="00331F75">
        <w:t xml:space="preserve">GA ČR se snaží vycházet vědeckým pracovníkům v rámci povinné administrativy spojené s podáním návrhu projektu a následnými povinnostmi vstříc, proto vydala tzv. uživatelskou dokumentaci „Aplikace pro návrhy a správu grantů“, která je podle potřeb aktualizovaná. Tento dokument se konkrétně zabývá oblastí zadávání žádostí a je určen všem uživatelům, kteří vstupují do procesu tvorby a podávaní žádostí GA ČR. Pro ně jsou určeny následující funkcionality: </w:t>
      </w:r>
    </w:p>
    <w:p w:rsidR="00731241" w:rsidRPr="00331F75" w:rsidP="00BD43EF" w14:paraId="7C6444DA" w14:textId="77777777">
      <w:pPr>
        <w:pStyle w:val="ListParagraph"/>
        <w:numPr>
          <w:ilvl w:val="0"/>
          <w:numId w:val="21"/>
        </w:numPr>
      </w:pPr>
      <w:r w:rsidRPr="00331F75">
        <w:t xml:space="preserve">zakládání uživatelského účtu, </w:t>
      </w:r>
    </w:p>
    <w:p w:rsidR="00731241" w:rsidRPr="00331F75" w:rsidP="00BD43EF" w14:paraId="2DB249BF" w14:textId="77777777">
      <w:pPr>
        <w:pStyle w:val="ListParagraph"/>
        <w:numPr>
          <w:ilvl w:val="0"/>
          <w:numId w:val="21"/>
        </w:numPr>
      </w:pPr>
      <w:r w:rsidRPr="00331F75">
        <w:t>editace uživatelského hesla a základních uživatelských údajů,</w:t>
      </w:r>
    </w:p>
    <w:p w:rsidR="00731241" w:rsidRPr="00331F75" w:rsidP="00BD43EF" w14:paraId="2BC3E341" w14:textId="77777777">
      <w:pPr>
        <w:pStyle w:val="ListParagraph"/>
        <w:numPr>
          <w:ilvl w:val="0"/>
          <w:numId w:val="21"/>
        </w:numPr>
      </w:pPr>
      <w:r w:rsidRPr="00331F75">
        <w:t>přiřazení osob navrhovatele a spolunavrhovatele, včetně editace,</w:t>
      </w:r>
    </w:p>
    <w:p w:rsidR="00731241" w:rsidRPr="00331F75" w:rsidP="00BD43EF" w14:paraId="14F1F74D" w14:textId="77777777">
      <w:pPr>
        <w:pStyle w:val="ListParagraph"/>
        <w:numPr>
          <w:ilvl w:val="0"/>
          <w:numId w:val="21"/>
        </w:numPr>
      </w:pPr>
      <w:r w:rsidRPr="00331F75">
        <w:t xml:space="preserve">vyplňování formuláře návrhu projektu umožňující tzv. „verzování“, </w:t>
      </w:r>
    </w:p>
    <w:p w:rsidR="00731241" w:rsidRPr="00331F75" w:rsidP="00BD43EF" w14:paraId="21A911C7" w14:textId="77777777">
      <w:pPr>
        <w:pStyle w:val="ListParagraph"/>
        <w:numPr>
          <w:ilvl w:val="0"/>
          <w:numId w:val="21"/>
        </w:numPr>
      </w:pPr>
      <w:r w:rsidRPr="00331F75">
        <w:t>vkládání příloh, publikačních výstupů vzniklých při řešení projektů</w:t>
      </w:r>
      <w:r>
        <w:t>,</w:t>
      </w:r>
    </w:p>
    <w:p w:rsidR="00731241" w:rsidRPr="00331F75" w:rsidP="00BD43EF" w14:paraId="6E1BB9BC" w14:textId="77777777">
      <w:pPr>
        <w:pStyle w:val="ListParagraph"/>
        <w:numPr>
          <w:ilvl w:val="0"/>
          <w:numId w:val="21"/>
        </w:numPr>
      </w:pPr>
      <w:r w:rsidRPr="00331F75">
        <w:t xml:space="preserve">generování PDF návrhu projektu, a to jak ve verzi DRAFT, tak i ve verzi FINAL určené k zaslání GA ČR prostřednictvím ISDS, </w:t>
      </w:r>
    </w:p>
    <w:p w:rsidR="00731241" w:rsidRPr="00331F75" w:rsidP="00BD43EF" w14:paraId="38B15536" w14:textId="77777777">
      <w:pPr>
        <w:pStyle w:val="ListParagraph"/>
        <w:numPr>
          <w:ilvl w:val="0"/>
          <w:numId w:val="21"/>
        </w:numPr>
      </w:pPr>
      <w:r w:rsidRPr="00331F75">
        <w:t xml:space="preserve">podpora pro prohlášení statutárního zástupce uchazeče, </w:t>
      </w:r>
    </w:p>
    <w:p w:rsidR="00731241" w:rsidRPr="00331F75" w:rsidP="00BD43EF" w14:paraId="061ED276" w14:textId="77777777">
      <w:pPr>
        <w:pStyle w:val="ListParagraph"/>
        <w:numPr>
          <w:ilvl w:val="0"/>
          <w:numId w:val="21"/>
        </w:numPr>
      </w:pPr>
      <w:r w:rsidRPr="00331F75">
        <w:t xml:space="preserve">vyplňování dílčí zprávy </w:t>
      </w:r>
      <w:r>
        <w:t>a generování PDF</w:t>
      </w:r>
      <w:r w:rsidRPr="00331F75">
        <w:t xml:space="preserve"> souboru</w:t>
      </w:r>
      <w:r>
        <w:t>,</w:t>
      </w:r>
    </w:p>
    <w:p w:rsidR="00731241" w:rsidRPr="00331F75" w:rsidP="00BD43EF" w14:paraId="677CA42C" w14:textId="77777777">
      <w:pPr>
        <w:pStyle w:val="ListParagraph"/>
        <w:numPr>
          <w:ilvl w:val="0"/>
          <w:numId w:val="21"/>
        </w:numPr>
      </w:pPr>
      <w:r w:rsidRPr="00331F75">
        <w:t>vyplňování závěrečné zprávy</w:t>
      </w:r>
      <w:r>
        <w:t xml:space="preserve"> a generování PDF</w:t>
      </w:r>
      <w:r w:rsidRPr="00331F75">
        <w:t xml:space="preserve"> souboru. </w:t>
      </w:r>
    </w:p>
    <w:p w:rsidR="00731241" w:rsidRPr="00331F75" w:rsidP="006776EA" w14:paraId="33B32BBD" w14:textId="77777777">
      <w:r w:rsidRPr="00331F75">
        <w:t xml:space="preserve">Při shrnutí výše uvedeného dosavadního pokračujícího vývoje je cílem aplikace pro návrhy a správu grantových projektů GA ČR je i nadále: </w:t>
      </w:r>
    </w:p>
    <w:p w:rsidR="00731241" w:rsidRPr="006776EA" w:rsidP="00BD43EF" w14:paraId="7BA1BFE2" w14:textId="77777777">
      <w:pPr>
        <w:pStyle w:val="ListParagraph"/>
        <w:numPr>
          <w:ilvl w:val="0"/>
          <w:numId w:val="22"/>
        </w:numPr>
        <w:rPr>
          <w:rFonts w:asciiTheme="majorHAnsi" w:hAnsiTheme="majorHAnsi" w:cstheme="majorHAnsi"/>
        </w:rPr>
      </w:pPr>
      <w:r w:rsidRPr="006776EA">
        <w:rPr>
          <w:rFonts w:asciiTheme="majorHAnsi" w:hAnsiTheme="majorHAnsi" w:cstheme="majorHAnsi"/>
        </w:rPr>
        <w:t xml:space="preserve">snižovat počet vyřazených projektů z grantového procesu na základě nesplnění formálních požadavků, </w:t>
      </w:r>
    </w:p>
    <w:p w:rsidR="00731241" w:rsidRPr="006776EA" w:rsidP="00BD43EF" w14:paraId="074B3339" w14:textId="77777777">
      <w:pPr>
        <w:pStyle w:val="ListParagraph"/>
        <w:numPr>
          <w:ilvl w:val="0"/>
          <w:numId w:val="22"/>
        </w:numPr>
        <w:rPr>
          <w:rFonts w:asciiTheme="majorHAnsi" w:hAnsiTheme="majorHAnsi" w:cstheme="majorHAnsi"/>
        </w:rPr>
      </w:pPr>
      <w:r w:rsidRPr="006776EA">
        <w:rPr>
          <w:rFonts w:asciiTheme="majorHAnsi" w:hAnsiTheme="majorHAnsi" w:cstheme="majorHAnsi"/>
        </w:rPr>
        <w:t>snižovat administrativní zátěž spojenou s grantovým procesem a tím i významně snižovat celkové institucionální náklady GA ČR,</w:t>
      </w:r>
      <w:r>
        <w:rPr>
          <w:rStyle w:val="FootnoteReference"/>
          <w:rFonts w:asciiTheme="majorHAnsi" w:hAnsiTheme="majorHAnsi" w:cstheme="majorHAnsi"/>
          <w:iCs/>
        </w:rPr>
        <w:footnoteReference w:id="9"/>
      </w:r>
    </w:p>
    <w:p w:rsidR="00731241" w:rsidRPr="006776EA" w:rsidP="00BD43EF" w14:paraId="6AF8B765" w14:textId="77777777">
      <w:pPr>
        <w:pStyle w:val="ListParagraph"/>
        <w:numPr>
          <w:ilvl w:val="0"/>
          <w:numId w:val="22"/>
        </w:numPr>
        <w:rPr>
          <w:rFonts w:asciiTheme="majorHAnsi" w:hAnsiTheme="majorHAnsi" w:cstheme="majorHAnsi"/>
        </w:rPr>
      </w:pPr>
      <w:r w:rsidRPr="006776EA">
        <w:rPr>
          <w:rFonts w:asciiTheme="majorHAnsi" w:hAnsiTheme="majorHAnsi" w:cstheme="majorHAnsi"/>
        </w:rPr>
        <w:t>zrychlení výběru a komunikace se zahraničními hodnotiteli,</w:t>
      </w:r>
    </w:p>
    <w:p w:rsidR="00731241" w:rsidRPr="006776EA" w:rsidP="00BD43EF" w14:paraId="62A0858A" w14:textId="77777777">
      <w:pPr>
        <w:pStyle w:val="ListParagraph"/>
        <w:numPr>
          <w:ilvl w:val="0"/>
          <w:numId w:val="22"/>
        </w:numPr>
        <w:rPr>
          <w:rFonts w:asciiTheme="majorHAnsi" w:hAnsiTheme="majorHAnsi" w:cstheme="majorHAnsi"/>
        </w:rPr>
      </w:pPr>
      <w:r w:rsidRPr="006776EA">
        <w:rPr>
          <w:rFonts w:asciiTheme="majorHAnsi" w:hAnsiTheme="majorHAnsi" w:cstheme="majorHAnsi"/>
        </w:rPr>
        <w:t>zvyšovat celkovou transparentnost hodnocení návrhů projektů podaných do veřejných soutěží,</w:t>
      </w:r>
    </w:p>
    <w:p w:rsidR="00731241" w:rsidRPr="006776EA" w:rsidP="00BD43EF" w14:paraId="432FF60B" w14:textId="77777777">
      <w:pPr>
        <w:pStyle w:val="ListParagraph"/>
        <w:numPr>
          <w:ilvl w:val="0"/>
          <w:numId w:val="22"/>
        </w:numPr>
        <w:rPr>
          <w:rFonts w:asciiTheme="majorHAnsi" w:hAnsiTheme="majorHAnsi" w:cstheme="majorHAnsi"/>
        </w:rPr>
      </w:pPr>
      <w:r w:rsidRPr="006776EA">
        <w:rPr>
          <w:rFonts w:asciiTheme="majorHAnsi" w:hAnsiTheme="majorHAnsi" w:cstheme="majorHAnsi"/>
        </w:rPr>
        <w:t>celkově posílit význam elektronizace vnitřních procesů v GA ČR,</w:t>
      </w:r>
    </w:p>
    <w:p w:rsidR="00731241" w:rsidRPr="006776EA" w:rsidP="00BD43EF" w14:paraId="21FEE7F4" w14:textId="77777777">
      <w:pPr>
        <w:pStyle w:val="ListParagraph"/>
        <w:numPr>
          <w:ilvl w:val="0"/>
          <w:numId w:val="22"/>
        </w:numPr>
        <w:rPr>
          <w:rFonts w:asciiTheme="majorHAnsi" w:hAnsiTheme="majorHAnsi" w:cstheme="majorHAnsi"/>
        </w:rPr>
      </w:pPr>
      <w:r w:rsidRPr="006776EA">
        <w:rPr>
          <w:rFonts w:asciiTheme="majorHAnsi" w:hAnsiTheme="majorHAnsi" w:cstheme="majorHAnsi"/>
        </w:rPr>
        <w:t>maximálně zefektivnit veškeré činnosti GA ČR (urychlení procesu uzavírání smluv, šetření přírodních zdrojů – papír, šetření financí za poštovní poplatky).</w:t>
      </w:r>
    </w:p>
    <w:p w:rsidR="00731241" w:rsidRPr="00331F75" w:rsidP="006776EA" w14:paraId="4B153AF4" w14:textId="77777777">
      <w:r w:rsidRPr="00331F75">
        <w:t>Aplikace umožňuje GA ČR napojení na další interní i externí aplikace, které jsou bezpodmínečně nutné pro podporu činnosti GA ČR.</w:t>
      </w:r>
    </w:p>
    <w:p w:rsidR="00731241" w:rsidRPr="00331F75" w:rsidP="006776EA" w14:paraId="08838F24" w14:textId="77777777">
      <w:r w:rsidRPr="00331F75">
        <w:t>Mezi nejdůležitější propojené interní/externí aplikace patří:</w:t>
      </w:r>
    </w:p>
    <w:p w:rsidR="00731241" w:rsidRPr="00331F75" w:rsidP="00BD43EF" w14:paraId="3A170C27" w14:textId="77777777">
      <w:pPr>
        <w:pStyle w:val="ListParagraph"/>
        <w:numPr>
          <w:ilvl w:val="0"/>
          <w:numId w:val="23"/>
        </w:numPr>
      </w:pPr>
      <w:r w:rsidRPr="00331F75">
        <w:t>elektronický archiv,</w:t>
      </w:r>
    </w:p>
    <w:p w:rsidR="00731241" w:rsidRPr="00331F75" w:rsidP="00BD43EF" w14:paraId="213A173A" w14:textId="77777777">
      <w:pPr>
        <w:pStyle w:val="ListParagraph"/>
        <w:numPr>
          <w:ilvl w:val="0"/>
          <w:numId w:val="23"/>
        </w:numPr>
      </w:pPr>
      <w:r w:rsidRPr="00331F75">
        <w:t>spisová služba,</w:t>
      </w:r>
    </w:p>
    <w:p w:rsidR="00731241" w:rsidRPr="00331F75" w:rsidP="00BD43EF" w14:paraId="4C99C47E" w14:textId="77777777">
      <w:pPr>
        <w:pStyle w:val="ListParagraph"/>
        <w:numPr>
          <w:ilvl w:val="0"/>
          <w:numId w:val="23"/>
        </w:numPr>
      </w:pPr>
      <w:r w:rsidRPr="00331F75">
        <w:t>účetní systém,</w:t>
      </w:r>
    </w:p>
    <w:p w:rsidR="00731241" w:rsidRPr="00331F75" w:rsidP="00BD43EF" w14:paraId="4213E6FF" w14:textId="77777777">
      <w:pPr>
        <w:pStyle w:val="ListParagraph"/>
        <w:numPr>
          <w:ilvl w:val="0"/>
          <w:numId w:val="23"/>
        </w:numPr>
      </w:pPr>
      <w:r w:rsidRPr="00331F75">
        <w:t>systém datových schránek,</w:t>
      </w:r>
    </w:p>
    <w:p w:rsidR="00731241" w:rsidRPr="00331F75" w:rsidP="00BD43EF" w14:paraId="10919A95" w14:textId="77777777">
      <w:pPr>
        <w:pStyle w:val="ListParagraph"/>
        <w:numPr>
          <w:ilvl w:val="0"/>
          <w:numId w:val="23"/>
        </w:numPr>
      </w:pPr>
      <w:r w:rsidRPr="00331F75">
        <w:t>registr smluv,</w:t>
      </w:r>
    </w:p>
    <w:p w:rsidR="00731241" w:rsidRPr="00331F75" w:rsidP="00BD43EF" w14:paraId="3CE406B8" w14:textId="77777777">
      <w:pPr>
        <w:pStyle w:val="ListParagraph"/>
        <w:numPr>
          <w:ilvl w:val="0"/>
          <w:numId w:val="23"/>
        </w:numPr>
      </w:pPr>
      <w:r w:rsidRPr="00331F75">
        <w:t>poštovní server.</w:t>
      </w:r>
    </w:p>
    <w:p w:rsidR="00731241" w:rsidRPr="00331F75" w:rsidP="006776EA" w14:paraId="12E28A5A" w14:textId="77777777">
      <w:r w:rsidRPr="00331F75">
        <w:t>Aplikace bude dále rozvíjena, její výraznější změny se předpokládají v případě změn právních předpisů, které musí reflektovat. Zvláštní důraz bude i nadále kladen na implementaci většiny administrativních procesů do aplikace, bude-li to vhodné a možné.</w:t>
      </w:r>
    </w:p>
    <w:p w:rsidR="00731241" w:rsidRPr="00331F75" w:rsidP="006776EA" w14:paraId="17E25971" w14:textId="77777777">
      <w:r w:rsidRPr="00331F75">
        <w:t xml:space="preserve">V současné době jsou činnosti GA ČR vedeny na elektronické bázi, v rámci činnosti Kanceláře GA ČR a ani od externích uživatelů nejsou vyžadovány dokumenty v listinné podobě. </w:t>
      </w:r>
    </w:p>
    <w:p w:rsidR="00731241" w:rsidRPr="006776EA" w:rsidP="00731241" w14:paraId="20B3ACD1" w14:textId="77777777">
      <w:pPr>
        <w:pStyle w:val="Heading2"/>
        <w:ind w:left="540" w:hanging="540"/>
        <w:rPr>
          <w:rFonts w:ascii="Calibri" w:hAnsi="Calibri" w:cs="Times New Roman"/>
          <w:iCs/>
        </w:rPr>
      </w:pPr>
      <w:bookmarkStart w:id="120" w:name="_Toc443572168"/>
      <w:bookmarkEnd w:id="119"/>
      <w:bookmarkStart w:id="121" w:name="_Toc256000061"/>
      <w:r w:rsidRPr="006776EA">
        <w:rPr>
          <w:rFonts w:ascii="Calibri" w:hAnsi="Calibri" w:cs="Times New Roman"/>
          <w:iCs/>
        </w:rPr>
        <w:t>8.3.</w:t>
      </w:r>
      <w:r w:rsidRPr="006776EA">
        <w:rPr>
          <w:rFonts w:ascii="Calibri" w:hAnsi="Calibri" w:cs="Times New Roman"/>
          <w:iCs/>
        </w:rPr>
        <w:tab/>
        <w:t>Administrativní zajištění (Kancelář) včetně nároků na personální zajištění</w:t>
      </w:r>
      <w:bookmarkEnd w:id="121"/>
      <w:bookmarkEnd w:id="120"/>
    </w:p>
    <w:p w:rsidR="00731241" w:rsidRPr="00331F75" w:rsidP="006776EA" w14:paraId="27F99A21" w14:textId="77777777">
      <w:pPr>
        <w:rPr>
          <w:bCs/>
        </w:rPr>
      </w:pPr>
      <w:r w:rsidRPr="00331F75">
        <w:rPr>
          <w:bCs/>
        </w:rPr>
        <w:t>Kancelář</w:t>
      </w:r>
      <w:r w:rsidRPr="00331F75">
        <w:t xml:space="preserve"> GA ČR v souladu se Statutem Grantové agentury České republiky zajišťuje podle pokynů předsedy odborné, ekonomické, kontrolní, organizační a správní úkony vyplývající z činností realizovaných GA ČR. Zejména pak připravuje podklady pro jednání hodnoticích panelů, oborových a případně dalších komisí GA ČR, vědecké rady GA ČR, kontrolní rady GA ČR a předsednictva GA ČR. Sestavuje návrh rozpočtu GA ČR a schválený rozpočet podle pokynů předsedy spravuje. Sestavuje závěrečný účet kapitoly GA ČR. Dále Kancelář GA ČR shromažďuje návrhy grantových projektů, vytváří a spravuje databázi projektů a oponentů. Organizačně zajišťuje spolupráci GA ČR s partnerskými organizacemi v ČR působícími v oblasti výzkumu, vývoje </w:t>
      </w:r>
      <w:r w:rsidRPr="00331F75">
        <w:rPr>
          <w:bCs/>
        </w:rPr>
        <w:t xml:space="preserve">a inovací. Informuje veřejnost o činnosti GA ČR. Kancelář řídí ředitel Kanceláře GA ČR. </w:t>
      </w:r>
    </w:p>
    <w:p w:rsidR="00731241" w:rsidRPr="00331F75" w:rsidP="006776EA" w14:paraId="2D9AB36A" w14:textId="77777777">
      <w:pPr>
        <w:rPr>
          <w:bCs/>
        </w:rPr>
      </w:pPr>
      <w:r w:rsidRPr="00331F75">
        <w:rPr>
          <w:bCs/>
        </w:rPr>
        <w:t>Organizačními útvary Kanceláře GA ČR jsou Oddělení interního auditu; Ředitel Kanceláře GA ČR; Sekce správy a řízení; Sekce grantové podpory, Sekce ekonomická a provozní a Sekce rozvoje a analýz. Grafické znázornění organizačního schématu GA ČR je na obr. č. 1.</w:t>
      </w:r>
    </w:p>
    <w:p w:rsidR="006776EA" w:rsidP="006776EA" w14:paraId="3F9CED02" w14:textId="77777777">
      <w:pPr>
        <w:rPr>
          <w:rFonts w:cs="Arial"/>
          <w:bCs/>
        </w:rPr>
      </w:pPr>
      <w:r w:rsidRPr="00331F75">
        <w:rPr>
          <w:rFonts w:cs="Arial"/>
          <w:b/>
          <w:bCs/>
        </w:rPr>
        <w:t xml:space="preserve">Obr. č. 1. </w:t>
      </w:r>
      <w:r w:rsidRPr="00331F75">
        <w:rPr>
          <w:rFonts w:cs="Arial"/>
          <w:bCs/>
        </w:rPr>
        <w:t>Organizační schéma GA ČR</w:t>
      </w:r>
    </w:p>
    <w:p w:rsidR="00731241" w:rsidRPr="00331F75" w:rsidP="006776EA" w14:paraId="47699D86" w14:textId="5AA9CFFC">
      <w:pPr>
        <w:rPr>
          <w:rFonts w:ascii="Calibri" w:hAnsi="Calibri" w:cs="Times New Roman"/>
          <w:iCs/>
          <w:sz w:val="24"/>
          <w:szCs w:val="24"/>
        </w:rPr>
      </w:pPr>
      <w:r w:rsidRPr="00331F75">
        <w:rPr>
          <w:rFonts w:ascii="Calibri" w:hAnsi="Calibri" w:cs="Times New Roman"/>
          <w:iCs/>
          <w:noProof/>
          <w:sz w:val="24"/>
          <w:szCs w:val="24"/>
          <w:lang w:eastAsia="cs-CZ"/>
        </w:rPr>
        <w:drawing>
          <wp:inline distT="0" distB="0" distL="0" distR="0">
            <wp:extent cx="5903874" cy="8338241"/>
            <wp:effectExtent l="0" t="0" r="1905" b="5715"/>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3708236" name="Picture 2"/>
                    <pic:cNvPicPr>
                      <a:picLocks noChangeAspect="1" noChangeArrowheads="1"/>
                    </pic:cNvPicPr>
                  </pic:nvPicPr>
                  <pic:blipFill>
                    <a:blip xmlns:r="http://schemas.openxmlformats.org/officeDocument/2006/relationships" r:embed="rId8"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5911900" cy="8349577"/>
                    </a:xfrm>
                    <a:prstGeom prst="rect">
                      <a:avLst/>
                    </a:prstGeom>
                    <a:noFill/>
                    <a:ln>
                      <a:noFill/>
                    </a:ln>
                  </pic:spPr>
                </pic:pic>
              </a:graphicData>
            </a:graphic>
          </wp:inline>
        </w:drawing>
      </w:r>
    </w:p>
    <w:p w:rsidR="00731241" w:rsidRPr="006776EA" w:rsidP="00731241" w14:paraId="39CD048F" w14:textId="77777777">
      <w:pPr>
        <w:pStyle w:val="Heading2"/>
        <w:rPr>
          <w:rFonts w:ascii="Calibri" w:hAnsi="Calibri" w:cs="Times New Roman"/>
        </w:rPr>
      </w:pPr>
      <w:bookmarkStart w:id="122" w:name="_Toc443572169"/>
      <w:bookmarkStart w:id="123" w:name="_Toc256000062"/>
      <w:r w:rsidRPr="006776EA">
        <w:rPr>
          <w:rFonts w:ascii="Calibri" w:hAnsi="Calibri"/>
        </w:rPr>
        <w:t>8.4.</w:t>
      </w:r>
      <w:r w:rsidRPr="006776EA">
        <w:rPr>
          <w:rFonts w:ascii="Calibri" w:hAnsi="Calibri" w:cs="Times New Roman"/>
        </w:rPr>
        <w:t xml:space="preserve"> Mezinárodní spolupráce GA ČR</w:t>
      </w:r>
      <w:bookmarkEnd w:id="123"/>
      <w:bookmarkEnd w:id="122"/>
    </w:p>
    <w:p w:rsidR="00731241" w:rsidRPr="006776EA" w:rsidP="006776EA" w14:paraId="0934A47D" w14:textId="77777777">
      <w:pPr>
        <w:rPr>
          <w:lang w:eastAsia="cs-CZ"/>
        </w:rPr>
      </w:pPr>
      <w:r w:rsidRPr="006776EA">
        <w:rPr>
          <w:lang w:eastAsia="cs-CZ"/>
        </w:rPr>
        <w:t>Jednou z dlouhodobých priorit GA ČR je udržování i další rozvoj aktivit na poli mezinárodní spolupráce. Na globální úrovni je mezinárodní spolupráce realizována v rámci členství GA ČR v Global Research Council (GRC), na celoevropské úrovni potom zejména na základě členství v nadnárodní organizaci Science Europe (SE). Na základě bilaterálních dohod GA ČR úzce spolupracuje s Německem, Tchaj-wanem, Jižní Koreou, Ruskem a brazilským státem São Paolo. Na principu Lead Agency spolupracuje GA ČR již tradičně s Rakouskem, které je také členem  sdružení středoevropských zemí CEUS. Iniciativa CEUS se transformovala na multilaterální iniciativu Weave, kterou aktuálně tvoří  dvanáct členských agentur Science Europe. .</w:t>
      </w:r>
    </w:p>
    <w:p w:rsidR="00731241" w:rsidRPr="006776EA" w:rsidP="006776EA" w14:paraId="43970E46" w14:textId="77777777">
      <w:pPr>
        <w:rPr>
          <w:rFonts w:cs="Times New Roman"/>
        </w:rPr>
      </w:pPr>
      <w:r w:rsidRPr="006776EA">
        <w:rPr>
          <w:rFonts w:cs="Times New Roman"/>
        </w:rPr>
        <w:t>GA ČR je jedním ze zakládajících členů Global Research Council (GRC). Tato organizace byla založena v roce 2012. GRC sdružuje národní agentury podporující základní výzkum z Evropy, Asie, Afriky, Latinské Ameriky a USA. Cílem této organizace je vytvoření platformy pro komunikaci a spolupráci mezi národními agenturami, prosazování společných zájmů a principů financování základního výzkumu, sdílení zkušeností s financováním základního výzkumu v různých zemích, koordinace sdílení informací a dat, podpora excelentního výzkumu a excelentních výzkumných týmů napříč světadíly.</w:t>
      </w:r>
    </w:p>
    <w:p w:rsidR="00731241" w:rsidRPr="006776EA" w:rsidP="006776EA" w14:paraId="150B7C7B" w14:textId="77777777">
      <w:pPr>
        <w:rPr>
          <w:rFonts w:cs="Times New Roman"/>
        </w:rPr>
      </w:pPr>
    </w:p>
    <w:p w:rsidR="00731241" w:rsidRPr="006776EA" w:rsidP="006776EA" w14:paraId="74B3477B" w14:textId="3CFF009F">
      <w:pPr>
        <w:pStyle w:val="Heading3"/>
      </w:pPr>
      <w:bookmarkStart w:id="124" w:name="_Toc256000063"/>
      <w:r>
        <w:t xml:space="preserve">8.4.1. </w:t>
      </w:r>
      <w:r w:rsidRPr="006776EA">
        <w:t>Bilaterální spolupráce</w:t>
      </w:r>
      <w:bookmarkEnd w:id="124"/>
    </w:p>
    <w:p w:rsidR="00731241" w:rsidRPr="006776EA" w:rsidP="006776EA" w14:paraId="1CCA40DB" w14:textId="77777777">
      <w:pPr>
        <w:rPr>
          <w:rFonts w:cs="Times New Roman"/>
        </w:rPr>
      </w:pPr>
      <w:r w:rsidRPr="006776EA">
        <w:rPr>
          <w:rFonts w:cs="Times New Roman"/>
        </w:rPr>
        <w:t>Mezinárodní bilaterální spolupráce GA ČR funguje na základě dvoustranných dohod uzavřených s partnerskými agenturami. Podporuje vytváření mezinárodních vědeckých týmů spolupracujících v oblasti základního výzkumu na bilaterálních vědeckých projektech. GA ČR takto spolupracuje s níže uvedenými partnerskými organizacemi:</w:t>
      </w:r>
    </w:p>
    <w:p w:rsidR="00731241" w:rsidRPr="006776EA" w:rsidP="00BD43EF" w14:paraId="1626DF1D" w14:textId="77777777">
      <w:pPr>
        <w:pStyle w:val="ListParagraph"/>
        <w:numPr>
          <w:ilvl w:val="0"/>
          <w:numId w:val="24"/>
        </w:numPr>
        <w:rPr>
          <w:rFonts w:cs="Times New Roman"/>
        </w:rPr>
      </w:pPr>
      <w:r w:rsidRPr="006776EA">
        <w:rPr>
          <w:rFonts w:cs="Times New Roman"/>
        </w:rPr>
        <w:t>National Research Foundation of Korea (NRF), Jižní Korea</w:t>
      </w:r>
    </w:p>
    <w:p w:rsidR="00731241" w:rsidRPr="006776EA" w:rsidP="00BD43EF" w14:paraId="6C4A0EEF" w14:textId="77777777">
      <w:pPr>
        <w:pStyle w:val="ListParagraph"/>
        <w:numPr>
          <w:ilvl w:val="0"/>
          <w:numId w:val="24"/>
        </w:numPr>
        <w:rPr>
          <w:rFonts w:cs="Times New Roman"/>
        </w:rPr>
      </w:pPr>
      <w:r w:rsidRPr="006776EA">
        <w:rPr>
          <w:rFonts w:cs="Times New Roman"/>
        </w:rPr>
        <w:t>Ministry of Science and Technology (MOST), Tchaj-wan</w:t>
      </w:r>
    </w:p>
    <w:p w:rsidR="00731241" w:rsidRPr="006776EA" w:rsidP="00BD43EF" w14:paraId="702BD7E3" w14:textId="77777777">
      <w:pPr>
        <w:pStyle w:val="ListParagraph"/>
        <w:numPr>
          <w:ilvl w:val="0"/>
          <w:numId w:val="24"/>
        </w:numPr>
        <w:rPr>
          <w:rFonts w:cs="Times New Roman"/>
        </w:rPr>
      </w:pPr>
      <w:r w:rsidRPr="006776EA">
        <w:rPr>
          <w:rFonts w:cs="Times New Roman"/>
        </w:rPr>
        <w:t>Deutsche Forschungsgemeinschaft (DFG), Německo (do roku 2020)</w:t>
      </w:r>
    </w:p>
    <w:p w:rsidR="00731241" w:rsidRPr="006776EA" w:rsidP="00BD43EF" w14:paraId="5D06236A" w14:textId="77777777">
      <w:pPr>
        <w:pStyle w:val="ListParagraph"/>
        <w:numPr>
          <w:ilvl w:val="0"/>
          <w:numId w:val="24"/>
        </w:numPr>
        <w:rPr>
          <w:rFonts w:cs="Times New Roman"/>
        </w:rPr>
      </w:pPr>
      <w:r w:rsidRPr="006776EA">
        <w:rPr>
          <w:rFonts w:cs="Times New Roman"/>
        </w:rPr>
        <w:t>Russian Foundation for Basic Research (RFBR), Rusko</w:t>
      </w:r>
    </w:p>
    <w:p w:rsidR="00731241" w:rsidRPr="006776EA" w:rsidP="00BD43EF" w14:paraId="4F896E67" w14:textId="77777777">
      <w:pPr>
        <w:pStyle w:val="ListParagraph"/>
        <w:numPr>
          <w:ilvl w:val="0"/>
          <w:numId w:val="24"/>
        </w:numPr>
        <w:rPr>
          <w:rFonts w:cs="Times New Roman"/>
        </w:rPr>
      </w:pPr>
      <w:r w:rsidRPr="006776EA">
        <w:rPr>
          <w:rFonts w:cs="Times New Roman"/>
        </w:rPr>
        <w:t>São Paulo Research Foundation (FAPESP), São Paulo</w:t>
      </w:r>
    </w:p>
    <w:p w:rsidR="00731241" w:rsidRPr="006776EA" w:rsidP="006776EA" w14:paraId="212885F9" w14:textId="77777777">
      <w:pPr>
        <w:rPr>
          <w:b/>
        </w:rPr>
      </w:pPr>
      <w:r w:rsidRPr="006776EA">
        <w:rPr>
          <w:b/>
        </w:rPr>
        <w:t>Spolupráce s Jižní Koreou</w:t>
      </w:r>
    </w:p>
    <w:p w:rsidR="00731241" w:rsidRPr="00331F75" w:rsidP="006776EA" w14:paraId="2AA856F5" w14:textId="77777777">
      <w:r w:rsidRPr="00331F75">
        <w:t xml:space="preserve">GA ČR a Korea Research Foundation (KRF), resp. National Research Foundation of Korea (NRF) podepsaly v Praze v roce 2005 smlouvu o vzájemné spolupráci, jejíž smyslem je navázání, popř. zvýšení míry spolupráce v oblasti vědy a výzkumu mezi vědci a institucemi obou zemí a dále umožnění výměny informací, dovedností a technik v oblastech společného zájmu. Tato spolupráce probíhá formou </w:t>
      </w:r>
      <w:hyperlink r:id="rId9" w:history="1">
        <w:r w:rsidRPr="00331F75">
          <w:t>bilaterální</w:t>
        </w:r>
      </w:hyperlink>
      <w:r w:rsidRPr="00331F75">
        <w:t xml:space="preserve">ch grantových projektů. </w:t>
      </w:r>
    </w:p>
    <w:p w:rsidR="00731241" w:rsidRPr="006776EA" w:rsidP="006776EA" w14:paraId="5E4485C8" w14:textId="77777777">
      <w:pPr>
        <w:rPr>
          <w:b/>
        </w:rPr>
      </w:pPr>
      <w:r w:rsidRPr="006776EA">
        <w:rPr>
          <w:b/>
        </w:rPr>
        <w:t>Spolupráce s Tchaj-wanem</w:t>
      </w:r>
    </w:p>
    <w:p w:rsidR="00731241" w:rsidRPr="00331F75" w:rsidP="006776EA" w14:paraId="05CD28BE" w14:textId="77777777">
      <w:r w:rsidRPr="00331F75">
        <w:t xml:space="preserve">GA ČR a Ministry of Science and Technology (MOST, dříve National Science Council, NSC) podepsaly v Praze 3. listopadu 2008 smlouvu o vzájemné spolupráci, jejímž smyslem je navázání, popř. zvýšení míry spolupráce v oblasti vědy a výzkumu mezi vědci a institucemi obou zemí a dále umožnění výměny informací, dovedností a technik v oblastech společného zájmu. Tato spolupráce probíhá formou </w:t>
      </w:r>
      <w:hyperlink r:id="rId9" w:history="1">
        <w:r w:rsidRPr="00331F75">
          <w:t>bilaterální</w:t>
        </w:r>
      </w:hyperlink>
      <w:r w:rsidRPr="00331F75">
        <w:t xml:space="preserve">ch grantových projektů. Dohoda o spolupráci zahrnuje všechny oblasti vědy. </w:t>
      </w:r>
    </w:p>
    <w:p w:rsidR="00731241" w:rsidRPr="006776EA" w:rsidP="006776EA" w14:paraId="751C22EF" w14:textId="77777777">
      <w:pPr>
        <w:rPr>
          <w:b/>
        </w:rPr>
      </w:pPr>
      <w:r w:rsidRPr="006776EA">
        <w:rPr>
          <w:b/>
        </w:rPr>
        <w:t>Spolupráce s Německem</w:t>
      </w:r>
    </w:p>
    <w:p w:rsidR="00731241" w:rsidRPr="00331F75" w:rsidP="006776EA" w14:paraId="53751346" w14:textId="77777777">
      <w:r w:rsidRPr="00F505EB">
        <w:t xml:space="preserve">GA ČR a Deutsche Forschungsgemeinschaft (DFG) podepsaly v listopadu 2005 smlouvu o vzájemné spolupráci, jejímž smyslem je navázání, popř. zvýšení míry spolupráce v oblasti vědy a výzkumu mezi vědci a institucemi obou zemí a dále umožnění výměny informací, dovedností a technik v oblastech společného zájmu. Tato spolupráce probíhá formou </w:t>
      </w:r>
      <w:hyperlink r:id="rId9" w:history="1">
        <w:r w:rsidRPr="00F505EB">
          <w:t>bilaterální</w:t>
        </w:r>
      </w:hyperlink>
      <w:r w:rsidRPr="00F505EB">
        <w:t>ch grantových projektů. Dohoda o spolupráci zahrnuje všechny oblasti vědy.</w:t>
      </w:r>
      <w:r>
        <w:t xml:space="preserve"> Spolupráce na bilaterálním základu skončila v roce 2020, kdy se přetransformovala na spolupráci na základně principu Lead Agency.</w:t>
      </w:r>
    </w:p>
    <w:p w:rsidR="00731241" w:rsidRPr="006776EA" w:rsidP="006776EA" w14:paraId="0DA520C6" w14:textId="77777777">
      <w:pPr>
        <w:rPr>
          <w:b/>
        </w:rPr>
      </w:pPr>
      <w:r w:rsidRPr="006776EA">
        <w:rPr>
          <w:b/>
        </w:rPr>
        <w:t>Spolupráce se São Paulem</w:t>
      </w:r>
    </w:p>
    <w:p w:rsidR="00731241" w:rsidRPr="00331F75" w:rsidP="006776EA" w14:paraId="12E70E3F" w14:textId="77777777">
      <w:r w:rsidRPr="00331F75">
        <w:t>Dne 5. listopadu 2018 byla podepsána smlouva o vzájemné spolupráci mezi GA ČR a</w:t>
      </w:r>
      <w:r>
        <w:t> </w:t>
      </w:r>
      <w:r w:rsidRPr="00331F75">
        <w:t>brazilskou agenturou São Paulo Research Foundation (FAPESP). Cílem této smlouvy je navázání, resp. zvýšení míry spolupráce v oblasti vědy a výzkumu mezi vědci a institucemi obou zemí a také umožnění výměny informací, dovedností a technik v oblastech společného zájmu. Dohoda o spolupráci zahrnuje všechny oblasti vědy a techniky. Mohou se jí účastnit všichni vědečtí a akademičtí pracovníci, kteří splňují kritéria pro grantovou podporu z FAPESP a GA ČR. Spolupráce je zaměřena na společné bilaterální grantové projekty.</w:t>
      </w:r>
    </w:p>
    <w:p w:rsidR="00731241" w:rsidRPr="006776EA" w:rsidP="006776EA" w14:paraId="18D0C3E2" w14:textId="77777777">
      <w:pPr>
        <w:rPr>
          <w:b/>
        </w:rPr>
      </w:pPr>
      <w:r w:rsidRPr="006776EA">
        <w:rPr>
          <w:b/>
        </w:rPr>
        <w:t>Spolupráce s Ruskem</w:t>
      </w:r>
    </w:p>
    <w:p w:rsidR="00731241" w:rsidRPr="00331F75" w:rsidP="006776EA" w14:paraId="1BF780C8" w14:textId="77777777">
      <w:r w:rsidRPr="00331F75">
        <w:t>Dne 14. května 2018 byla v Moskvě podepsána smlouva o vzájemné spolupráci mezi GA ČR a Russian Foundation for Basic Research (RFBR). Cílem této smlouvy je navázání, popř. zvýšení míry spolupráce v oblasti vědy a výzkumu mezi vědci a institucemi obou zemí a dále umožnění výměny informací, dovedností a technik v oblastech společného zájmu. Spolupráce je zaměřena na společné bilaterální grantové projekty.</w:t>
      </w:r>
    </w:p>
    <w:p w:rsidR="00731241" w:rsidRPr="00331F75" w:rsidP="00731241" w14:paraId="01143DAB" w14:textId="77777777">
      <w:pPr>
        <w:pStyle w:val="PlainText"/>
        <w:rPr>
          <w:rFonts w:ascii="Calibri" w:hAnsi="Calibri" w:cs="Times New Roman"/>
          <w:b/>
          <w:bCs/>
          <w:iCs/>
          <w:sz w:val="24"/>
          <w:szCs w:val="24"/>
        </w:rPr>
      </w:pPr>
    </w:p>
    <w:p w:rsidR="00731241" w:rsidRPr="00331F75" w:rsidP="006776EA" w14:paraId="008E87C4" w14:textId="5F28A5ED">
      <w:pPr>
        <w:pStyle w:val="Heading3"/>
      </w:pPr>
      <w:bookmarkStart w:id="125" w:name="_Toc256000064"/>
      <w:r>
        <w:t>8.4.</w:t>
      </w:r>
      <w:r w:rsidR="00460B4D">
        <w:t>2</w:t>
      </w:r>
      <w:r>
        <w:t xml:space="preserve">. </w:t>
      </w:r>
      <w:r w:rsidRPr="00331F75">
        <w:t>Lead Agency spolupráce</w:t>
      </w:r>
      <w:bookmarkEnd w:id="125"/>
    </w:p>
    <w:p w:rsidR="00731241" w:rsidRPr="00460B4D" w:rsidP="00460B4D" w14:paraId="76FB17FC" w14:textId="387CE0A1">
      <w:pPr>
        <w:rPr>
          <w:b/>
        </w:rPr>
      </w:pPr>
      <w:r w:rsidRPr="00460B4D">
        <w:rPr>
          <w:b/>
        </w:rPr>
        <w:t>Spolupráce s Rakouskem – „LA granty“</w:t>
      </w:r>
    </w:p>
    <w:p w:rsidR="00731241" w:rsidRPr="00331F75" w:rsidP="00460B4D" w14:paraId="19D40337" w14:textId="77777777">
      <w:r w:rsidRPr="00331F75">
        <w:t>GA ČR a rakouská agentura Fonds zur Förderung der wissenschaftlichen Forschung (FWF) podepsaly 27. května 2013 v Berlíně smlouvu o spolupráci v základním výzkumu. Tato smlouva přináší českým badatelům a výzkumným týmům možnost podávat návrhy projektů základního výzkumu spolu s rakouskými kolegy</w:t>
      </w:r>
      <w:r>
        <w:t xml:space="preserve">, a umožňuje tak </w:t>
      </w:r>
      <w:r w:rsidRPr="00331F75">
        <w:t>vznik zcela nové skupiny grantových projektů, která funguje na principu Lead Agency. V případě těchto projektů – nazvaných „LA granty“ – probíhá hodnocení pouze u jedné ze spolupracujících agentur a podle pravidel hodnoticího procesu agentury, která je „agenturou řídicí“ (Lead Agency). Grantová agentura ČR se s rakouskou partnerskou organizací dohodla, že v roli Lead Agency bude rakouská agentura.</w:t>
      </w:r>
      <w:r>
        <w:t xml:space="preserve"> Toto pravidlo již neplatí od počátku spolupráci v rámci iniciativy CEUS a následně Weave.</w:t>
      </w:r>
    </w:p>
    <w:p w:rsidR="00731241" w:rsidRPr="00460B4D" w:rsidP="00460B4D" w14:paraId="17D14651" w14:textId="77777777">
      <w:pPr>
        <w:rPr>
          <w:b/>
        </w:rPr>
      </w:pPr>
      <w:r w:rsidRPr="00460B4D">
        <w:rPr>
          <w:b/>
        </w:rPr>
        <w:t>CEUS</w:t>
      </w:r>
    </w:p>
    <w:p w:rsidR="00731241" w:rsidRPr="009B3474" w:rsidP="00460B4D" w14:paraId="52835563" w14:textId="77777777">
      <w:r w:rsidRPr="009B3474">
        <w:t xml:space="preserve">Dne 17. 6. 2019 nejvyšší představitelé GA ČR, FWF (Rakousko), NCN (Polsko) a ARRS (Slovinsko) podepsali „CEUS – Central European Science Partnership“ Lead Agency Agreement: Memorandum of Understanding on the unilateral administration and mutual recognition of evaluation procedures“. Tato nová spolupráce umožnila vědcům z České republiky, Rakouska, Polska a Slovinska realizovat vědecké </w:t>
      </w:r>
      <w:r w:rsidRPr="009B3474">
        <w:t>projekty s novými zahraničními partnery. V rámci CEUS iniciativy na podporu základního výzkumu v regionu střední Evropy bylo vědcům nově umožněno podávat bilaterální a také trilaterální návrhy projektů na principu Lead Agency. Hlavním kritériem pro určení „Lead“ agentury byla dohoda mezinárodního vědeckého týmu ohledně původu vůdčí myšlenky, která je předmětem zkoumání grantového projektu a výše rozpočtu mezinárodního týmu, prostřednictvím kterého byl návrh projektu podáván. Na základě těchto „Lead“ kritérií si vědci sami určí národní LA agenturu, která provede hodnocení návrhu projektu.</w:t>
      </w:r>
    </w:p>
    <w:p w:rsidR="00731241" w:rsidRPr="009B3474" w:rsidP="00460B4D" w14:paraId="136F8724" w14:textId="77777777">
      <w:r w:rsidRPr="009B3474">
        <w:t>Dne 14. 10. 2019 byl schválen vládou materiál Mezinárodní grantové projekty hodnocené na principu Lead Agency (LA granty), díky kterému bylo umožněno zahájit tuto spolupráci.</w:t>
      </w:r>
    </w:p>
    <w:p w:rsidR="00731241" w:rsidRPr="00460B4D" w:rsidP="00460B4D" w14:paraId="748BF8B8" w14:textId="77777777">
      <w:pPr>
        <w:rPr>
          <w:b/>
        </w:rPr>
      </w:pPr>
      <w:r w:rsidRPr="00460B4D">
        <w:rPr>
          <w:b/>
        </w:rPr>
        <w:t xml:space="preserve">Multilateral Lead Agency (MLA) – Weave </w:t>
      </w:r>
    </w:p>
    <w:p w:rsidR="00731241" w:rsidRPr="009B3474" w:rsidP="00460B4D" w14:paraId="38D19578" w14:textId="77777777">
      <w:r w:rsidRPr="009B3474">
        <w:t>GA ČR se dále v rámci svého členství v Science Europe aktivně zapojila do Science Europe Task Force on Multilateral Lead Agency. V rámci této iniciativy probíhaly přípravné práce k vytvoření multilaterální Lead Agency spolupráce. Na konci roku 2020 bylo podepsáno memorandum, které zahájilo oficiálně spolupráci v rámci iniciativy Weave. Předpokládá se, že v roce 2021 dojde k dalšímu rozšíření mezinárodní spolupráce. Ke členům Weave patří kromě GA ČR následující zahraniční agentury, v součinnosti, s nimiž GA ČR rozšíří míru své mezinárodní spolupráce:</w:t>
      </w:r>
    </w:p>
    <w:p w:rsidR="00731241" w:rsidRPr="009B3474" w:rsidP="00BD43EF" w14:paraId="5B5FE25A" w14:textId="77777777">
      <w:pPr>
        <w:pStyle w:val="ListParagraph"/>
        <w:numPr>
          <w:ilvl w:val="0"/>
          <w:numId w:val="25"/>
        </w:numPr>
      </w:pPr>
      <w:r w:rsidRPr="009B3474">
        <w:t xml:space="preserve">Austrian Science Fund (FWF), Rakousko; </w:t>
      </w:r>
    </w:p>
    <w:p w:rsidR="00731241" w:rsidRPr="009B3474" w:rsidP="00BD43EF" w14:paraId="087B74A9" w14:textId="77777777">
      <w:pPr>
        <w:pStyle w:val="ListParagraph"/>
        <w:numPr>
          <w:ilvl w:val="0"/>
          <w:numId w:val="25"/>
        </w:numPr>
      </w:pPr>
      <w:r w:rsidRPr="009B3474">
        <w:t>Research Foundation – Flanders (FWO), Belgie;</w:t>
      </w:r>
    </w:p>
    <w:p w:rsidR="00731241" w:rsidRPr="009B3474" w:rsidP="00BD43EF" w14:paraId="03372255" w14:textId="77777777">
      <w:pPr>
        <w:pStyle w:val="ListParagraph"/>
        <w:numPr>
          <w:ilvl w:val="0"/>
          <w:numId w:val="25"/>
        </w:numPr>
      </w:pPr>
      <w:r w:rsidRPr="009B3474">
        <w:t>Fund for Scientific Research (FNRS), Belgie;</w:t>
      </w:r>
    </w:p>
    <w:p w:rsidR="00731241" w:rsidRPr="009B3474" w:rsidP="00BD43EF" w14:paraId="752CCD6C" w14:textId="77777777">
      <w:pPr>
        <w:pStyle w:val="ListParagraph"/>
        <w:numPr>
          <w:ilvl w:val="0"/>
          <w:numId w:val="25"/>
        </w:numPr>
      </w:pPr>
      <w:r w:rsidRPr="009B3474">
        <w:t>Croatian Science Foundation (HRZZ), Chorvatsko;</w:t>
      </w:r>
    </w:p>
    <w:p w:rsidR="00731241" w:rsidRPr="009B3474" w:rsidP="00BD43EF" w14:paraId="52D1B16E" w14:textId="77777777">
      <w:pPr>
        <w:pStyle w:val="ListParagraph"/>
        <w:numPr>
          <w:ilvl w:val="0"/>
          <w:numId w:val="25"/>
        </w:numPr>
      </w:pPr>
      <w:r w:rsidRPr="009B3474">
        <w:t>German Research Foundation (DFG), Německo;</w:t>
      </w:r>
    </w:p>
    <w:p w:rsidR="00731241" w:rsidRPr="009B3474" w:rsidP="00BD43EF" w14:paraId="5190A9D8" w14:textId="77777777">
      <w:pPr>
        <w:pStyle w:val="ListParagraph"/>
        <w:numPr>
          <w:ilvl w:val="0"/>
          <w:numId w:val="25"/>
        </w:numPr>
      </w:pPr>
      <w:r w:rsidRPr="009B3474">
        <w:t>Luxembourg National Research Fund (FNR), Lucembursko;</w:t>
      </w:r>
    </w:p>
    <w:p w:rsidR="00731241" w:rsidRPr="009B3474" w:rsidP="00BD43EF" w14:paraId="35D097FD" w14:textId="77777777">
      <w:pPr>
        <w:pStyle w:val="ListParagraph"/>
        <w:numPr>
          <w:ilvl w:val="0"/>
          <w:numId w:val="25"/>
        </w:numPr>
      </w:pPr>
      <w:r w:rsidRPr="009B3474">
        <w:t>Research Council of Norway (RCN), Norsko;</w:t>
      </w:r>
    </w:p>
    <w:p w:rsidR="00731241" w:rsidRPr="009B3474" w:rsidP="00BD43EF" w14:paraId="1E639A8E" w14:textId="77777777">
      <w:pPr>
        <w:pStyle w:val="ListParagraph"/>
        <w:numPr>
          <w:ilvl w:val="0"/>
          <w:numId w:val="25"/>
        </w:numPr>
      </w:pPr>
      <w:r w:rsidRPr="009B3474">
        <w:t>National Science Centre (NCN), Polsko;</w:t>
      </w:r>
    </w:p>
    <w:p w:rsidR="00731241" w:rsidRPr="009B3474" w:rsidP="00BD43EF" w14:paraId="6E2D04A9" w14:textId="77777777">
      <w:pPr>
        <w:pStyle w:val="ListParagraph"/>
        <w:numPr>
          <w:ilvl w:val="0"/>
          <w:numId w:val="25"/>
        </w:numPr>
      </w:pPr>
      <w:r w:rsidRPr="009B3474">
        <w:t xml:space="preserve">Slovenian Research Agency (ARRS), Slovinsko; </w:t>
      </w:r>
    </w:p>
    <w:p w:rsidR="00731241" w:rsidRPr="009B3474" w:rsidP="00BD43EF" w14:paraId="5018C7BF" w14:textId="77777777">
      <w:pPr>
        <w:pStyle w:val="ListParagraph"/>
        <w:numPr>
          <w:ilvl w:val="0"/>
          <w:numId w:val="25"/>
        </w:numPr>
      </w:pPr>
      <w:r w:rsidRPr="009B3474">
        <w:t>Swedish Research Council for Sustainable Development (Formas), Švédsko;</w:t>
      </w:r>
    </w:p>
    <w:p w:rsidR="00731241" w:rsidRPr="009B3474" w:rsidP="00BD43EF" w14:paraId="61B3CA12" w14:textId="77777777">
      <w:pPr>
        <w:pStyle w:val="ListParagraph"/>
        <w:numPr>
          <w:ilvl w:val="0"/>
          <w:numId w:val="25"/>
        </w:numPr>
      </w:pPr>
      <w:r w:rsidRPr="009B3474">
        <w:t>Swiss National Science Foundation (SNSF), Švýcarsko.</w:t>
      </w:r>
    </w:p>
    <w:p w:rsidR="00731241" w:rsidRPr="009B3474" w:rsidP="00460B4D" w14:paraId="495BECA8" w14:textId="77777777">
      <w:r w:rsidRPr="009B3474">
        <w:t>Předpokládá se, že se spolupráce rozšíří i na další agentury, které v současné době vystupují v roli pozorovatele:</w:t>
      </w:r>
    </w:p>
    <w:p w:rsidR="00731241" w:rsidRPr="009B3474" w:rsidP="00BD43EF" w14:paraId="6692B3E2" w14:textId="77777777">
      <w:pPr>
        <w:pStyle w:val="ListParagraph"/>
        <w:numPr>
          <w:ilvl w:val="0"/>
          <w:numId w:val="26"/>
        </w:numPr>
      </w:pPr>
      <w:r w:rsidRPr="009B3474">
        <w:t>Academy of Finland (AKA), Finsko;</w:t>
      </w:r>
    </w:p>
    <w:p w:rsidR="00731241" w:rsidRPr="009B3474" w:rsidP="00BD43EF" w14:paraId="250BD08D" w14:textId="77777777">
      <w:pPr>
        <w:pStyle w:val="ListParagraph"/>
        <w:numPr>
          <w:ilvl w:val="0"/>
          <w:numId w:val="26"/>
        </w:numPr>
      </w:pPr>
      <w:r w:rsidRPr="009B3474">
        <w:t>Agence Nationale de la Recherche (ANR), Francie;</w:t>
      </w:r>
    </w:p>
    <w:p w:rsidR="00731241" w:rsidRPr="009B3474" w:rsidP="00BD43EF" w14:paraId="514C76D5" w14:textId="77777777">
      <w:pPr>
        <w:pStyle w:val="ListParagraph"/>
        <w:numPr>
          <w:ilvl w:val="0"/>
          <w:numId w:val="26"/>
        </w:numPr>
      </w:pPr>
      <w:r w:rsidRPr="009B3474">
        <w:t>Science Foundation Ireland (SFI), Irsko;</w:t>
      </w:r>
    </w:p>
    <w:p w:rsidR="00731241" w:rsidRPr="009B3474" w:rsidP="00BD43EF" w14:paraId="7D779966" w14:textId="77777777">
      <w:pPr>
        <w:pStyle w:val="ListParagraph"/>
        <w:numPr>
          <w:ilvl w:val="0"/>
          <w:numId w:val="26"/>
        </w:numPr>
      </w:pPr>
      <w:r w:rsidRPr="009B3474">
        <w:t>Foundation for Science and Technology (FCT), Portugalsko;</w:t>
      </w:r>
    </w:p>
    <w:p w:rsidR="00731241" w:rsidRPr="009B3474" w:rsidP="00BD43EF" w14:paraId="7044DDF4" w14:textId="77777777">
      <w:pPr>
        <w:pStyle w:val="ListParagraph"/>
        <w:numPr>
          <w:ilvl w:val="0"/>
          <w:numId w:val="26"/>
        </w:numPr>
      </w:pPr>
      <w:r w:rsidRPr="009B3474">
        <w:t>Netherlands Organisation for Scientific Research (NWO), Nizozemí;</w:t>
      </w:r>
    </w:p>
    <w:p w:rsidR="00731241" w:rsidRPr="009B3474" w:rsidP="00BD43EF" w14:paraId="1D03DC3E" w14:textId="77777777">
      <w:pPr>
        <w:pStyle w:val="ListParagraph"/>
        <w:numPr>
          <w:ilvl w:val="0"/>
          <w:numId w:val="26"/>
        </w:numPr>
      </w:pPr>
      <w:r w:rsidRPr="009B3474">
        <w:t>UK Research and Innovation (UKRI), Velká Británie</w:t>
      </w:r>
    </w:p>
    <w:p w:rsidR="00731241" w:rsidRPr="00331F75" w:rsidP="00460B4D" w14:paraId="6E49AD32" w14:textId="77777777">
      <w:r w:rsidRPr="009B3474">
        <w:t xml:space="preserve">Podpis „Multilateral Lead Agency Agreement“ proběhl 18. 12. 2020 </w:t>
      </w:r>
      <w:r>
        <w:t xml:space="preserve">a </w:t>
      </w:r>
      <w:r w:rsidRPr="009B3474">
        <w:t>následně také uzavření  příslušných bilaterálních smluv s jednotlivými signatáři Weave</w:t>
      </w:r>
      <w:r>
        <w:t>.</w:t>
      </w:r>
      <w:r w:rsidRPr="009B3474">
        <w:t xml:space="preserve"> První</w:t>
      </w:r>
      <w:r>
        <w:t xml:space="preserve"> </w:t>
      </w:r>
      <w:r w:rsidRPr="009B3474">
        <w:t>vyhlášení  takto rozšířené výzvy proběhlo v roce 2021 a poskytování podpory se plánuje na rok 2022. Tato spolupráce umožní vědcům z výše uvedených zemí bilaterální a multilaterální spolupráce na principu hodnocení Lead Agency. V budoucnu lze předpokládat i další možnosti pro multilaterální LA granty.</w:t>
      </w:r>
    </w:p>
    <w:p w:rsidR="00731241" w:rsidRPr="00331F75" w:rsidP="00460B4D" w14:paraId="1B864C21" w14:textId="574663AA">
      <w:r w:rsidRPr="00331F75">
        <w:t>Z výše uvedeného vyplývá, že GA ČR věnuje mezinárodní spolupráci značnou pozornost. Na tomto poli se osvědčila zejména spolupráce na principu LA. V dalších letech bude GA ČR usilovat o udržení spolupráce se stávajícími zahraničními partnery a hledat nová partnerství, která by byla přínosná pro české vědce a pro rozvoj základního výzkumu v ČR.</w:t>
      </w:r>
      <w:r w:rsidR="00EC1EA8">
        <w:t xml:space="preserve"> </w:t>
      </w:r>
    </w:p>
    <w:p w:rsidR="00731241" w:rsidRPr="00EC1EA8" w:rsidP="00731241" w14:paraId="0A23564C" w14:textId="77777777">
      <w:pPr>
        <w:pStyle w:val="Heading2"/>
        <w:rPr>
          <w:rFonts w:ascii="Calibri" w:hAnsi="Calibri" w:cs="Times New Roman"/>
          <w:iCs/>
        </w:rPr>
      </w:pPr>
      <w:bookmarkStart w:id="126" w:name="_Toc443572171"/>
      <w:bookmarkStart w:id="127" w:name="_Toc256000065"/>
      <w:r w:rsidRPr="00EC1EA8">
        <w:rPr>
          <w:rFonts w:ascii="Calibri" w:hAnsi="Calibri" w:cs="Times New Roman"/>
          <w:iCs/>
        </w:rPr>
        <w:t>8.5. Morální a etické problémy</w:t>
      </w:r>
      <w:bookmarkEnd w:id="127"/>
      <w:bookmarkEnd w:id="126"/>
    </w:p>
    <w:p w:rsidR="00731241" w:rsidRPr="00331F75" w:rsidP="00EC1EA8" w14:paraId="08B25FF4" w14:textId="77777777">
      <w:r w:rsidRPr="00331F75">
        <w:t xml:space="preserve">V rovině morálních a etických zásad je významným úkolem GA ČR zajistit, aby grantové projekty nebyly v rozporu s těmito principy, dobrými mravy a neporušovaly základní principy, jako je rovný přístup k příležitostem </w:t>
      </w:r>
      <w:r>
        <w:t>bez ohledu na</w:t>
      </w:r>
      <w:r w:rsidRPr="00331F75">
        <w:t xml:space="preserve"> pohlaví, ras</w:t>
      </w:r>
      <w:r>
        <w:t>u</w:t>
      </w:r>
      <w:r w:rsidRPr="00331F75">
        <w:t>, národ</w:t>
      </w:r>
      <w:r>
        <w:t>nost</w:t>
      </w:r>
      <w:r w:rsidRPr="00331F75">
        <w:t xml:space="preserve"> či přesvědčení. </w:t>
      </w:r>
    </w:p>
    <w:p w:rsidR="00731241" w:rsidRPr="00331F75" w:rsidP="00EC1EA8" w14:paraId="3E17CBEA" w14:textId="77777777">
      <w:r w:rsidRPr="00331F75">
        <w:t>Vzhledem k širokému spektru grantových projektů, které GA ČR administruje, je spektrum morálních a etických problémů, které lze identifikovat, široké. Tyto problémy lze rozdělit na problémy vědeckého charakteru (například etické problémy zdravotnického výzkumu), problémy s profesionalitou vědeckých pracovníků (osobní selhání odborníků, kt</w:t>
      </w:r>
      <w:r>
        <w:t>eří realizují grantové projekty</w:t>
      </w:r>
      <w:r w:rsidRPr="00331F75">
        <w:t xml:space="preserve"> a v jejich rámci provádějí například soukromé výzkumy, jejichž výsledky pak prezentují) a problémy morálně právní (užití autorských děl a práv k nim při vlastním výzkumu).</w:t>
      </w:r>
    </w:p>
    <w:p w:rsidR="00731241" w:rsidRPr="00331F75" w:rsidP="00EC1EA8" w14:paraId="31F6934B" w14:textId="77777777">
      <w:r w:rsidRPr="00331F75">
        <w:t>Část těchto problémů, převážně problémy vědeckého charakteru, jsou známy a popsány v příslušném grantovém projektu. Jejich posouzení je pak součástí hodnoticího procesu. Vědecká rada GA ČR se soustavně zabývá způsobem hodnocení prostřednictvím hodnoticích panelů včetně úspěšnosti grantových projektů v jednotlivých oborových komisích. Hodnocení grantových projektů provádějí expertní a poradní orgány. Jde o odborně i časově náročnou práci, na níž se podílí čtyři stovky předních specialistů působících v 39 panelech a</w:t>
      </w:r>
      <w:r>
        <w:t> </w:t>
      </w:r>
      <w:r w:rsidRPr="00331F75">
        <w:t>pěti oborových komisích. Na jejich erudici a morálních vlastnostech závisí kvalita a</w:t>
      </w:r>
      <w:r>
        <w:t> </w:t>
      </w:r>
      <w:r w:rsidRPr="00331F75">
        <w:t xml:space="preserve">objektivita hodnoticího procesu. Klíčovým kritériem pro činnost a hodnocení práce hodnoticích panelů je obsazení těchto panelů fundovanými odborníky, kteří respektují etické zásady a nestrannost. </w:t>
      </w:r>
    </w:p>
    <w:p w:rsidR="00731241" w:rsidRPr="00331F75" w:rsidP="00EC1EA8" w14:paraId="5B7D826E" w14:textId="77777777">
      <w:r w:rsidRPr="00331F75">
        <w:t xml:space="preserve">Ostatní morální a etické problémy mohou vznikat v průběhu řešení. Úkolem GA ČR je tyto problémy zaznamenat a najít jejich řešení. I zde je kladen velký důraz na kvalitu a odborné vzdělání členů vědecké rady a předsednictva GA ČR, kteří tyto problémy řeší v rámci pravidelných zasedání. </w:t>
      </w:r>
    </w:p>
    <w:p w:rsidR="00731241" w:rsidRPr="00331F75" w:rsidP="00EC1EA8" w14:paraId="79019C29" w14:textId="77777777">
      <w:r w:rsidRPr="00331F75">
        <w:t xml:space="preserve">Dlouhodobě nastavené systémy kontroly a vysoká úroveň pracovníků působících na klíčových pozicích v celé organizaci tak dávají záruku toho, že veškeré morální a etické problémy jsou zkoumány, vyhodnocovány a patřičně řešeny nejen na počátku každého grantového projektu (tedy během jeho schvalování), ale i během jeho řešení. </w:t>
      </w:r>
    </w:p>
    <w:p w:rsidR="00731241" w:rsidRPr="00331F75" w:rsidP="00EC1EA8" w14:paraId="4DD0C7CE" w14:textId="77777777">
      <w:r w:rsidRPr="00331F75">
        <w:t>Výsledkem dlouhodobého snažení a práce GA ČR je tak kvalitní úroveň základního výzkumu prováděného špičkovými výzkumnými týmy. Dlouhodobá činnost GA ČR, výsledky grantových projektů a úroveň základního výzkumu v ČR tak dávají GA ČR silný mandát pro pokračování další činnosti a k neustálému zlepšování postupů pro eliminaci rizik spojených s morálními a etickými otázkami. GA ČR tak bude i nadále pružně reagovat na stále nová a</w:t>
      </w:r>
      <w:r>
        <w:t> </w:t>
      </w:r>
      <w:r w:rsidRPr="00331F75">
        <w:t>nová rizika a morálně etické otázky, které vyvstávají v souvislosti s novými objevy a</w:t>
      </w:r>
      <w:r>
        <w:t> </w:t>
      </w:r>
      <w:r w:rsidRPr="00331F75">
        <w:t>moderními technologiemi. Systémy kontroly, hodnoticí kritéria a znalostní báze členů klíčových orgánů tak budou neustále aktualizovány, aby bylo dosaženo těch nejpřísnějších standardů a nejlepších výsledků. V návaznosti na tento závazek bude probíhat i vnitřní kontrola personálního zajištění hodnoticích panelů a dalších orgánů GA ČR tak, aby byla zajištěna jejich nestrannost a morální bezúhonnost.</w:t>
      </w:r>
    </w:p>
    <w:p w:rsidR="00731241" w:rsidRPr="00EC1EA8" w:rsidP="00731241" w14:paraId="5D8E0DDD" w14:textId="77777777">
      <w:pPr>
        <w:pStyle w:val="Heading2"/>
        <w:rPr>
          <w:rFonts w:ascii="Calibri" w:hAnsi="Calibri" w:cs="Times New Roman"/>
          <w:iCs/>
        </w:rPr>
      </w:pPr>
      <w:bookmarkStart w:id="128" w:name="_Toc443572172"/>
      <w:bookmarkStart w:id="129" w:name="_Toc256000066"/>
      <w:r w:rsidRPr="00EC1EA8">
        <w:rPr>
          <w:rFonts w:ascii="Calibri" w:hAnsi="Calibri" w:cs="Times New Roman"/>
          <w:iCs/>
        </w:rPr>
        <w:t xml:space="preserve">8.6. Shrnutí koncepce činnosti Grantové agentury České republiky na léta </w:t>
      </w:r>
      <w:bookmarkEnd w:id="128"/>
      <w:r w:rsidRPr="00EC1EA8">
        <w:rPr>
          <w:rFonts w:ascii="Calibri" w:hAnsi="Calibri" w:cs="Times New Roman"/>
          <w:iCs/>
        </w:rPr>
        <w:t>2021+</w:t>
      </w:r>
      <w:bookmarkEnd w:id="129"/>
    </w:p>
    <w:p w:rsidR="00731241" w:rsidRPr="00331F75" w:rsidP="00731241" w14:paraId="2DB6C3EF" w14:textId="77777777">
      <w:pPr>
        <w:pStyle w:val="Heading3"/>
        <w:spacing w:line="288" w:lineRule="auto"/>
      </w:pPr>
      <w:bookmarkStart w:id="130" w:name="_Toc443572173"/>
      <w:bookmarkStart w:id="131" w:name="_Toc256000067"/>
      <w:r>
        <w:t>8</w:t>
      </w:r>
      <w:r w:rsidRPr="00331F75">
        <w:t>.6.1 Stručný popis SWOT analýzy</w:t>
      </w:r>
      <w:bookmarkEnd w:id="131"/>
      <w:bookmarkEnd w:id="130"/>
    </w:p>
    <w:p w:rsidR="00731241" w:rsidRPr="00331F75" w:rsidP="00EC1EA8" w14:paraId="578769D6" w14:textId="77777777">
      <w:pPr>
        <w:rPr>
          <w:lang w:eastAsia="cs-CZ"/>
        </w:rPr>
      </w:pPr>
      <w:r w:rsidRPr="00331F75">
        <w:rPr>
          <w:lang w:eastAsia="cs-CZ"/>
        </w:rPr>
        <w:t xml:space="preserve">Mezi hlavní silné stránky základního výzkumu v České republice dle analýzy SWOT patří: </w:t>
      </w:r>
    </w:p>
    <w:p w:rsidR="00731241" w:rsidRPr="00331F75" w:rsidP="00EC1EA8" w14:paraId="00F4118F" w14:textId="47666EBE">
      <w:pPr>
        <w:ind w:left="708"/>
        <w:rPr>
          <w:lang w:eastAsia="cs-CZ"/>
        </w:rPr>
      </w:pPr>
      <w:r>
        <w:rPr>
          <w:lang w:eastAsia="cs-CZ"/>
        </w:rPr>
        <w:t xml:space="preserve">1) </w:t>
      </w:r>
      <w:r w:rsidRPr="00331F75">
        <w:rPr>
          <w:lang w:eastAsia="cs-CZ"/>
        </w:rPr>
        <w:t xml:space="preserve">rozvinutá výzkumná infrastruktura; </w:t>
      </w:r>
    </w:p>
    <w:p w:rsidR="00731241" w:rsidRPr="00331F75" w:rsidP="00EC1EA8" w14:paraId="2E52541F" w14:textId="0B95803E">
      <w:pPr>
        <w:ind w:left="708"/>
        <w:rPr>
          <w:lang w:eastAsia="cs-CZ"/>
        </w:rPr>
      </w:pPr>
      <w:r w:rsidRPr="00331F75">
        <w:rPr>
          <w:lang w:eastAsia="cs-CZ"/>
        </w:rPr>
        <w:t>2)</w:t>
      </w:r>
      <w:r w:rsidR="00EC1EA8">
        <w:rPr>
          <w:lang w:eastAsia="cs-CZ"/>
        </w:rPr>
        <w:t xml:space="preserve"> </w:t>
      </w:r>
      <w:r w:rsidRPr="00331F75">
        <w:rPr>
          <w:lang w:eastAsia="cs-CZ"/>
        </w:rPr>
        <w:t>kvalitní týmy špičkových vědců, kteří patří mezi evropskou a celosvětovou elitu;</w:t>
      </w:r>
    </w:p>
    <w:p w:rsidR="00731241" w:rsidRPr="00331F75" w:rsidP="00EC1EA8" w14:paraId="599514A6" w14:textId="335D3B42">
      <w:pPr>
        <w:ind w:left="708"/>
        <w:rPr>
          <w:lang w:eastAsia="cs-CZ"/>
        </w:rPr>
      </w:pPr>
      <w:r w:rsidRPr="00331F75">
        <w:rPr>
          <w:lang w:eastAsia="cs-CZ"/>
        </w:rPr>
        <w:t>3)</w:t>
      </w:r>
      <w:r w:rsidR="00EC1EA8">
        <w:rPr>
          <w:lang w:eastAsia="cs-CZ"/>
        </w:rPr>
        <w:t xml:space="preserve"> </w:t>
      </w:r>
      <w:r w:rsidRPr="00331F75">
        <w:rPr>
          <w:lang w:eastAsia="cs-CZ"/>
        </w:rPr>
        <w:t>centralizace poskytování podpory na základní výzkum prostřednictvím GA</w:t>
      </w:r>
      <w:r w:rsidR="00EC1EA8">
        <w:rPr>
          <w:lang w:eastAsia="cs-CZ"/>
        </w:rPr>
        <w:t xml:space="preserve"> </w:t>
      </w:r>
      <w:r w:rsidRPr="00331F75">
        <w:rPr>
          <w:lang w:eastAsia="cs-CZ"/>
        </w:rPr>
        <w:t xml:space="preserve">ČR; </w:t>
      </w:r>
    </w:p>
    <w:p w:rsidR="00731241" w:rsidRPr="00331F75" w:rsidP="00EC1EA8" w14:paraId="4745F74A" w14:textId="47596137">
      <w:pPr>
        <w:ind w:left="708"/>
        <w:rPr>
          <w:lang w:eastAsia="cs-CZ"/>
        </w:rPr>
      </w:pPr>
      <w:r w:rsidRPr="00331F75">
        <w:rPr>
          <w:lang w:eastAsia="cs-CZ"/>
        </w:rPr>
        <w:t>4)</w:t>
      </w:r>
      <w:r w:rsidR="00EC1EA8">
        <w:rPr>
          <w:lang w:eastAsia="cs-CZ"/>
        </w:rPr>
        <w:t xml:space="preserve"> </w:t>
      </w:r>
      <w:r w:rsidRPr="00331F75">
        <w:rPr>
          <w:lang w:eastAsia="cs-CZ"/>
        </w:rPr>
        <w:t xml:space="preserve">existence jednotlivých skupin grantových projektů a zavedených pravidel pro poskytování účelové podpory grantových projektů základního výzkumu; </w:t>
      </w:r>
    </w:p>
    <w:p w:rsidR="00731241" w:rsidRPr="00331F75" w:rsidP="00EC1EA8" w14:paraId="622C9EE8" w14:textId="2AB9B4C2">
      <w:pPr>
        <w:ind w:left="708"/>
        <w:rPr>
          <w:lang w:eastAsia="cs-CZ"/>
        </w:rPr>
      </w:pPr>
      <w:r>
        <w:rPr>
          <w:lang w:eastAsia="cs-CZ"/>
        </w:rPr>
        <w:t xml:space="preserve">5) </w:t>
      </w:r>
      <w:r w:rsidRPr="00331F75">
        <w:rPr>
          <w:lang w:eastAsia="cs-CZ"/>
        </w:rPr>
        <w:t>dosahování vysoce kvalitních výsledků základního výzkumu, kde čeští výzkumníci hrají klíčovou roli;</w:t>
      </w:r>
    </w:p>
    <w:p w:rsidR="00731241" w:rsidRPr="00331F75" w:rsidP="00EC1EA8" w14:paraId="64D91FFE" w14:textId="306E4607">
      <w:pPr>
        <w:ind w:left="708"/>
        <w:rPr>
          <w:lang w:eastAsia="cs-CZ"/>
        </w:rPr>
      </w:pPr>
      <w:r w:rsidRPr="00331F75">
        <w:rPr>
          <w:lang w:eastAsia="cs-CZ"/>
        </w:rPr>
        <w:t>6)</w:t>
      </w:r>
      <w:r w:rsidR="00EC1EA8">
        <w:rPr>
          <w:lang w:eastAsia="cs-CZ"/>
        </w:rPr>
        <w:t xml:space="preserve"> </w:t>
      </w:r>
      <w:r w:rsidRPr="00331F75">
        <w:rPr>
          <w:lang w:eastAsia="cs-CZ"/>
        </w:rPr>
        <w:t>mezinárodní spolupráce.</w:t>
      </w:r>
    </w:p>
    <w:p w:rsidR="00731241" w:rsidRPr="00331F75" w:rsidP="00EC1EA8" w14:paraId="78AD3AD2" w14:textId="77777777">
      <w:pPr>
        <w:rPr>
          <w:lang w:eastAsia="cs-CZ"/>
        </w:rPr>
      </w:pPr>
      <w:r w:rsidRPr="00331F75">
        <w:rPr>
          <w:lang w:eastAsia="cs-CZ"/>
        </w:rPr>
        <w:t xml:space="preserve">Mezi hlavní slabé stránky základního výzkumu v České republice dle analýzy SWOT patří: </w:t>
      </w:r>
    </w:p>
    <w:p w:rsidR="00731241" w:rsidRPr="00331F75" w:rsidP="00EC1EA8" w14:paraId="28B68B8B" w14:textId="44851D24">
      <w:pPr>
        <w:ind w:left="708"/>
        <w:rPr>
          <w:lang w:eastAsia="cs-CZ"/>
        </w:rPr>
      </w:pPr>
      <w:r>
        <w:rPr>
          <w:lang w:eastAsia="cs-CZ"/>
        </w:rPr>
        <w:t xml:space="preserve">1) </w:t>
      </w:r>
      <w:r w:rsidRPr="00331F75">
        <w:rPr>
          <w:lang w:eastAsia="cs-CZ"/>
        </w:rPr>
        <w:t>nízká zpětná vazba od uživatelů výsledků základního výzkumu – tj. chybějící propojení s uživateli výsledků, tedy hlavně s aplikační sférou a dalším aplikovaným výzkumem založeným právě na aktuálních výsledcích základního výzkumu;</w:t>
      </w:r>
    </w:p>
    <w:p w:rsidR="00731241" w:rsidRPr="00331F75" w:rsidP="00EC1EA8" w14:paraId="7E1413B5" w14:textId="6DAB7576">
      <w:pPr>
        <w:ind w:left="708"/>
        <w:rPr>
          <w:lang w:eastAsia="cs-CZ"/>
        </w:rPr>
      </w:pPr>
      <w:r w:rsidRPr="00331F75">
        <w:rPr>
          <w:lang w:eastAsia="cs-CZ"/>
        </w:rPr>
        <w:t>2)</w:t>
      </w:r>
      <w:r w:rsidR="00EC1EA8">
        <w:rPr>
          <w:lang w:eastAsia="cs-CZ"/>
        </w:rPr>
        <w:t xml:space="preserve"> </w:t>
      </w:r>
      <w:r w:rsidRPr="00331F75">
        <w:rPr>
          <w:lang w:eastAsia="cs-CZ"/>
        </w:rPr>
        <w:t>nízká míra uplatnění výsledků základního výzkumu v praxi;</w:t>
      </w:r>
    </w:p>
    <w:p w:rsidR="00731241" w:rsidRPr="00331F75" w:rsidP="00EC1EA8" w14:paraId="6344FA24" w14:textId="417B650D">
      <w:pPr>
        <w:ind w:left="708"/>
        <w:rPr>
          <w:lang w:eastAsia="cs-CZ"/>
        </w:rPr>
      </w:pPr>
      <w:r w:rsidRPr="00331F75">
        <w:rPr>
          <w:lang w:eastAsia="cs-CZ"/>
        </w:rPr>
        <w:t>3)</w:t>
      </w:r>
      <w:r w:rsidR="00EC1EA8">
        <w:rPr>
          <w:lang w:eastAsia="cs-CZ"/>
        </w:rPr>
        <w:t xml:space="preserve"> </w:t>
      </w:r>
      <w:r w:rsidRPr="00331F75">
        <w:rPr>
          <w:lang w:eastAsia="cs-CZ"/>
        </w:rPr>
        <w:t xml:space="preserve">nestabilita prostředí ve smyslu příliš rychlých změn politické či jiné situace; určitou zárukou a bariérou pro tyto změny je existence GA ČR jakožto „nezávislé“ instituce; pro udržení krátkodobých změn co nejdále od vědy je důležité zachovat legislativně vymezenou pozici GA ČR jakožto jediného poskytovatele </w:t>
      </w:r>
      <w:r>
        <w:rPr>
          <w:lang w:eastAsia="cs-CZ"/>
        </w:rPr>
        <w:t xml:space="preserve">účelové </w:t>
      </w:r>
      <w:r w:rsidRPr="00331F75">
        <w:rPr>
          <w:lang w:eastAsia="cs-CZ"/>
        </w:rPr>
        <w:t>grantové podpory pro základní výzkum;</w:t>
      </w:r>
    </w:p>
    <w:p w:rsidR="00731241" w:rsidRPr="00331F75" w:rsidP="00EC1EA8" w14:paraId="683D2CCA" w14:textId="207AFE0E">
      <w:pPr>
        <w:ind w:left="708"/>
        <w:rPr>
          <w:lang w:eastAsia="cs-CZ"/>
        </w:rPr>
      </w:pPr>
      <w:r w:rsidRPr="00331F75">
        <w:rPr>
          <w:lang w:eastAsia="cs-CZ"/>
        </w:rPr>
        <w:t>4)</w:t>
      </w:r>
      <w:r w:rsidR="00EC1EA8">
        <w:rPr>
          <w:lang w:eastAsia="cs-CZ"/>
        </w:rPr>
        <w:t xml:space="preserve"> </w:t>
      </w:r>
      <w:r w:rsidRPr="00331F75">
        <w:rPr>
          <w:lang w:eastAsia="cs-CZ"/>
        </w:rPr>
        <w:t xml:space="preserve">rozdíl ve vybavení vědeckých pracovišť a fyzické opotřebení infrastruktury; </w:t>
      </w:r>
    </w:p>
    <w:p w:rsidR="00731241" w:rsidRPr="00331F75" w:rsidP="00EC1EA8" w14:paraId="0DEC28F0" w14:textId="49F8A24F">
      <w:pPr>
        <w:ind w:left="708"/>
        <w:rPr>
          <w:lang w:eastAsia="cs-CZ"/>
        </w:rPr>
      </w:pPr>
      <w:r w:rsidRPr="00331F75">
        <w:rPr>
          <w:lang w:eastAsia="cs-CZ"/>
        </w:rPr>
        <w:t>5)</w:t>
      </w:r>
      <w:r w:rsidR="00EC1EA8">
        <w:rPr>
          <w:lang w:eastAsia="cs-CZ"/>
        </w:rPr>
        <w:t xml:space="preserve"> </w:t>
      </w:r>
      <w:r w:rsidRPr="00331F75">
        <w:rPr>
          <w:lang w:eastAsia="cs-CZ"/>
        </w:rPr>
        <w:t>nízká míra zapojení do mezinárodních programů;</w:t>
      </w:r>
    </w:p>
    <w:p w:rsidR="00731241" w:rsidRPr="00331F75" w:rsidP="00EC1EA8" w14:paraId="37EB33B7" w14:textId="0E349274">
      <w:pPr>
        <w:ind w:left="708"/>
        <w:rPr>
          <w:lang w:eastAsia="cs-CZ"/>
        </w:rPr>
      </w:pPr>
      <w:r w:rsidRPr="00331F75">
        <w:rPr>
          <w:lang w:eastAsia="cs-CZ"/>
        </w:rPr>
        <w:t>6)</w:t>
      </w:r>
      <w:r w:rsidR="00EC1EA8">
        <w:rPr>
          <w:lang w:eastAsia="cs-CZ"/>
        </w:rPr>
        <w:t xml:space="preserve"> </w:t>
      </w:r>
      <w:r w:rsidRPr="00331F75">
        <w:rPr>
          <w:lang w:eastAsia="cs-CZ"/>
        </w:rPr>
        <w:t>nevyvážená podpora různých oborů;</w:t>
      </w:r>
    </w:p>
    <w:p w:rsidR="00731241" w:rsidRPr="00331F75" w:rsidP="00EC1EA8" w14:paraId="552BB39E" w14:textId="0E620A47">
      <w:pPr>
        <w:ind w:left="708"/>
        <w:rPr>
          <w:lang w:eastAsia="cs-CZ"/>
        </w:rPr>
      </w:pPr>
      <w:r w:rsidRPr="00331F75">
        <w:rPr>
          <w:lang w:eastAsia="cs-CZ"/>
        </w:rPr>
        <w:t>7)</w:t>
      </w:r>
      <w:r w:rsidR="00EC1EA8">
        <w:rPr>
          <w:lang w:eastAsia="cs-CZ"/>
        </w:rPr>
        <w:t xml:space="preserve"> </w:t>
      </w:r>
      <w:r w:rsidRPr="00331F75">
        <w:rPr>
          <w:lang w:eastAsia="cs-CZ"/>
        </w:rPr>
        <w:t>nevhodný poměr institucionální a účelové podpory.</w:t>
      </w:r>
    </w:p>
    <w:p w:rsidR="00731241" w:rsidRPr="00331F75" w:rsidP="00EC1EA8" w14:paraId="0896A0D3" w14:textId="77777777">
      <w:pPr>
        <w:rPr>
          <w:lang w:eastAsia="cs-CZ"/>
        </w:rPr>
      </w:pPr>
      <w:r w:rsidRPr="00331F75">
        <w:rPr>
          <w:lang w:eastAsia="cs-CZ"/>
        </w:rPr>
        <w:t xml:space="preserve">Mezi hlavní příležitosti základního výzkumu v České republice dle analýzy SWOT patří: </w:t>
      </w:r>
    </w:p>
    <w:p w:rsidR="00731241" w:rsidRPr="00331F75" w:rsidP="00EC1EA8" w14:paraId="15A46BC3" w14:textId="00164763">
      <w:pPr>
        <w:ind w:left="708"/>
        <w:rPr>
          <w:lang w:eastAsia="cs-CZ"/>
        </w:rPr>
      </w:pPr>
      <w:r>
        <w:rPr>
          <w:lang w:eastAsia="cs-CZ"/>
        </w:rPr>
        <w:t xml:space="preserve">1) </w:t>
      </w:r>
      <w:r w:rsidRPr="00331F75">
        <w:rPr>
          <w:lang w:eastAsia="cs-CZ"/>
        </w:rPr>
        <w:t>množství potenciálních odběratelů a uživatelů výsledků základního výzkumu (je účelné motivovat výzkumné týmy, které se zaměřují na orientovaný základní výzkum);</w:t>
      </w:r>
    </w:p>
    <w:p w:rsidR="00731241" w:rsidRPr="00331F75" w:rsidP="00EC1EA8" w14:paraId="5FC6D8A7" w14:textId="0D2A18D1">
      <w:pPr>
        <w:ind w:left="708"/>
        <w:rPr>
          <w:lang w:eastAsia="cs-CZ"/>
        </w:rPr>
      </w:pPr>
      <w:r w:rsidRPr="00331F75">
        <w:rPr>
          <w:lang w:eastAsia="cs-CZ"/>
        </w:rPr>
        <w:t>2)</w:t>
      </w:r>
      <w:r w:rsidR="00EC1EA8">
        <w:rPr>
          <w:lang w:eastAsia="cs-CZ"/>
        </w:rPr>
        <w:t xml:space="preserve"> </w:t>
      </w:r>
      <w:r w:rsidRPr="00331F75">
        <w:rPr>
          <w:lang w:eastAsia="cs-CZ"/>
        </w:rPr>
        <w:t>prohloubení spolupráce;</w:t>
      </w:r>
    </w:p>
    <w:p w:rsidR="00731241" w:rsidRPr="00331F75" w:rsidP="00EC1EA8" w14:paraId="6A725D13" w14:textId="58A7886C">
      <w:pPr>
        <w:ind w:left="708"/>
        <w:rPr>
          <w:lang w:eastAsia="cs-CZ"/>
        </w:rPr>
      </w:pPr>
      <w:r w:rsidRPr="00331F75">
        <w:rPr>
          <w:lang w:eastAsia="cs-CZ"/>
        </w:rPr>
        <w:t>3)</w:t>
      </w:r>
      <w:r w:rsidR="00EC1EA8">
        <w:rPr>
          <w:lang w:eastAsia="cs-CZ"/>
        </w:rPr>
        <w:t xml:space="preserve"> </w:t>
      </w:r>
      <w:r w:rsidRPr="00331F75">
        <w:rPr>
          <w:lang w:eastAsia="cs-CZ"/>
        </w:rPr>
        <w:t>zapojení center (kromě GA ČR existují i další poskytovatelé a programy podporující základní výzkum, ať už okrajově či významněji</w:t>
      </w:r>
      <w:r>
        <w:rPr>
          <w:lang w:eastAsia="cs-CZ"/>
        </w:rPr>
        <w:t>)</w:t>
      </w:r>
      <w:r w:rsidRPr="00331F75">
        <w:rPr>
          <w:lang w:eastAsia="cs-CZ"/>
        </w:rPr>
        <w:t xml:space="preserve">. Spolupráce by tak měla probíhat i v rámci hlavních </w:t>
      </w:r>
      <w:r w:rsidRPr="00331F75">
        <w:rPr>
          <w:lang w:eastAsia="cs-CZ"/>
        </w:rPr>
        <w:t>poskytovatelů, aby finanční prostředky, které na základní výzkum plynou, měly obdobná pravidla a kritéria pro jejich získávání;</w:t>
      </w:r>
    </w:p>
    <w:p w:rsidR="00731241" w:rsidRPr="00331F75" w:rsidP="00EC1EA8" w14:paraId="40699D03" w14:textId="686E3DEE">
      <w:pPr>
        <w:ind w:left="708"/>
        <w:rPr>
          <w:lang w:eastAsia="cs-CZ"/>
        </w:rPr>
      </w:pPr>
      <w:r w:rsidRPr="00331F75">
        <w:rPr>
          <w:lang w:eastAsia="cs-CZ"/>
        </w:rPr>
        <w:t>4)</w:t>
      </w:r>
      <w:r w:rsidR="00EC1EA8">
        <w:rPr>
          <w:lang w:eastAsia="cs-CZ"/>
        </w:rPr>
        <w:t xml:space="preserve"> </w:t>
      </w:r>
      <w:r w:rsidRPr="00331F75">
        <w:rPr>
          <w:lang w:eastAsia="cs-CZ"/>
        </w:rPr>
        <w:t>rozvoj odbornosti a konkurenceschopnosti pracovišť i výzkumných týmů a</w:t>
      </w:r>
      <w:r>
        <w:rPr>
          <w:lang w:eastAsia="cs-CZ"/>
        </w:rPr>
        <w:t> </w:t>
      </w:r>
      <w:r w:rsidRPr="00331F75">
        <w:rPr>
          <w:lang w:eastAsia="cs-CZ"/>
        </w:rPr>
        <w:t>jedinců;</w:t>
      </w:r>
    </w:p>
    <w:p w:rsidR="00731241" w:rsidRPr="00331F75" w:rsidP="00EC1EA8" w14:paraId="2EB94047" w14:textId="35523ED0">
      <w:pPr>
        <w:ind w:left="708"/>
        <w:rPr>
          <w:lang w:eastAsia="cs-CZ"/>
        </w:rPr>
      </w:pPr>
      <w:r w:rsidRPr="00331F75">
        <w:rPr>
          <w:lang w:eastAsia="cs-CZ"/>
        </w:rPr>
        <w:t>5)</w:t>
      </w:r>
      <w:r w:rsidR="00EC1EA8">
        <w:rPr>
          <w:lang w:eastAsia="cs-CZ"/>
        </w:rPr>
        <w:t xml:space="preserve"> </w:t>
      </w:r>
      <w:r w:rsidRPr="00331F75">
        <w:rPr>
          <w:lang w:eastAsia="cs-CZ"/>
        </w:rPr>
        <w:t xml:space="preserve">popularizace výzkumu, větší akcent na mladší generaci jako základ nových výzkumných týmů – tomu napomáhají hlavně individuální výrazné úspěchy, které se podaří medializovat a také různé vzdělávací a propagační akce jako je Česká hlava nebo Cena předsedy GA ČR a podobné; </w:t>
      </w:r>
    </w:p>
    <w:p w:rsidR="00731241" w:rsidRPr="00331F75" w:rsidP="00EC1EA8" w14:paraId="13E3A283" w14:textId="0E9008E3">
      <w:pPr>
        <w:ind w:left="708"/>
        <w:rPr>
          <w:lang w:eastAsia="cs-CZ"/>
        </w:rPr>
      </w:pPr>
      <w:r w:rsidRPr="00331F75">
        <w:rPr>
          <w:lang w:eastAsia="cs-CZ"/>
        </w:rPr>
        <w:t>6)</w:t>
      </w:r>
      <w:r w:rsidR="00EC1EA8">
        <w:rPr>
          <w:lang w:eastAsia="cs-CZ"/>
        </w:rPr>
        <w:t xml:space="preserve"> </w:t>
      </w:r>
      <w:r w:rsidRPr="00331F75">
        <w:rPr>
          <w:lang w:eastAsia="cs-CZ"/>
        </w:rPr>
        <w:t>využití prostředků z fondů EU na VaV.</w:t>
      </w:r>
    </w:p>
    <w:p w:rsidR="00731241" w:rsidRPr="00331F75" w:rsidP="00EC1EA8" w14:paraId="1EDE3057" w14:textId="77777777">
      <w:pPr>
        <w:rPr>
          <w:lang w:eastAsia="cs-CZ"/>
        </w:rPr>
      </w:pPr>
      <w:r w:rsidRPr="00331F75">
        <w:rPr>
          <w:lang w:eastAsia="cs-CZ"/>
        </w:rPr>
        <w:t>Mezi hlavní hrozby základního výzkumu v České republice dle analýzy SWOT patří:</w:t>
      </w:r>
    </w:p>
    <w:p w:rsidR="00731241" w:rsidRPr="00331F75" w:rsidP="00EC1EA8" w14:paraId="4CF14EA6" w14:textId="4EF53459">
      <w:pPr>
        <w:ind w:left="708"/>
        <w:rPr>
          <w:lang w:eastAsia="cs-CZ"/>
        </w:rPr>
      </w:pPr>
      <w:r>
        <w:rPr>
          <w:lang w:eastAsia="cs-CZ"/>
        </w:rPr>
        <w:t xml:space="preserve">1) </w:t>
      </w:r>
      <w:r w:rsidRPr="00331F75">
        <w:rPr>
          <w:lang w:eastAsia="cs-CZ"/>
        </w:rPr>
        <w:t>propad konkurenceschopnosti ČR při nedostatku financí na základní výzkum;</w:t>
      </w:r>
    </w:p>
    <w:p w:rsidR="00731241" w:rsidRPr="00331F75" w:rsidP="00EC1EA8" w14:paraId="6063165C" w14:textId="0A6B0A82">
      <w:pPr>
        <w:ind w:left="708"/>
        <w:rPr>
          <w:lang w:eastAsia="cs-CZ"/>
        </w:rPr>
      </w:pPr>
      <w:r w:rsidRPr="00331F75">
        <w:rPr>
          <w:lang w:eastAsia="cs-CZ"/>
        </w:rPr>
        <w:t>2)</w:t>
      </w:r>
      <w:r w:rsidR="00EC1EA8">
        <w:rPr>
          <w:lang w:eastAsia="cs-CZ"/>
        </w:rPr>
        <w:t xml:space="preserve"> </w:t>
      </w:r>
      <w:r w:rsidRPr="00331F75">
        <w:rPr>
          <w:lang w:eastAsia="cs-CZ"/>
        </w:rPr>
        <w:t>ohrožení výzkumu jako celku v návaznosti na nízkou podporu základního výzkumu jako základního kamene (základní výzkum, aplikovaný výzkum a</w:t>
      </w:r>
      <w:r>
        <w:rPr>
          <w:lang w:eastAsia="cs-CZ"/>
        </w:rPr>
        <w:t> </w:t>
      </w:r>
      <w:r w:rsidRPr="00331F75">
        <w:rPr>
          <w:lang w:eastAsia="cs-CZ"/>
        </w:rPr>
        <w:t>experimentální vývoj jsou navzájem propojený živý organismus, který je nutno chápat jako neoddělitelné součásti; snížení či zastavení podpory základního výzkumu vede ke stagnaci tohoto organismu a paralýze celého systému, což by se opět negativně odrazilo na ekonomice země);</w:t>
      </w:r>
    </w:p>
    <w:p w:rsidR="00731241" w:rsidRPr="00331F75" w:rsidP="00EC1EA8" w14:paraId="545DC261" w14:textId="16F661D1">
      <w:pPr>
        <w:ind w:left="708"/>
        <w:rPr>
          <w:lang w:eastAsia="cs-CZ"/>
        </w:rPr>
      </w:pPr>
      <w:r w:rsidRPr="00331F75">
        <w:rPr>
          <w:lang w:eastAsia="cs-CZ"/>
        </w:rPr>
        <w:t>3)</w:t>
      </w:r>
      <w:r w:rsidR="00EC1EA8">
        <w:rPr>
          <w:lang w:eastAsia="cs-CZ"/>
        </w:rPr>
        <w:t xml:space="preserve"> </w:t>
      </w:r>
      <w:r w:rsidRPr="00331F75">
        <w:rPr>
          <w:lang w:eastAsia="cs-CZ"/>
        </w:rPr>
        <w:t>odchody výzkumníků do zahraničí;</w:t>
      </w:r>
    </w:p>
    <w:p w:rsidR="00731241" w:rsidRPr="00331F75" w:rsidP="00EC1EA8" w14:paraId="2BF6DFDA" w14:textId="50AA27E8">
      <w:pPr>
        <w:ind w:left="708"/>
        <w:rPr>
          <w:lang w:eastAsia="cs-CZ"/>
        </w:rPr>
      </w:pPr>
      <w:r w:rsidRPr="00331F75">
        <w:rPr>
          <w:lang w:eastAsia="cs-CZ"/>
        </w:rPr>
        <w:t>4)</w:t>
      </w:r>
      <w:r w:rsidR="00EC1EA8">
        <w:rPr>
          <w:lang w:eastAsia="cs-CZ"/>
        </w:rPr>
        <w:t xml:space="preserve"> </w:t>
      </w:r>
      <w:r w:rsidRPr="00331F75">
        <w:rPr>
          <w:lang w:eastAsia="cs-CZ"/>
        </w:rPr>
        <w:t>disproporce v rámci vědních oborů – i VaV podléhá trendům (důležitým prvkem, který dokáže eliminovat příliš tendenční směřování výzkumu, je prvek jednoho poskytovatele účelové podpory na grantové projekty základního výzkumu – GA</w:t>
      </w:r>
      <w:r>
        <w:rPr>
          <w:lang w:eastAsia="cs-CZ"/>
        </w:rPr>
        <w:t> </w:t>
      </w:r>
      <w:r w:rsidRPr="00331F75">
        <w:rPr>
          <w:lang w:eastAsia="cs-CZ"/>
        </w:rPr>
        <w:t>ČR, který podporuje všechny vědní obory);</w:t>
      </w:r>
    </w:p>
    <w:p w:rsidR="00731241" w:rsidRPr="00331F75" w:rsidP="00EC1EA8" w14:paraId="38F67527" w14:textId="63CB4536">
      <w:pPr>
        <w:ind w:left="708"/>
        <w:rPr>
          <w:lang w:eastAsia="cs-CZ"/>
        </w:rPr>
      </w:pPr>
      <w:r w:rsidRPr="00331F75">
        <w:rPr>
          <w:lang w:eastAsia="cs-CZ"/>
        </w:rPr>
        <w:t>5)</w:t>
      </w:r>
      <w:r w:rsidR="00EC1EA8">
        <w:rPr>
          <w:lang w:eastAsia="cs-CZ"/>
        </w:rPr>
        <w:t xml:space="preserve"> </w:t>
      </w:r>
      <w:r w:rsidRPr="00331F75">
        <w:rPr>
          <w:lang w:eastAsia="cs-CZ"/>
        </w:rPr>
        <w:t>zvýšení administrativní zátěže (zde GA ČR slouží jako instituce se zavedenými procesy, které nekladou na výzkumné týmy přehnané nároky. Tento stav je nutné udržet a v rámci legislativou daných možností usilovat o snižování administrativní zátěže na obou stranách).</w:t>
      </w:r>
    </w:p>
    <w:p w:rsidR="00731241" w:rsidRPr="00331F75" w:rsidP="00731241" w14:paraId="61F93388" w14:textId="77777777">
      <w:pPr>
        <w:pStyle w:val="Heading3"/>
      </w:pPr>
      <w:bookmarkStart w:id="132" w:name="_Toc443572174"/>
      <w:bookmarkStart w:id="133" w:name="_Toc256000068"/>
      <w:r>
        <w:t>8</w:t>
      </w:r>
      <w:r w:rsidRPr="00331F75">
        <w:t>.6.2 Plánované cíle GA ČR</w:t>
      </w:r>
      <w:bookmarkEnd w:id="133"/>
      <w:bookmarkEnd w:id="132"/>
    </w:p>
    <w:p w:rsidR="00731241" w:rsidRPr="00331F75" w:rsidP="00EC1EA8" w14:paraId="303AC47F" w14:textId="77777777">
      <w:r w:rsidRPr="00331F75">
        <w:t xml:space="preserve">Cílem této Koncepce je potvrdit, stabilizovat a dále rozvíjet činnost GA ČR v pozici vyspělé evropské grantové agentury podporující základní výzkum v celé šíři a zapojené do budování Evropského výzkumného prostoru </w:t>
      </w:r>
      <w:r>
        <w:t>(</w:t>
      </w:r>
      <w:r w:rsidRPr="00331F75">
        <w:t>ERA</w:t>
      </w:r>
      <w:r>
        <w:t>)</w:t>
      </w:r>
      <w:r w:rsidRPr="00331F75">
        <w:t>.</w:t>
      </w:r>
    </w:p>
    <w:p w:rsidR="00731241" w:rsidRPr="00331F75" w:rsidP="00EC1EA8" w14:paraId="5990F8AD" w14:textId="77777777">
      <w:r w:rsidRPr="00331F75">
        <w:t>Vizí GA ČR pro následující roky je vytvářet podmínky pro excelentní výzkum ve všech vědních oblastech, napomáhat rozvoji mezinárodní vědecké spolupráce a v návaznosti na současný systém zlepšovat podmínky pro podporu grantových projektů základního výzkumu. Hlavním cílem GA ČR je naplňovat tuto vizi v maximální možné míře s ohledem na omezené lidské, věcné i finanční možnosti ČR.</w:t>
      </w:r>
    </w:p>
    <w:p w:rsidR="00731241" w:rsidRPr="00331F75" w:rsidP="00EC1EA8" w14:paraId="29A0FC0F" w14:textId="77777777">
      <w:r w:rsidRPr="00331F75">
        <w:t>GA ČR zastává klíčovou roli při rozdělování účelových prostředků na základní výzkum v ČR. Plní přitom nelehký úkol, který je zcela klíčový a určující pro návazný systém výzkumu a</w:t>
      </w:r>
      <w:r>
        <w:t> </w:t>
      </w:r>
      <w:r w:rsidRPr="00331F75">
        <w:t>vývoje</w:t>
      </w:r>
      <w:r>
        <w:t>,</w:t>
      </w:r>
      <w:r w:rsidRPr="00331F75">
        <w:t xml:space="preserve"> a tím i pro směřování ČR.</w:t>
      </w:r>
    </w:p>
    <w:p w:rsidR="00731241" w:rsidRPr="00331F75" w:rsidP="00EC1EA8" w14:paraId="1FF2A4EA" w14:textId="77777777">
      <w:r w:rsidRPr="00331F75">
        <w:t xml:space="preserve">Základní a dominantní formou realizace hlavního cíle GA ČR byla a nadále i je podpora standardních grantových projektů. Formami realizace dílčích cílů jsou podpory specifických skupin grantových projektů, v současnosti projektů JUNIOR STAR, projektů POSTDOC INDIVIDUAL FELLOWSHIP, projektů </w:t>
      </w:r>
      <w:r w:rsidRPr="00331F75">
        <w:t xml:space="preserve">excelence v základním výzkumu EXPRO a mezinárodních grantových projektů typu „LA granty“ a bilaterálních (mezinárodních) grantových projektů. </w:t>
      </w:r>
    </w:p>
    <w:p w:rsidR="00731241" w:rsidRPr="00331F75" w:rsidP="00731241" w14:paraId="3AAD7A34" w14:textId="77777777">
      <w:pPr>
        <w:pStyle w:val="Heading3"/>
      </w:pPr>
      <w:bookmarkStart w:id="134" w:name="_Toc443572175"/>
      <w:bookmarkStart w:id="135" w:name="_Toc256000069"/>
      <w:r>
        <w:t>8</w:t>
      </w:r>
      <w:r w:rsidRPr="00331F75">
        <w:t>.6.3 Realizace a naplňování cílů GA</w:t>
      </w:r>
      <w:r>
        <w:t xml:space="preserve"> </w:t>
      </w:r>
      <w:r w:rsidRPr="00331F75">
        <w:t>ČR</w:t>
      </w:r>
      <w:bookmarkEnd w:id="135"/>
      <w:bookmarkEnd w:id="134"/>
    </w:p>
    <w:p w:rsidR="00731241" w:rsidRPr="00331F75" w:rsidP="00EC1EA8" w14:paraId="2C35E486" w14:textId="77777777">
      <w:pPr>
        <w:rPr>
          <w:lang w:eastAsia="cs-CZ"/>
        </w:rPr>
      </w:pPr>
      <w:r w:rsidRPr="00331F75">
        <w:rPr>
          <w:lang w:eastAsia="cs-CZ"/>
        </w:rPr>
        <w:t xml:space="preserve">Mezi koncepční dokumenty vztahující se ke GA ČR patří hlavně zákon č. 130/2002 Sb., </w:t>
      </w:r>
      <w:r w:rsidRPr="00244DE1">
        <w:rPr>
          <w:lang w:eastAsia="cs-CZ"/>
        </w:rPr>
        <w:t>o</w:t>
      </w:r>
      <w:r>
        <w:rPr>
          <w:lang w:eastAsia="cs-CZ"/>
        </w:rPr>
        <w:t> </w:t>
      </w:r>
      <w:r w:rsidRPr="00244DE1">
        <w:rPr>
          <w:lang w:eastAsia="cs-CZ"/>
        </w:rPr>
        <w:t>podpoře výzkumu, experimentálního vývoje a inovací z veřejných prostředků a o změně některých souvisejících zákonů</w:t>
      </w:r>
      <w:r>
        <w:rPr>
          <w:lang w:eastAsia="cs-CZ"/>
        </w:rPr>
        <w:t xml:space="preserve"> </w:t>
      </w:r>
      <w:r w:rsidRPr="00244DE1">
        <w:rPr>
          <w:lang w:eastAsia="cs-CZ"/>
        </w:rPr>
        <w:t>(zákon o podpoře výzkumu, experimentálního vývoje a</w:t>
      </w:r>
      <w:r>
        <w:rPr>
          <w:lang w:eastAsia="cs-CZ"/>
        </w:rPr>
        <w:t> </w:t>
      </w:r>
      <w:r w:rsidRPr="00244DE1">
        <w:rPr>
          <w:lang w:eastAsia="cs-CZ"/>
        </w:rPr>
        <w:t>inovací)</w:t>
      </w:r>
      <w:r w:rsidRPr="00331F75">
        <w:rPr>
          <w:lang w:eastAsia="cs-CZ"/>
        </w:rPr>
        <w:t>, ve znění pozdějších předpisů; Národní politika výzkumu, vývoje a inovací České republiky 2021+, schválená usnesením vlády České republiky ze dne 20. 7. 2020 č. 759 (dále jen „Národní politika VaVaI“); Národní priority orientovaného výzkumu, experimentálního vývoje a inovací, schválené usnesením vlády České republiky ze dne 19. července 2012 č.</w:t>
      </w:r>
      <w:r>
        <w:rPr>
          <w:lang w:eastAsia="cs-CZ"/>
        </w:rPr>
        <w:t> </w:t>
      </w:r>
      <w:r w:rsidRPr="00331F75">
        <w:rPr>
          <w:lang w:eastAsia="cs-CZ"/>
        </w:rPr>
        <w:t>552</w:t>
      </w:r>
      <w:r>
        <w:rPr>
          <w:lang w:eastAsia="cs-CZ"/>
        </w:rPr>
        <w:t>;</w:t>
      </w:r>
      <w:r w:rsidRPr="00331F75">
        <w:rPr>
          <w:lang w:eastAsia="cs-CZ"/>
        </w:rPr>
        <w:t xml:space="preserve"> Implementace Národních priorit orientovaného výzkumu, experimentálního vývoje a</w:t>
      </w:r>
      <w:r>
        <w:rPr>
          <w:lang w:eastAsia="cs-CZ"/>
        </w:rPr>
        <w:t> </w:t>
      </w:r>
      <w:r w:rsidRPr="00331F75">
        <w:rPr>
          <w:lang w:eastAsia="cs-CZ"/>
        </w:rPr>
        <w:t>inovací, schválená usnesením vlády České republiky ze dne 31. července 2013 č. 569</w:t>
      </w:r>
      <w:r>
        <w:rPr>
          <w:lang w:eastAsia="cs-CZ"/>
        </w:rPr>
        <w:t>;</w:t>
      </w:r>
      <w:r w:rsidRPr="00331F75">
        <w:rPr>
          <w:lang w:eastAsia="cs-CZ"/>
        </w:rPr>
        <w:t xml:space="preserve"> Inovační strategie České republiky 2019–2030 schválená usnesením vlády České republiky ze dne 4. února 2019 č. 104; a Národní výzkumná a inovační strategie pro inteligentní specializaci ČR schválená usnesením vlády České republiky ze dne 8. prosince 2014 č. 1028.</w:t>
      </w:r>
    </w:p>
    <w:p w:rsidR="00731241" w:rsidRPr="00331F75" w:rsidP="00EC1EA8" w14:paraId="2A8CB509" w14:textId="77777777">
      <w:pPr>
        <w:rPr>
          <w:lang w:eastAsia="cs-CZ"/>
        </w:rPr>
      </w:pPr>
      <w:r w:rsidRPr="00331F75">
        <w:rPr>
          <w:lang w:eastAsia="cs-CZ"/>
        </w:rPr>
        <w:t>GA ČR v souladu se zákonem o podpoře výzkumu, experimentálního vývoje a inovací za poslední roky nastavila v hodnoticím procesu transparentní mechanismy a provedla řadu pozitivních změn ve fungování agentury, které vedly k posílení pozice GA ČR jako moderní a</w:t>
      </w:r>
      <w:r>
        <w:rPr>
          <w:lang w:eastAsia="cs-CZ"/>
        </w:rPr>
        <w:t> </w:t>
      </w:r>
      <w:r w:rsidRPr="00331F75">
        <w:rPr>
          <w:lang w:eastAsia="cs-CZ"/>
        </w:rPr>
        <w:t>efektivní agentury na podporu základního výzkumu v ČR.</w:t>
      </w:r>
    </w:p>
    <w:p w:rsidR="00731241" w:rsidRPr="00331F75" w:rsidP="00EC1EA8" w14:paraId="7309D144" w14:textId="77777777">
      <w:pPr>
        <w:rPr>
          <w:lang w:eastAsia="cs-CZ"/>
        </w:rPr>
      </w:pPr>
      <w:r w:rsidRPr="00331F75">
        <w:rPr>
          <w:lang w:eastAsia="cs-CZ"/>
        </w:rPr>
        <w:t xml:space="preserve">Podpora základního výzkumu financovaného GA ČR spočívá v takzvaném badatelském (blue-sky) charakteru, v jehož rámci jsou tematické zaměření a cíle realizovaných projektů VaV stanovovány zdola, tedy samotnými výzkumníky. Druhou možností je podpora základního výzkumu s orientovaným charakterem stanovovaná vládními rozhodnutími. </w:t>
      </w:r>
    </w:p>
    <w:p w:rsidR="00731241" w:rsidRPr="00331F75" w:rsidP="00EC1EA8" w14:paraId="5AAE03FB" w14:textId="77777777">
      <w:pPr>
        <w:rPr>
          <w:lang w:eastAsia="cs-CZ"/>
        </w:rPr>
      </w:pPr>
      <w:r w:rsidRPr="00331F75">
        <w:rPr>
          <w:lang w:eastAsia="cs-CZ"/>
        </w:rPr>
        <w:t xml:space="preserve">GA ČR se i nadále bude soustřeďovat na stávající skupiny grantových projektů – standardní grantové projekty, bilaterální (mezinárodní) grantové projekty, „LA granty“, projekty JUNIOR STAR, projekty POSTDOC INDIVIDUAL FELLOWSHIP a projekty excelence v základním výzkumu EXPRO. Konkrétní podmínky příslušných veřejných soutěží v základním výzkumu, včetně jednotlivých požadavků a kritérií, jsou každoročně definovány v jednotlivých zadávacích dokumentacích a upravovány tak, aby odpovídaly aktuální celospolečenské situaci a vyvíjejícím se potřebám společnosti. </w:t>
      </w:r>
    </w:p>
    <w:p w:rsidR="00731241" w:rsidRPr="00331F75" w:rsidP="00EC1EA8" w14:paraId="60DB8BC6" w14:textId="77777777">
      <w:pPr>
        <w:pStyle w:val="Heading1"/>
      </w:pPr>
      <w:r w:rsidRPr="00331F75">
        <w:br w:type="page"/>
      </w:r>
      <w:bookmarkStart w:id="136" w:name="_Toc443572176"/>
      <w:bookmarkStart w:id="137" w:name="_Toc256000070"/>
      <w:r>
        <w:t>9</w:t>
      </w:r>
      <w:r w:rsidRPr="00331F75">
        <w:t>. Kontrola a hodnocení realizace Koncepce</w:t>
      </w:r>
      <w:bookmarkEnd w:id="137"/>
      <w:bookmarkEnd w:id="136"/>
    </w:p>
    <w:p w:rsidR="00731241" w:rsidRPr="00331F75" w:rsidP="00EC1EA8" w14:paraId="224B14DE" w14:textId="77777777">
      <w:r w:rsidRPr="00331F75">
        <w:t xml:space="preserve">Na zajištění cílů Koncepce bude po odborné stránce dohlížet vědecká rada GA ČR v následujícím složení (stav k </w:t>
      </w:r>
      <w:r>
        <w:t>21</w:t>
      </w:r>
      <w:r w:rsidRPr="00331F75">
        <w:t xml:space="preserve">. </w:t>
      </w:r>
      <w:r>
        <w:t>4</w:t>
      </w:r>
      <w:r w:rsidRPr="00331F75">
        <w:t xml:space="preserve">. </w:t>
      </w:r>
      <w:r>
        <w:t>2021</w:t>
      </w:r>
      <w:r w:rsidRPr="00331F75">
        <w:t>):</w:t>
      </w:r>
    </w:p>
    <w:p w:rsidR="00731241" w:rsidRPr="00331F75" w:rsidP="00BD43EF" w14:paraId="356C4BA3" w14:textId="2085CAE5">
      <w:pPr>
        <w:pStyle w:val="ListParagraph"/>
        <w:numPr>
          <w:ilvl w:val="0"/>
          <w:numId w:val="27"/>
        </w:numPr>
      </w:pPr>
      <w:r w:rsidRPr="00331F75">
        <w:t>prof. Ing. Jaroslav Doležel, DrSc. (předseda)</w:t>
      </w:r>
    </w:p>
    <w:p w:rsidR="00731241" w:rsidRPr="00331F75" w:rsidP="00BD43EF" w14:paraId="169E6E87" w14:textId="495FEB72">
      <w:pPr>
        <w:pStyle w:val="ListParagraph"/>
        <w:numPr>
          <w:ilvl w:val="0"/>
          <w:numId w:val="27"/>
        </w:numPr>
      </w:pPr>
      <w:r w:rsidRPr="00331F75">
        <w:t>prof. Ing. František Štěpánek, Ph.D. (místopředseda)</w:t>
      </w:r>
    </w:p>
    <w:p w:rsidR="00731241" w:rsidRPr="00331F75" w:rsidP="00BD43EF" w14:paraId="5703015D" w14:textId="7B03B0EB">
      <w:pPr>
        <w:pStyle w:val="ListParagraph"/>
        <w:numPr>
          <w:ilvl w:val="0"/>
          <w:numId w:val="27"/>
        </w:numPr>
      </w:pPr>
      <w:r w:rsidRPr="00331F75">
        <w:t>prof. RNDr. Pavel Exner, DrSc.</w:t>
      </w:r>
    </w:p>
    <w:p w:rsidR="00731241" w:rsidRPr="00331F75" w:rsidP="00BD43EF" w14:paraId="29584233" w14:textId="2A0DC22D">
      <w:pPr>
        <w:pStyle w:val="ListParagraph"/>
        <w:numPr>
          <w:ilvl w:val="0"/>
          <w:numId w:val="27"/>
        </w:numPr>
      </w:pPr>
      <w:r w:rsidRPr="00331F75">
        <w:t>prof. Ing. Martin Hartl, Ph.D.</w:t>
      </w:r>
    </w:p>
    <w:p w:rsidR="00731241" w:rsidRPr="00331F75" w:rsidP="00BD43EF" w14:paraId="39F06A35" w14:textId="05E0CF92">
      <w:pPr>
        <w:pStyle w:val="ListParagraph"/>
        <w:numPr>
          <w:ilvl w:val="0"/>
          <w:numId w:val="27"/>
        </w:numPr>
      </w:pPr>
      <w:r w:rsidRPr="00331F75">
        <w:t>prof. Ing. Štěpán Jurajda, Ph.D.</w:t>
      </w:r>
    </w:p>
    <w:p w:rsidR="00731241" w:rsidRPr="00331F75" w:rsidP="00BD43EF" w14:paraId="57273843" w14:textId="22EBA4CB">
      <w:pPr>
        <w:pStyle w:val="ListParagraph"/>
        <w:numPr>
          <w:ilvl w:val="0"/>
          <w:numId w:val="27"/>
        </w:numPr>
      </w:pPr>
      <w:r w:rsidRPr="00331F75">
        <w:t>prof. Bengt J. F. Nordén, Dr. mult, honFRSC</w:t>
      </w:r>
    </w:p>
    <w:p w:rsidR="00731241" w:rsidRPr="00331F75" w:rsidP="00BD43EF" w14:paraId="16A64759" w14:textId="21446118">
      <w:pPr>
        <w:pStyle w:val="ListParagraph"/>
        <w:numPr>
          <w:ilvl w:val="0"/>
          <w:numId w:val="27"/>
        </w:numPr>
      </w:pPr>
      <w:r w:rsidRPr="00331F75">
        <w:t>prof. Jana Roithová, Ph.D.</w:t>
      </w:r>
    </w:p>
    <w:p w:rsidR="00731241" w:rsidRPr="00331F75" w:rsidP="00BD43EF" w14:paraId="040BCF1E" w14:textId="5D786305">
      <w:pPr>
        <w:pStyle w:val="ListParagraph"/>
        <w:numPr>
          <w:ilvl w:val="0"/>
          <w:numId w:val="27"/>
        </w:numPr>
      </w:pPr>
      <w:r w:rsidRPr="00331F75">
        <w:t>prof. Avner Shaked, Ph.D.</w:t>
      </w:r>
    </w:p>
    <w:p w:rsidR="00731241" w:rsidRPr="00331F75" w:rsidP="00BD43EF" w14:paraId="541564B3" w14:textId="6D0C84C8">
      <w:pPr>
        <w:pStyle w:val="ListParagraph"/>
        <w:numPr>
          <w:ilvl w:val="0"/>
          <w:numId w:val="27"/>
        </w:numPr>
      </w:pPr>
      <w:r w:rsidRPr="00331F75">
        <w:t>prof. MUDr. Aleksi Šedo, DrSc.</w:t>
      </w:r>
    </w:p>
    <w:p w:rsidR="00731241" w:rsidRPr="00786B1C" w:rsidP="00BD43EF" w14:paraId="53C506B6" w14:textId="1DB6EA86">
      <w:pPr>
        <w:pStyle w:val="ListParagraph"/>
        <w:numPr>
          <w:ilvl w:val="0"/>
          <w:numId w:val="27"/>
        </w:numPr>
      </w:pPr>
      <w:r w:rsidRPr="00331F75">
        <w:t>prof. MUDr. Jiří Zeman, DrSc.</w:t>
      </w:r>
      <w:r w:rsidRPr="003F4ECA">
        <w:t xml:space="preserve"> </w:t>
      </w:r>
    </w:p>
    <w:bookmarkEnd w:id="1"/>
    <w:p w:rsidR="007E3FC5" w:rsidRPr="00EC1EA8" w:rsidP="007035DE" w14:paraId="11E8078E" w14:textId="4D0B7866">
      <w:pPr>
        <w:rPr>
          <w:rFonts w:asciiTheme="minorHAnsi" w:eastAsiaTheme="majorEastAsia" w:hAnsiTheme="minorHAnsi" w:cstheme="majorBidi"/>
          <w:b/>
          <w:color w:val="144A6E"/>
          <w:sz w:val="36"/>
          <w:szCs w:val="32"/>
        </w:rPr>
      </w:pPr>
    </w:p>
    <w:sectPr w:rsidSect="0059623C">
      <w:footerReference w:type="default" r:id="rId10"/>
      <w:pgSz w:w="11906" w:h="16838"/>
      <w:pgMar w:top="1417" w:right="1417" w:bottom="1417" w:left="1417" w:header="708" w:footer="708" w:gutter="0"/>
      <w:pgNumType w:start="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EE"/>
    <w:family w:val="swiss"/>
    <w:pitch w:val="variable"/>
    <w:sig w:usb0="E0002EFF" w:usb1="C000785B" w:usb2="00000009" w:usb3="00000000" w:csb0="000001FF" w:csb1="00000000"/>
  </w:font>
  <w:font w:name="Futura CE">
    <w:altName w:val="Arial"/>
    <w:panose1 w:val="00000000000000000000"/>
    <w:charset w:val="EE"/>
    <w:family w:val="swiss"/>
    <w:notTrueType/>
    <w:pitch w:val="default"/>
    <w:sig w:usb0="00000001" w:usb1="00000000" w:usb2="00000000" w:usb3="00000000" w:csb0="00000003"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8C25ED" w:rsidP="00EA4F75" w14:paraId="41D06244" w14:textId="012A10AD">
    <w:pPr>
      <w:pStyle w:val="Footer"/>
      <w:jc w:val="right"/>
      <w:rPr>
        <w:color w:val="FFFFFF" w:themeColor="background1"/>
      </w:rPr>
    </w:pPr>
  </w:p>
  <w:p w:rsidR="008C25ED" w:rsidP="007E3FC5" w14:paraId="03743D55" w14:textId="2FA00F5C">
    <w:pPr>
      <w:pStyle w:val="Footer"/>
      <w:jc w:val="center"/>
      <w:rPr>
        <w:color w:val="FFFFFF" w:themeColor="background1"/>
      </w:rPr>
    </w:pPr>
    <w:r w:rsidRPr="0059623C">
      <w:rPr>
        <w:noProof/>
        <w:lang w:eastAsia="cs-CZ"/>
      </w:rPr>
      <w:drawing>
        <wp:anchor distT="0" distB="0" distL="114300" distR="114300" simplePos="0" relativeHeight="251658240" behindDoc="1" locked="0" layoutInCell="1" allowOverlap="1">
          <wp:simplePos x="0" y="0"/>
          <wp:positionH relativeFrom="margin">
            <wp:align>center</wp:align>
          </wp:positionH>
          <wp:positionV relativeFrom="paragraph">
            <wp:posOffset>115570</wp:posOffset>
          </wp:positionV>
          <wp:extent cx="7632000" cy="1099863"/>
          <wp:effectExtent l="0" t="0" r="7620" b="0"/>
          <wp:wrapNone/>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3162747" name="Picture 7"/>
                  <pic:cNvPicPr>
                    <a:picLocks noChangeAspect="1" noChangeArrowheads="1"/>
                  </pic:cNvPicPr>
                </pic:nvPicPr>
                <pic:blipFill>
                  <a:blip xmlns:r="http://schemas.openxmlformats.org/officeDocument/2006/relationships" r:embed="rId1"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7632000" cy="1099863"/>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C25ED" w:rsidRPr="007E3FC5" w:rsidP="007E3FC5" w14:paraId="0707585A" w14:textId="2A7A1B82">
    <w:pPr>
      <w:pStyle w:val="Footer"/>
      <w:rPr>
        <w:color w:val="FFFFFF" w:themeColor="background1"/>
      </w:rPr>
    </w:pPr>
    <w:r>
      <w:rPr>
        <w:noProof/>
        <w:lang w:eastAsia="cs-CZ"/>
      </w:rPr>
      <mc:AlternateContent>
        <mc:Choice Requires="wps">
          <w:drawing>
            <wp:anchor distT="45720" distB="45720" distL="114300" distR="114300" simplePos="0" relativeHeight="251660288" behindDoc="0" locked="0" layoutInCell="1" allowOverlap="1">
              <wp:simplePos x="0" y="0"/>
              <wp:positionH relativeFrom="column">
                <wp:posOffset>5473065</wp:posOffset>
              </wp:positionH>
              <wp:positionV relativeFrom="paragraph">
                <wp:posOffset>154305</wp:posOffset>
              </wp:positionV>
              <wp:extent cx="2304288" cy="1778508"/>
              <wp:effectExtent l="0" t="0" r="0" b="0"/>
              <wp:wrapSquare wrapText="bothSides"/>
              <wp:docPr id="217" name="Textové pole 2"/>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2304288" cy="1778508"/>
                      </a:xfrm>
                      <a:prstGeom prst="rect">
                        <a:avLst/>
                      </a:prstGeom>
                      <a:noFill/>
                      <a:ln w="9525">
                        <a:noFill/>
                        <a:miter lim="800000"/>
                        <a:headEnd/>
                        <a:tailEnd/>
                      </a:ln>
                    </wps:spPr>
                    <wps:txbx>
                      <w:txbxContent>
                        <w:p w:rsidR="008C25ED" w:rsidRPr="0010492D" w:rsidP="007E3FC5" w14:textId="4CF4A46F">
                          <w:pPr>
                            <w:rPr>
                              <w:rFonts w:asciiTheme="minorHAnsi" w:hAnsiTheme="minorHAnsi" w:cstheme="minorHAnsi"/>
                            </w:rPr>
                          </w:pPr>
                          <w:r>
                            <w:rPr>
                              <w:rFonts w:asciiTheme="minorHAnsi" w:hAnsiTheme="minorHAnsi" w:cstheme="minorHAnsi"/>
                              <w:color w:val="FFFFFF" w:themeColor="background1"/>
                            </w:rPr>
                            <w:t>stra</w:t>
                          </w:r>
                          <w:r w:rsidRPr="0010492D">
                            <w:rPr>
                              <w:rFonts w:asciiTheme="minorHAnsi" w:hAnsiTheme="minorHAnsi" w:cstheme="minorHAnsi"/>
                              <w:color w:val="FFFFFF" w:themeColor="background1"/>
                            </w:rPr>
                            <w:t xml:space="preserve">na </w:t>
                          </w:r>
                          <w:r w:rsidRPr="0010492D">
                            <w:rPr>
                              <w:rFonts w:asciiTheme="minorHAnsi" w:hAnsiTheme="minorHAnsi" w:cstheme="minorHAnsi"/>
                              <w:b/>
                              <w:bCs/>
                              <w:color w:val="FFFFFF" w:themeColor="background1"/>
                            </w:rPr>
                            <w:fldChar w:fldCharType="begin"/>
                          </w:r>
                          <w:r w:rsidRPr="0010492D">
                            <w:rPr>
                              <w:rFonts w:asciiTheme="minorHAnsi" w:hAnsiTheme="minorHAnsi" w:cstheme="minorHAnsi"/>
                              <w:b/>
                              <w:bCs/>
                              <w:color w:val="FFFFFF" w:themeColor="background1"/>
                            </w:rPr>
                            <w:instrText>PAGE  \* Arabic  \* MERGEFORMAT</w:instrText>
                          </w:r>
                          <w:r w:rsidRPr="0010492D">
                            <w:rPr>
                              <w:rFonts w:asciiTheme="minorHAnsi" w:hAnsiTheme="minorHAnsi" w:cstheme="minorHAnsi"/>
                              <w:b/>
                              <w:bCs/>
                              <w:color w:val="FFFFFF" w:themeColor="background1"/>
                            </w:rPr>
                            <w:fldChar w:fldCharType="separate"/>
                          </w:r>
                          <w:r w:rsidR="00A467AA">
                            <w:rPr>
                              <w:rFonts w:asciiTheme="minorHAnsi" w:hAnsiTheme="minorHAnsi" w:cstheme="minorHAnsi"/>
                              <w:b/>
                              <w:bCs/>
                              <w:noProof/>
                              <w:color w:val="FFFFFF" w:themeColor="background1"/>
                            </w:rPr>
                            <w:t>51</w:t>
                          </w:r>
                          <w:r w:rsidRPr="0010492D">
                            <w:rPr>
                              <w:rFonts w:asciiTheme="minorHAnsi" w:hAnsiTheme="minorHAnsi" w:cstheme="minorHAnsi"/>
                              <w:b/>
                              <w:bCs/>
                              <w:color w:val="FFFFFF" w:themeColor="background1"/>
                            </w:rPr>
                            <w:fldChar w:fldCharType="end"/>
                          </w:r>
                          <w:r w:rsidRPr="0010492D">
                            <w:rPr>
                              <w:rFonts w:asciiTheme="minorHAnsi" w:hAnsiTheme="minorHAnsi" w:cstheme="minorHAnsi"/>
                              <w:color w:val="FFFFFF" w:themeColor="background1"/>
                            </w:rPr>
                            <w:t xml:space="preserve"> z </w:t>
                          </w:r>
                          <w:r w:rsidRPr="0010492D">
                            <w:rPr>
                              <w:rFonts w:asciiTheme="minorHAnsi" w:hAnsiTheme="minorHAnsi" w:cstheme="minorHAnsi"/>
                              <w:b/>
                              <w:bCs/>
                              <w:color w:val="FFFFFF" w:themeColor="background1"/>
                            </w:rPr>
                            <w:fldChar w:fldCharType="begin"/>
                          </w:r>
                          <w:r w:rsidRPr="0010492D">
                            <w:rPr>
                              <w:rFonts w:asciiTheme="minorHAnsi" w:hAnsiTheme="minorHAnsi" w:cstheme="minorHAnsi"/>
                              <w:b/>
                              <w:bCs/>
                              <w:color w:val="FFFFFF" w:themeColor="background1"/>
                            </w:rPr>
                            <w:instrText>NUMPAGES  \* Arabic  \* MERGEFORMAT</w:instrText>
                          </w:r>
                          <w:r w:rsidRPr="0010492D">
                            <w:rPr>
                              <w:rFonts w:asciiTheme="minorHAnsi" w:hAnsiTheme="minorHAnsi" w:cstheme="minorHAnsi"/>
                              <w:b/>
                              <w:bCs/>
                              <w:color w:val="FFFFFF" w:themeColor="background1"/>
                            </w:rPr>
                            <w:fldChar w:fldCharType="separate"/>
                          </w:r>
                          <w:r w:rsidR="00A467AA">
                            <w:rPr>
                              <w:rFonts w:asciiTheme="minorHAnsi" w:hAnsiTheme="minorHAnsi" w:cstheme="minorHAnsi"/>
                              <w:b/>
                              <w:bCs/>
                              <w:noProof/>
                              <w:color w:val="FFFFFF" w:themeColor="background1"/>
                            </w:rPr>
                            <w:t>52</w:t>
                          </w:r>
                          <w:r w:rsidRPr="0010492D">
                            <w:rPr>
                              <w:rFonts w:asciiTheme="minorHAnsi" w:hAnsiTheme="minorHAnsi" w:cstheme="minorHAnsi"/>
                              <w:b/>
                              <w:bCs/>
                              <w:color w:val="FFFFFF" w:themeColor="background1"/>
                            </w:rPr>
                            <w:fldChar w:fldCharType="end"/>
                          </w:r>
                        </w:p>
                      </w:txbxContent>
                    </wps:txbx>
                    <wps:bodyPr rot="0" vert="horz" wrap="square" anchor="t" anchorCtr="0">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ové pole 2" o:spid="_x0000_s2049" type="#_x0000_t202" style="width:181.44pt;height:140.04pt;margin-top:12.15pt;margin-left:430.95pt;mso-height-percent:200;mso-height-relative:margin;mso-width-percent:400;mso-width-relative:margin;mso-wrap-distance-bottom:3.6pt;mso-wrap-distance-left:9pt;mso-wrap-distance-right:9pt;mso-wrap-distance-top:3.6pt;position:absolute;v-text-anchor:top;z-index:251659264" filled="f" fillcolor="this" stroked="f" strokeweight="0.75pt">
              <v:textbox style="mso-fit-shape-to-text:t">
                <w:txbxContent>
                  <w:p w:rsidR="008C25ED" w:rsidRPr="0010492D" w:rsidP="007E3FC5" w14:paraId="53F1E234" w14:textId="4CF4A46F">
                    <w:pPr>
                      <w:rPr>
                        <w:rFonts w:asciiTheme="minorHAnsi" w:hAnsiTheme="minorHAnsi" w:cstheme="minorHAnsi"/>
                      </w:rPr>
                    </w:pPr>
                    <w:r>
                      <w:rPr>
                        <w:rFonts w:asciiTheme="minorHAnsi" w:hAnsiTheme="minorHAnsi" w:cstheme="minorHAnsi"/>
                        <w:color w:val="FFFFFF" w:themeColor="background1"/>
                      </w:rPr>
                      <w:t>stra</w:t>
                    </w:r>
                    <w:r w:rsidRPr="0010492D">
                      <w:rPr>
                        <w:rFonts w:asciiTheme="minorHAnsi" w:hAnsiTheme="minorHAnsi" w:cstheme="minorHAnsi"/>
                        <w:color w:val="FFFFFF" w:themeColor="background1"/>
                      </w:rPr>
                      <w:t xml:space="preserve">na </w:t>
                    </w:r>
                    <w:r w:rsidRPr="0010492D">
                      <w:rPr>
                        <w:rFonts w:asciiTheme="minorHAnsi" w:hAnsiTheme="minorHAnsi" w:cstheme="minorHAnsi"/>
                        <w:b/>
                        <w:bCs/>
                        <w:color w:val="FFFFFF" w:themeColor="background1"/>
                      </w:rPr>
                      <w:fldChar w:fldCharType="begin"/>
                    </w:r>
                    <w:r w:rsidRPr="0010492D">
                      <w:rPr>
                        <w:rFonts w:asciiTheme="minorHAnsi" w:hAnsiTheme="minorHAnsi" w:cstheme="minorHAnsi"/>
                        <w:b/>
                        <w:bCs/>
                        <w:color w:val="FFFFFF" w:themeColor="background1"/>
                      </w:rPr>
                      <w:instrText>PAGE  \* Arabic  \* MERGEFORMAT</w:instrText>
                    </w:r>
                    <w:r w:rsidRPr="0010492D">
                      <w:rPr>
                        <w:rFonts w:asciiTheme="minorHAnsi" w:hAnsiTheme="minorHAnsi" w:cstheme="minorHAnsi"/>
                        <w:b/>
                        <w:bCs/>
                        <w:color w:val="FFFFFF" w:themeColor="background1"/>
                      </w:rPr>
                      <w:fldChar w:fldCharType="separate"/>
                    </w:r>
                    <w:r w:rsidR="00A467AA">
                      <w:rPr>
                        <w:rFonts w:asciiTheme="minorHAnsi" w:hAnsiTheme="minorHAnsi" w:cstheme="minorHAnsi"/>
                        <w:b/>
                        <w:bCs/>
                        <w:noProof/>
                        <w:color w:val="FFFFFF" w:themeColor="background1"/>
                      </w:rPr>
                      <w:t>51</w:t>
                    </w:r>
                    <w:r w:rsidRPr="0010492D">
                      <w:rPr>
                        <w:rFonts w:asciiTheme="minorHAnsi" w:hAnsiTheme="minorHAnsi" w:cstheme="minorHAnsi"/>
                        <w:b/>
                        <w:bCs/>
                        <w:color w:val="FFFFFF" w:themeColor="background1"/>
                      </w:rPr>
                      <w:fldChar w:fldCharType="end"/>
                    </w:r>
                    <w:r w:rsidRPr="0010492D">
                      <w:rPr>
                        <w:rFonts w:asciiTheme="minorHAnsi" w:hAnsiTheme="minorHAnsi" w:cstheme="minorHAnsi"/>
                        <w:color w:val="FFFFFF" w:themeColor="background1"/>
                      </w:rPr>
                      <w:t xml:space="preserve"> z </w:t>
                    </w:r>
                    <w:r w:rsidRPr="0010492D">
                      <w:rPr>
                        <w:rFonts w:asciiTheme="minorHAnsi" w:hAnsiTheme="minorHAnsi" w:cstheme="minorHAnsi"/>
                        <w:b/>
                        <w:bCs/>
                        <w:color w:val="FFFFFF" w:themeColor="background1"/>
                      </w:rPr>
                      <w:fldChar w:fldCharType="begin"/>
                    </w:r>
                    <w:r w:rsidRPr="0010492D">
                      <w:rPr>
                        <w:rFonts w:asciiTheme="minorHAnsi" w:hAnsiTheme="minorHAnsi" w:cstheme="minorHAnsi"/>
                        <w:b/>
                        <w:bCs/>
                        <w:color w:val="FFFFFF" w:themeColor="background1"/>
                      </w:rPr>
                      <w:instrText>NUMPAGES  \* Arabic  \* MERGEFORMAT</w:instrText>
                    </w:r>
                    <w:r w:rsidRPr="0010492D">
                      <w:rPr>
                        <w:rFonts w:asciiTheme="minorHAnsi" w:hAnsiTheme="minorHAnsi" w:cstheme="minorHAnsi"/>
                        <w:b/>
                        <w:bCs/>
                        <w:color w:val="FFFFFF" w:themeColor="background1"/>
                      </w:rPr>
                      <w:fldChar w:fldCharType="separate"/>
                    </w:r>
                    <w:r w:rsidR="00A467AA">
                      <w:rPr>
                        <w:rFonts w:asciiTheme="minorHAnsi" w:hAnsiTheme="minorHAnsi" w:cstheme="minorHAnsi"/>
                        <w:b/>
                        <w:bCs/>
                        <w:noProof/>
                        <w:color w:val="FFFFFF" w:themeColor="background1"/>
                      </w:rPr>
                      <w:t>52</w:t>
                    </w:r>
                    <w:r w:rsidRPr="0010492D">
                      <w:rPr>
                        <w:rFonts w:asciiTheme="minorHAnsi" w:hAnsiTheme="minorHAnsi" w:cstheme="minorHAnsi"/>
                        <w:b/>
                        <w:bCs/>
                        <w:color w:val="FFFFFF" w:themeColor="background1"/>
                      </w:rPr>
                      <w:fldChar w:fldCharType="end"/>
                    </w: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footnote w:type="separator" w:id="0">
    <w:p w:rsidR="00410461" w:rsidP="0031270F" w14:paraId="1A23F29A" w14:textId="77777777">
      <w:pPr>
        <w:spacing w:after="0" w:line="240" w:lineRule="auto"/>
      </w:pPr>
      <w:r>
        <w:separator/>
      </w:r>
    </w:p>
  </w:footnote>
  <w:footnote w:type="continuationSeparator" w:id="1">
    <w:p w:rsidR="00410461" w:rsidP="0031270F" w14:paraId="650D87F5" w14:textId="77777777">
      <w:pPr>
        <w:spacing w:after="0" w:line="240" w:lineRule="auto"/>
      </w:pPr>
      <w:r>
        <w:continuationSeparator/>
      </w:r>
    </w:p>
  </w:footnote>
  <w:footnote w:id="2">
    <w:p w:rsidR="008C25ED" w:rsidRPr="00EC1EA8" w:rsidP="00731241" w14:paraId="466D20FA" w14:textId="77777777">
      <w:pPr>
        <w:pStyle w:val="FootnoteText"/>
        <w:rPr>
          <w:rFonts w:asciiTheme="majorHAnsi" w:hAnsiTheme="majorHAnsi" w:cstheme="majorHAnsi"/>
          <w:sz w:val="18"/>
          <w:szCs w:val="18"/>
        </w:rPr>
      </w:pPr>
      <w:r w:rsidRPr="00EC1EA8">
        <w:rPr>
          <w:rStyle w:val="FootnoteReference"/>
          <w:rFonts w:asciiTheme="majorHAnsi" w:hAnsiTheme="majorHAnsi" w:cstheme="majorHAnsi"/>
          <w:sz w:val="18"/>
          <w:szCs w:val="18"/>
        </w:rPr>
        <w:footnoteRef/>
      </w:r>
      <w:r w:rsidRPr="00EC1EA8">
        <w:rPr>
          <w:rFonts w:asciiTheme="majorHAnsi" w:hAnsiTheme="majorHAnsi" w:cstheme="majorHAnsi"/>
          <w:sz w:val="18"/>
          <w:szCs w:val="18"/>
        </w:rPr>
        <w:t xml:space="preserve"> Dostupné z: </w:t>
      </w:r>
      <w:hyperlink r:id="rId1" w:history="1">
        <w:r w:rsidRPr="00EC1EA8">
          <w:rPr>
            <w:rStyle w:val="Hyperlink"/>
            <w:rFonts w:asciiTheme="majorHAnsi" w:eastAsiaTheme="majorEastAsia" w:hAnsiTheme="majorHAnsi" w:cstheme="majorHAnsi"/>
            <w:sz w:val="18"/>
            <w:szCs w:val="18"/>
          </w:rPr>
          <w:t>https://vedavyzkum.cz/z-domova/z-domova/2-kapitola-frascati-manualu-v-ceskem-jazyce</w:t>
        </w:r>
      </w:hyperlink>
      <w:r w:rsidRPr="00EC1EA8">
        <w:rPr>
          <w:rFonts w:asciiTheme="majorHAnsi" w:hAnsiTheme="majorHAnsi" w:cstheme="majorHAnsi"/>
          <w:sz w:val="18"/>
          <w:szCs w:val="18"/>
        </w:rPr>
        <w:t>, str.</w:t>
      </w:r>
      <w:r w:rsidRPr="00EC1EA8">
        <w:rPr>
          <w:rFonts w:eastAsia="SimSun" w:asciiTheme="majorHAnsi" w:hAnsiTheme="majorHAnsi" w:cstheme="majorHAnsi"/>
          <w:i/>
          <w:color w:val="323E4F" w:themeColor="text2" w:themeShade="BF"/>
          <w:sz w:val="18"/>
          <w:szCs w:val="18"/>
          <w:lang w:eastAsia="zh-CN"/>
        </w:rPr>
        <w:t> </w:t>
      </w:r>
      <w:r w:rsidRPr="00EC1EA8">
        <w:rPr>
          <w:rFonts w:asciiTheme="majorHAnsi" w:hAnsiTheme="majorHAnsi" w:cstheme="majorHAnsi"/>
          <w:sz w:val="18"/>
          <w:szCs w:val="18"/>
        </w:rPr>
        <w:t>51.</w:t>
      </w:r>
    </w:p>
  </w:footnote>
  <w:footnote w:id="3">
    <w:p w:rsidR="008C25ED" w:rsidRPr="00EC1EA8" w:rsidP="00731241" w14:paraId="6396E9EA" w14:textId="77777777">
      <w:pPr>
        <w:pStyle w:val="FootnoteText"/>
        <w:rPr>
          <w:rFonts w:asciiTheme="majorHAnsi" w:hAnsiTheme="majorHAnsi" w:cstheme="majorHAnsi"/>
          <w:sz w:val="18"/>
          <w:szCs w:val="18"/>
        </w:rPr>
      </w:pPr>
      <w:r w:rsidRPr="00EC1EA8">
        <w:rPr>
          <w:rStyle w:val="FootnoteReference"/>
          <w:rFonts w:asciiTheme="majorHAnsi" w:hAnsiTheme="majorHAnsi" w:cstheme="majorHAnsi"/>
          <w:sz w:val="18"/>
          <w:szCs w:val="18"/>
        </w:rPr>
        <w:footnoteRef/>
      </w:r>
      <w:r w:rsidRPr="00EC1EA8">
        <w:rPr>
          <w:rFonts w:asciiTheme="majorHAnsi" w:hAnsiTheme="majorHAnsi" w:cstheme="majorHAnsi"/>
          <w:sz w:val="18"/>
          <w:szCs w:val="18"/>
        </w:rPr>
        <w:t xml:space="preserve"> Národní politika výzkumu, vývoje a inovací České republiky 2021+.</w:t>
      </w:r>
    </w:p>
  </w:footnote>
  <w:footnote w:id="4">
    <w:p w:rsidR="008C25ED" w:rsidRPr="00EC1EA8" w:rsidP="00731241" w14:paraId="2F98A0B5" w14:textId="77777777">
      <w:pPr>
        <w:pStyle w:val="FootnoteText"/>
        <w:rPr>
          <w:rFonts w:asciiTheme="majorHAnsi" w:hAnsiTheme="majorHAnsi" w:cstheme="majorHAnsi"/>
          <w:sz w:val="18"/>
          <w:szCs w:val="18"/>
        </w:rPr>
      </w:pPr>
      <w:r w:rsidRPr="00EC1EA8">
        <w:rPr>
          <w:rStyle w:val="FootnoteReference"/>
          <w:rFonts w:asciiTheme="majorHAnsi" w:hAnsiTheme="majorHAnsi" w:cstheme="majorHAnsi"/>
          <w:sz w:val="18"/>
          <w:szCs w:val="18"/>
        </w:rPr>
        <w:footnoteRef/>
      </w:r>
      <w:r w:rsidRPr="00EC1EA8">
        <w:rPr>
          <w:rFonts w:asciiTheme="majorHAnsi" w:hAnsiTheme="majorHAnsi" w:cstheme="majorHAnsi"/>
          <w:sz w:val="18"/>
          <w:szCs w:val="18"/>
        </w:rPr>
        <w:t xml:space="preserve"> Národní politika výzkumu, vývoje a inovací České republiky 2021+.</w:t>
      </w:r>
    </w:p>
  </w:footnote>
  <w:footnote w:id="5">
    <w:p w:rsidR="008C25ED" w:rsidRPr="00EC1EA8" w:rsidP="00731241" w14:paraId="0D5A0C69" w14:textId="77777777">
      <w:pPr>
        <w:pStyle w:val="FootnoteText"/>
        <w:rPr>
          <w:rFonts w:asciiTheme="majorHAnsi" w:hAnsiTheme="majorHAnsi" w:cstheme="majorHAnsi"/>
          <w:sz w:val="18"/>
          <w:szCs w:val="18"/>
        </w:rPr>
      </w:pPr>
      <w:r w:rsidRPr="00EC1EA8">
        <w:rPr>
          <w:rStyle w:val="FootnoteReference"/>
          <w:rFonts w:asciiTheme="majorHAnsi" w:hAnsiTheme="majorHAnsi" w:cstheme="majorHAnsi"/>
          <w:sz w:val="18"/>
          <w:szCs w:val="18"/>
        </w:rPr>
        <w:footnoteRef/>
      </w:r>
      <w:r w:rsidRPr="00EC1EA8">
        <w:rPr>
          <w:rFonts w:asciiTheme="majorHAnsi" w:hAnsiTheme="majorHAnsi" w:cstheme="majorHAnsi"/>
          <w:sz w:val="18"/>
          <w:szCs w:val="18"/>
        </w:rPr>
        <w:t xml:space="preserve"> Srovnatelné instituce využívají kolem 4 %. Nejsou ale výjimkou ani náklady přesahující 15 % (viz Příloha č. 2).</w:t>
      </w:r>
    </w:p>
  </w:footnote>
  <w:footnote w:id="6">
    <w:p w:rsidR="008C25ED" w:rsidRPr="00EC1EA8" w:rsidP="00731241" w14:paraId="529AC4A7" w14:textId="77777777">
      <w:pPr>
        <w:pStyle w:val="FootnoteText"/>
        <w:rPr>
          <w:rFonts w:asciiTheme="majorHAnsi" w:hAnsiTheme="majorHAnsi" w:cstheme="majorHAnsi"/>
          <w:sz w:val="18"/>
          <w:szCs w:val="18"/>
        </w:rPr>
      </w:pPr>
      <w:r w:rsidRPr="00EC1EA8">
        <w:rPr>
          <w:rStyle w:val="FootnoteReference"/>
          <w:rFonts w:asciiTheme="majorHAnsi" w:hAnsiTheme="majorHAnsi" w:cstheme="majorHAnsi"/>
          <w:sz w:val="18"/>
          <w:szCs w:val="18"/>
        </w:rPr>
        <w:footnoteRef/>
      </w:r>
      <w:r w:rsidRPr="00EC1EA8">
        <w:rPr>
          <w:rFonts w:asciiTheme="majorHAnsi" w:hAnsiTheme="majorHAnsi" w:cstheme="majorHAnsi"/>
          <w:sz w:val="18"/>
          <w:szCs w:val="18"/>
        </w:rPr>
        <w:t xml:space="preserve"> Dostupné z: </w:t>
      </w:r>
      <w:hyperlink r:id="rId2" w:history="1">
        <w:r w:rsidRPr="00EC1EA8">
          <w:rPr>
            <w:rStyle w:val="Hyperlink"/>
            <w:rFonts w:asciiTheme="majorHAnsi" w:eastAsiaTheme="majorEastAsia" w:hAnsiTheme="majorHAnsi" w:cstheme="majorHAnsi"/>
            <w:sz w:val="18"/>
            <w:szCs w:val="18"/>
          </w:rPr>
          <w:t>https://www.vyzkum.cz/FrontAktualita.aspx?aktualita=845681</w:t>
        </w:r>
      </w:hyperlink>
      <w:r w:rsidRPr="00EC1EA8">
        <w:rPr>
          <w:rFonts w:asciiTheme="majorHAnsi" w:hAnsiTheme="majorHAnsi" w:cstheme="majorHAnsi"/>
          <w:sz w:val="18"/>
          <w:szCs w:val="18"/>
        </w:rPr>
        <w:t>.</w:t>
      </w:r>
    </w:p>
  </w:footnote>
  <w:footnote w:id="7">
    <w:p w:rsidR="008C25ED" w:rsidRPr="00EC1EA8" w:rsidP="00731241" w14:paraId="16771077" w14:textId="77777777">
      <w:pPr>
        <w:pStyle w:val="FootnoteText"/>
        <w:rPr>
          <w:rFonts w:asciiTheme="majorHAnsi" w:hAnsiTheme="majorHAnsi" w:cstheme="majorHAnsi"/>
          <w:sz w:val="18"/>
          <w:szCs w:val="18"/>
        </w:rPr>
      </w:pPr>
      <w:r w:rsidRPr="00EC1EA8">
        <w:rPr>
          <w:rStyle w:val="FootnoteReference"/>
          <w:rFonts w:asciiTheme="majorHAnsi" w:hAnsiTheme="majorHAnsi" w:cstheme="majorHAnsi"/>
          <w:sz w:val="18"/>
          <w:szCs w:val="18"/>
        </w:rPr>
        <w:footnoteRef/>
      </w:r>
      <w:r w:rsidRPr="00EC1EA8">
        <w:rPr>
          <w:rFonts w:asciiTheme="majorHAnsi" w:hAnsiTheme="majorHAnsi" w:cstheme="majorHAnsi"/>
          <w:sz w:val="18"/>
          <w:szCs w:val="18"/>
        </w:rPr>
        <w:t xml:space="preserve"> Dostupné z: https://www.planobnovycr.cz/</w:t>
      </w:r>
    </w:p>
  </w:footnote>
  <w:footnote w:id="8">
    <w:p w:rsidR="008C25ED" w:rsidRPr="00EC1EA8" w:rsidP="00731241" w14:paraId="70BF57E1" w14:textId="77777777">
      <w:pPr>
        <w:pStyle w:val="FootnoteText"/>
        <w:rPr>
          <w:rFonts w:asciiTheme="majorHAnsi" w:hAnsiTheme="majorHAnsi" w:cstheme="majorHAnsi"/>
          <w:sz w:val="18"/>
          <w:szCs w:val="18"/>
        </w:rPr>
      </w:pPr>
      <w:r w:rsidRPr="00EC1EA8">
        <w:rPr>
          <w:rStyle w:val="FootnoteReference"/>
          <w:rFonts w:asciiTheme="majorHAnsi" w:hAnsiTheme="majorHAnsi" w:cstheme="majorHAnsi"/>
          <w:sz w:val="18"/>
          <w:szCs w:val="18"/>
        </w:rPr>
        <w:footnoteRef/>
      </w:r>
      <w:r w:rsidRPr="00EC1EA8">
        <w:rPr>
          <w:rFonts w:asciiTheme="majorHAnsi" w:hAnsiTheme="majorHAnsi" w:cstheme="majorHAnsi"/>
          <w:sz w:val="18"/>
          <w:szCs w:val="18"/>
        </w:rPr>
        <w:t xml:space="preserve"> Viz např. cíl č. 1.2 Národní politiky VaVaI 2021+.</w:t>
      </w:r>
    </w:p>
  </w:footnote>
  <w:footnote w:id="9">
    <w:p w:rsidR="008C25ED" w:rsidRPr="00EC1EA8" w:rsidP="00731241" w14:paraId="779B4AD8" w14:textId="77777777">
      <w:pPr>
        <w:pStyle w:val="FootnoteText"/>
        <w:rPr>
          <w:rFonts w:asciiTheme="majorHAnsi" w:hAnsiTheme="majorHAnsi" w:cstheme="majorHAnsi"/>
          <w:sz w:val="18"/>
          <w:szCs w:val="18"/>
        </w:rPr>
      </w:pPr>
      <w:r w:rsidRPr="00EC1EA8">
        <w:rPr>
          <w:rStyle w:val="FootnoteReference"/>
          <w:rFonts w:asciiTheme="majorHAnsi" w:hAnsiTheme="majorHAnsi" w:cstheme="majorHAnsi"/>
          <w:sz w:val="18"/>
          <w:szCs w:val="18"/>
        </w:rPr>
        <w:footnoteRef/>
      </w:r>
      <w:r w:rsidRPr="00EC1EA8">
        <w:rPr>
          <w:rFonts w:asciiTheme="majorHAnsi" w:hAnsiTheme="majorHAnsi" w:cstheme="majorHAnsi"/>
          <w:sz w:val="18"/>
          <w:szCs w:val="18"/>
        </w:rPr>
        <w:t xml:space="preserve"> Institucionální výdaje byly pro rok 2019 schváleny ve výši 109 783 tis. Kč, tj. 2,5 % z celkového objemu</w:t>
      </w:r>
    </w:p>
    <w:p w:rsidR="008C25ED" w:rsidRPr="00EC1EA8" w:rsidP="00731241" w14:paraId="1B934744" w14:textId="77777777">
      <w:pPr>
        <w:pStyle w:val="FootnoteText"/>
        <w:rPr>
          <w:rFonts w:asciiTheme="majorHAnsi" w:hAnsiTheme="majorHAnsi" w:cstheme="majorHAnsi"/>
          <w:sz w:val="18"/>
          <w:szCs w:val="18"/>
        </w:rPr>
      </w:pPr>
      <w:r w:rsidRPr="00EC1EA8">
        <w:rPr>
          <w:rFonts w:asciiTheme="majorHAnsi" w:hAnsiTheme="majorHAnsi" w:cstheme="majorHAnsi"/>
          <w:sz w:val="18"/>
          <w:szCs w:val="18"/>
        </w:rPr>
        <w:t>prostředků GA ČR.</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FFFFFF89"/>
    <w:multiLevelType w:val="singleLevel"/>
    <w:tmpl w:val="A202B1DC"/>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1390226A"/>
    <w:multiLevelType w:val="hybridMultilevel"/>
    <w:tmpl w:val="CCCADA96"/>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
    <w:nsid w:val="1589620B"/>
    <w:multiLevelType w:val="hybridMultilevel"/>
    <w:tmpl w:val="28EE8F34"/>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3">
    <w:nsid w:val="16A61B45"/>
    <w:multiLevelType w:val="hybridMultilevel"/>
    <w:tmpl w:val="969459D6"/>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4">
    <w:nsid w:val="1CCD202D"/>
    <w:multiLevelType w:val="hybridMultilevel"/>
    <w:tmpl w:val="244CCCBC"/>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5">
    <w:nsid w:val="222A6F23"/>
    <w:multiLevelType w:val="hybridMultilevel"/>
    <w:tmpl w:val="AADA1A54"/>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6">
    <w:nsid w:val="229C03A8"/>
    <w:multiLevelType w:val="hybridMultilevel"/>
    <w:tmpl w:val="F12833B0"/>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7">
    <w:nsid w:val="292A6124"/>
    <w:multiLevelType w:val="hybridMultilevel"/>
    <w:tmpl w:val="F9D27F80"/>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8">
    <w:nsid w:val="29420BB6"/>
    <w:multiLevelType w:val="hybridMultilevel"/>
    <w:tmpl w:val="04B01886"/>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9">
    <w:nsid w:val="32E64C50"/>
    <w:multiLevelType w:val="hybridMultilevel"/>
    <w:tmpl w:val="A648A3C4"/>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0">
    <w:nsid w:val="3802551F"/>
    <w:multiLevelType w:val="hybridMultilevel"/>
    <w:tmpl w:val="76DC605C"/>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1">
    <w:nsid w:val="3D0A7214"/>
    <w:multiLevelType w:val="hybridMultilevel"/>
    <w:tmpl w:val="8EF27548"/>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2">
    <w:nsid w:val="42B14E8E"/>
    <w:multiLevelType w:val="hybridMultilevel"/>
    <w:tmpl w:val="C90EB744"/>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3">
    <w:nsid w:val="478574DC"/>
    <w:multiLevelType w:val="hybridMultilevel"/>
    <w:tmpl w:val="E38AD8EC"/>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4">
    <w:nsid w:val="51421FDE"/>
    <w:multiLevelType w:val="hybridMultilevel"/>
    <w:tmpl w:val="893E9E0E"/>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5">
    <w:nsid w:val="5DF70F91"/>
    <w:multiLevelType w:val="hybridMultilevel"/>
    <w:tmpl w:val="CAB0665A"/>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6">
    <w:nsid w:val="65BE094E"/>
    <w:multiLevelType w:val="hybridMultilevel"/>
    <w:tmpl w:val="66E86470"/>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7">
    <w:nsid w:val="65FC43AF"/>
    <w:multiLevelType w:val="hybridMultilevel"/>
    <w:tmpl w:val="C9B24706"/>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8">
    <w:nsid w:val="6654635E"/>
    <w:multiLevelType w:val="hybridMultilevel"/>
    <w:tmpl w:val="B3403D9C"/>
    <w:lvl w:ilvl="0">
      <w:start w:val="1"/>
      <w:numFmt w:val="bullet"/>
      <w:lvlText w:val=""/>
      <w:lvlJc w:val="left"/>
      <w:pPr>
        <w:ind w:left="720" w:hanging="360"/>
      </w:pPr>
      <w:rPr>
        <w:rFonts w:ascii="Wingdings" w:hAnsi="Wingdings" w:hint="default"/>
      </w:rPr>
    </w:lvl>
    <w:lvl w:ilvl="1">
      <w:start w:val="1"/>
      <w:numFmt w:val="bullet"/>
      <w:lvlText w:val=""/>
      <w:lvlJc w:val="left"/>
      <w:pPr>
        <w:ind w:left="1440" w:hanging="360"/>
      </w:pPr>
      <w:rPr>
        <w:rFonts w:ascii="Wingdings" w:hAnsi="Wingdings"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9">
    <w:nsid w:val="66F34781"/>
    <w:multiLevelType w:val="hybridMultilevel"/>
    <w:tmpl w:val="A2F4FEF6"/>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0">
    <w:nsid w:val="679D35C7"/>
    <w:multiLevelType w:val="hybridMultilevel"/>
    <w:tmpl w:val="A37C4198"/>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1">
    <w:nsid w:val="68CB6F4E"/>
    <w:multiLevelType w:val="hybridMultilevel"/>
    <w:tmpl w:val="84704A72"/>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2">
    <w:nsid w:val="6FA14734"/>
    <w:multiLevelType w:val="hybridMultilevel"/>
    <w:tmpl w:val="9278AD64"/>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3">
    <w:nsid w:val="73206984"/>
    <w:multiLevelType w:val="hybridMultilevel"/>
    <w:tmpl w:val="99585B12"/>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4">
    <w:nsid w:val="76D46A99"/>
    <w:multiLevelType w:val="hybridMultilevel"/>
    <w:tmpl w:val="996EB3E4"/>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5">
    <w:nsid w:val="781D54B9"/>
    <w:multiLevelType w:val="hybridMultilevel"/>
    <w:tmpl w:val="EEA614F2"/>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26">
    <w:nsid w:val="7BD9115F"/>
    <w:multiLevelType w:val="hybridMultilevel"/>
    <w:tmpl w:val="5D90BD66"/>
    <w:lvl w:ilvl="0">
      <w:start w:val="1"/>
      <w:numFmt w:val="bullet"/>
      <w:lvlText w:val=""/>
      <w:lvlJc w:val="left"/>
      <w:pPr>
        <w:ind w:left="720" w:hanging="360"/>
      </w:pPr>
      <w:rPr>
        <w:rFonts w:ascii="Wingdings" w:hAnsi="Wingdings"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5"/>
  </w:num>
  <w:num w:numId="4">
    <w:abstractNumId w:val="23"/>
  </w:num>
  <w:num w:numId="5">
    <w:abstractNumId w:val="10"/>
  </w:num>
  <w:num w:numId="6">
    <w:abstractNumId w:val="4"/>
  </w:num>
  <w:num w:numId="7">
    <w:abstractNumId w:val="7"/>
  </w:num>
  <w:num w:numId="8">
    <w:abstractNumId w:val="1"/>
  </w:num>
  <w:num w:numId="9">
    <w:abstractNumId w:val="17"/>
  </w:num>
  <w:num w:numId="10">
    <w:abstractNumId w:val="24"/>
  </w:num>
  <w:num w:numId="11">
    <w:abstractNumId w:val="3"/>
  </w:num>
  <w:num w:numId="12">
    <w:abstractNumId w:val="9"/>
  </w:num>
  <w:num w:numId="13">
    <w:abstractNumId w:val="14"/>
  </w:num>
  <w:num w:numId="14">
    <w:abstractNumId w:val="12"/>
  </w:num>
  <w:num w:numId="15">
    <w:abstractNumId w:val="26"/>
  </w:num>
  <w:num w:numId="16">
    <w:abstractNumId w:val="25"/>
  </w:num>
  <w:num w:numId="17">
    <w:abstractNumId w:val="22"/>
  </w:num>
  <w:num w:numId="18">
    <w:abstractNumId w:val="20"/>
  </w:num>
  <w:num w:numId="19">
    <w:abstractNumId w:val="18"/>
  </w:num>
  <w:num w:numId="20">
    <w:abstractNumId w:val="21"/>
  </w:num>
  <w:num w:numId="21">
    <w:abstractNumId w:val="19"/>
  </w:num>
  <w:num w:numId="22">
    <w:abstractNumId w:val="11"/>
  </w:num>
  <w:num w:numId="23">
    <w:abstractNumId w:val="13"/>
  </w:num>
  <w:num w:numId="24">
    <w:abstractNumId w:val="15"/>
  </w:num>
  <w:num w:numId="25">
    <w:abstractNumId w:val="8"/>
  </w:num>
  <w:num w:numId="26">
    <w:abstractNumId w:val="16"/>
  </w:num>
  <w:num w:numId="27">
    <w:abstractNumId w:val="6"/>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0"/>
    <w:footnote w:id="1"/>
  </w:foot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1270F"/>
    <w:rsid w:val="00011919"/>
    <w:rsid w:val="0004284A"/>
    <w:rsid w:val="00044148"/>
    <w:rsid w:val="00095566"/>
    <w:rsid w:val="000D1D99"/>
    <w:rsid w:val="000E26D6"/>
    <w:rsid w:val="0010492D"/>
    <w:rsid w:val="00110881"/>
    <w:rsid w:val="00115589"/>
    <w:rsid w:val="00137FDF"/>
    <w:rsid w:val="001633B0"/>
    <w:rsid w:val="00174E89"/>
    <w:rsid w:val="00185085"/>
    <w:rsid w:val="00193157"/>
    <w:rsid w:val="00197AC6"/>
    <w:rsid w:val="001C2640"/>
    <w:rsid w:val="001C3A21"/>
    <w:rsid w:val="001E5D1D"/>
    <w:rsid w:val="002215AC"/>
    <w:rsid w:val="00237CBA"/>
    <w:rsid w:val="00244DE1"/>
    <w:rsid w:val="00252988"/>
    <w:rsid w:val="002912D8"/>
    <w:rsid w:val="002B0B3F"/>
    <w:rsid w:val="002C1F7B"/>
    <w:rsid w:val="002E0BB0"/>
    <w:rsid w:val="002E62D5"/>
    <w:rsid w:val="003001BF"/>
    <w:rsid w:val="00311C31"/>
    <w:rsid w:val="0031270F"/>
    <w:rsid w:val="003162C7"/>
    <w:rsid w:val="00331F75"/>
    <w:rsid w:val="0036197A"/>
    <w:rsid w:val="003779F6"/>
    <w:rsid w:val="00386B29"/>
    <w:rsid w:val="003A16FA"/>
    <w:rsid w:val="003E1ADD"/>
    <w:rsid w:val="003E4BBB"/>
    <w:rsid w:val="003F4ECA"/>
    <w:rsid w:val="00402951"/>
    <w:rsid w:val="00410461"/>
    <w:rsid w:val="0041070A"/>
    <w:rsid w:val="00460B4D"/>
    <w:rsid w:val="00470911"/>
    <w:rsid w:val="004C6689"/>
    <w:rsid w:val="004D3562"/>
    <w:rsid w:val="004F4ACC"/>
    <w:rsid w:val="00520FEF"/>
    <w:rsid w:val="005608BE"/>
    <w:rsid w:val="00564ECA"/>
    <w:rsid w:val="0059623C"/>
    <w:rsid w:val="005B0D30"/>
    <w:rsid w:val="005B46AD"/>
    <w:rsid w:val="005B509C"/>
    <w:rsid w:val="005C06B9"/>
    <w:rsid w:val="005C262E"/>
    <w:rsid w:val="005D031F"/>
    <w:rsid w:val="006306CB"/>
    <w:rsid w:val="006530ED"/>
    <w:rsid w:val="006776EA"/>
    <w:rsid w:val="006954C6"/>
    <w:rsid w:val="006A1299"/>
    <w:rsid w:val="006A56BF"/>
    <w:rsid w:val="006C3F82"/>
    <w:rsid w:val="006F65AD"/>
    <w:rsid w:val="007035DE"/>
    <w:rsid w:val="00723147"/>
    <w:rsid w:val="00731241"/>
    <w:rsid w:val="00756FC6"/>
    <w:rsid w:val="00776BD1"/>
    <w:rsid w:val="00786B1C"/>
    <w:rsid w:val="007B41CE"/>
    <w:rsid w:val="007C723B"/>
    <w:rsid w:val="007D3732"/>
    <w:rsid w:val="007D70DC"/>
    <w:rsid w:val="007E3FC5"/>
    <w:rsid w:val="007F6737"/>
    <w:rsid w:val="007F7456"/>
    <w:rsid w:val="00812D48"/>
    <w:rsid w:val="0084202F"/>
    <w:rsid w:val="00845ECD"/>
    <w:rsid w:val="008537D2"/>
    <w:rsid w:val="008624E1"/>
    <w:rsid w:val="00885CB7"/>
    <w:rsid w:val="008A3240"/>
    <w:rsid w:val="008B3444"/>
    <w:rsid w:val="008B59A1"/>
    <w:rsid w:val="008C25ED"/>
    <w:rsid w:val="008C6A65"/>
    <w:rsid w:val="008F2D11"/>
    <w:rsid w:val="009B3474"/>
    <w:rsid w:val="009B603D"/>
    <w:rsid w:val="009C1013"/>
    <w:rsid w:val="009C1F05"/>
    <w:rsid w:val="009D7F05"/>
    <w:rsid w:val="00A05719"/>
    <w:rsid w:val="00A21119"/>
    <w:rsid w:val="00A34D87"/>
    <w:rsid w:val="00A467AA"/>
    <w:rsid w:val="00A53FF8"/>
    <w:rsid w:val="00A852F9"/>
    <w:rsid w:val="00A902FE"/>
    <w:rsid w:val="00A96D06"/>
    <w:rsid w:val="00AE147A"/>
    <w:rsid w:val="00B01E54"/>
    <w:rsid w:val="00B048D6"/>
    <w:rsid w:val="00B37185"/>
    <w:rsid w:val="00B50BA9"/>
    <w:rsid w:val="00B5233D"/>
    <w:rsid w:val="00B53A3E"/>
    <w:rsid w:val="00B83D66"/>
    <w:rsid w:val="00B86C3D"/>
    <w:rsid w:val="00BB7AB1"/>
    <w:rsid w:val="00BD43EF"/>
    <w:rsid w:val="00C00B36"/>
    <w:rsid w:val="00C029E5"/>
    <w:rsid w:val="00C10DA8"/>
    <w:rsid w:val="00C16AF8"/>
    <w:rsid w:val="00C44D03"/>
    <w:rsid w:val="00C4628F"/>
    <w:rsid w:val="00C60E96"/>
    <w:rsid w:val="00C7739C"/>
    <w:rsid w:val="00C93A72"/>
    <w:rsid w:val="00CE26B7"/>
    <w:rsid w:val="00D00D17"/>
    <w:rsid w:val="00D11A2A"/>
    <w:rsid w:val="00D909D4"/>
    <w:rsid w:val="00D953CB"/>
    <w:rsid w:val="00DA1F54"/>
    <w:rsid w:val="00DB29EE"/>
    <w:rsid w:val="00DB4CFB"/>
    <w:rsid w:val="00DE5CEF"/>
    <w:rsid w:val="00DF694E"/>
    <w:rsid w:val="00E32E56"/>
    <w:rsid w:val="00E4316C"/>
    <w:rsid w:val="00E44029"/>
    <w:rsid w:val="00E60345"/>
    <w:rsid w:val="00E6500B"/>
    <w:rsid w:val="00E8383D"/>
    <w:rsid w:val="00E84845"/>
    <w:rsid w:val="00E952C2"/>
    <w:rsid w:val="00EA4F75"/>
    <w:rsid w:val="00EC1EA8"/>
    <w:rsid w:val="00F21154"/>
    <w:rsid w:val="00F23659"/>
    <w:rsid w:val="00F501E4"/>
    <w:rsid w:val="00F505EB"/>
    <w:rsid w:val="00FA0734"/>
    <w:rsid w:val="00FE1A59"/>
  </w:rsids>
  <m:mathPr>
    <m:mathFont m:val="Cambria Math"/>
  </m:mathPr>
  <w:themeFontLang w:val="cs-CZ"/>
  <w:clrSchemeMapping w:bg1="light1" w:t1="dark1" w:bg2="light2" w:t2="dark2" w:accent1="accent1" w:accent2="accent2" w:accent3="accent3" w:accent4="accent4" w:accent5="accent5" w:accent6="accent6" w:hyperlink="hyperlink" w:followedHyperlink="followedHyperlink"/>
  <w15:chartTrackingRefBased/>
  <w15:docId w15:val="{8518A1E1-CACE-4447-B7DC-943327C993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A16FA"/>
    <w:pPr>
      <w:spacing w:after="200" w:line="276" w:lineRule="auto"/>
      <w:jc w:val="both"/>
    </w:pPr>
    <w:rPr>
      <w:rFonts w:ascii="Calibri Light" w:hAnsi="Calibri Light"/>
    </w:rPr>
  </w:style>
  <w:style w:type="paragraph" w:styleId="Heading1">
    <w:name w:val="heading 1"/>
    <w:basedOn w:val="Normal"/>
    <w:next w:val="Normal"/>
    <w:link w:val="Nadpis1Char"/>
    <w:uiPriority w:val="99"/>
    <w:qFormat/>
    <w:rsid w:val="00E8383D"/>
    <w:pPr>
      <w:keepNext/>
      <w:keepLines/>
      <w:spacing w:before="240" w:after="0"/>
      <w:outlineLvl w:val="0"/>
    </w:pPr>
    <w:rPr>
      <w:rFonts w:asciiTheme="minorHAnsi" w:eastAsiaTheme="majorEastAsia" w:hAnsiTheme="minorHAnsi" w:cstheme="majorBidi"/>
      <w:b/>
      <w:color w:val="144A6E"/>
      <w:sz w:val="36"/>
      <w:szCs w:val="32"/>
    </w:rPr>
  </w:style>
  <w:style w:type="paragraph" w:styleId="Heading2">
    <w:name w:val="heading 2"/>
    <w:basedOn w:val="Normal"/>
    <w:next w:val="Normal"/>
    <w:link w:val="Nadpis2Char"/>
    <w:uiPriority w:val="99"/>
    <w:unhideWhenUsed/>
    <w:qFormat/>
    <w:rsid w:val="00E8383D"/>
    <w:pPr>
      <w:keepNext/>
      <w:keepLines/>
      <w:spacing w:before="40" w:after="0"/>
      <w:outlineLvl w:val="1"/>
    </w:pPr>
    <w:rPr>
      <w:rFonts w:asciiTheme="minorHAnsi" w:eastAsiaTheme="majorEastAsia" w:hAnsiTheme="minorHAnsi" w:cstheme="majorBidi"/>
      <w:b/>
      <w:color w:val="144A6E"/>
      <w:sz w:val="28"/>
      <w:szCs w:val="26"/>
    </w:rPr>
  </w:style>
  <w:style w:type="paragraph" w:styleId="Heading3">
    <w:name w:val="heading 3"/>
    <w:basedOn w:val="Normal"/>
    <w:next w:val="Normal"/>
    <w:link w:val="Nadpis3Char"/>
    <w:uiPriority w:val="99"/>
    <w:unhideWhenUsed/>
    <w:qFormat/>
    <w:rsid w:val="00C93A72"/>
    <w:pPr>
      <w:keepNext/>
      <w:keepLines/>
      <w:spacing w:before="40" w:after="0"/>
      <w:outlineLvl w:val="2"/>
    </w:pPr>
    <w:rPr>
      <w:rFonts w:asciiTheme="minorHAnsi" w:eastAsiaTheme="majorEastAsia" w:hAnsiTheme="minorHAnsi" w:cstheme="majorBidi"/>
      <w:color w:val="144A6E"/>
      <w:sz w:val="24"/>
      <w:szCs w:val="24"/>
    </w:rPr>
  </w:style>
  <w:style w:type="paragraph" w:styleId="Heading4">
    <w:name w:val="heading 4"/>
    <w:basedOn w:val="Normal"/>
    <w:next w:val="Normal"/>
    <w:link w:val="Nadpis4Char"/>
    <w:uiPriority w:val="99"/>
    <w:qFormat/>
    <w:rsid w:val="00731241"/>
    <w:pPr>
      <w:keepNext/>
      <w:keepLines/>
      <w:spacing w:before="200" w:after="0" w:line="240" w:lineRule="auto"/>
      <w:jc w:val="left"/>
      <w:outlineLvl w:val="3"/>
    </w:pPr>
    <w:rPr>
      <w:rFonts w:ascii="Cambria" w:eastAsia="Times New Roman" w:hAnsi="Cambria" w:cs="Times New Roman"/>
      <w:b/>
      <w:bCs/>
      <w:i/>
      <w:iCs/>
      <w:color w:val="4F81BD"/>
      <w:sz w:val="24"/>
      <w:szCs w:val="24"/>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ZhlavChar"/>
    <w:uiPriority w:val="99"/>
    <w:unhideWhenUsed/>
    <w:rsid w:val="0031270F"/>
    <w:pPr>
      <w:tabs>
        <w:tab w:val="center" w:pos="4536"/>
        <w:tab w:val="right" w:pos="9072"/>
      </w:tabs>
      <w:spacing w:after="0" w:line="240" w:lineRule="auto"/>
    </w:pPr>
    <w:rPr>
      <w:rFonts w:asciiTheme="minorHAnsi" w:hAnsiTheme="minorHAnsi"/>
    </w:rPr>
  </w:style>
  <w:style w:type="character" w:customStyle="1" w:styleId="ZhlavChar">
    <w:name w:val="Záhlaví Char"/>
    <w:basedOn w:val="DefaultParagraphFont"/>
    <w:link w:val="Header"/>
    <w:uiPriority w:val="99"/>
    <w:rsid w:val="0031270F"/>
  </w:style>
  <w:style w:type="paragraph" w:styleId="Footer">
    <w:name w:val="footer"/>
    <w:basedOn w:val="Normal"/>
    <w:link w:val="ZpatChar"/>
    <w:uiPriority w:val="99"/>
    <w:unhideWhenUsed/>
    <w:rsid w:val="0031270F"/>
    <w:pPr>
      <w:tabs>
        <w:tab w:val="center" w:pos="4536"/>
        <w:tab w:val="right" w:pos="9072"/>
      </w:tabs>
      <w:spacing w:after="0" w:line="240" w:lineRule="auto"/>
    </w:pPr>
    <w:rPr>
      <w:rFonts w:asciiTheme="minorHAnsi" w:hAnsiTheme="minorHAnsi"/>
    </w:rPr>
  </w:style>
  <w:style w:type="character" w:customStyle="1" w:styleId="ZpatChar">
    <w:name w:val="Zápatí Char"/>
    <w:basedOn w:val="DefaultParagraphFont"/>
    <w:link w:val="Footer"/>
    <w:uiPriority w:val="99"/>
    <w:rsid w:val="0031270F"/>
  </w:style>
  <w:style w:type="character" w:styleId="Hyperlink">
    <w:name w:val="Hyperlink"/>
    <w:basedOn w:val="DefaultParagraphFont"/>
    <w:uiPriority w:val="99"/>
    <w:unhideWhenUsed/>
    <w:rsid w:val="005C06B9"/>
    <w:rPr>
      <w:color w:val="0563C1" w:themeColor="hyperlink"/>
      <w:u w:val="single"/>
    </w:rPr>
  </w:style>
  <w:style w:type="paragraph" w:styleId="NoSpacing">
    <w:name w:val="No Spacing"/>
    <w:link w:val="BezmezerChar"/>
    <w:uiPriority w:val="1"/>
    <w:qFormat/>
    <w:rsid w:val="0059623C"/>
    <w:pPr>
      <w:spacing w:after="0" w:line="240" w:lineRule="auto"/>
    </w:pPr>
    <w:rPr>
      <w:rFonts w:eastAsiaTheme="minorEastAsia"/>
      <w:lang w:eastAsia="cs-CZ"/>
    </w:rPr>
  </w:style>
  <w:style w:type="character" w:customStyle="1" w:styleId="BezmezerChar">
    <w:name w:val="Bez mezer Char"/>
    <w:basedOn w:val="DefaultParagraphFont"/>
    <w:link w:val="NoSpacing"/>
    <w:uiPriority w:val="1"/>
    <w:rsid w:val="0059623C"/>
    <w:rPr>
      <w:rFonts w:eastAsiaTheme="minorEastAsia"/>
      <w:lang w:eastAsia="cs-CZ"/>
    </w:rPr>
  </w:style>
  <w:style w:type="paragraph" w:styleId="ListParagraph">
    <w:name w:val="List Paragraph"/>
    <w:basedOn w:val="Normal"/>
    <w:uiPriority w:val="99"/>
    <w:qFormat/>
    <w:rsid w:val="007035DE"/>
    <w:pPr>
      <w:ind w:left="720"/>
      <w:contextualSpacing/>
    </w:pPr>
  </w:style>
  <w:style w:type="paragraph" w:styleId="BalloonText">
    <w:name w:val="Balloon Text"/>
    <w:basedOn w:val="Normal"/>
    <w:link w:val="TextbublinyChar"/>
    <w:uiPriority w:val="99"/>
    <w:semiHidden/>
    <w:unhideWhenUsed/>
    <w:rsid w:val="00812D48"/>
    <w:pPr>
      <w:spacing w:after="0" w:line="240" w:lineRule="auto"/>
    </w:pPr>
    <w:rPr>
      <w:rFonts w:ascii="Segoe UI" w:hAnsi="Segoe UI" w:cs="Segoe UI"/>
      <w:sz w:val="18"/>
      <w:szCs w:val="18"/>
    </w:rPr>
  </w:style>
  <w:style w:type="character" w:customStyle="1" w:styleId="TextbublinyChar">
    <w:name w:val="Text bubliny Char"/>
    <w:basedOn w:val="DefaultParagraphFont"/>
    <w:link w:val="BalloonText"/>
    <w:uiPriority w:val="99"/>
    <w:semiHidden/>
    <w:rsid w:val="00812D48"/>
    <w:rPr>
      <w:rFonts w:ascii="Segoe UI" w:hAnsi="Segoe UI" w:cs="Segoe UI"/>
      <w:sz w:val="18"/>
      <w:szCs w:val="18"/>
    </w:rPr>
  </w:style>
  <w:style w:type="character" w:customStyle="1" w:styleId="Nadpis1Char">
    <w:name w:val="Nadpis 1 Char"/>
    <w:basedOn w:val="DefaultParagraphFont"/>
    <w:link w:val="Heading1"/>
    <w:uiPriority w:val="99"/>
    <w:rsid w:val="00E8383D"/>
    <w:rPr>
      <w:rFonts w:eastAsiaTheme="majorEastAsia" w:cstheme="majorBidi"/>
      <w:b/>
      <w:color w:val="144A6E"/>
      <w:sz w:val="36"/>
      <w:szCs w:val="32"/>
    </w:rPr>
  </w:style>
  <w:style w:type="character" w:customStyle="1" w:styleId="Nadpis2Char">
    <w:name w:val="Nadpis 2 Char"/>
    <w:basedOn w:val="DefaultParagraphFont"/>
    <w:link w:val="Heading2"/>
    <w:uiPriority w:val="99"/>
    <w:rsid w:val="00E8383D"/>
    <w:rPr>
      <w:rFonts w:eastAsiaTheme="majorEastAsia" w:cstheme="majorBidi"/>
      <w:b/>
      <w:color w:val="144A6E"/>
      <w:sz w:val="28"/>
      <w:szCs w:val="26"/>
    </w:rPr>
  </w:style>
  <w:style w:type="character" w:customStyle="1" w:styleId="Nadpis3Char">
    <w:name w:val="Nadpis 3 Char"/>
    <w:basedOn w:val="DefaultParagraphFont"/>
    <w:link w:val="Heading3"/>
    <w:uiPriority w:val="99"/>
    <w:rsid w:val="00C93A72"/>
    <w:rPr>
      <w:rFonts w:eastAsiaTheme="majorEastAsia" w:cstheme="majorBidi"/>
      <w:color w:val="144A6E"/>
      <w:sz w:val="24"/>
      <w:szCs w:val="24"/>
    </w:rPr>
  </w:style>
  <w:style w:type="character" w:styleId="CommentReference">
    <w:name w:val="annotation reference"/>
    <w:basedOn w:val="DefaultParagraphFont"/>
    <w:uiPriority w:val="99"/>
    <w:semiHidden/>
    <w:unhideWhenUsed/>
    <w:rsid w:val="00564ECA"/>
    <w:rPr>
      <w:sz w:val="16"/>
      <w:szCs w:val="16"/>
    </w:rPr>
  </w:style>
  <w:style w:type="paragraph" w:styleId="CommentText">
    <w:name w:val="annotation text"/>
    <w:basedOn w:val="Normal"/>
    <w:link w:val="TextkomenteChar"/>
    <w:uiPriority w:val="99"/>
    <w:semiHidden/>
    <w:unhideWhenUsed/>
    <w:rsid w:val="00564ECA"/>
    <w:pPr>
      <w:spacing w:line="240" w:lineRule="auto"/>
    </w:pPr>
    <w:rPr>
      <w:sz w:val="20"/>
      <w:szCs w:val="20"/>
    </w:rPr>
  </w:style>
  <w:style w:type="character" w:customStyle="1" w:styleId="TextkomenteChar">
    <w:name w:val="Text komentáře Char"/>
    <w:basedOn w:val="DefaultParagraphFont"/>
    <w:link w:val="CommentText"/>
    <w:uiPriority w:val="99"/>
    <w:rsid w:val="00564ECA"/>
    <w:rPr>
      <w:rFonts w:ascii="Calibri Light" w:hAnsi="Calibri Light"/>
      <w:sz w:val="20"/>
      <w:szCs w:val="20"/>
    </w:rPr>
  </w:style>
  <w:style w:type="paragraph" w:styleId="CommentSubject">
    <w:name w:val="annotation subject"/>
    <w:basedOn w:val="CommentText"/>
    <w:next w:val="CommentText"/>
    <w:link w:val="PedmtkomenteChar"/>
    <w:uiPriority w:val="99"/>
    <w:semiHidden/>
    <w:unhideWhenUsed/>
    <w:rsid w:val="00564ECA"/>
    <w:rPr>
      <w:b/>
      <w:bCs/>
    </w:rPr>
  </w:style>
  <w:style w:type="character" w:customStyle="1" w:styleId="PedmtkomenteChar">
    <w:name w:val="Předmět komentáře Char"/>
    <w:basedOn w:val="TextkomenteChar"/>
    <w:link w:val="CommentSubject"/>
    <w:uiPriority w:val="99"/>
    <w:semiHidden/>
    <w:rsid w:val="00564ECA"/>
    <w:rPr>
      <w:rFonts w:ascii="Calibri Light" w:hAnsi="Calibri Light"/>
      <w:b/>
      <w:bCs/>
      <w:sz w:val="20"/>
      <w:szCs w:val="20"/>
    </w:rPr>
  </w:style>
  <w:style w:type="character" w:customStyle="1" w:styleId="Nadpis4Char">
    <w:name w:val="Nadpis 4 Char"/>
    <w:basedOn w:val="DefaultParagraphFont"/>
    <w:link w:val="Heading4"/>
    <w:uiPriority w:val="99"/>
    <w:rsid w:val="00731241"/>
    <w:rPr>
      <w:rFonts w:ascii="Cambria" w:eastAsia="Times New Roman" w:hAnsi="Cambria" w:cs="Times New Roman"/>
      <w:b/>
      <w:bCs/>
      <w:i/>
      <w:iCs/>
      <w:color w:val="4F81BD"/>
      <w:sz w:val="24"/>
      <w:szCs w:val="24"/>
      <w:lang w:eastAsia="zh-CN"/>
    </w:rPr>
  </w:style>
  <w:style w:type="paragraph" w:styleId="PlainText">
    <w:name w:val="Plain Text"/>
    <w:aliases w:val="Char Char"/>
    <w:basedOn w:val="Normal"/>
    <w:link w:val="ProsttextChar"/>
    <w:uiPriority w:val="99"/>
    <w:rsid w:val="00731241"/>
    <w:pPr>
      <w:spacing w:after="60" w:line="288" w:lineRule="auto"/>
    </w:pPr>
    <w:rPr>
      <w:rFonts w:ascii="Courier New" w:eastAsia="Times New Roman" w:hAnsi="Courier New" w:cs="Courier New"/>
      <w:sz w:val="20"/>
      <w:szCs w:val="20"/>
      <w:lang w:eastAsia="cs-CZ"/>
    </w:rPr>
  </w:style>
  <w:style w:type="character" w:customStyle="1" w:styleId="ProsttextChar">
    <w:name w:val="Prostý text Char"/>
    <w:aliases w:val="Char Char Char"/>
    <w:basedOn w:val="DefaultParagraphFont"/>
    <w:link w:val="PlainText"/>
    <w:uiPriority w:val="99"/>
    <w:rsid w:val="00731241"/>
    <w:rPr>
      <w:rFonts w:ascii="Courier New" w:eastAsia="Times New Roman" w:hAnsi="Courier New" w:cs="Courier New"/>
      <w:sz w:val="20"/>
      <w:szCs w:val="20"/>
      <w:lang w:eastAsia="cs-CZ"/>
    </w:rPr>
  </w:style>
  <w:style w:type="paragraph" w:styleId="FootnoteText">
    <w:name w:val="footnote text"/>
    <w:basedOn w:val="Normal"/>
    <w:link w:val="TextpoznpodarouChar"/>
    <w:uiPriority w:val="99"/>
    <w:rsid w:val="00731241"/>
    <w:pPr>
      <w:spacing w:after="60" w:line="288" w:lineRule="auto"/>
    </w:pPr>
    <w:rPr>
      <w:rFonts w:ascii="Times New Roman" w:eastAsia="Times New Roman" w:hAnsi="Times New Roman" w:cs="Times New Roman"/>
      <w:sz w:val="20"/>
      <w:szCs w:val="20"/>
      <w:lang w:eastAsia="cs-CZ"/>
    </w:rPr>
  </w:style>
  <w:style w:type="character" w:customStyle="1" w:styleId="TextpoznpodarouChar">
    <w:name w:val="Text pozn. pod čarou Char"/>
    <w:basedOn w:val="DefaultParagraphFont"/>
    <w:link w:val="FootnoteText"/>
    <w:uiPriority w:val="99"/>
    <w:rsid w:val="00731241"/>
    <w:rPr>
      <w:rFonts w:ascii="Times New Roman" w:eastAsia="Times New Roman" w:hAnsi="Times New Roman" w:cs="Times New Roman"/>
      <w:sz w:val="20"/>
      <w:szCs w:val="20"/>
      <w:lang w:eastAsia="cs-CZ"/>
    </w:rPr>
  </w:style>
  <w:style w:type="character" w:styleId="FootnoteReference">
    <w:name w:val="footnote reference"/>
    <w:basedOn w:val="DefaultParagraphFont"/>
    <w:uiPriority w:val="99"/>
    <w:rsid w:val="00731241"/>
    <w:rPr>
      <w:rFonts w:cs="Times New Roman"/>
      <w:vertAlign w:val="superscript"/>
    </w:rPr>
  </w:style>
  <w:style w:type="paragraph" w:styleId="TOC1">
    <w:name w:val="toc 1"/>
    <w:basedOn w:val="Normal"/>
    <w:next w:val="Normal"/>
    <w:autoRedefine/>
    <w:uiPriority w:val="39"/>
    <w:rsid w:val="00731241"/>
    <w:pPr>
      <w:spacing w:before="120" w:after="120" w:line="240" w:lineRule="auto"/>
      <w:jc w:val="left"/>
    </w:pPr>
    <w:rPr>
      <w:rFonts w:ascii="Calibri" w:eastAsia="SimSun" w:hAnsi="Calibri" w:cs="Times New Roman"/>
      <w:b/>
      <w:bCs/>
      <w:caps/>
      <w:sz w:val="20"/>
      <w:szCs w:val="20"/>
      <w:lang w:eastAsia="zh-CN"/>
    </w:rPr>
  </w:style>
  <w:style w:type="character" w:styleId="PageNumber">
    <w:name w:val="page number"/>
    <w:basedOn w:val="DefaultParagraphFont"/>
    <w:uiPriority w:val="99"/>
    <w:rsid w:val="00731241"/>
    <w:rPr>
      <w:rFonts w:cs="Times New Roman"/>
    </w:rPr>
  </w:style>
  <w:style w:type="paragraph" w:styleId="TOC2">
    <w:name w:val="toc 2"/>
    <w:basedOn w:val="Normal"/>
    <w:next w:val="Normal"/>
    <w:autoRedefine/>
    <w:uiPriority w:val="39"/>
    <w:rsid w:val="00731241"/>
    <w:pPr>
      <w:spacing w:after="0" w:line="240" w:lineRule="auto"/>
      <w:ind w:left="240"/>
      <w:jc w:val="left"/>
    </w:pPr>
    <w:rPr>
      <w:rFonts w:ascii="Calibri" w:eastAsia="SimSun" w:hAnsi="Calibri" w:cs="Times New Roman"/>
      <w:smallCaps/>
      <w:sz w:val="20"/>
      <w:szCs w:val="20"/>
      <w:lang w:eastAsia="zh-CN"/>
    </w:rPr>
  </w:style>
  <w:style w:type="paragraph" w:styleId="TOC3">
    <w:name w:val="toc 3"/>
    <w:basedOn w:val="Normal"/>
    <w:next w:val="Normal"/>
    <w:autoRedefine/>
    <w:uiPriority w:val="39"/>
    <w:rsid w:val="00731241"/>
    <w:pPr>
      <w:spacing w:after="0" w:line="240" w:lineRule="auto"/>
      <w:ind w:left="480"/>
      <w:jc w:val="left"/>
    </w:pPr>
    <w:rPr>
      <w:rFonts w:ascii="Calibri" w:eastAsia="SimSun" w:hAnsi="Calibri" w:cs="Times New Roman"/>
      <w:i/>
      <w:iCs/>
      <w:sz w:val="20"/>
      <w:szCs w:val="20"/>
      <w:lang w:eastAsia="zh-CN"/>
    </w:rPr>
  </w:style>
  <w:style w:type="paragraph" w:styleId="TOC4">
    <w:name w:val="toc 4"/>
    <w:basedOn w:val="Normal"/>
    <w:next w:val="Normal"/>
    <w:autoRedefine/>
    <w:uiPriority w:val="99"/>
    <w:semiHidden/>
    <w:rsid w:val="00731241"/>
    <w:pPr>
      <w:spacing w:after="0" w:line="240" w:lineRule="auto"/>
      <w:ind w:left="720"/>
      <w:jc w:val="left"/>
    </w:pPr>
    <w:rPr>
      <w:rFonts w:ascii="Calibri" w:eastAsia="SimSun" w:hAnsi="Calibri" w:cs="Times New Roman"/>
      <w:sz w:val="18"/>
      <w:szCs w:val="18"/>
      <w:lang w:eastAsia="zh-CN"/>
    </w:rPr>
  </w:style>
  <w:style w:type="paragraph" w:styleId="TOC5">
    <w:name w:val="toc 5"/>
    <w:basedOn w:val="Normal"/>
    <w:next w:val="Normal"/>
    <w:autoRedefine/>
    <w:uiPriority w:val="99"/>
    <w:semiHidden/>
    <w:rsid w:val="00731241"/>
    <w:pPr>
      <w:spacing w:after="0" w:line="240" w:lineRule="auto"/>
      <w:ind w:left="960"/>
      <w:jc w:val="left"/>
    </w:pPr>
    <w:rPr>
      <w:rFonts w:ascii="Calibri" w:eastAsia="SimSun" w:hAnsi="Calibri" w:cs="Times New Roman"/>
      <w:sz w:val="18"/>
      <w:szCs w:val="18"/>
      <w:lang w:eastAsia="zh-CN"/>
    </w:rPr>
  </w:style>
  <w:style w:type="paragraph" w:styleId="TOC6">
    <w:name w:val="toc 6"/>
    <w:basedOn w:val="Normal"/>
    <w:next w:val="Normal"/>
    <w:autoRedefine/>
    <w:uiPriority w:val="99"/>
    <w:semiHidden/>
    <w:rsid w:val="00731241"/>
    <w:pPr>
      <w:spacing w:after="0" w:line="240" w:lineRule="auto"/>
      <w:ind w:left="1200"/>
      <w:jc w:val="left"/>
    </w:pPr>
    <w:rPr>
      <w:rFonts w:ascii="Calibri" w:eastAsia="SimSun" w:hAnsi="Calibri" w:cs="Times New Roman"/>
      <w:sz w:val="18"/>
      <w:szCs w:val="18"/>
      <w:lang w:eastAsia="zh-CN"/>
    </w:rPr>
  </w:style>
  <w:style w:type="paragraph" w:styleId="TOC7">
    <w:name w:val="toc 7"/>
    <w:basedOn w:val="Normal"/>
    <w:next w:val="Normal"/>
    <w:autoRedefine/>
    <w:uiPriority w:val="99"/>
    <w:semiHidden/>
    <w:rsid w:val="00731241"/>
    <w:pPr>
      <w:spacing w:after="0" w:line="240" w:lineRule="auto"/>
      <w:ind w:left="1440"/>
      <w:jc w:val="left"/>
    </w:pPr>
    <w:rPr>
      <w:rFonts w:ascii="Calibri" w:eastAsia="SimSun" w:hAnsi="Calibri" w:cs="Times New Roman"/>
      <w:sz w:val="18"/>
      <w:szCs w:val="18"/>
      <w:lang w:eastAsia="zh-CN"/>
    </w:rPr>
  </w:style>
  <w:style w:type="paragraph" w:styleId="TOC8">
    <w:name w:val="toc 8"/>
    <w:basedOn w:val="Normal"/>
    <w:next w:val="Normal"/>
    <w:autoRedefine/>
    <w:uiPriority w:val="99"/>
    <w:semiHidden/>
    <w:rsid w:val="00731241"/>
    <w:pPr>
      <w:spacing w:after="0" w:line="240" w:lineRule="auto"/>
      <w:ind w:left="1680"/>
      <w:jc w:val="left"/>
    </w:pPr>
    <w:rPr>
      <w:rFonts w:ascii="Calibri" w:eastAsia="SimSun" w:hAnsi="Calibri" w:cs="Times New Roman"/>
      <w:sz w:val="18"/>
      <w:szCs w:val="18"/>
      <w:lang w:eastAsia="zh-CN"/>
    </w:rPr>
  </w:style>
  <w:style w:type="paragraph" w:styleId="TOC9">
    <w:name w:val="toc 9"/>
    <w:basedOn w:val="Normal"/>
    <w:next w:val="Normal"/>
    <w:autoRedefine/>
    <w:uiPriority w:val="99"/>
    <w:semiHidden/>
    <w:rsid w:val="00731241"/>
    <w:pPr>
      <w:spacing w:after="0" w:line="240" w:lineRule="auto"/>
      <w:ind w:left="1920"/>
      <w:jc w:val="left"/>
    </w:pPr>
    <w:rPr>
      <w:rFonts w:ascii="Calibri" w:eastAsia="SimSun" w:hAnsi="Calibri" w:cs="Times New Roman"/>
      <w:sz w:val="18"/>
      <w:szCs w:val="18"/>
      <w:lang w:eastAsia="zh-CN"/>
    </w:rPr>
  </w:style>
  <w:style w:type="paragraph" w:customStyle="1" w:styleId="Default">
    <w:name w:val="Default"/>
    <w:uiPriority w:val="99"/>
    <w:rsid w:val="00731241"/>
    <w:pPr>
      <w:autoSpaceDE w:val="0"/>
      <w:autoSpaceDN w:val="0"/>
      <w:adjustRightInd w:val="0"/>
      <w:spacing w:after="0" w:line="240" w:lineRule="auto"/>
    </w:pPr>
    <w:rPr>
      <w:rFonts w:ascii="Times New Roman" w:eastAsia="Calibri" w:hAnsi="Times New Roman" w:cs="Times New Roman"/>
      <w:color w:val="000000"/>
      <w:sz w:val="24"/>
      <w:szCs w:val="24"/>
    </w:rPr>
  </w:style>
  <w:style w:type="character" w:customStyle="1" w:styleId="apple-converted-space">
    <w:name w:val="apple-converted-space"/>
    <w:basedOn w:val="DefaultParagraphFont"/>
    <w:uiPriority w:val="99"/>
    <w:rsid w:val="00731241"/>
    <w:rPr>
      <w:rFonts w:cs="Times New Roman"/>
    </w:rPr>
  </w:style>
  <w:style w:type="character" w:styleId="Strong">
    <w:name w:val="Strong"/>
    <w:basedOn w:val="DefaultParagraphFont"/>
    <w:uiPriority w:val="99"/>
    <w:qFormat/>
    <w:rsid w:val="00731241"/>
    <w:rPr>
      <w:rFonts w:cs="Times New Roman"/>
      <w:b/>
      <w:bCs/>
    </w:rPr>
  </w:style>
  <w:style w:type="table" w:styleId="TableGrid">
    <w:name w:val="Table Grid"/>
    <w:basedOn w:val="TableNormal"/>
    <w:uiPriority w:val="99"/>
    <w:rsid w:val="00731241"/>
    <w:pPr>
      <w:spacing w:after="0" w:line="240" w:lineRule="auto"/>
      <w:jc w:val="both"/>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value">
    <w:name w:val="value"/>
    <w:basedOn w:val="DefaultParagraphFont"/>
    <w:uiPriority w:val="99"/>
    <w:rsid w:val="00731241"/>
    <w:rPr>
      <w:rFonts w:cs="Times New Roman"/>
    </w:rPr>
  </w:style>
  <w:style w:type="paragraph" w:customStyle="1" w:styleId="ZDROJovan">
    <w:name w:val="ZDROJovaní"/>
    <w:basedOn w:val="Normal"/>
    <w:uiPriority w:val="99"/>
    <w:rsid w:val="00731241"/>
    <w:pPr>
      <w:spacing w:after="0" w:line="240" w:lineRule="auto"/>
      <w:jc w:val="left"/>
    </w:pPr>
    <w:rPr>
      <w:rFonts w:ascii="Arial" w:eastAsia="SimSun" w:hAnsi="Arial" w:cs="Arial"/>
      <w:i/>
      <w:iCs/>
      <w:sz w:val="20"/>
      <w:szCs w:val="20"/>
      <w:lang w:eastAsia="cs-CZ"/>
    </w:rPr>
  </w:style>
  <w:style w:type="paragraph" w:customStyle="1" w:styleId="go">
    <w:name w:val="go"/>
    <w:basedOn w:val="Normal"/>
    <w:uiPriority w:val="99"/>
    <w:rsid w:val="00731241"/>
    <w:pPr>
      <w:spacing w:before="100" w:beforeAutospacing="1" w:after="100" w:afterAutospacing="1" w:line="240" w:lineRule="auto"/>
      <w:jc w:val="left"/>
    </w:pPr>
    <w:rPr>
      <w:rFonts w:ascii="Times New Roman" w:eastAsia="Times New Roman" w:hAnsi="Times New Roman" w:cs="Times New Roman"/>
      <w:sz w:val="24"/>
      <w:szCs w:val="24"/>
      <w:lang w:eastAsia="cs-CZ"/>
    </w:rPr>
  </w:style>
  <w:style w:type="character" w:styleId="HTMLVariable">
    <w:name w:val="HTML Variable"/>
    <w:basedOn w:val="DefaultParagraphFont"/>
    <w:uiPriority w:val="99"/>
    <w:semiHidden/>
    <w:rsid w:val="00731241"/>
    <w:rPr>
      <w:rFonts w:cs="Times New Roman"/>
      <w:i/>
      <w:iCs/>
    </w:rPr>
  </w:style>
  <w:style w:type="paragraph" w:styleId="NormalWeb">
    <w:name w:val="Normal (Web)"/>
    <w:basedOn w:val="Normal"/>
    <w:uiPriority w:val="99"/>
    <w:rsid w:val="00731241"/>
    <w:pPr>
      <w:spacing w:before="100" w:beforeAutospacing="1" w:after="100" w:afterAutospacing="1" w:line="240" w:lineRule="auto"/>
      <w:jc w:val="left"/>
    </w:pPr>
    <w:rPr>
      <w:rFonts w:ascii="Times New Roman" w:eastAsia="Times New Roman" w:hAnsi="Times New Roman" w:cs="Times New Roman"/>
      <w:sz w:val="24"/>
      <w:szCs w:val="24"/>
      <w:lang w:eastAsia="cs-CZ"/>
    </w:rPr>
  </w:style>
  <w:style w:type="character" w:customStyle="1" w:styleId="hint--bottom">
    <w:name w:val="hint--bottom"/>
    <w:basedOn w:val="DefaultParagraphFont"/>
    <w:uiPriority w:val="99"/>
    <w:rsid w:val="00731241"/>
    <w:rPr>
      <w:rFonts w:cs="Times New Roman"/>
    </w:rPr>
  </w:style>
  <w:style w:type="character" w:styleId="Emphasis">
    <w:name w:val="Emphasis"/>
    <w:basedOn w:val="DefaultParagraphFont"/>
    <w:uiPriority w:val="99"/>
    <w:qFormat/>
    <w:rsid w:val="00731241"/>
    <w:rPr>
      <w:rFonts w:cs="Times New Roman"/>
      <w:i/>
      <w:iCs/>
    </w:rPr>
  </w:style>
  <w:style w:type="paragraph" w:styleId="Revision">
    <w:name w:val="Revision"/>
    <w:hidden/>
    <w:uiPriority w:val="99"/>
    <w:semiHidden/>
    <w:rsid w:val="00731241"/>
    <w:pPr>
      <w:spacing w:after="0" w:line="240" w:lineRule="auto"/>
    </w:pPr>
    <w:rPr>
      <w:rFonts w:ascii="Times New Roman" w:eastAsia="SimSun" w:hAnsi="Times New Roman" w:cs="Times New Roman"/>
      <w:sz w:val="24"/>
      <w:szCs w:val="24"/>
      <w:lang w:eastAsia="zh-CN"/>
    </w:rPr>
  </w:style>
  <w:style w:type="character" w:customStyle="1" w:styleId="attachment-size">
    <w:name w:val="attachment-size"/>
    <w:basedOn w:val="DefaultParagraphFont"/>
    <w:uiPriority w:val="99"/>
    <w:rsid w:val="00731241"/>
    <w:rPr>
      <w:rFonts w:cs="Times New Roman"/>
    </w:rPr>
  </w:style>
  <w:style w:type="character" w:customStyle="1" w:styleId="attachment-label">
    <w:name w:val="attachment-label"/>
    <w:basedOn w:val="DefaultParagraphFont"/>
    <w:uiPriority w:val="99"/>
    <w:rsid w:val="00731241"/>
    <w:rPr>
      <w:rFonts w:cs="Times New Roman"/>
    </w:rPr>
  </w:style>
  <w:style w:type="character" w:customStyle="1" w:styleId="A2">
    <w:name w:val="A2"/>
    <w:uiPriority w:val="99"/>
    <w:rsid w:val="00731241"/>
    <w:rPr>
      <w:color w:val="000000"/>
    </w:rPr>
  </w:style>
  <w:style w:type="paragraph" w:customStyle="1" w:styleId="Pa2">
    <w:name w:val="Pa2"/>
    <w:basedOn w:val="Default"/>
    <w:next w:val="Default"/>
    <w:uiPriority w:val="99"/>
    <w:rsid w:val="00731241"/>
    <w:pPr>
      <w:spacing w:line="241" w:lineRule="atLeast"/>
    </w:pPr>
    <w:rPr>
      <w:rFonts w:ascii="Futura CE" w:hAnsi="Futura CE"/>
      <w:color w:val="auto"/>
      <w:lang w:eastAsia="cs-CZ"/>
    </w:rPr>
  </w:style>
  <w:style w:type="paragraph" w:customStyle="1" w:styleId="Char4CharCharCharCharCharCharCharCharCharCharCharCharCharCharCharCharCharCharCharCharCharCharCharCharCharCharChar">
    <w:name w:val="Char4 Char Char Char Char Char Char Char Char Char Char Char Char Char Char Char Char Char Char Char Char Char Char Char Char Char Char Char"/>
    <w:basedOn w:val="Normal"/>
    <w:uiPriority w:val="99"/>
    <w:rsid w:val="00731241"/>
    <w:pPr>
      <w:spacing w:after="160" w:line="240" w:lineRule="exact"/>
      <w:jc w:val="left"/>
    </w:pPr>
    <w:rPr>
      <w:rFonts w:ascii="Times New Roman Bold" w:eastAsia="Times New Roman" w:hAnsi="Times New Roman Bold" w:cs="Times New Roman"/>
      <w:szCs w:val="26"/>
      <w:lang w:val="sk-SK"/>
    </w:rPr>
  </w:style>
  <w:style w:type="paragraph" w:customStyle="1" w:styleId="Pa3">
    <w:name w:val="Pa3"/>
    <w:basedOn w:val="Normal"/>
    <w:next w:val="Normal"/>
    <w:uiPriority w:val="99"/>
    <w:rsid w:val="00731241"/>
    <w:pPr>
      <w:autoSpaceDE w:val="0"/>
      <w:autoSpaceDN w:val="0"/>
      <w:adjustRightInd w:val="0"/>
      <w:spacing w:after="0" w:line="241" w:lineRule="atLeast"/>
      <w:jc w:val="left"/>
    </w:pPr>
    <w:rPr>
      <w:rFonts w:ascii="Futura CE" w:hAnsi="Futura CE"/>
      <w:sz w:val="24"/>
      <w:szCs w:val="24"/>
    </w:rPr>
  </w:style>
  <w:style w:type="character" w:customStyle="1" w:styleId="st">
    <w:name w:val="st"/>
    <w:basedOn w:val="DefaultParagraphFont"/>
    <w:rsid w:val="00731241"/>
  </w:style>
  <w:style w:type="character" w:customStyle="1" w:styleId="Nevyeenzmnka1">
    <w:name w:val="Nevyřešená zmínka1"/>
    <w:basedOn w:val="DefaultParagraphFont"/>
    <w:uiPriority w:val="99"/>
    <w:semiHidden/>
    <w:unhideWhenUsed/>
    <w:rsid w:val="00731241"/>
    <w:rPr>
      <w:color w:val="605E5C"/>
      <w:shd w:val="clear" w:color="auto" w:fill="E1DFDD"/>
    </w:rPr>
  </w:style>
  <w:style w:type="character" w:customStyle="1" w:styleId="hgkelc">
    <w:name w:val="hgkelc"/>
    <w:basedOn w:val="DefaultParagraphFont"/>
    <w:rsid w:val="00731241"/>
  </w:style>
  <w:style w:type="character" w:customStyle="1" w:styleId="Nevyeenzmnka2">
    <w:name w:val="Nevyřešená zmínka2"/>
    <w:basedOn w:val="DefaultParagraphFont"/>
    <w:uiPriority w:val="99"/>
    <w:semiHidden/>
    <w:unhideWhenUsed/>
    <w:rsid w:val="00731241"/>
    <w:rPr>
      <w:color w:val="605E5C"/>
      <w:shd w:val="clear" w:color="auto" w:fill="E1DFDD"/>
    </w:rPr>
  </w:style>
  <w:style w:type="paragraph" w:styleId="ListBullet">
    <w:name w:val="List Bullet"/>
    <w:basedOn w:val="Normal"/>
    <w:uiPriority w:val="99"/>
    <w:unhideWhenUsed/>
    <w:rsid w:val="00731241"/>
    <w:pPr>
      <w:numPr>
        <w:numId w:val="1"/>
      </w:numPr>
      <w:spacing w:after="0" w:line="240" w:lineRule="auto"/>
      <w:contextualSpacing/>
      <w:jc w:val="left"/>
    </w:pPr>
    <w:rPr>
      <w:rFonts w:ascii="Times New Roman" w:eastAsia="SimSun" w:hAnsi="Times New Roman" w:cs="Times New Roman"/>
      <w:sz w:val="24"/>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&#65279;<?xml version="1.0" encoding="utf-8" standalone="yes"?><Relationships xmlns="http://schemas.openxmlformats.org/package/2006/relationships"><Relationship Id="rId1" Type="http://schemas.openxmlformats.org/officeDocument/2006/relationships/footnotes" Target="footnotes.xml" /><Relationship Id="rId10" Type="http://schemas.openxmlformats.org/officeDocument/2006/relationships/footer" Target="footer1.xml" /><Relationship Id="rId11" Type="http://schemas.openxmlformats.org/officeDocument/2006/relationships/theme" Target="theme/theme1.xml" /><Relationship Id="rId12" Type="http://schemas.openxmlformats.org/officeDocument/2006/relationships/numbering" Target="numbering.xml" /><Relationship Id="rId13" Type="http://schemas.openxmlformats.org/officeDocument/2006/relationships/styles" Target="styles.xml" /><Relationship Id="rId2" Type="http://schemas.openxmlformats.org/officeDocument/2006/relationships/settings" Target="settings.xml" /><Relationship Id="rId3" Type="http://schemas.openxmlformats.org/officeDocument/2006/relationships/webSettings" Target="webSettings.xml" /><Relationship Id="rId4" Type="http://schemas.openxmlformats.org/officeDocument/2006/relationships/fontTable" Target="fontTable.xml" /><Relationship Id="rId5" Type="http://schemas.openxmlformats.org/officeDocument/2006/relationships/customXml" Target="../customXml/item1.xml" /><Relationship Id="rId6" Type="http://schemas.openxmlformats.org/officeDocument/2006/relationships/image" Target="media/image1.png" /><Relationship Id="rId7" Type="http://schemas.openxmlformats.org/officeDocument/2006/relationships/image" Target="media/image2.png" /><Relationship Id="rId8" Type="http://schemas.openxmlformats.org/officeDocument/2006/relationships/image" Target="media/image3.emf" /><Relationship Id="rId9" Type="http://schemas.openxmlformats.org/officeDocument/2006/relationships/hyperlink" Target="http://gacr.cz/typy-projektu/" TargetMode="External" /></Relationships>
</file>

<file path=word/_rels/footer1.xml.rels>&#65279;<?xml version="1.0" encoding="utf-8" standalone="yes"?><Relationships xmlns="http://schemas.openxmlformats.org/package/2006/relationships"><Relationship Id="rId1" Type="http://schemas.openxmlformats.org/officeDocument/2006/relationships/image" Target="media/image2.png" /></Relationships>
</file>

<file path=word/_rels/footnotes.xml.rels>&#65279;<?xml version="1.0" encoding="utf-8" standalone="yes"?><Relationships xmlns="http://schemas.openxmlformats.org/package/2006/relationships"><Relationship Id="rId1" Type="http://schemas.openxmlformats.org/officeDocument/2006/relationships/hyperlink" Target="https://vedavyzkum.cz/z-domova/z-domova/2-kapitola-frascati-manualu-v-ceskem-jazyce" TargetMode="External" /><Relationship Id="rId2" Type="http://schemas.openxmlformats.org/officeDocument/2006/relationships/hyperlink" Target="https://www.vyzkum.cz/FrontAktualita.aspx?aktualita=845681" TargetMode="External" /></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F845C1C-411A-47F6-96B0-2C6644D332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52</Pages>
  <Words>21099</Words>
  <Characters>124489</Characters>
  <Application>Microsoft Office Word</Application>
  <DocSecurity>0</DocSecurity>
  <Lines>1037</Lines>
  <Paragraphs>290</Paragraphs>
  <ScaleCrop>false</ScaleCrop>
  <HeadingPairs>
    <vt:vector size="2" baseType="variant">
      <vt:variant>
        <vt:lpstr>Název</vt:lpstr>
      </vt:variant>
      <vt:variant>
        <vt:i4>1</vt:i4>
      </vt:variant>
    </vt:vector>
  </HeadingPairs>
  <TitlesOfParts>
    <vt:vector size="1" baseType="lpstr">
      <vt:lpstr>Zadávací dokumentace veřejné soutěže ve výzkumu, experimentálním vývoji a inovacích na podporu grantových projektů základního výzkumu</vt:lpstr>
    </vt:vector>
  </TitlesOfParts>
  <Company/>
  <LinksUpToDate>false</LinksUpToDate>
  <CharactersWithSpaces>145298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Zadávací dokumentace veřejné soutěže ve výzkumu, experimentálním vývoji a inovacích na podporu grantových projektů základního výzkumu</dc:title>
  <dc:creator>Autor</dc:creator>
  <cp:lastModifiedBy>Petra Svobodová</cp:lastModifiedBy>
  <cp:revision>4</cp:revision>
  <cp:lastPrinted>2021-01-27T09:35:00Z</cp:lastPrinted>
  <dcterms:created xsi:type="dcterms:W3CDTF">2021-05-06T14:55:00Z</dcterms:created>
  <dcterms:modified xsi:type="dcterms:W3CDTF">2021-05-13T08:50:00Z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nonymizaceNavrh">
    <vt:lpwstr/>
  </property>
  <property fmtid="{D5CDD505-2E9C-101B-9397-08002B2CF9AE}" pid="3" name="Cislo_PostaOdesPisemnostDokumentVerze_PostaOdesPisemnost">
    <vt:lpwstr>VÝTISK Č. ...</vt:lpwstr>
  </property>
  <property fmtid="{D5CDD505-2E9C-101B-9397-08002B2CF9AE}" pid="4" name="CJ">
    <vt:lpwstr>24409/2021/GAČR/PAK</vt:lpwstr>
  </property>
  <property fmtid="{D5CDD505-2E9C-101B-9397-08002B2CF9AE}" pid="5" name="CJ_PostaDoruc_PisemnostOdpovedNa_Pisemnost">
    <vt:lpwstr>XXX-XXX-XXX</vt:lpwstr>
  </property>
  <property fmtid="{D5CDD505-2E9C-101B-9397-08002B2CF9AE}" pid="6" name="CJ_Spis_Pisemnost">
    <vt:lpwstr>24409/2021/GAČR/PAK</vt:lpwstr>
  </property>
  <property fmtid="{D5CDD505-2E9C-101B-9397-08002B2CF9AE}" pid="7" name="Contact_PostaOdes_All">
    <vt:lpwstr>ROZDĚLOVNÍK...</vt:lpwstr>
  </property>
  <property fmtid="{D5CDD505-2E9C-101B-9397-08002B2CF9AE}" pid="8" name="DatumNaroz">
    <vt:lpwstr/>
  </property>
  <property fmtid="{D5CDD505-2E9C-101B-9397-08002B2CF9AE}" pid="9" name="DatumPlatnosti_PisemnostTypZpristupneniInformaciZOSZ_Pisemnost">
    <vt:lpwstr>ZOSZ_DatumPlatnosti</vt:lpwstr>
  </property>
  <property fmtid="{D5CDD505-2E9C-101B-9397-08002B2CF9AE}" pid="10" name="DatumPoriz_Pisemnost">
    <vt:lpwstr>7.4.2021</vt:lpwstr>
  </property>
  <property fmtid="{D5CDD505-2E9C-101B-9397-08002B2CF9AE}" pid="11" name="DisplayName_CJCol">
    <vt:lpwstr>&lt;TABLE&gt;&lt;TR&gt;&lt;TD&gt;Č.j.:&lt;/TD&gt;&lt;TD&gt;24409/2021/GAČR/PAK&lt;/TD&gt;&lt;/TR&gt;&lt;TR&gt;&lt;TD&gt;&lt;/TD&gt;&lt;TD&gt;&lt;/TD&gt;&lt;/TR&gt;&lt;/TABLE&gt;</vt:lpwstr>
  </property>
  <property fmtid="{D5CDD505-2E9C-101B-9397-08002B2CF9AE}" pid="12" name="DisplayName_SlozkaStupenUtajeniCollection_Slozka_Pisemnost">
    <vt:lpwstr/>
  </property>
  <property fmtid="{D5CDD505-2E9C-101B-9397-08002B2CF9AE}" pid="13" name="DisplayName_SpisovyUzel_PoziceZodpo_Pisemnost">
    <vt:lpwstr>Oddělení právní</vt:lpwstr>
  </property>
  <property fmtid="{D5CDD505-2E9C-101B-9397-08002B2CF9AE}" pid="14" name="DisplayName_UserPoriz_Pisemnost">
    <vt:lpwstr>Petra Svobodová</vt:lpwstr>
  </property>
  <property fmtid="{D5CDD505-2E9C-101B-9397-08002B2CF9AE}" pid="15" name="DuvodZmeny_SlozkaStupenUtajeniCollection_Slozka_Pisemnost">
    <vt:lpwstr/>
  </property>
  <property fmtid="{D5CDD505-2E9C-101B-9397-08002B2CF9AE}" pid="16" name="EC_Pisemnost">
    <vt:lpwstr>24980/2021-GAČR</vt:lpwstr>
  </property>
  <property fmtid="{D5CDD505-2E9C-101B-9397-08002B2CF9AE}" pid="17" name="Key_BarCode_Pisemnost">
    <vt:lpwstr>*B000455582*</vt:lpwstr>
  </property>
  <property fmtid="{D5CDD505-2E9C-101B-9397-08002B2CF9AE}" pid="18" name="KRukam">
    <vt:lpwstr>{KRukam}</vt:lpwstr>
  </property>
  <property fmtid="{D5CDD505-2E9C-101B-9397-08002B2CF9AE}" pid="19" name="NameAddress_Contact_SpisovyUzel_PoziceZodpo_Pisemnost">
    <vt:lpwstr>ADRESÁT SU...</vt:lpwstr>
  </property>
  <property fmtid="{D5CDD505-2E9C-101B-9397-08002B2CF9AE}" pid="20" name="NamePostalAddress_Contact_PostaOdes">
    <vt:lpwstr>{NameAddress_Contact_PostaOdes}
{PostalAddress_Contact_PostaOdes}</vt:lpwstr>
  </property>
  <property fmtid="{D5CDD505-2E9C-101B-9397-08002B2CF9AE}" pid="21" name="Odkaz">
    <vt:lpwstr>ODKAZ</vt:lpwstr>
  </property>
  <property fmtid="{D5CDD505-2E9C-101B-9397-08002B2CF9AE}" pid="22" name="Password_PisemnostTypZpristupneniInformaciZOSZ_Pisemnost">
    <vt:lpwstr>ZOSZ_Password</vt:lpwstr>
  </property>
  <property fmtid="{D5CDD505-2E9C-101B-9397-08002B2CF9AE}" pid="23" name="PocetListuDokumentu_Pisemnost">
    <vt:lpwstr>1</vt:lpwstr>
  </property>
  <property fmtid="{D5CDD505-2E9C-101B-9397-08002B2CF9AE}" pid="24" name="PocetListu_Pisemnost">
    <vt:lpwstr>1</vt:lpwstr>
  </property>
  <property fmtid="{D5CDD505-2E9C-101B-9397-08002B2CF9AE}" pid="25" name="PocetPriloh_Pisemnost">
    <vt:lpwstr>POČET PŘÍLOH</vt:lpwstr>
  </property>
  <property fmtid="{D5CDD505-2E9C-101B-9397-08002B2CF9AE}" pid="26" name="Podpis">
    <vt:lpwstr/>
  </property>
  <property fmtid="{D5CDD505-2E9C-101B-9397-08002B2CF9AE}" pid="27" name="PostalAddress_Contact_SpisovyUzel_PoziceZodpo_Pisemnost">
    <vt:lpwstr>ADRESA SU...</vt:lpwstr>
  </property>
  <property fmtid="{D5CDD505-2E9C-101B-9397-08002B2CF9AE}" pid="28" name="RC">
    <vt:lpwstr/>
  </property>
  <property fmtid="{D5CDD505-2E9C-101B-9397-08002B2CF9AE}" pid="29" name="SkartacniZnakLhuta_PisemnostZnak">
    <vt:lpwstr>V/5</vt:lpwstr>
  </property>
  <property fmtid="{D5CDD505-2E9C-101B-9397-08002B2CF9AE}" pid="30" name="SmlouvaCislo">
    <vt:lpwstr>ČÍSLO SMLOUVY</vt:lpwstr>
  </property>
  <property fmtid="{D5CDD505-2E9C-101B-9397-08002B2CF9AE}" pid="31" name="SZ_Spis_Pisemnost">
    <vt:lpwstr>ZN/3915/PAK/2021</vt:lpwstr>
  </property>
  <property fmtid="{D5CDD505-2E9C-101B-9397-08002B2CF9AE}" pid="32" name="TEST">
    <vt:lpwstr>testovací pole</vt:lpwstr>
  </property>
  <property fmtid="{D5CDD505-2E9C-101B-9397-08002B2CF9AE}" pid="33" name="TypPrilohy_Pisemnost">
    <vt:lpwstr>TYP PŘÍLOHY</vt:lpwstr>
  </property>
  <property fmtid="{D5CDD505-2E9C-101B-9397-08002B2CF9AE}" pid="34" name="UserName_PisemnostTypZpristupneniInformaciZOSZ_Pisemnost">
    <vt:lpwstr>ZOSZ_UserName</vt:lpwstr>
  </property>
  <property fmtid="{D5CDD505-2E9C-101B-9397-08002B2CF9AE}" pid="35" name="Vec_Pisemnost">
    <vt:lpwstr>Koncepce činnosti Grantové agentury České republiky na léta 2021–2025 - pro RVVI</vt:lpwstr>
  </property>
  <property fmtid="{D5CDD505-2E9C-101B-9397-08002B2CF9AE}" pid="36" name="Zkratka_SpisovyUzel_PoziceZodpo_Pisemnost">
    <vt:lpwstr>PAK</vt:lpwstr>
  </property>
</Properties>
</file>