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E49" w:rsidRPr="00885C0A" w:rsidRDefault="005E12BF" w:rsidP="002D3119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bookmarkStart w:id="0" w:name="_GoBack"/>
      <w:bookmarkEnd w:id="0"/>
      <w:r w:rsidRPr="00885C0A">
        <w:rPr>
          <w:rFonts w:ascii="Arial" w:hAnsi="Arial" w:cs="Arial"/>
          <w:color w:val="0070C0"/>
          <w:sz w:val="32"/>
          <w:szCs w:val="32"/>
        </w:rPr>
        <w:t>Vyhodnocení prezentace center podporovaných z NPU II</w:t>
      </w:r>
    </w:p>
    <w:p w:rsidR="00807120" w:rsidRPr="00885C0A" w:rsidRDefault="00807120" w:rsidP="002D3119">
      <w:pPr>
        <w:jc w:val="center"/>
        <w:rPr>
          <w:rFonts w:ascii="Arial" w:hAnsi="Arial" w:cs="Arial"/>
          <w:b/>
          <w:sz w:val="18"/>
          <w:szCs w:val="18"/>
        </w:rPr>
      </w:pPr>
    </w:p>
    <w:p w:rsidR="002D3119" w:rsidRPr="00885C0A" w:rsidRDefault="002D3119" w:rsidP="002D3119">
      <w:pPr>
        <w:pStyle w:val="Default"/>
        <w:spacing w:line="360" w:lineRule="auto"/>
        <w:ind w:firstLine="709"/>
        <w:jc w:val="both"/>
        <w:rPr>
          <w:color w:val="auto"/>
          <w:sz w:val="22"/>
          <w:szCs w:val="22"/>
        </w:rPr>
      </w:pPr>
      <w:proofErr w:type="spellStart"/>
      <w:r w:rsidRPr="00885C0A">
        <w:rPr>
          <w:color w:val="auto"/>
          <w:sz w:val="22"/>
          <w:szCs w:val="22"/>
        </w:rPr>
        <w:t>VaVpI</w:t>
      </w:r>
      <w:proofErr w:type="spellEnd"/>
      <w:r w:rsidRPr="00885C0A">
        <w:rPr>
          <w:color w:val="auto"/>
          <w:sz w:val="22"/>
          <w:szCs w:val="22"/>
        </w:rPr>
        <w:t xml:space="preserve"> centra</w:t>
      </w:r>
      <w:r w:rsidR="00242B06" w:rsidRPr="00885C0A">
        <w:rPr>
          <w:color w:val="auto"/>
          <w:sz w:val="22"/>
          <w:szCs w:val="22"/>
        </w:rPr>
        <w:t xml:space="preserve"> </w:t>
      </w:r>
      <w:r w:rsidR="00242B06" w:rsidRPr="00885C0A">
        <w:rPr>
          <w:b/>
          <w:color w:val="auto"/>
          <w:sz w:val="22"/>
          <w:szCs w:val="22"/>
        </w:rPr>
        <w:t>vznikla</w:t>
      </w:r>
      <w:r w:rsidR="00242B06" w:rsidRPr="00885C0A">
        <w:rPr>
          <w:color w:val="auto"/>
          <w:sz w:val="22"/>
          <w:szCs w:val="22"/>
        </w:rPr>
        <w:t xml:space="preserve"> </w:t>
      </w:r>
      <w:r w:rsidRPr="00885C0A">
        <w:rPr>
          <w:color w:val="auto"/>
          <w:sz w:val="22"/>
          <w:szCs w:val="22"/>
        </w:rPr>
        <w:t xml:space="preserve">od roku 2005 </w:t>
      </w:r>
      <w:r w:rsidR="00242B06" w:rsidRPr="00885C0A">
        <w:rPr>
          <w:color w:val="auto"/>
          <w:sz w:val="22"/>
          <w:szCs w:val="22"/>
        </w:rPr>
        <w:t xml:space="preserve">z projektů financovaných z </w:t>
      </w:r>
      <w:r w:rsidR="00885C0A">
        <w:rPr>
          <w:b/>
          <w:color w:val="auto"/>
          <w:sz w:val="22"/>
          <w:szCs w:val="22"/>
        </w:rPr>
        <w:t xml:space="preserve">Prioritní osy 1 </w:t>
      </w:r>
      <w:r w:rsidR="00E44BC5">
        <w:rPr>
          <w:color w:val="auto"/>
          <w:sz w:val="22"/>
          <w:szCs w:val="22"/>
        </w:rPr>
        <w:t>(</w:t>
      </w:r>
      <w:r w:rsidR="00E44BC5" w:rsidRPr="00E44BC5">
        <w:rPr>
          <w:color w:val="auto"/>
          <w:sz w:val="22"/>
          <w:szCs w:val="22"/>
        </w:rPr>
        <w:t>dále „PO1</w:t>
      </w:r>
      <w:r w:rsidR="00E44BC5">
        <w:rPr>
          <w:b/>
          <w:color w:val="auto"/>
          <w:sz w:val="22"/>
          <w:szCs w:val="22"/>
        </w:rPr>
        <w:t xml:space="preserve">“) </w:t>
      </w:r>
      <w:r w:rsidR="00885C0A">
        <w:rPr>
          <w:b/>
          <w:color w:val="auto"/>
          <w:sz w:val="22"/>
          <w:szCs w:val="22"/>
        </w:rPr>
        <w:t>a </w:t>
      </w:r>
      <w:r w:rsidR="00242B06" w:rsidRPr="00885C0A">
        <w:rPr>
          <w:b/>
          <w:color w:val="auto"/>
          <w:sz w:val="22"/>
          <w:szCs w:val="22"/>
        </w:rPr>
        <w:t xml:space="preserve">Prioritní osy 2 </w:t>
      </w:r>
      <w:r w:rsidR="00E44BC5" w:rsidRPr="00E44BC5">
        <w:rPr>
          <w:color w:val="auto"/>
          <w:sz w:val="22"/>
          <w:szCs w:val="22"/>
        </w:rPr>
        <w:t>(dále „PO2</w:t>
      </w:r>
      <w:r w:rsidR="00E44BC5">
        <w:rPr>
          <w:color w:val="auto"/>
          <w:sz w:val="22"/>
          <w:szCs w:val="22"/>
        </w:rPr>
        <w:t>“</w:t>
      </w:r>
      <w:r w:rsidR="00E44BC5" w:rsidRPr="00E44BC5">
        <w:rPr>
          <w:color w:val="auto"/>
          <w:sz w:val="22"/>
          <w:szCs w:val="22"/>
        </w:rPr>
        <w:t>)</w:t>
      </w:r>
      <w:r w:rsidR="00E44BC5">
        <w:rPr>
          <w:b/>
          <w:color w:val="auto"/>
          <w:sz w:val="22"/>
          <w:szCs w:val="22"/>
        </w:rPr>
        <w:t xml:space="preserve"> Operačního programu Výzkum a vývoj pro inovace </w:t>
      </w:r>
      <w:r w:rsidR="00E44BC5" w:rsidRPr="00E44BC5">
        <w:rPr>
          <w:color w:val="auto"/>
          <w:sz w:val="22"/>
          <w:szCs w:val="22"/>
        </w:rPr>
        <w:t>(dále „</w:t>
      </w:r>
      <w:r w:rsidR="00242B06" w:rsidRPr="00E44BC5">
        <w:rPr>
          <w:color w:val="auto"/>
          <w:sz w:val="22"/>
          <w:szCs w:val="22"/>
        </w:rPr>
        <w:t xml:space="preserve">OP </w:t>
      </w:r>
      <w:proofErr w:type="spellStart"/>
      <w:r w:rsidR="00242B06" w:rsidRPr="00E44BC5">
        <w:rPr>
          <w:color w:val="auto"/>
          <w:sz w:val="22"/>
          <w:szCs w:val="22"/>
        </w:rPr>
        <w:t>VaVpI</w:t>
      </w:r>
      <w:proofErr w:type="spellEnd"/>
      <w:r w:rsidR="00E44BC5" w:rsidRPr="00E44BC5">
        <w:rPr>
          <w:color w:val="auto"/>
          <w:sz w:val="22"/>
          <w:szCs w:val="22"/>
        </w:rPr>
        <w:t>“)</w:t>
      </w:r>
      <w:r w:rsidR="00242B06" w:rsidRPr="00E44BC5">
        <w:rPr>
          <w:color w:val="auto"/>
          <w:sz w:val="22"/>
          <w:szCs w:val="22"/>
        </w:rPr>
        <w:t>.</w:t>
      </w:r>
      <w:r w:rsidR="00242B06" w:rsidRPr="00885C0A">
        <w:rPr>
          <w:color w:val="auto"/>
          <w:sz w:val="22"/>
          <w:szCs w:val="22"/>
        </w:rPr>
        <w:t xml:space="preserve"> Většina </w:t>
      </w:r>
      <w:proofErr w:type="spellStart"/>
      <w:r w:rsidR="00242B06" w:rsidRPr="00885C0A">
        <w:rPr>
          <w:color w:val="auto"/>
          <w:sz w:val="22"/>
          <w:szCs w:val="22"/>
        </w:rPr>
        <w:t>VaVpI</w:t>
      </w:r>
      <w:proofErr w:type="spellEnd"/>
      <w:r w:rsidR="00242B06" w:rsidRPr="00885C0A">
        <w:rPr>
          <w:color w:val="auto"/>
          <w:sz w:val="22"/>
          <w:szCs w:val="22"/>
        </w:rPr>
        <w:t xml:space="preserve"> center funguje jako </w:t>
      </w:r>
      <w:r w:rsidR="00242B06" w:rsidRPr="00885C0A">
        <w:rPr>
          <w:b/>
          <w:color w:val="auto"/>
          <w:sz w:val="22"/>
          <w:szCs w:val="22"/>
        </w:rPr>
        <w:t>samostatný útvar</w:t>
      </w:r>
      <w:r w:rsidR="00885C0A">
        <w:rPr>
          <w:color w:val="auto"/>
          <w:sz w:val="22"/>
          <w:szCs w:val="22"/>
        </w:rPr>
        <w:t xml:space="preserve"> či </w:t>
      </w:r>
      <w:r w:rsidR="00242B06" w:rsidRPr="00885C0A">
        <w:rPr>
          <w:b/>
          <w:color w:val="auto"/>
          <w:sz w:val="22"/>
          <w:szCs w:val="22"/>
        </w:rPr>
        <w:t>organizační celek</w:t>
      </w:r>
      <w:r w:rsidR="00242B06" w:rsidRPr="00885C0A">
        <w:rPr>
          <w:color w:val="auto"/>
          <w:sz w:val="22"/>
          <w:szCs w:val="22"/>
        </w:rPr>
        <w:t xml:space="preserve">, který je součástí výzkumné organizace. Lze je financovat pomocí finančních </w:t>
      </w:r>
      <w:r w:rsidR="00242B06" w:rsidRPr="00885C0A">
        <w:rPr>
          <w:b/>
          <w:color w:val="auto"/>
          <w:sz w:val="22"/>
          <w:szCs w:val="22"/>
        </w:rPr>
        <w:t>nástrojů účelové a institucionální podpory</w:t>
      </w:r>
      <w:r w:rsidR="00242B06" w:rsidRPr="00885C0A">
        <w:rPr>
          <w:color w:val="auto"/>
          <w:sz w:val="22"/>
          <w:szCs w:val="22"/>
        </w:rPr>
        <w:t xml:space="preserve">. Centra, která vznikla z projektů financovaných z PO 1 OP </w:t>
      </w:r>
      <w:proofErr w:type="spellStart"/>
      <w:r w:rsidR="00242B06" w:rsidRPr="00885C0A">
        <w:rPr>
          <w:color w:val="auto"/>
          <w:sz w:val="22"/>
          <w:szCs w:val="22"/>
        </w:rPr>
        <w:t>VaVpI</w:t>
      </w:r>
      <w:proofErr w:type="spellEnd"/>
      <w:r w:rsidR="00242B06" w:rsidRPr="00885C0A">
        <w:rPr>
          <w:color w:val="auto"/>
          <w:sz w:val="22"/>
          <w:szCs w:val="22"/>
        </w:rPr>
        <w:t xml:space="preserve">, provádějí výzkum a vývoj na světově srovnatelné úrovni. Centra financovaná z PO 2 OP </w:t>
      </w:r>
      <w:proofErr w:type="spellStart"/>
      <w:r w:rsidR="00242B06" w:rsidRPr="00885C0A">
        <w:rPr>
          <w:color w:val="auto"/>
          <w:sz w:val="22"/>
          <w:szCs w:val="22"/>
        </w:rPr>
        <w:t>VaVpI</w:t>
      </w:r>
      <w:proofErr w:type="spellEnd"/>
      <w:r w:rsidR="00242B06" w:rsidRPr="00885C0A">
        <w:rPr>
          <w:color w:val="auto"/>
          <w:sz w:val="22"/>
          <w:szCs w:val="22"/>
        </w:rPr>
        <w:t xml:space="preserve"> představovala perspektivou ČR tzv. „regionální centra výzkumu a vývoje“, nicméně řada z nich i přesto dosahuje minimálně celonárodního významu se značnými mezinárodními přesahy. </w:t>
      </w:r>
    </w:p>
    <w:p w:rsidR="00242B06" w:rsidRPr="00885C0A" w:rsidRDefault="00242B06" w:rsidP="002D3119">
      <w:pPr>
        <w:pStyle w:val="Default"/>
        <w:spacing w:line="360" w:lineRule="auto"/>
        <w:ind w:firstLine="709"/>
        <w:jc w:val="both"/>
        <w:rPr>
          <w:color w:val="auto"/>
          <w:sz w:val="22"/>
          <w:szCs w:val="22"/>
        </w:rPr>
      </w:pPr>
      <w:r w:rsidRPr="00885C0A">
        <w:rPr>
          <w:color w:val="auto"/>
          <w:sz w:val="22"/>
          <w:szCs w:val="22"/>
        </w:rPr>
        <w:t xml:space="preserve">Rozvoj center podpořených z </w:t>
      </w:r>
      <w:proofErr w:type="gramStart"/>
      <w:r w:rsidRPr="00885C0A">
        <w:rPr>
          <w:color w:val="auto"/>
          <w:sz w:val="22"/>
          <w:szCs w:val="22"/>
        </w:rPr>
        <w:t>OP</w:t>
      </w:r>
      <w:proofErr w:type="gramEnd"/>
      <w:r w:rsidRPr="00885C0A">
        <w:rPr>
          <w:color w:val="auto"/>
          <w:sz w:val="22"/>
          <w:szCs w:val="22"/>
        </w:rPr>
        <w:t xml:space="preserve"> </w:t>
      </w:r>
      <w:proofErr w:type="spellStart"/>
      <w:r w:rsidRPr="00885C0A">
        <w:rPr>
          <w:color w:val="auto"/>
          <w:sz w:val="22"/>
          <w:szCs w:val="22"/>
        </w:rPr>
        <w:t>VaVpI</w:t>
      </w:r>
      <w:proofErr w:type="spellEnd"/>
      <w:r w:rsidRPr="00885C0A">
        <w:rPr>
          <w:color w:val="auto"/>
          <w:sz w:val="22"/>
          <w:szCs w:val="22"/>
        </w:rPr>
        <w:t xml:space="preserve"> je po ukončení projektů programů NPU I a II postupně řešen v rámci dlouhodobého koncepčního rozvoje výzkumných organizací</w:t>
      </w:r>
      <w:r w:rsidR="00E44BC5">
        <w:rPr>
          <w:color w:val="auto"/>
          <w:sz w:val="22"/>
          <w:szCs w:val="22"/>
        </w:rPr>
        <w:t xml:space="preserve"> (dále „DKRVO“)</w:t>
      </w:r>
      <w:r w:rsidRPr="00885C0A">
        <w:rPr>
          <w:color w:val="auto"/>
          <w:sz w:val="22"/>
          <w:szCs w:val="22"/>
        </w:rPr>
        <w:t xml:space="preserve">. Zajištění fungování </w:t>
      </w:r>
      <w:proofErr w:type="spellStart"/>
      <w:r w:rsidRPr="00885C0A">
        <w:rPr>
          <w:color w:val="auto"/>
          <w:sz w:val="22"/>
          <w:szCs w:val="22"/>
        </w:rPr>
        <w:t>VaVpI</w:t>
      </w:r>
      <w:proofErr w:type="spellEnd"/>
      <w:r w:rsidRPr="00885C0A">
        <w:rPr>
          <w:color w:val="auto"/>
          <w:sz w:val="22"/>
          <w:szCs w:val="22"/>
        </w:rPr>
        <w:t xml:space="preserve"> center nadále zůstane v plné zodpovědnosti institucí, které daná </w:t>
      </w:r>
      <w:proofErr w:type="spellStart"/>
      <w:r w:rsidRPr="00885C0A">
        <w:rPr>
          <w:color w:val="auto"/>
          <w:sz w:val="22"/>
          <w:szCs w:val="22"/>
        </w:rPr>
        <w:t>VaVpI</w:t>
      </w:r>
      <w:proofErr w:type="spellEnd"/>
      <w:r w:rsidRPr="00885C0A">
        <w:rPr>
          <w:color w:val="auto"/>
          <w:sz w:val="22"/>
          <w:szCs w:val="22"/>
        </w:rPr>
        <w:t xml:space="preserve"> centra provozují, včetně zajištění všech jejich disponibilních zdrojů </w:t>
      </w:r>
      <w:r w:rsidR="00E44BC5">
        <w:rPr>
          <w:color w:val="auto"/>
          <w:sz w:val="22"/>
          <w:szCs w:val="22"/>
        </w:rPr>
        <w:t>počítaje i</w:t>
      </w:r>
      <w:r w:rsidRPr="00885C0A">
        <w:rPr>
          <w:color w:val="auto"/>
          <w:sz w:val="22"/>
          <w:szCs w:val="22"/>
        </w:rPr>
        <w:t xml:space="preserve"> DKRVO. </w:t>
      </w:r>
    </w:p>
    <w:p w:rsidR="00242B06" w:rsidRDefault="00717488" w:rsidP="002D3119">
      <w:pPr>
        <w:pStyle w:val="Default"/>
        <w:spacing w:line="360" w:lineRule="auto"/>
        <w:ind w:firstLine="709"/>
        <w:jc w:val="both"/>
        <w:rPr>
          <w:color w:val="auto"/>
          <w:sz w:val="22"/>
          <w:szCs w:val="22"/>
        </w:rPr>
      </w:pPr>
      <w:r w:rsidRPr="00717488">
        <w:rPr>
          <w:color w:val="auto"/>
          <w:sz w:val="22"/>
          <w:szCs w:val="22"/>
        </w:rPr>
        <w:t>Tato zpráva obsahuje vyhodnocení center podporovaných z NPU II zejména na základě údajů prezentovaných Radě pro výzkum, vývoj a inovace,  konkrétně základní informace o centrech, informace o výsledcích a využití alokovaných zdrojů</w:t>
      </w:r>
      <w:r>
        <w:rPr>
          <w:color w:val="auto"/>
          <w:sz w:val="22"/>
          <w:szCs w:val="22"/>
        </w:rPr>
        <w:t>. Jedním z cílů</w:t>
      </w:r>
      <w:r w:rsidR="00885C0A">
        <w:rPr>
          <w:color w:val="auto"/>
          <w:sz w:val="22"/>
          <w:szCs w:val="22"/>
        </w:rPr>
        <w:t xml:space="preserve"> je snaha o </w:t>
      </w:r>
      <w:r w:rsidR="00242B06" w:rsidRPr="00885C0A">
        <w:rPr>
          <w:color w:val="auto"/>
          <w:sz w:val="22"/>
          <w:szCs w:val="22"/>
        </w:rPr>
        <w:t xml:space="preserve">maximalizaci pozitivních efektů vyplývajících z realizace </w:t>
      </w:r>
      <w:r>
        <w:rPr>
          <w:color w:val="auto"/>
          <w:sz w:val="22"/>
          <w:szCs w:val="22"/>
        </w:rPr>
        <w:t xml:space="preserve">Národní politiky výzkumu, vývoje a inovací (dále  „NP </w:t>
      </w:r>
      <w:proofErr w:type="spellStart"/>
      <w:r>
        <w:rPr>
          <w:color w:val="auto"/>
          <w:sz w:val="22"/>
          <w:szCs w:val="22"/>
        </w:rPr>
        <w:t>VaVaI</w:t>
      </w:r>
      <w:proofErr w:type="spellEnd"/>
      <w:r>
        <w:rPr>
          <w:color w:val="auto"/>
          <w:sz w:val="22"/>
          <w:szCs w:val="22"/>
        </w:rPr>
        <w:t>“)</w:t>
      </w:r>
      <w:r w:rsidR="00885C0A">
        <w:rPr>
          <w:color w:val="auto"/>
          <w:sz w:val="22"/>
          <w:szCs w:val="22"/>
        </w:rPr>
        <w:t>. Usiluje o identifikaci a </w:t>
      </w:r>
      <w:r w:rsidR="00242B06" w:rsidRPr="00885C0A">
        <w:rPr>
          <w:color w:val="auto"/>
          <w:sz w:val="22"/>
          <w:szCs w:val="22"/>
        </w:rPr>
        <w:t xml:space="preserve">kvantifikaci dopadů a cest vedoucích k jejich uskutečnění. Závěry z hodnocení jsou posléze využity pro zefektivnění stávajících nebo tvorbu návazných </w:t>
      </w:r>
      <w:r w:rsidR="008A2956">
        <w:rPr>
          <w:color w:val="auto"/>
          <w:sz w:val="22"/>
          <w:szCs w:val="22"/>
        </w:rPr>
        <w:t xml:space="preserve">NP </w:t>
      </w:r>
      <w:proofErr w:type="spellStart"/>
      <w:r w:rsidR="008A2956">
        <w:rPr>
          <w:color w:val="auto"/>
          <w:sz w:val="22"/>
          <w:szCs w:val="22"/>
        </w:rPr>
        <w:t>VaVaI</w:t>
      </w:r>
      <w:proofErr w:type="spellEnd"/>
      <w:r w:rsidR="00242B06" w:rsidRPr="00885C0A">
        <w:rPr>
          <w:color w:val="auto"/>
          <w:sz w:val="22"/>
          <w:szCs w:val="22"/>
        </w:rPr>
        <w:t xml:space="preserve"> a programů. Jedná se tedy o hodnocení cílící na zefektivnění systému podpory </w:t>
      </w:r>
      <w:proofErr w:type="spellStart"/>
      <w:r w:rsidR="00242B06" w:rsidRPr="00885C0A">
        <w:rPr>
          <w:color w:val="auto"/>
          <w:sz w:val="22"/>
          <w:szCs w:val="22"/>
        </w:rPr>
        <w:t>VaVaI</w:t>
      </w:r>
      <w:proofErr w:type="spellEnd"/>
      <w:r w:rsidR="00242B06" w:rsidRPr="00885C0A">
        <w:rPr>
          <w:color w:val="auto"/>
          <w:sz w:val="22"/>
          <w:szCs w:val="22"/>
        </w:rPr>
        <w:t>.</w:t>
      </w:r>
    </w:p>
    <w:p w:rsidR="00E70D58" w:rsidRDefault="00E70D58" w:rsidP="00073C93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073C93" w:rsidRPr="00073C93" w:rsidRDefault="00073C93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lastRenderedPageBreak/>
        <w:t xml:space="preserve">Graf 1: </w:t>
      </w:r>
      <w:proofErr w:type="spellStart"/>
      <w:r w:rsidRPr="00073C93">
        <w:rPr>
          <w:b/>
          <w:color w:val="auto"/>
          <w:sz w:val="22"/>
          <w:szCs w:val="22"/>
        </w:rPr>
        <w:t>VaVpI</w:t>
      </w:r>
      <w:proofErr w:type="spellEnd"/>
      <w:r w:rsidRPr="00073C93">
        <w:rPr>
          <w:b/>
          <w:color w:val="auto"/>
          <w:sz w:val="22"/>
          <w:szCs w:val="22"/>
        </w:rPr>
        <w:t xml:space="preserve"> centra – výsledky typu „J“</w:t>
      </w:r>
    </w:p>
    <w:p w:rsidR="002D3119" w:rsidRDefault="006B1F54" w:rsidP="006B1F54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885C0A">
        <w:rPr>
          <w:noProof/>
          <w:lang w:eastAsia="cs-CZ"/>
        </w:rPr>
        <w:drawing>
          <wp:inline distT="0" distB="0" distL="0" distR="0" wp14:anchorId="1829E6A5" wp14:editId="312E8C2D">
            <wp:extent cx="5760720" cy="2762519"/>
            <wp:effectExtent l="0" t="0" r="1143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85C0A" w:rsidRPr="008C17B9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073C93" w:rsidRPr="00073C93" w:rsidRDefault="00073C93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Graf 2: Celkové uznané náklady projektů z NPU II</w:t>
      </w:r>
    </w:p>
    <w:p w:rsidR="00242B06" w:rsidRDefault="002D3119" w:rsidP="00073C93">
      <w:r w:rsidRPr="00073C93">
        <w:rPr>
          <w:noProof/>
          <w:lang w:eastAsia="cs-CZ"/>
        </w:rPr>
        <w:drawing>
          <wp:inline distT="0" distB="0" distL="0" distR="0" wp14:anchorId="49D86ECA">
            <wp:extent cx="5764103" cy="2053370"/>
            <wp:effectExtent l="0" t="0" r="8255" b="444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944" cy="2061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073C93" w:rsidRPr="008C17B9" w:rsidRDefault="00073C93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073C93" w:rsidRPr="00073C93" w:rsidRDefault="00073C93" w:rsidP="00073C93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3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Podpora projektů z národních zdrojů NPU II</w:t>
      </w:r>
    </w:p>
    <w:p w:rsidR="002D3119" w:rsidRDefault="002D3119" w:rsidP="00242B06">
      <w:pPr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6935DBE0">
            <wp:extent cx="5567797" cy="240191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605" cy="242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0A" w:rsidRPr="008C17B9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lastRenderedPageBreak/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AC3CBD" w:rsidRPr="00885C0A" w:rsidRDefault="00AC3CBD" w:rsidP="00AC3CBD">
      <w:pPr>
        <w:pStyle w:val="Normlnweb"/>
        <w:jc w:val="both"/>
        <w:rPr>
          <w:rFonts w:ascii="Arial" w:hAnsi="Arial" w:cs="Arial"/>
          <w:b/>
          <w:sz w:val="28"/>
          <w:szCs w:val="28"/>
        </w:rPr>
      </w:pPr>
      <w:r w:rsidRPr="00885C0A">
        <w:rPr>
          <w:rFonts w:ascii="Arial" w:hAnsi="Arial" w:cs="Arial"/>
          <w:b/>
          <w:sz w:val="28"/>
          <w:szCs w:val="28"/>
        </w:rPr>
        <w:t xml:space="preserve">CEITEC </w:t>
      </w:r>
    </w:p>
    <w:p w:rsidR="002D3119" w:rsidRPr="00885C0A" w:rsidRDefault="002D3119" w:rsidP="002D3119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roční</w:t>
      </w:r>
      <w:r w:rsidR="00671A30" w:rsidRPr="00885C0A">
        <w:rPr>
          <w:rFonts w:ascii="Arial" w:hAnsi="Arial" w:cs="Arial"/>
          <w:color w:val="212529"/>
          <w:sz w:val="22"/>
          <w:szCs w:val="22"/>
        </w:rPr>
        <w:t xml:space="preserve"> rozpoč</w:t>
      </w:r>
      <w:r w:rsidRPr="00885C0A">
        <w:rPr>
          <w:rFonts w:ascii="Arial" w:hAnsi="Arial" w:cs="Arial"/>
          <w:color w:val="212529"/>
          <w:sz w:val="22"/>
          <w:szCs w:val="22"/>
        </w:rPr>
        <w:t>et</w:t>
      </w:r>
      <w:r w:rsidR="00671A30" w:rsidRPr="00885C0A">
        <w:rPr>
          <w:rFonts w:ascii="Arial" w:hAnsi="Arial" w:cs="Arial"/>
          <w:color w:val="212529"/>
          <w:sz w:val="22"/>
          <w:szCs w:val="22"/>
        </w:rPr>
        <w:t xml:space="preserve"> </w:t>
      </w:r>
      <w:r w:rsidRPr="00885C0A">
        <w:rPr>
          <w:rFonts w:ascii="Arial" w:hAnsi="Arial" w:cs="Arial"/>
          <w:color w:val="212529"/>
          <w:sz w:val="22"/>
          <w:szCs w:val="22"/>
        </w:rPr>
        <w:t>30 milionům EUR,</w:t>
      </w:r>
    </w:p>
    <w:p w:rsidR="002D3119" w:rsidRPr="00885C0A" w:rsidRDefault="002D3119" w:rsidP="002D3119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investice přesahující 200 milionů EUR,</w:t>
      </w:r>
    </w:p>
    <w:p w:rsidR="002D3119" w:rsidRPr="00885C0A" w:rsidRDefault="002D3119" w:rsidP="002D3119">
      <w:pPr>
        <w:pStyle w:val="Normlnweb"/>
        <w:numPr>
          <w:ilvl w:val="0"/>
          <w:numId w:val="2"/>
        </w:numPr>
        <w:tabs>
          <w:tab w:val="left" w:pos="477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85C0A">
        <w:rPr>
          <w:rFonts w:ascii="Arial" w:hAnsi="Arial" w:cs="Arial"/>
          <w:sz w:val="22"/>
          <w:szCs w:val="22"/>
        </w:rPr>
        <w:t>více než 300 grantů v průběhu realizace NPU II (51 grantů podpořených od mezinárodních poskytovatelů),</w:t>
      </w:r>
    </w:p>
    <w:p w:rsidR="002D3119" w:rsidRPr="00885C0A" w:rsidRDefault="008A2956" w:rsidP="002D3119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>c</w:t>
      </w:r>
      <w:r w:rsidR="002D3119" w:rsidRPr="00885C0A">
        <w:rPr>
          <w:rFonts w:ascii="Arial" w:hAnsi="Arial" w:cs="Arial"/>
          <w:color w:val="212529"/>
          <w:sz w:val="22"/>
          <w:szCs w:val="22"/>
        </w:rPr>
        <w:t>elkový rozpočet centra je 5,246 mld. Kč, z toho výše příspěvku EU činila 4,4591 mld. Kč, příspěvek státního rozpočtu byl 786,9 mil. Kč,</w:t>
      </w:r>
    </w:p>
    <w:p w:rsidR="002D3119" w:rsidRPr="00885C0A" w:rsidRDefault="002D3119" w:rsidP="002D3119">
      <w:pPr>
        <w:pStyle w:val="Normlnweb"/>
        <w:numPr>
          <w:ilvl w:val="0"/>
          <w:numId w:val="2"/>
        </w:numPr>
        <w:tabs>
          <w:tab w:val="left" w:pos="477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85C0A">
        <w:rPr>
          <w:rFonts w:ascii="Arial" w:hAnsi="Arial" w:cs="Arial"/>
          <w:sz w:val="22"/>
          <w:szCs w:val="22"/>
        </w:rPr>
        <w:t xml:space="preserve">celkové uznané náklady projektu z NPU II činí 1 643 561 tis. Kč, z toho </w:t>
      </w:r>
      <w:r w:rsidRPr="00885C0A">
        <w:rPr>
          <w:rFonts w:ascii="Arial" w:hAnsi="Arial" w:cs="Arial"/>
          <w:b/>
          <w:sz w:val="22"/>
          <w:szCs w:val="22"/>
        </w:rPr>
        <w:t>schválená podpora je ve výši 986 058 tis. Kč</w:t>
      </w:r>
      <w:r w:rsidRPr="00885C0A">
        <w:rPr>
          <w:rFonts w:ascii="Arial" w:hAnsi="Arial" w:cs="Arial"/>
          <w:sz w:val="22"/>
          <w:szCs w:val="22"/>
        </w:rPr>
        <w:t>,</w:t>
      </w:r>
    </w:p>
    <w:p w:rsidR="002D3119" w:rsidRPr="008A2956" w:rsidRDefault="00082488" w:rsidP="008A2956">
      <w:pPr>
        <w:pStyle w:val="Normlnweb"/>
        <w:numPr>
          <w:ilvl w:val="0"/>
          <w:numId w:val="2"/>
        </w:numPr>
        <w:tabs>
          <w:tab w:val="left" w:pos="477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A2956">
        <w:rPr>
          <w:rFonts w:ascii="Arial" w:hAnsi="Arial" w:cs="Arial"/>
          <w:sz w:val="22"/>
          <w:szCs w:val="22"/>
        </w:rPr>
        <w:t xml:space="preserve">více než 1 400 pracovníků </w:t>
      </w:r>
      <w:r w:rsidR="002D3119" w:rsidRPr="008A2956">
        <w:rPr>
          <w:rFonts w:ascii="Arial" w:hAnsi="Arial" w:cs="Arial"/>
          <w:sz w:val="22"/>
          <w:szCs w:val="22"/>
        </w:rPr>
        <w:t>a pracovnic z více než 45 zemí,</w:t>
      </w:r>
    </w:p>
    <w:p w:rsidR="00242B06" w:rsidRPr="00885C0A" w:rsidRDefault="00242B06" w:rsidP="008A2956">
      <w:pPr>
        <w:pStyle w:val="Normlnweb"/>
        <w:numPr>
          <w:ilvl w:val="0"/>
          <w:numId w:val="2"/>
        </w:numPr>
        <w:tabs>
          <w:tab w:val="left" w:pos="477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85C0A">
        <w:rPr>
          <w:rFonts w:ascii="Arial" w:hAnsi="Arial" w:cs="Arial"/>
          <w:sz w:val="22"/>
          <w:szCs w:val="22"/>
        </w:rPr>
        <w:t xml:space="preserve">3516 výsledků v IS </w:t>
      </w:r>
      <w:proofErr w:type="spellStart"/>
      <w:r w:rsidRPr="00885C0A">
        <w:rPr>
          <w:rFonts w:ascii="Arial" w:hAnsi="Arial" w:cs="Arial"/>
          <w:sz w:val="22"/>
          <w:szCs w:val="22"/>
        </w:rPr>
        <w:t>VaVaI</w:t>
      </w:r>
      <w:proofErr w:type="spellEnd"/>
      <w:r w:rsidR="002D3119" w:rsidRPr="00885C0A">
        <w:rPr>
          <w:rFonts w:ascii="Arial" w:hAnsi="Arial" w:cs="Arial"/>
          <w:sz w:val="22"/>
          <w:szCs w:val="22"/>
        </w:rPr>
        <w:t>,</w:t>
      </w:r>
    </w:p>
    <w:p w:rsidR="00242B06" w:rsidRPr="00885C0A" w:rsidRDefault="002D3119" w:rsidP="008A2956">
      <w:pPr>
        <w:pStyle w:val="Normlnweb"/>
        <w:numPr>
          <w:ilvl w:val="0"/>
          <w:numId w:val="2"/>
        </w:numPr>
        <w:tabs>
          <w:tab w:val="left" w:pos="477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85C0A">
        <w:rPr>
          <w:rFonts w:ascii="Arial" w:hAnsi="Arial" w:cs="Arial"/>
          <w:sz w:val="22"/>
          <w:szCs w:val="22"/>
        </w:rPr>
        <w:t>v</w:t>
      </w:r>
      <w:r w:rsidR="00242B06" w:rsidRPr="00885C0A">
        <w:rPr>
          <w:rFonts w:ascii="Arial" w:hAnsi="Arial" w:cs="Arial"/>
          <w:sz w:val="22"/>
          <w:szCs w:val="22"/>
        </w:rPr>
        <w:t xml:space="preserve">íce </w:t>
      </w:r>
      <w:r w:rsidRPr="00885C0A">
        <w:rPr>
          <w:rFonts w:ascii="Arial" w:hAnsi="Arial" w:cs="Arial"/>
          <w:sz w:val="22"/>
          <w:szCs w:val="22"/>
        </w:rPr>
        <w:t xml:space="preserve">než </w:t>
      </w:r>
      <w:r w:rsidR="00242B06" w:rsidRPr="00885C0A">
        <w:rPr>
          <w:rFonts w:ascii="Arial" w:hAnsi="Arial" w:cs="Arial"/>
          <w:sz w:val="22"/>
          <w:szCs w:val="22"/>
        </w:rPr>
        <w:t>700 vědeckých publikací (</w:t>
      </w:r>
      <w:r w:rsidRPr="00885C0A">
        <w:rPr>
          <w:rFonts w:ascii="Arial" w:hAnsi="Arial" w:cs="Arial"/>
          <w:sz w:val="22"/>
          <w:szCs w:val="22"/>
        </w:rPr>
        <w:t>tj. 18 % z celkového počtu publikací</w:t>
      </w:r>
      <w:r w:rsidR="00242B06" w:rsidRPr="00885C0A">
        <w:rPr>
          <w:rFonts w:ascii="Arial" w:hAnsi="Arial" w:cs="Arial"/>
          <w:sz w:val="22"/>
          <w:szCs w:val="22"/>
        </w:rPr>
        <w:t xml:space="preserve">), z nichž 125 spadá do </w:t>
      </w:r>
      <w:proofErr w:type="spellStart"/>
      <w:r w:rsidR="00242B06" w:rsidRPr="00885C0A">
        <w:rPr>
          <w:rFonts w:ascii="Arial" w:hAnsi="Arial" w:cs="Arial"/>
          <w:sz w:val="22"/>
          <w:szCs w:val="22"/>
        </w:rPr>
        <w:t>Tier</w:t>
      </w:r>
      <w:proofErr w:type="spellEnd"/>
      <w:r w:rsidR="00242B06" w:rsidRPr="00885C0A">
        <w:rPr>
          <w:rFonts w:ascii="Arial" w:hAnsi="Arial" w:cs="Arial"/>
          <w:sz w:val="22"/>
          <w:szCs w:val="22"/>
        </w:rPr>
        <w:t xml:space="preserve"> 10 (10% nejcitovanějších časopisů v</w:t>
      </w:r>
      <w:r w:rsidRPr="00885C0A">
        <w:rPr>
          <w:rFonts w:ascii="Arial" w:hAnsi="Arial" w:cs="Arial"/>
          <w:sz w:val="22"/>
          <w:szCs w:val="22"/>
        </w:rPr>
        <w:t> </w:t>
      </w:r>
      <w:r w:rsidR="00242B06" w:rsidRPr="00885C0A">
        <w:rPr>
          <w:rFonts w:ascii="Arial" w:hAnsi="Arial" w:cs="Arial"/>
          <w:sz w:val="22"/>
          <w:szCs w:val="22"/>
        </w:rPr>
        <w:t>oboru</w:t>
      </w:r>
      <w:r w:rsidRPr="00885C0A">
        <w:rPr>
          <w:rFonts w:ascii="Arial" w:hAnsi="Arial" w:cs="Arial"/>
          <w:sz w:val="22"/>
          <w:szCs w:val="22"/>
        </w:rPr>
        <w:t>),</w:t>
      </w:r>
    </w:p>
    <w:p w:rsidR="00242B06" w:rsidRPr="008A2956" w:rsidRDefault="002D3119" w:rsidP="008A2956">
      <w:pPr>
        <w:pStyle w:val="Normlnweb"/>
        <w:numPr>
          <w:ilvl w:val="0"/>
          <w:numId w:val="2"/>
        </w:numPr>
        <w:tabs>
          <w:tab w:val="left" w:pos="477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8A2956">
        <w:rPr>
          <w:rFonts w:ascii="Arial" w:hAnsi="Arial" w:cs="Arial"/>
          <w:sz w:val="22"/>
          <w:szCs w:val="22"/>
        </w:rPr>
        <w:t>cílem je vybudovat prestižní mezinárodní vědecké centrum, podílet se na zlepšení kvality života a zdraví lidí. Lze očekávat, že bude častěji využíváno znalostního a inovačního potenciálu centra, který bude s podporou ochrany duševního vlastnictví vytvářet podmínky pro vznik nových spin-</w:t>
      </w:r>
      <w:proofErr w:type="spellStart"/>
      <w:r w:rsidRPr="008A2956">
        <w:rPr>
          <w:rFonts w:ascii="Arial" w:hAnsi="Arial" w:cs="Arial"/>
          <w:sz w:val="22"/>
          <w:szCs w:val="22"/>
        </w:rPr>
        <w:t>off</w:t>
      </w:r>
      <w:proofErr w:type="spellEnd"/>
      <w:r w:rsidRPr="008A2956">
        <w:rPr>
          <w:rFonts w:ascii="Arial" w:hAnsi="Arial" w:cs="Arial"/>
          <w:sz w:val="22"/>
          <w:szCs w:val="22"/>
        </w:rPr>
        <w:t xml:space="preserve"> firem, patentů a prodej licencí nabízej</w:t>
      </w:r>
      <w:r w:rsidR="00885C0A" w:rsidRPr="008A2956">
        <w:rPr>
          <w:rFonts w:ascii="Arial" w:hAnsi="Arial" w:cs="Arial"/>
          <w:sz w:val="22"/>
          <w:szCs w:val="22"/>
        </w:rPr>
        <w:t>ících nové technologie a </w:t>
      </w:r>
      <w:r w:rsidRPr="008A2956">
        <w:rPr>
          <w:rFonts w:ascii="Arial" w:hAnsi="Arial" w:cs="Arial"/>
          <w:sz w:val="22"/>
          <w:szCs w:val="22"/>
        </w:rPr>
        <w:t>materiály atd.</w:t>
      </w: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Tab.</w:t>
      </w:r>
      <w:r w:rsidRPr="00073C93">
        <w:rPr>
          <w:b/>
          <w:color w:val="auto"/>
          <w:sz w:val="22"/>
          <w:szCs w:val="22"/>
        </w:rPr>
        <w:t xml:space="preserve"> 1: </w:t>
      </w:r>
      <w:r>
        <w:rPr>
          <w:b/>
          <w:color w:val="auto"/>
          <w:sz w:val="22"/>
          <w:szCs w:val="22"/>
        </w:rPr>
        <w:t>Kompletní přehled činnosti centra CEITEC</w:t>
      </w:r>
    </w:p>
    <w:p w:rsidR="00B87664" w:rsidRDefault="002D3119" w:rsidP="00B87664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306890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6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>Zdroj: Výroční zpráva CEITEC, vlastní zpracování</w:t>
      </w:r>
    </w:p>
    <w:p w:rsidR="00A71B4C" w:rsidRPr="008C17B9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Graf 4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Projekty CEITEC</w:t>
      </w:r>
    </w:p>
    <w:p w:rsidR="002D3119" w:rsidRPr="00885C0A" w:rsidRDefault="002D3119" w:rsidP="00B87664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24136E9E">
            <wp:extent cx="4701895" cy="2627194"/>
            <wp:effectExtent l="0" t="0" r="381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906" cy="2677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0A" w:rsidRDefault="00885C0A" w:rsidP="00885C0A">
      <w:pPr>
        <w:tabs>
          <w:tab w:val="left" w:pos="477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2D3119">
        <w:rPr>
          <w:rFonts w:ascii="Times New Roman" w:hAnsi="Times New Roman" w:cs="Times New Roman"/>
          <w:i/>
          <w:sz w:val="18"/>
          <w:szCs w:val="18"/>
        </w:rPr>
        <w:t xml:space="preserve">Zdroj: </w:t>
      </w:r>
      <w:r>
        <w:rPr>
          <w:rFonts w:ascii="Times New Roman" w:hAnsi="Times New Roman" w:cs="Times New Roman"/>
          <w:i/>
          <w:sz w:val="18"/>
          <w:szCs w:val="18"/>
        </w:rPr>
        <w:t xml:space="preserve">IS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2D3119">
        <w:rPr>
          <w:rFonts w:ascii="Times New Roman" w:hAnsi="Times New Roman" w:cs="Times New Roman"/>
          <w:i/>
          <w:sz w:val="18"/>
          <w:szCs w:val="18"/>
        </w:rPr>
        <w:t>Vlastní zpracování</w:t>
      </w: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Graf 5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Vědečtí pracovníci CEITEC</w:t>
      </w:r>
    </w:p>
    <w:p w:rsidR="002D3119" w:rsidRPr="00885C0A" w:rsidRDefault="002D3119" w:rsidP="00B87664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3E669D81" wp14:editId="33D022B9">
            <wp:extent cx="3671248" cy="2456597"/>
            <wp:effectExtent l="0" t="0" r="5715" b="127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D3119" w:rsidRPr="00885C0A" w:rsidRDefault="002D3119" w:rsidP="002D3119">
      <w:pPr>
        <w:tabs>
          <w:tab w:val="left" w:pos="477"/>
        </w:tabs>
        <w:jc w:val="both"/>
        <w:rPr>
          <w:rFonts w:ascii="Arial" w:hAnsi="Arial" w:cs="Arial"/>
          <w:i/>
          <w:sz w:val="18"/>
          <w:szCs w:val="18"/>
        </w:rPr>
      </w:pPr>
      <w:r w:rsidRPr="00885C0A">
        <w:rPr>
          <w:rFonts w:ascii="Arial" w:hAnsi="Arial" w:cs="Arial"/>
          <w:i/>
          <w:sz w:val="18"/>
          <w:szCs w:val="18"/>
        </w:rPr>
        <w:t xml:space="preserve">Zdroj: </w:t>
      </w:r>
      <w:r w:rsidR="009B661A">
        <w:rPr>
          <w:rFonts w:ascii="Arial" w:hAnsi="Arial" w:cs="Arial"/>
          <w:i/>
          <w:sz w:val="18"/>
          <w:szCs w:val="18"/>
        </w:rPr>
        <w:t>Zpráva CEITEC</w:t>
      </w:r>
    </w:p>
    <w:p w:rsidR="00885C0A" w:rsidRDefault="00885C0A" w:rsidP="002D3119">
      <w:pPr>
        <w:tabs>
          <w:tab w:val="left" w:pos="477"/>
        </w:tabs>
        <w:jc w:val="both"/>
        <w:rPr>
          <w:rFonts w:ascii="Arial" w:hAnsi="Arial" w:cs="Arial"/>
          <w:sz w:val="18"/>
          <w:szCs w:val="18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F94EF7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A71B4C" w:rsidRPr="00073C93" w:rsidRDefault="00F94EF7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G</w:t>
      </w:r>
      <w:r w:rsidR="00A71B4C" w:rsidRPr="00073C93">
        <w:rPr>
          <w:b/>
          <w:color w:val="auto"/>
          <w:sz w:val="22"/>
          <w:szCs w:val="22"/>
        </w:rPr>
        <w:t xml:space="preserve">raf </w:t>
      </w:r>
      <w:r w:rsidR="00A71B4C">
        <w:rPr>
          <w:b/>
          <w:color w:val="auto"/>
          <w:sz w:val="22"/>
          <w:szCs w:val="22"/>
        </w:rPr>
        <w:t>6</w:t>
      </w:r>
      <w:r w:rsidR="00A71B4C" w:rsidRPr="00073C93">
        <w:rPr>
          <w:b/>
          <w:color w:val="auto"/>
          <w:sz w:val="22"/>
          <w:szCs w:val="22"/>
        </w:rPr>
        <w:t xml:space="preserve">: </w:t>
      </w:r>
      <w:r w:rsidR="00A71B4C">
        <w:rPr>
          <w:b/>
          <w:color w:val="auto"/>
          <w:sz w:val="22"/>
          <w:szCs w:val="22"/>
        </w:rPr>
        <w:t>Typy výsledků CEITEC</w:t>
      </w:r>
    </w:p>
    <w:p w:rsidR="002D3119" w:rsidRDefault="00AF715E" w:rsidP="00B87664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>
            <wp:extent cx="6339840" cy="3357349"/>
            <wp:effectExtent l="0" t="0" r="381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výsledky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7398" cy="336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A71B4C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AF715E" w:rsidRDefault="00A71B4C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7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Výsledky typu J</w:t>
      </w:r>
      <w:r w:rsidR="00AF715E" w:rsidRPr="00885C0A">
        <w:rPr>
          <w:noProof/>
          <w:lang w:eastAsia="cs-CZ"/>
        </w:rPr>
        <w:drawing>
          <wp:inline distT="0" distB="0" distL="0" distR="0" wp14:anchorId="5BF4DAB4" wp14:editId="00979408">
            <wp:extent cx="4572000" cy="2743200"/>
            <wp:effectExtent l="0" t="0" r="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A71B4C" w:rsidRPr="008C17B9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E70D58" w:rsidRDefault="00B87664" w:rsidP="00A71B4C">
      <w:pPr>
        <w:pStyle w:val="Default"/>
        <w:spacing w:line="360" w:lineRule="auto"/>
        <w:jc w:val="both"/>
      </w:pPr>
      <w:r w:rsidRPr="00885C0A">
        <w:t xml:space="preserve"> </w:t>
      </w:r>
    </w:p>
    <w:p w:rsidR="00E70D58" w:rsidRDefault="00E70D58" w:rsidP="00A71B4C">
      <w:pPr>
        <w:pStyle w:val="Default"/>
        <w:spacing w:line="360" w:lineRule="auto"/>
        <w:jc w:val="both"/>
      </w:pPr>
    </w:p>
    <w:p w:rsidR="00E70D58" w:rsidRDefault="00E70D58" w:rsidP="00A71B4C">
      <w:pPr>
        <w:pStyle w:val="Default"/>
        <w:spacing w:line="360" w:lineRule="auto"/>
        <w:jc w:val="both"/>
      </w:pPr>
    </w:p>
    <w:p w:rsidR="00E70D58" w:rsidRDefault="00E70D58" w:rsidP="00A71B4C">
      <w:pPr>
        <w:pStyle w:val="Default"/>
        <w:spacing w:line="360" w:lineRule="auto"/>
        <w:jc w:val="both"/>
      </w:pPr>
    </w:p>
    <w:p w:rsidR="00E70D58" w:rsidRDefault="00E70D58" w:rsidP="00A71B4C">
      <w:pPr>
        <w:pStyle w:val="Default"/>
        <w:spacing w:line="360" w:lineRule="auto"/>
        <w:jc w:val="both"/>
      </w:pP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Graf 8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 xml:space="preserve">International </w:t>
      </w:r>
      <w:proofErr w:type="spellStart"/>
      <w:r>
        <w:rPr>
          <w:b/>
          <w:color w:val="auto"/>
          <w:sz w:val="22"/>
          <w:szCs w:val="22"/>
        </w:rPr>
        <w:t>Collaborations</w:t>
      </w:r>
      <w:proofErr w:type="spellEnd"/>
    </w:p>
    <w:p w:rsidR="0038093F" w:rsidRPr="00885C0A" w:rsidRDefault="003D664C" w:rsidP="00B87664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2550795"/>
            <wp:effectExtent l="0" t="0" r="0" b="190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% international Collaboration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64C" w:rsidRPr="00885C0A" w:rsidRDefault="003D664C" w:rsidP="00B87664">
      <w:pPr>
        <w:tabs>
          <w:tab w:val="left" w:pos="477"/>
        </w:tabs>
        <w:jc w:val="both"/>
        <w:rPr>
          <w:rFonts w:ascii="Arial" w:hAnsi="Arial" w:cs="Arial"/>
          <w:i/>
          <w:sz w:val="18"/>
          <w:szCs w:val="18"/>
        </w:rPr>
      </w:pPr>
      <w:r w:rsidRPr="00885C0A">
        <w:rPr>
          <w:rFonts w:ascii="Arial" w:hAnsi="Arial" w:cs="Arial"/>
          <w:i/>
          <w:sz w:val="18"/>
          <w:szCs w:val="18"/>
        </w:rPr>
        <w:t>Zdroj: MŠMT, Podklad NPU II</w:t>
      </w:r>
    </w:p>
    <w:p w:rsidR="00D34A73" w:rsidRPr="00885C0A" w:rsidRDefault="00D34A73" w:rsidP="00B87664">
      <w:pPr>
        <w:tabs>
          <w:tab w:val="left" w:pos="477"/>
        </w:tabs>
        <w:jc w:val="both"/>
        <w:rPr>
          <w:rFonts w:ascii="Arial" w:hAnsi="Arial" w:cs="Arial"/>
        </w:rPr>
      </w:pPr>
    </w:p>
    <w:p w:rsidR="00D34A73" w:rsidRPr="00885C0A" w:rsidRDefault="00946FF4" w:rsidP="00B87664">
      <w:pPr>
        <w:tabs>
          <w:tab w:val="left" w:pos="477"/>
        </w:tabs>
        <w:jc w:val="both"/>
        <w:rPr>
          <w:rFonts w:ascii="Arial" w:hAnsi="Arial" w:cs="Arial"/>
          <w:b/>
          <w:sz w:val="32"/>
          <w:szCs w:val="32"/>
        </w:rPr>
      </w:pPr>
      <w:r w:rsidRPr="00885C0A">
        <w:rPr>
          <w:rFonts w:ascii="Arial" w:hAnsi="Arial" w:cs="Arial"/>
          <w:b/>
          <w:sz w:val="32"/>
          <w:szCs w:val="32"/>
        </w:rPr>
        <w:t>IT4I</w:t>
      </w:r>
    </w:p>
    <w:p w:rsidR="00946FF4" w:rsidRPr="00885C0A" w:rsidRDefault="00F36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v</w:t>
      </w:r>
      <w:r w:rsidR="00946FF4" w:rsidRPr="00885C0A">
        <w:rPr>
          <w:rFonts w:ascii="Arial" w:hAnsi="Arial" w:cs="Arial"/>
          <w:color w:val="212529"/>
          <w:sz w:val="22"/>
          <w:szCs w:val="22"/>
        </w:rPr>
        <w:t>íce než 400 publikací ve významných impaktovaných časopisech,</w:t>
      </w:r>
    </w:p>
    <w:p w:rsidR="00946FF4" w:rsidRPr="00885C0A" w:rsidRDefault="00946FF4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8 patentů</w:t>
      </w:r>
    </w:p>
    <w:p w:rsidR="00946FF4" w:rsidRPr="00885C0A" w:rsidRDefault="00946FF4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90 výsledků aplikovaného výzkumu (SW produkty)</w:t>
      </w:r>
    </w:p>
    <w:p w:rsidR="00946FF4" w:rsidRPr="00885C0A" w:rsidRDefault="00946FF4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90 mil. Kč smluvní výzkum ke konci roku 2019</w:t>
      </w:r>
    </w:p>
    <w:p w:rsidR="00946FF4" w:rsidRPr="00885C0A" w:rsidRDefault="00946FF4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180 mil. Kč objem prostředků z mezinárodních projektů v roce 2019</w:t>
      </w:r>
    </w:p>
    <w:p w:rsidR="00946FF4" w:rsidRPr="00885C0A" w:rsidRDefault="008A2956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>p</w:t>
      </w:r>
      <w:r w:rsidR="00946FF4" w:rsidRPr="00885C0A">
        <w:rPr>
          <w:rFonts w:ascii="Arial" w:hAnsi="Arial" w:cs="Arial"/>
          <w:color w:val="212529"/>
          <w:sz w:val="22"/>
          <w:szCs w:val="22"/>
        </w:rPr>
        <w:t xml:space="preserve">articipace na celoevropském společném podniku </w:t>
      </w:r>
      <w:proofErr w:type="spellStart"/>
      <w:r w:rsidR="00946FF4" w:rsidRPr="00885C0A">
        <w:rPr>
          <w:rFonts w:ascii="Arial" w:hAnsi="Arial" w:cs="Arial"/>
          <w:color w:val="212529"/>
          <w:sz w:val="22"/>
          <w:szCs w:val="22"/>
        </w:rPr>
        <w:t>EuroHPC</w:t>
      </w:r>
      <w:proofErr w:type="spellEnd"/>
      <w:r w:rsidR="00946FF4" w:rsidRPr="00885C0A">
        <w:rPr>
          <w:rFonts w:ascii="Arial" w:hAnsi="Arial" w:cs="Arial"/>
          <w:color w:val="212529"/>
          <w:sz w:val="22"/>
          <w:szCs w:val="22"/>
        </w:rPr>
        <w:t>, jehož hlavním cílem je podpořit digitalizaci společnosti a průmyslu prostřednictvím výp</w:t>
      </w:r>
      <w:r>
        <w:rPr>
          <w:rFonts w:ascii="Arial" w:hAnsi="Arial" w:cs="Arial"/>
          <w:color w:val="212529"/>
          <w:sz w:val="22"/>
          <w:szCs w:val="22"/>
        </w:rPr>
        <w:t>očetních a datových technologií</w:t>
      </w:r>
    </w:p>
    <w:p w:rsidR="00364F12" w:rsidRPr="00885C0A" w:rsidRDefault="00364F12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256 zaměstnanců (v roce 2018): 21% management a</w:t>
      </w:r>
      <w:r w:rsidR="00885C0A">
        <w:rPr>
          <w:rFonts w:ascii="Arial" w:hAnsi="Arial" w:cs="Arial"/>
          <w:color w:val="212529"/>
          <w:sz w:val="22"/>
          <w:szCs w:val="22"/>
        </w:rPr>
        <w:t xml:space="preserve"> administrativa, 69% výzkumní a </w:t>
      </w:r>
      <w:r w:rsidRPr="00885C0A">
        <w:rPr>
          <w:rFonts w:ascii="Arial" w:hAnsi="Arial" w:cs="Arial"/>
          <w:color w:val="212529"/>
          <w:sz w:val="22"/>
          <w:szCs w:val="22"/>
        </w:rPr>
        <w:t>vývojoví pracovníci, 10% Superpočítačové služby.</w:t>
      </w:r>
    </w:p>
    <w:p w:rsidR="00364F12" w:rsidRPr="00885C0A" w:rsidRDefault="0059193A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150 mil. Kč průměrný roční příjem z projektů</w:t>
      </w:r>
    </w:p>
    <w:p w:rsidR="0059193A" w:rsidRPr="00885C0A" w:rsidRDefault="0059193A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25 mezinárodních projektů</w:t>
      </w:r>
    </w:p>
    <w:p w:rsidR="0059193A" w:rsidRPr="00885C0A" w:rsidRDefault="0059193A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20 národních projektů</w:t>
      </w:r>
    </w:p>
    <w:p w:rsidR="0059193A" w:rsidRPr="00885C0A" w:rsidRDefault="0059193A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 xml:space="preserve">8 členství v mezinárodních organizacích. </w:t>
      </w: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9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Typy výsledků IT4I</w:t>
      </w:r>
    </w:p>
    <w:p w:rsidR="00996263" w:rsidRDefault="00996263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287528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ýsledky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A71B4C" w:rsidRPr="008C17B9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996263" w:rsidRDefault="00A71B4C" w:rsidP="00A71B4C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10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Výsledky typu J – IT4I</w:t>
      </w:r>
      <w:r w:rsidR="00996263" w:rsidRPr="00885C0A">
        <w:rPr>
          <w:noProof/>
          <w:lang w:eastAsia="cs-CZ"/>
        </w:rPr>
        <w:drawing>
          <wp:inline distT="0" distB="0" distL="0" distR="0" wp14:anchorId="2384F0D8" wp14:editId="45A37BB2">
            <wp:extent cx="4572000" cy="27432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A71B4C" w:rsidRPr="008C17B9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11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Přehled financování IT4I 2016–2019 (v mil. Kč)</w:t>
      </w:r>
    </w:p>
    <w:p w:rsidR="00B92FAE" w:rsidRDefault="00B92FAE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22245DFB" wp14:editId="6408ED52">
            <wp:extent cx="5760720" cy="3025140"/>
            <wp:effectExtent l="0" t="0" r="11430" b="381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85C0A" w:rsidRDefault="00D22591" w:rsidP="00885C0A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Zdroj: Publikace „Přehled roku 2019“, IS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</w:p>
    <w:p w:rsidR="00A71B4C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A57290" w:rsidRDefault="00A71B4C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12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Výhled zdroje financování IT4I</w:t>
      </w:r>
      <w:r w:rsidR="00A57290" w:rsidRPr="00885C0A">
        <w:rPr>
          <w:noProof/>
          <w:lang w:eastAsia="cs-CZ"/>
        </w:rPr>
        <w:drawing>
          <wp:inline distT="0" distB="0" distL="0" distR="0" wp14:anchorId="4038BA62" wp14:editId="0B6F63CF">
            <wp:extent cx="5657850" cy="3689350"/>
            <wp:effectExtent l="0" t="0" r="0" b="635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85C0A" w:rsidRDefault="00885C0A" w:rsidP="00885C0A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A71B4C" w:rsidRPr="008C17B9" w:rsidRDefault="00A71B4C" w:rsidP="00885C0A">
      <w:pPr>
        <w:rPr>
          <w:rFonts w:ascii="Times New Roman" w:hAnsi="Times New Roman" w:cs="Times New Roman"/>
          <w:i/>
          <w:sz w:val="18"/>
          <w:szCs w:val="18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A71B4C" w:rsidRPr="00073C93" w:rsidRDefault="00A71B4C" w:rsidP="00A71B4C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13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Zaměstnanci IT4I podle úseku (2016–2019)</w:t>
      </w:r>
    </w:p>
    <w:p w:rsidR="003D6D03" w:rsidRDefault="003D6D03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59410F49" wp14:editId="4A89EB8F">
            <wp:extent cx="5760720" cy="3404235"/>
            <wp:effectExtent l="0" t="0" r="11430" b="5715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F7D6E" w:rsidRPr="00885C0A" w:rsidRDefault="00D22591" w:rsidP="00996263">
      <w:pPr>
        <w:tabs>
          <w:tab w:val="left" w:pos="477"/>
        </w:tabs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i/>
          <w:sz w:val="18"/>
          <w:szCs w:val="18"/>
        </w:rPr>
        <w:t>Zdroj: Publikace „Přehled roku 2019“</w:t>
      </w:r>
      <w:r w:rsidR="00BD23A5">
        <w:rPr>
          <w:rFonts w:ascii="Times New Roman" w:hAnsi="Times New Roman" w:cs="Times New Roman"/>
          <w:i/>
          <w:sz w:val="18"/>
          <w:szCs w:val="18"/>
        </w:rPr>
        <w:t xml:space="preserve">, dostupná zde: </w:t>
      </w:r>
      <w:r w:rsidR="00BD23A5" w:rsidRPr="00BD23A5">
        <w:rPr>
          <w:rFonts w:ascii="Times New Roman" w:hAnsi="Times New Roman" w:cs="Times New Roman"/>
          <w:i/>
          <w:sz w:val="18"/>
          <w:szCs w:val="18"/>
        </w:rPr>
        <w:t>https://www.it4i.cz</w:t>
      </w:r>
    </w:p>
    <w:p w:rsidR="00A71B4C" w:rsidRDefault="00A71B4C" w:rsidP="00F36CED">
      <w:pPr>
        <w:pStyle w:val="Normlnweb"/>
        <w:spacing w:line="360" w:lineRule="auto"/>
        <w:ind w:left="426"/>
        <w:jc w:val="both"/>
        <w:rPr>
          <w:rFonts w:ascii="Arial" w:hAnsi="Arial" w:cs="Arial"/>
          <w:b/>
          <w:color w:val="212529"/>
          <w:sz w:val="32"/>
          <w:szCs w:val="32"/>
        </w:rPr>
      </w:pPr>
    </w:p>
    <w:p w:rsidR="001F7D6E" w:rsidRPr="00885C0A" w:rsidRDefault="001F7D6E" w:rsidP="00F36CED">
      <w:pPr>
        <w:pStyle w:val="Normlnweb"/>
        <w:spacing w:line="360" w:lineRule="auto"/>
        <w:ind w:left="426"/>
        <w:jc w:val="both"/>
        <w:rPr>
          <w:rFonts w:ascii="Arial" w:hAnsi="Arial" w:cs="Arial"/>
          <w:b/>
          <w:color w:val="212529"/>
          <w:sz w:val="32"/>
          <w:szCs w:val="32"/>
        </w:rPr>
      </w:pPr>
      <w:r w:rsidRPr="00885C0A">
        <w:rPr>
          <w:rFonts w:ascii="Arial" w:hAnsi="Arial" w:cs="Arial"/>
          <w:b/>
          <w:color w:val="212529"/>
          <w:sz w:val="32"/>
          <w:szCs w:val="32"/>
        </w:rPr>
        <w:t>BIOCEV</w:t>
      </w:r>
    </w:p>
    <w:p w:rsidR="00F45C83" w:rsidRPr="00885C0A" w:rsidRDefault="00417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484 vědeckých pracovníků</w:t>
      </w:r>
    </w:p>
    <w:p w:rsidR="00417CED" w:rsidRPr="00885C0A" w:rsidRDefault="00417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148 vědkyň a 158 vědců do 35 let (k 30.</w:t>
      </w:r>
      <w:r w:rsidR="00885C0A">
        <w:rPr>
          <w:rFonts w:ascii="Arial" w:hAnsi="Arial" w:cs="Arial"/>
          <w:color w:val="212529"/>
          <w:sz w:val="22"/>
          <w:szCs w:val="22"/>
        </w:rPr>
        <w:t xml:space="preserve"> </w:t>
      </w:r>
      <w:r w:rsidRPr="00885C0A">
        <w:rPr>
          <w:rFonts w:ascii="Arial" w:hAnsi="Arial" w:cs="Arial"/>
          <w:color w:val="212529"/>
          <w:sz w:val="22"/>
          <w:szCs w:val="22"/>
        </w:rPr>
        <w:t>6.</w:t>
      </w:r>
      <w:r w:rsidR="00885C0A">
        <w:rPr>
          <w:rFonts w:ascii="Arial" w:hAnsi="Arial" w:cs="Arial"/>
          <w:color w:val="212529"/>
          <w:sz w:val="22"/>
          <w:szCs w:val="22"/>
        </w:rPr>
        <w:t xml:space="preserve"> </w:t>
      </w:r>
      <w:r w:rsidRPr="00885C0A">
        <w:rPr>
          <w:rFonts w:ascii="Arial" w:hAnsi="Arial" w:cs="Arial"/>
          <w:color w:val="212529"/>
          <w:sz w:val="22"/>
          <w:szCs w:val="22"/>
        </w:rPr>
        <w:t>2020)</w:t>
      </w:r>
    </w:p>
    <w:p w:rsidR="00417CED" w:rsidRPr="00885C0A" w:rsidRDefault="00F402AF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56 výzkumných skupin</w:t>
      </w:r>
    </w:p>
    <w:p w:rsidR="00F402AF" w:rsidRPr="00885C0A" w:rsidRDefault="00F402AF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5 výzkumných programů</w:t>
      </w:r>
    </w:p>
    <w:p w:rsidR="00F402AF" w:rsidRPr="00885C0A" w:rsidRDefault="00F402AF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942 publikací a 37 patentů, prototypů a aplikací</w:t>
      </w:r>
    </w:p>
    <w:p w:rsidR="00547AAE" w:rsidRPr="00885C0A" w:rsidRDefault="00547AAE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1005 mediálních výstupů za rok 2020</w:t>
      </w:r>
    </w:p>
    <w:p w:rsidR="00F402AF" w:rsidRPr="00885C0A" w:rsidRDefault="00F402AF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428 mil. Kč z národních a zahraničních grantů (v r. 2020)</w:t>
      </w:r>
    </w:p>
    <w:p w:rsidR="00F402AF" w:rsidRPr="00885C0A" w:rsidRDefault="00F402AF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159 účelově poskytnutých projektů (11 mezinárodních)</w:t>
      </w:r>
    </w:p>
    <w:p w:rsidR="00F960AE" w:rsidRPr="00885C0A" w:rsidRDefault="00F960AE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2,84 mld. Kč činily celkové náklady projektu BIOCEV</w:t>
      </w:r>
    </w:p>
    <w:p w:rsidR="00547AAE" w:rsidRPr="00885C0A" w:rsidRDefault="00547AAE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33 mil. Kč v roce 2019 zapojení do mezinárodních projektů</w:t>
      </w:r>
    </w:p>
    <w:p w:rsidR="00547AAE" w:rsidRDefault="00547AAE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387 mil. Kč v roce 2019 čerpáno z národních grantů BIOCEV</w:t>
      </w: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2F7BBB" w:rsidRPr="00073C93" w:rsidRDefault="002F7BBB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14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Typy výsledků BIOCEV</w:t>
      </w:r>
    </w:p>
    <w:p w:rsidR="001F7D6E" w:rsidRDefault="001F7D6E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3005455"/>
            <wp:effectExtent l="0" t="0" r="0" b="444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ýsledky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2F7BBB" w:rsidRPr="008C17B9" w:rsidRDefault="002F7BBB" w:rsidP="00073C93">
      <w:pPr>
        <w:rPr>
          <w:rFonts w:ascii="Times New Roman" w:hAnsi="Times New Roman" w:cs="Times New Roman"/>
          <w:i/>
          <w:sz w:val="18"/>
          <w:szCs w:val="18"/>
        </w:rPr>
      </w:pPr>
    </w:p>
    <w:p w:rsidR="001F7D6E" w:rsidRDefault="002F7BBB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15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Výsledky typu J - CEITEC</w:t>
      </w:r>
      <w:r w:rsidR="001F7D6E" w:rsidRPr="00885C0A">
        <w:rPr>
          <w:noProof/>
          <w:lang w:eastAsia="cs-CZ"/>
        </w:rPr>
        <w:drawing>
          <wp:inline distT="0" distB="0" distL="0" distR="0" wp14:anchorId="3B896BC5" wp14:editId="4A795939">
            <wp:extent cx="4572000" cy="27432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2F7BBB" w:rsidRPr="008C17B9" w:rsidRDefault="002F7BBB" w:rsidP="00073C93">
      <w:pPr>
        <w:rPr>
          <w:rFonts w:ascii="Times New Roman" w:hAnsi="Times New Roman" w:cs="Times New Roman"/>
          <w:i/>
          <w:sz w:val="18"/>
          <w:szCs w:val="18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2F7BBB" w:rsidRPr="00073C93" w:rsidRDefault="002F7BBB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16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Zdroje financování BIOCEV</w:t>
      </w:r>
    </w:p>
    <w:p w:rsidR="00F77314" w:rsidRDefault="00F77314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4DC256FD" wp14:editId="74AFE669">
            <wp:extent cx="5200650" cy="2819400"/>
            <wp:effectExtent l="0" t="0" r="0" b="0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73C93" w:rsidRPr="008C17B9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1F7D6E" w:rsidRPr="00885C0A" w:rsidRDefault="001F7D6E" w:rsidP="00996263">
      <w:pPr>
        <w:tabs>
          <w:tab w:val="left" w:pos="477"/>
        </w:tabs>
        <w:jc w:val="both"/>
        <w:rPr>
          <w:rFonts w:ascii="Arial" w:hAnsi="Arial" w:cs="Arial"/>
        </w:rPr>
      </w:pPr>
    </w:p>
    <w:p w:rsidR="001F7D6E" w:rsidRPr="00885C0A" w:rsidRDefault="001F7D6E" w:rsidP="00996263">
      <w:pPr>
        <w:tabs>
          <w:tab w:val="left" w:pos="477"/>
        </w:tabs>
        <w:jc w:val="both"/>
        <w:rPr>
          <w:rFonts w:ascii="Arial" w:hAnsi="Arial" w:cs="Arial"/>
          <w:b/>
          <w:sz w:val="32"/>
          <w:szCs w:val="32"/>
        </w:rPr>
      </w:pPr>
      <w:r w:rsidRPr="00885C0A">
        <w:rPr>
          <w:rFonts w:ascii="Arial" w:hAnsi="Arial" w:cs="Arial"/>
          <w:b/>
          <w:sz w:val="32"/>
          <w:szCs w:val="32"/>
        </w:rPr>
        <w:t>ELI</w:t>
      </w:r>
      <w:r w:rsidR="00BD6BE1" w:rsidRPr="00885C0A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BD6BE1" w:rsidRPr="00885C0A">
        <w:rPr>
          <w:rFonts w:ascii="Arial" w:hAnsi="Arial" w:cs="Arial"/>
          <w:b/>
          <w:sz w:val="32"/>
          <w:szCs w:val="32"/>
        </w:rPr>
        <w:t>Beamlines</w:t>
      </w:r>
      <w:proofErr w:type="spellEnd"/>
    </w:p>
    <w:p w:rsidR="00684D38" w:rsidRPr="00885C0A" w:rsidRDefault="00684D38" w:rsidP="00885C0A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263 publikací v mezinárodních recenzovaných časopisech (2015-2019),</w:t>
      </w:r>
    </w:p>
    <w:p w:rsidR="00684D38" w:rsidRPr="00885C0A" w:rsidRDefault="00F36CED" w:rsidP="00885C0A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p</w:t>
      </w:r>
      <w:r w:rsidR="00684D38" w:rsidRPr="00885C0A">
        <w:rPr>
          <w:rFonts w:ascii="Arial" w:hAnsi="Arial" w:cs="Arial"/>
          <w:color w:val="212529"/>
          <w:sz w:val="22"/>
          <w:szCs w:val="22"/>
        </w:rPr>
        <w:t>odáno 22 patentových přihlášek a 34 užitných vzorů,</w:t>
      </w:r>
    </w:p>
    <w:p w:rsidR="00684D38" w:rsidRPr="00885C0A" w:rsidRDefault="00F36CED" w:rsidP="00885C0A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c</w:t>
      </w:r>
      <w:r w:rsidR="00684D38" w:rsidRPr="00885C0A">
        <w:rPr>
          <w:rFonts w:ascii="Arial" w:hAnsi="Arial" w:cs="Arial"/>
          <w:color w:val="212529"/>
          <w:sz w:val="22"/>
          <w:szCs w:val="22"/>
        </w:rPr>
        <w:t>ca 330 zaměstnanců (3/4 vědci, ¼ administrativní a podpůrní pracovníci).</w:t>
      </w:r>
    </w:p>
    <w:p w:rsidR="00684D38" w:rsidRPr="00885C0A" w:rsidRDefault="00F36CED" w:rsidP="00885C0A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t</w:t>
      </w:r>
      <w:r w:rsidR="00684D38" w:rsidRPr="00885C0A">
        <w:rPr>
          <w:rFonts w:ascii="Arial" w:hAnsi="Arial" w:cs="Arial"/>
          <w:color w:val="212529"/>
          <w:sz w:val="22"/>
          <w:szCs w:val="22"/>
        </w:rPr>
        <w:t xml:space="preserve">éměř 300 týdnů experimentálního času ročně na </w:t>
      </w:r>
      <w:r w:rsidR="0079208A" w:rsidRPr="00885C0A">
        <w:rPr>
          <w:rFonts w:ascii="Arial" w:hAnsi="Arial" w:cs="Arial"/>
          <w:color w:val="212529"/>
          <w:sz w:val="22"/>
          <w:szCs w:val="22"/>
        </w:rPr>
        <w:t>jednotlivých laserových zařízeních,</w:t>
      </w:r>
    </w:p>
    <w:p w:rsidR="00BD6BE1" w:rsidRPr="00885C0A" w:rsidRDefault="00F36CED" w:rsidP="00885C0A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c</w:t>
      </w:r>
      <w:r w:rsidR="00BD6BE1" w:rsidRPr="00885C0A">
        <w:rPr>
          <w:rFonts w:ascii="Arial" w:hAnsi="Arial" w:cs="Arial"/>
          <w:color w:val="212529"/>
          <w:sz w:val="22"/>
          <w:szCs w:val="22"/>
        </w:rPr>
        <w:t>ílem je zřídit a dlouhodobě provozovat nejintenzivn</w:t>
      </w:r>
      <w:r w:rsidR="00885C0A">
        <w:rPr>
          <w:rFonts w:ascii="Arial" w:hAnsi="Arial" w:cs="Arial"/>
          <w:color w:val="212529"/>
          <w:sz w:val="22"/>
          <w:szCs w:val="22"/>
        </w:rPr>
        <w:t>ější laserový systém na světě v </w:t>
      </w:r>
      <w:r w:rsidR="00BD6BE1" w:rsidRPr="00885C0A">
        <w:rPr>
          <w:rFonts w:ascii="Arial" w:hAnsi="Arial" w:cs="Arial"/>
          <w:color w:val="212529"/>
          <w:sz w:val="22"/>
          <w:szCs w:val="22"/>
        </w:rPr>
        <w:t xml:space="preserve">kombinaci čtyřech </w:t>
      </w:r>
      <w:proofErr w:type="spellStart"/>
      <w:r w:rsidR="00BD6BE1" w:rsidRPr="00885C0A">
        <w:rPr>
          <w:rFonts w:ascii="Arial" w:hAnsi="Arial" w:cs="Arial"/>
          <w:color w:val="212529"/>
          <w:sz w:val="22"/>
          <w:szCs w:val="22"/>
        </w:rPr>
        <w:t>vysokorepetičních</w:t>
      </w:r>
      <w:proofErr w:type="spellEnd"/>
      <w:r w:rsidR="00BD6BE1" w:rsidRPr="00885C0A">
        <w:rPr>
          <w:rFonts w:ascii="Arial" w:hAnsi="Arial" w:cs="Arial"/>
          <w:color w:val="212529"/>
          <w:sz w:val="22"/>
          <w:szCs w:val="22"/>
        </w:rPr>
        <w:t xml:space="preserve"> a vysokovýkonným laserových sys</w:t>
      </w:r>
      <w:r w:rsidR="00885C0A">
        <w:rPr>
          <w:rFonts w:ascii="Arial" w:hAnsi="Arial" w:cs="Arial"/>
          <w:color w:val="212529"/>
          <w:sz w:val="22"/>
          <w:szCs w:val="22"/>
        </w:rPr>
        <w:t>témů o </w:t>
      </w:r>
      <w:r w:rsidR="00BD6BE1" w:rsidRPr="00885C0A">
        <w:rPr>
          <w:rFonts w:ascii="Arial" w:hAnsi="Arial" w:cs="Arial"/>
          <w:color w:val="212529"/>
          <w:sz w:val="22"/>
          <w:szCs w:val="22"/>
        </w:rPr>
        <w:t>špičkovém výkonu</w:t>
      </w:r>
    </w:p>
    <w:p w:rsidR="0079208A" w:rsidRPr="00885C0A" w:rsidRDefault="00F36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p</w:t>
      </w:r>
      <w:r w:rsidR="0079208A" w:rsidRPr="00885C0A">
        <w:rPr>
          <w:rFonts w:ascii="Arial" w:hAnsi="Arial" w:cs="Arial"/>
          <w:color w:val="212529"/>
          <w:sz w:val="22"/>
          <w:szCs w:val="22"/>
        </w:rPr>
        <w:t xml:space="preserve">otenciální dlouhodobý dopad činností centra je v oblastech zdravotnictví, energetika, kosmické aplikace, materiálový výzkum a elektronika, kultura. </w:t>
      </w:r>
    </w:p>
    <w:p w:rsidR="00A77357" w:rsidRPr="00885C0A" w:rsidRDefault="00F36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p</w:t>
      </w:r>
      <w:r w:rsidR="00A77357" w:rsidRPr="00885C0A">
        <w:rPr>
          <w:rFonts w:ascii="Arial" w:hAnsi="Arial" w:cs="Arial"/>
          <w:color w:val="212529"/>
          <w:sz w:val="22"/>
          <w:szCs w:val="22"/>
        </w:rPr>
        <w:t xml:space="preserve">řístup k zařízení ELI </w:t>
      </w:r>
      <w:proofErr w:type="spellStart"/>
      <w:r w:rsidR="00A77357" w:rsidRPr="00885C0A">
        <w:rPr>
          <w:rFonts w:ascii="Arial" w:hAnsi="Arial" w:cs="Arial"/>
          <w:color w:val="212529"/>
          <w:sz w:val="22"/>
          <w:szCs w:val="22"/>
        </w:rPr>
        <w:t>Beamlines</w:t>
      </w:r>
      <w:proofErr w:type="spellEnd"/>
      <w:r w:rsidR="00A77357" w:rsidRPr="00885C0A">
        <w:rPr>
          <w:rFonts w:ascii="Arial" w:hAnsi="Arial" w:cs="Arial"/>
          <w:color w:val="212529"/>
          <w:sz w:val="22"/>
          <w:szCs w:val="22"/>
        </w:rPr>
        <w:t xml:space="preserve"> bude řídit budoucí panevropské konsorcium (ELI-ERIC), které bude odpovědné za společné provozování zařízení ELI. Zařízení umožní přístup mezinárodním vědcům vybraným na základě vynikajících výkonů podle zásad prosazovaných Evropským strategickým fórem pro vý</w:t>
      </w:r>
      <w:r w:rsidR="00885C0A">
        <w:rPr>
          <w:rFonts w:ascii="Arial" w:hAnsi="Arial" w:cs="Arial"/>
          <w:color w:val="212529"/>
          <w:sz w:val="22"/>
          <w:szCs w:val="22"/>
        </w:rPr>
        <w:t>zkumné infrastruktury (ESFRI) a </w:t>
      </w:r>
      <w:r w:rsidR="00A77357" w:rsidRPr="00885C0A">
        <w:rPr>
          <w:rFonts w:ascii="Arial" w:hAnsi="Arial" w:cs="Arial"/>
          <w:color w:val="212529"/>
          <w:sz w:val="22"/>
          <w:szCs w:val="22"/>
        </w:rPr>
        <w:t>Evropskou komisí.</w:t>
      </w: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E70D58" w:rsidRDefault="00E70D58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:rsidR="002F7BBB" w:rsidRPr="00073C93" w:rsidRDefault="002F7BBB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17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 xml:space="preserve">Typy výsledků ELI </w:t>
      </w:r>
      <w:proofErr w:type="spellStart"/>
      <w:r>
        <w:rPr>
          <w:b/>
          <w:color w:val="auto"/>
          <w:sz w:val="22"/>
          <w:szCs w:val="22"/>
        </w:rPr>
        <w:t>Beamlines</w:t>
      </w:r>
      <w:proofErr w:type="spellEnd"/>
    </w:p>
    <w:p w:rsidR="001F7D6E" w:rsidRDefault="001F7D6E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6BFCEBEF" wp14:editId="0EB8DE33">
            <wp:extent cx="4572000" cy="274320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676EA7" w:rsidRDefault="00676EA7" w:rsidP="00073C93">
      <w:pPr>
        <w:rPr>
          <w:rFonts w:ascii="Times New Roman" w:hAnsi="Times New Roman" w:cs="Times New Roman"/>
          <w:i/>
          <w:sz w:val="18"/>
          <w:szCs w:val="18"/>
        </w:rPr>
      </w:pPr>
    </w:p>
    <w:p w:rsidR="001F7D6E" w:rsidRDefault="002F7BBB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18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 xml:space="preserve">Výsledky typu J – ELI </w:t>
      </w:r>
      <w:proofErr w:type="spellStart"/>
      <w:r>
        <w:rPr>
          <w:b/>
          <w:color w:val="auto"/>
          <w:sz w:val="22"/>
          <w:szCs w:val="22"/>
        </w:rPr>
        <w:t>Beamlines</w:t>
      </w:r>
      <w:proofErr w:type="spellEnd"/>
      <w:r w:rsidR="001F7D6E" w:rsidRPr="00885C0A">
        <w:rPr>
          <w:noProof/>
          <w:lang w:eastAsia="cs-CZ"/>
        </w:rPr>
        <w:drawing>
          <wp:inline distT="0" distB="0" distL="0" distR="0" wp14:anchorId="72409931" wp14:editId="0392ACAA">
            <wp:extent cx="5661329" cy="2234317"/>
            <wp:effectExtent l="0" t="0" r="15875" b="1397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016776" w:rsidRDefault="002F7BBB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lastRenderedPageBreak/>
        <w:t xml:space="preserve">Graf </w:t>
      </w:r>
      <w:r>
        <w:rPr>
          <w:b/>
          <w:color w:val="auto"/>
          <w:sz w:val="22"/>
          <w:szCs w:val="22"/>
        </w:rPr>
        <w:t>19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 xml:space="preserve">Zdroje financování ELI </w:t>
      </w:r>
      <w:proofErr w:type="spellStart"/>
      <w:r>
        <w:rPr>
          <w:b/>
          <w:color w:val="auto"/>
          <w:sz w:val="22"/>
          <w:szCs w:val="22"/>
        </w:rPr>
        <w:t>Beamlines</w:t>
      </w:r>
      <w:proofErr w:type="spellEnd"/>
      <w:r w:rsidR="00016776" w:rsidRPr="00885C0A">
        <w:rPr>
          <w:noProof/>
          <w:lang w:eastAsia="cs-CZ"/>
        </w:rPr>
        <w:drawing>
          <wp:inline distT="0" distB="0" distL="0" distR="0" wp14:anchorId="203219B8" wp14:editId="0545B15E">
            <wp:extent cx="5760720" cy="2971800"/>
            <wp:effectExtent l="0" t="0" r="11430" b="0"/>
            <wp:docPr id="23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73C93" w:rsidRPr="008C17B9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 xml:space="preserve">, </w:t>
      </w:r>
      <w:r>
        <w:rPr>
          <w:rFonts w:ascii="Times New Roman" w:hAnsi="Times New Roman" w:cs="Times New Roman"/>
          <w:i/>
          <w:sz w:val="18"/>
          <w:szCs w:val="18"/>
        </w:rPr>
        <w:t xml:space="preserve">Prezentace ELI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Beamlines</w:t>
      </w:r>
      <w:proofErr w:type="spellEnd"/>
    </w:p>
    <w:p w:rsidR="001F7D6E" w:rsidRPr="00885C0A" w:rsidRDefault="001F7D6E" w:rsidP="00996263">
      <w:pPr>
        <w:tabs>
          <w:tab w:val="left" w:pos="477"/>
        </w:tabs>
        <w:jc w:val="both"/>
        <w:rPr>
          <w:rFonts w:ascii="Arial" w:hAnsi="Arial" w:cs="Arial"/>
        </w:rPr>
      </w:pPr>
    </w:p>
    <w:p w:rsidR="001F7D6E" w:rsidRPr="00885C0A" w:rsidRDefault="00486532" w:rsidP="00996263">
      <w:pPr>
        <w:tabs>
          <w:tab w:val="left" w:pos="477"/>
        </w:tabs>
        <w:jc w:val="both"/>
        <w:rPr>
          <w:rFonts w:ascii="Arial" w:hAnsi="Arial" w:cs="Arial"/>
          <w:b/>
          <w:sz w:val="32"/>
          <w:szCs w:val="32"/>
        </w:rPr>
      </w:pPr>
      <w:r w:rsidRPr="00885C0A">
        <w:rPr>
          <w:rFonts w:ascii="Arial" w:hAnsi="Arial" w:cs="Arial"/>
          <w:b/>
          <w:sz w:val="32"/>
          <w:szCs w:val="32"/>
        </w:rPr>
        <w:t xml:space="preserve">FNUSA – </w:t>
      </w:r>
      <w:r w:rsidR="001F7D6E" w:rsidRPr="00885C0A">
        <w:rPr>
          <w:rFonts w:ascii="Arial" w:hAnsi="Arial" w:cs="Arial"/>
          <w:b/>
          <w:sz w:val="32"/>
          <w:szCs w:val="32"/>
        </w:rPr>
        <w:t>ICRC</w:t>
      </w:r>
    </w:p>
    <w:p w:rsidR="00486532" w:rsidRPr="00885C0A" w:rsidRDefault="00486532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15</w:t>
      </w:r>
      <w:r w:rsidR="00A77357" w:rsidRPr="00885C0A">
        <w:rPr>
          <w:rFonts w:ascii="Arial" w:hAnsi="Arial" w:cs="Arial"/>
          <w:color w:val="212529"/>
          <w:sz w:val="22"/>
          <w:szCs w:val="22"/>
        </w:rPr>
        <w:t>23</w:t>
      </w:r>
      <w:r w:rsidRPr="00885C0A">
        <w:rPr>
          <w:rFonts w:ascii="Arial" w:hAnsi="Arial" w:cs="Arial"/>
          <w:color w:val="212529"/>
          <w:sz w:val="22"/>
          <w:szCs w:val="22"/>
        </w:rPr>
        <w:t xml:space="preserve"> článků ve Web </w:t>
      </w:r>
      <w:proofErr w:type="spellStart"/>
      <w:r w:rsidRPr="00885C0A">
        <w:rPr>
          <w:rFonts w:ascii="Arial" w:hAnsi="Arial" w:cs="Arial"/>
          <w:color w:val="212529"/>
          <w:sz w:val="22"/>
          <w:szCs w:val="22"/>
        </w:rPr>
        <w:t>of</w:t>
      </w:r>
      <w:proofErr w:type="spellEnd"/>
      <w:r w:rsidRPr="00885C0A">
        <w:rPr>
          <w:rFonts w:ascii="Arial" w:hAnsi="Arial" w:cs="Arial"/>
          <w:color w:val="212529"/>
          <w:sz w:val="22"/>
          <w:szCs w:val="22"/>
        </w:rPr>
        <w:t xml:space="preserve"> Science (65 % článků s mezi</w:t>
      </w:r>
      <w:r w:rsidR="008A2956">
        <w:rPr>
          <w:rFonts w:ascii="Arial" w:hAnsi="Arial" w:cs="Arial"/>
          <w:color w:val="212529"/>
          <w:sz w:val="22"/>
          <w:szCs w:val="22"/>
        </w:rPr>
        <w:t>národní spoluprací, 40% článků</w:t>
      </w:r>
      <w:r w:rsidRPr="00885C0A">
        <w:rPr>
          <w:rFonts w:ascii="Arial" w:hAnsi="Arial" w:cs="Arial"/>
          <w:color w:val="212529"/>
          <w:sz w:val="22"/>
          <w:szCs w:val="22"/>
        </w:rPr>
        <w:t xml:space="preserve"> v Q1 časopisech, 50 % publikováno v Open </w:t>
      </w:r>
      <w:proofErr w:type="spellStart"/>
      <w:r w:rsidRPr="00885C0A">
        <w:rPr>
          <w:rFonts w:ascii="Arial" w:hAnsi="Arial" w:cs="Arial"/>
          <w:color w:val="212529"/>
          <w:sz w:val="22"/>
          <w:szCs w:val="22"/>
        </w:rPr>
        <w:t>Acces</w:t>
      </w:r>
      <w:proofErr w:type="spellEnd"/>
      <w:r w:rsidRPr="00885C0A">
        <w:rPr>
          <w:rFonts w:ascii="Arial" w:hAnsi="Arial" w:cs="Arial"/>
          <w:color w:val="212529"/>
          <w:sz w:val="22"/>
          <w:szCs w:val="22"/>
        </w:rPr>
        <w:t>),</w:t>
      </w:r>
    </w:p>
    <w:p w:rsidR="00486532" w:rsidRPr="00885C0A" w:rsidRDefault="00486532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4 patenty, 80 dalších aplikovaných výsledků,</w:t>
      </w:r>
    </w:p>
    <w:p w:rsidR="00486532" w:rsidRPr="00885C0A" w:rsidRDefault="00486532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120 národních a mezinárodních projektů,</w:t>
      </w:r>
    </w:p>
    <w:p w:rsidR="00486532" w:rsidRPr="00885C0A" w:rsidRDefault="00F36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v</w:t>
      </w:r>
      <w:r w:rsidR="00486532" w:rsidRPr="00885C0A">
        <w:rPr>
          <w:rFonts w:ascii="Arial" w:hAnsi="Arial" w:cs="Arial"/>
          <w:color w:val="212529"/>
          <w:sz w:val="22"/>
          <w:szCs w:val="22"/>
        </w:rPr>
        <w:t xml:space="preserve">íce </w:t>
      </w:r>
      <w:r w:rsidR="00C06AC0" w:rsidRPr="00885C0A">
        <w:rPr>
          <w:rFonts w:ascii="Arial" w:hAnsi="Arial" w:cs="Arial"/>
          <w:color w:val="212529"/>
          <w:sz w:val="22"/>
          <w:szCs w:val="22"/>
        </w:rPr>
        <w:t>ne</w:t>
      </w:r>
      <w:r w:rsidR="00486532" w:rsidRPr="00885C0A">
        <w:rPr>
          <w:rFonts w:ascii="Arial" w:hAnsi="Arial" w:cs="Arial"/>
          <w:color w:val="212529"/>
          <w:sz w:val="22"/>
          <w:szCs w:val="22"/>
        </w:rPr>
        <w:t>ž 500 klinických studií</w:t>
      </w:r>
      <w:r w:rsidRPr="00885C0A">
        <w:rPr>
          <w:rFonts w:ascii="Arial" w:hAnsi="Arial" w:cs="Arial"/>
          <w:color w:val="212529"/>
          <w:sz w:val="22"/>
          <w:szCs w:val="22"/>
        </w:rPr>
        <w:t>,</w:t>
      </w:r>
    </w:p>
    <w:p w:rsidR="00486532" w:rsidRPr="00885C0A" w:rsidRDefault="008A2956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>v</w:t>
      </w:r>
      <w:r w:rsidR="00C06AC0" w:rsidRPr="00885C0A">
        <w:rPr>
          <w:rFonts w:ascii="Arial" w:hAnsi="Arial" w:cs="Arial"/>
          <w:color w:val="212529"/>
          <w:sz w:val="22"/>
          <w:szCs w:val="22"/>
        </w:rPr>
        <w:t>ěnuje se rychlému a efektivnímu přenosu moderních tec</w:t>
      </w:r>
      <w:r>
        <w:rPr>
          <w:rFonts w:ascii="Arial" w:hAnsi="Arial" w:cs="Arial"/>
          <w:color w:val="212529"/>
          <w:sz w:val="22"/>
          <w:szCs w:val="22"/>
        </w:rPr>
        <w:t>hnologií a znalostí oběma směry,</w:t>
      </w:r>
      <w:r w:rsidR="00C06AC0" w:rsidRPr="00885C0A">
        <w:rPr>
          <w:rFonts w:ascii="Arial" w:hAnsi="Arial" w:cs="Arial"/>
          <w:color w:val="212529"/>
          <w:sz w:val="22"/>
          <w:szCs w:val="22"/>
        </w:rPr>
        <w:t xml:space="preserve"> </w:t>
      </w:r>
    </w:p>
    <w:p w:rsidR="00C06AC0" w:rsidRDefault="008A2956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>s</w:t>
      </w:r>
      <w:r w:rsidR="00C06AC0" w:rsidRPr="00885C0A">
        <w:rPr>
          <w:rFonts w:ascii="Arial" w:hAnsi="Arial" w:cs="Arial"/>
          <w:color w:val="212529"/>
          <w:sz w:val="22"/>
          <w:szCs w:val="22"/>
        </w:rPr>
        <w:t>polupracuje s mnoha akademickými a průmyslovými partnery a výsledky výzkumu komercializuje.</w:t>
      </w:r>
    </w:p>
    <w:p w:rsidR="001F7D6E" w:rsidRDefault="002F7BBB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lastRenderedPageBreak/>
        <w:t xml:space="preserve">Graf </w:t>
      </w:r>
      <w:r>
        <w:rPr>
          <w:b/>
          <w:color w:val="auto"/>
          <w:sz w:val="22"/>
          <w:szCs w:val="22"/>
        </w:rPr>
        <w:t>20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Typy výsledků FNUSA-ICRC</w:t>
      </w:r>
      <w:r w:rsidR="001F7D6E" w:rsidRPr="00885C0A">
        <w:rPr>
          <w:noProof/>
          <w:lang w:eastAsia="cs-CZ"/>
        </w:rPr>
        <w:drawing>
          <wp:inline distT="0" distB="0" distL="0" distR="0">
            <wp:extent cx="5760720" cy="3122295"/>
            <wp:effectExtent l="0" t="0" r="0" b="190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výsledky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2F7BBB" w:rsidRPr="008C17B9" w:rsidRDefault="002F7BBB" w:rsidP="00073C93">
      <w:pPr>
        <w:rPr>
          <w:rFonts w:ascii="Times New Roman" w:hAnsi="Times New Roman" w:cs="Times New Roman"/>
          <w:i/>
          <w:sz w:val="18"/>
          <w:szCs w:val="18"/>
        </w:rPr>
      </w:pPr>
    </w:p>
    <w:p w:rsidR="002F7BBB" w:rsidRPr="002F7BBB" w:rsidRDefault="002F7BBB" w:rsidP="002F7BBB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21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Výsledky typu J -  FNUSA-ICRC</w:t>
      </w:r>
    </w:p>
    <w:p w:rsidR="001F7D6E" w:rsidRDefault="001F7D6E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494A121B" wp14:editId="1A996667">
            <wp:extent cx="4572000" cy="2743200"/>
            <wp:effectExtent l="0" t="0" r="0" b="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73C93" w:rsidRPr="008C17B9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073C93" w:rsidRPr="00885C0A" w:rsidRDefault="00073C93" w:rsidP="00996263">
      <w:pPr>
        <w:tabs>
          <w:tab w:val="left" w:pos="477"/>
        </w:tabs>
        <w:jc w:val="both"/>
        <w:rPr>
          <w:rFonts w:ascii="Arial" w:hAnsi="Arial" w:cs="Arial"/>
        </w:rPr>
      </w:pPr>
    </w:p>
    <w:p w:rsidR="00754D9A" w:rsidRDefault="00754D9A" w:rsidP="00754D9A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</w:rPr>
        <w:t xml:space="preserve">Předpokládá se, že finanční prostředky budou alokovány z NPU II* (MZ </w:t>
      </w:r>
      <w:proofErr w:type="gramStart"/>
      <w:r w:rsidRPr="00885C0A">
        <w:rPr>
          <w:rFonts w:ascii="Arial" w:hAnsi="Arial" w:cs="Arial"/>
        </w:rPr>
        <w:t>ČR) a nebo z grantů</w:t>
      </w:r>
      <w:proofErr w:type="gramEnd"/>
      <w:r w:rsidRPr="00885C0A">
        <w:rPr>
          <w:rFonts w:ascii="Arial" w:hAnsi="Arial" w:cs="Arial"/>
        </w:rPr>
        <w:t xml:space="preserve">, IP a vlastních prostředků. </w:t>
      </w:r>
    </w:p>
    <w:p w:rsidR="002F7BBB" w:rsidRPr="00885C0A" w:rsidRDefault="002F7BBB" w:rsidP="00754D9A">
      <w:pPr>
        <w:tabs>
          <w:tab w:val="left" w:pos="477"/>
        </w:tabs>
        <w:jc w:val="both"/>
        <w:rPr>
          <w:rFonts w:ascii="Arial" w:hAnsi="Arial" w:cs="Arial"/>
        </w:rPr>
      </w:pPr>
    </w:p>
    <w:p w:rsidR="00754D9A" w:rsidRDefault="002F7BBB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lastRenderedPageBreak/>
        <w:t xml:space="preserve">Graf </w:t>
      </w:r>
      <w:r>
        <w:rPr>
          <w:b/>
          <w:color w:val="auto"/>
          <w:sz w:val="22"/>
          <w:szCs w:val="22"/>
        </w:rPr>
        <w:t>22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Plánované financování FNUSA-ICRC v letech 2021–2024 (v mil. Kč)</w:t>
      </w:r>
      <w:r w:rsidR="00754D9A" w:rsidRPr="00885C0A">
        <w:rPr>
          <w:noProof/>
          <w:lang w:eastAsia="cs-CZ"/>
        </w:rPr>
        <w:drawing>
          <wp:inline distT="0" distB="0" distL="0" distR="0" wp14:anchorId="5AE1057C" wp14:editId="59CC90C9">
            <wp:extent cx="4572000" cy="2743200"/>
            <wp:effectExtent l="0" t="0" r="0" b="0"/>
            <wp:docPr id="24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073C93" w:rsidRPr="008C17B9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F36CED" w:rsidRPr="00885C0A" w:rsidRDefault="00F36CED" w:rsidP="00996263">
      <w:pPr>
        <w:tabs>
          <w:tab w:val="left" w:pos="477"/>
        </w:tabs>
        <w:jc w:val="both"/>
        <w:rPr>
          <w:rFonts w:ascii="Arial" w:hAnsi="Arial" w:cs="Arial"/>
          <w:b/>
          <w:sz w:val="32"/>
          <w:szCs w:val="32"/>
        </w:rPr>
      </w:pPr>
    </w:p>
    <w:p w:rsidR="002625F1" w:rsidRPr="00885C0A" w:rsidRDefault="002625F1" w:rsidP="00996263">
      <w:pPr>
        <w:tabs>
          <w:tab w:val="left" w:pos="477"/>
        </w:tabs>
        <w:jc w:val="both"/>
        <w:rPr>
          <w:rFonts w:ascii="Arial" w:hAnsi="Arial" w:cs="Arial"/>
          <w:b/>
          <w:sz w:val="32"/>
          <w:szCs w:val="32"/>
        </w:rPr>
      </w:pPr>
      <w:r w:rsidRPr="00885C0A">
        <w:rPr>
          <w:rFonts w:ascii="Arial" w:hAnsi="Arial" w:cs="Arial"/>
          <w:b/>
          <w:sz w:val="32"/>
          <w:szCs w:val="32"/>
        </w:rPr>
        <w:t>SUSEN</w:t>
      </w:r>
    </w:p>
    <w:p w:rsidR="002B377A" w:rsidRPr="00885C0A" w:rsidRDefault="008A2956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>p</w:t>
      </w:r>
      <w:r w:rsidR="002B377A" w:rsidRPr="00885C0A">
        <w:rPr>
          <w:rFonts w:ascii="Arial" w:hAnsi="Arial" w:cs="Arial"/>
          <w:color w:val="212529"/>
          <w:sz w:val="22"/>
          <w:szCs w:val="22"/>
        </w:rPr>
        <w:t>ředstavuje posílení výzkumné infrastruktury v energetice České republiky a významný impuls k rozvoji týmů a znalostí v ob</w:t>
      </w:r>
      <w:r>
        <w:rPr>
          <w:rFonts w:ascii="Arial" w:hAnsi="Arial" w:cs="Arial"/>
          <w:color w:val="212529"/>
          <w:sz w:val="22"/>
          <w:szCs w:val="22"/>
        </w:rPr>
        <w:t>lasti energetických technologií,</w:t>
      </w:r>
    </w:p>
    <w:p w:rsidR="002B377A" w:rsidRPr="00885C0A" w:rsidRDefault="008A2956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hAnsi="Arial" w:cs="Arial"/>
          <w:color w:val="212529"/>
          <w:sz w:val="22"/>
          <w:szCs w:val="22"/>
        </w:rPr>
        <w:t>c</w:t>
      </w:r>
      <w:r w:rsidR="002B377A" w:rsidRPr="00885C0A">
        <w:rPr>
          <w:rFonts w:ascii="Arial" w:hAnsi="Arial" w:cs="Arial"/>
          <w:color w:val="212529"/>
          <w:sz w:val="22"/>
          <w:szCs w:val="22"/>
        </w:rPr>
        <w:t>ílem je výstavba výzkumných infrastruktur, které by dlouhodobě zvýšily vědecký, výzkumný a vývojový potenciál ČR v oblasti AV v</w:t>
      </w:r>
      <w:r>
        <w:rPr>
          <w:rFonts w:ascii="Arial" w:hAnsi="Arial" w:cs="Arial"/>
          <w:color w:val="212529"/>
          <w:sz w:val="22"/>
          <w:szCs w:val="22"/>
        </w:rPr>
        <w:t> energetice, převážně jaderné,</w:t>
      </w:r>
    </w:p>
    <w:p w:rsidR="007475C8" w:rsidRDefault="00F36CED" w:rsidP="00F36CED">
      <w:pPr>
        <w:pStyle w:val="Normlnweb"/>
        <w:numPr>
          <w:ilvl w:val="0"/>
          <w:numId w:val="2"/>
        </w:numPr>
        <w:spacing w:line="360" w:lineRule="auto"/>
        <w:ind w:left="426" w:hanging="357"/>
        <w:jc w:val="both"/>
        <w:rPr>
          <w:rFonts w:ascii="Arial" w:hAnsi="Arial" w:cs="Arial"/>
          <w:color w:val="212529"/>
          <w:sz w:val="22"/>
          <w:szCs w:val="22"/>
        </w:rPr>
      </w:pPr>
      <w:r w:rsidRPr="00885C0A">
        <w:rPr>
          <w:rFonts w:ascii="Arial" w:hAnsi="Arial" w:cs="Arial"/>
          <w:color w:val="212529"/>
          <w:sz w:val="22"/>
          <w:szCs w:val="22"/>
        </w:rPr>
        <w:t>2,7 mld. Kč jsou celkové náklady na projekt Udržitelná e</w:t>
      </w:r>
      <w:r w:rsidR="00885C0A">
        <w:rPr>
          <w:rFonts w:ascii="Arial" w:hAnsi="Arial" w:cs="Arial"/>
          <w:color w:val="212529"/>
          <w:sz w:val="22"/>
          <w:szCs w:val="22"/>
        </w:rPr>
        <w:t>nergetika, dotace z EU činí 2,1 </w:t>
      </w:r>
      <w:r w:rsidRPr="00885C0A">
        <w:rPr>
          <w:rFonts w:ascii="Arial" w:hAnsi="Arial" w:cs="Arial"/>
          <w:color w:val="212529"/>
          <w:sz w:val="22"/>
          <w:szCs w:val="22"/>
        </w:rPr>
        <w:t xml:space="preserve">mld. Kč a příspěvek ČR 0,4 mld. Kč. </w:t>
      </w:r>
    </w:p>
    <w:p w:rsidR="002625F1" w:rsidRDefault="002F7BBB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lastRenderedPageBreak/>
        <w:t xml:space="preserve">Graf </w:t>
      </w:r>
      <w:r w:rsidR="00676EA7">
        <w:rPr>
          <w:b/>
          <w:color w:val="auto"/>
          <w:sz w:val="22"/>
          <w:szCs w:val="22"/>
        </w:rPr>
        <w:t>23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 xml:space="preserve">Typy výsledků </w:t>
      </w:r>
      <w:r w:rsidR="00676EA7">
        <w:rPr>
          <w:b/>
          <w:color w:val="auto"/>
          <w:sz w:val="22"/>
          <w:szCs w:val="22"/>
        </w:rPr>
        <w:t>SUSEN</w:t>
      </w:r>
      <w:r w:rsidR="002625F1" w:rsidRPr="00885C0A">
        <w:rPr>
          <w:noProof/>
          <w:lang w:eastAsia="cs-CZ"/>
        </w:rPr>
        <w:drawing>
          <wp:inline distT="0" distB="0" distL="0" distR="0">
            <wp:extent cx="6099745" cy="3331596"/>
            <wp:effectExtent l="0" t="0" r="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Výsledky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3758" cy="333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676EA7" w:rsidRPr="008C17B9" w:rsidRDefault="00676EA7" w:rsidP="00073C93">
      <w:pPr>
        <w:rPr>
          <w:rFonts w:ascii="Times New Roman" w:hAnsi="Times New Roman" w:cs="Times New Roman"/>
          <w:i/>
          <w:sz w:val="18"/>
          <w:szCs w:val="18"/>
        </w:rPr>
      </w:pPr>
    </w:p>
    <w:p w:rsidR="00676EA7" w:rsidRPr="002F7BBB" w:rsidRDefault="00676EA7" w:rsidP="00676EA7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073C93">
        <w:rPr>
          <w:b/>
          <w:color w:val="auto"/>
          <w:sz w:val="22"/>
          <w:szCs w:val="22"/>
        </w:rPr>
        <w:t xml:space="preserve">Graf </w:t>
      </w:r>
      <w:r>
        <w:rPr>
          <w:b/>
          <w:color w:val="auto"/>
          <w:sz w:val="22"/>
          <w:szCs w:val="22"/>
        </w:rPr>
        <w:t>24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Výsledky typu J - SUSEN</w:t>
      </w:r>
    </w:p>
    <w:p w:rsidR="002625F1" w:rsidRDefault="002625F1" w:rsidP="00996263">
      <w:pPr>
        <w:tabs>
          <w:tab w:val="left" w:pos="477"/>
        </w:tabs>
        <w:jc w:val="both"/>
        <w:rPr>
          <w:rFonts w:ascii="Arial" w:hAnsi="Arial" w:cs="Arial"/>
        </w:rPr>
      </w:pPr>
      <w:r w:rsidRPr="00885C0A">
        <w:rPr>
          <w:rFonts w:ascii="Arial" w:hAnsi="Arial" w:cs="Arial"/>
          <w:noProof/>
          <w:lang w:eastAsia="cs-CZ"/>
        </w:rPr>
        <w:drawing>
          <wp:inline distT="0" distB="0" distL="0" distR="0" wp14:anchorId="02609F81" wp14:editId="0C99A9DC">
            <wp:extent cx="4572000" cy="2743200"/>
            <wp:effectExtent l="0" t="0" r="0" b="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073C93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676EA7" w:rsidRPr="008C17B9" w:rsidRDefault="00676EA7" w:rsidP="00073C93">
      <w:pPr>
        <w:rPr>
          <w:rFonts w:ascii="Times New Roman" w:hAnsi="Times New Roman" w:cs="Times New Roman"/>
          <w:i/>
          <w:sz w:val="18"/>
          <w:szCs w:val="18"/>
        </w:rPr>
      </w:pPr>
    </w:p>
    <w:p w:rsidR="008D709C" w:rsidRDefault="00676EA7" w:rsidP="00676EA7">
      <w:pPr>
        <w:pStyle w:val="Default"/>
        <w:spacing w:line="360" w:lineRule="auto"/>
      </w:pPr>
      <w:r w:rsidRPr="00073C93">
        <w:rPr>
          <w:b/>
          <w:color w:val="auto"/>
          <w:sz w:val="22"/>
          <w:szCs w:val="22"/>
        </w:rPr>
        <w:lastRenderedPageBreak/>
        <w:t xml:space="preserve">Graf </w:t>
      </w:r>
      <w:r>
        <w:rPr>
          <w:b/>
          <w:color w:val="auto"/>
          <w:sz w:val="22"/>
          <w:szCs w:val="22"/>
        </w:rPr>
        <w:t>25</w:t>
      </w:r>
      <w:r w:rsidRPr="00073C93">
        <w:rPr>
          <w:b/>
          <w:color w:val="auto"/>
          <w:sz w:val="22"/>
          <w:szCs w:val="22"/>
        </w:rPr>
        <w:t xml:space="preserve">: </w:t>
      </w:r>
      <w:r>
        <w:rPr>
          <w:b/>
          <w:color w:val="auto"/>
          <w:sz w:val="22"/>
          <w:szCs w:val="22"/>
        </w:rPr>
        <w:t>Zdroje financování SUSEN</w:t>
      </w:r>
      <w:r w:rsidR="008D709C" w:rsidRPr="00885C0A">
        <w:rPr>
          <w:noProof/>
          <w:lang w:eastAsia="cs-CZ"/>
        </w:rPr>
        <w:drawing>
          <wp:inline distT="0" distB="0" distL="0" distR="0" wp14:anchorId="730AC7BD" wp14:editId="4613D441">
            <wp:extent cx="5143500" cy="2870200"/>
            <wp:effectExtent l="0" t="0" r="0" b="6350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073C93" w:rsidRPr="008C17B9" w:rsidRDefault="00073C93" w:rsidP="00073C93">
      <w:pPr>
        <w:rPr>
          <w:rFonts w:ascii="Times New Roman" w:hAnsi="Times New Roman" w:cs="Times New Roman"/>
          <w:i/>
          <w:sz w:val="18"/>
          <w:szCs w:val="18"/>
        </w:rPr>
      </w:pPr>
      <w:r w:rsidRPr="008C17B9">
        <w:rPr>
          <w:rFonts w:ascii="Times New Roman" w:hAnsi="Times New Roman" w:cs="Times New Roman"/>
          <w:i/>
          <w:sz w:val="18"/>
          <w:szCs w:val="18"/>
        </w:rPr>
        <w:t xml:space="preserve">Zdroj: IS </w:t>
      </w:r>
      <w:proofErr w:type="spellStart"/>
      <w:r w:rsidRPr="008C17B9">
        <w:rPr>
          <w:rFonts w:ascii="Times New Roman" w:hAnsi="Times New Roman" w:cs="Times New Roman"/>
          <w:i/>
          <w:sz w:val="18"/>
          <w:szCs w:val="18"/>
        </w:rPr>
        <w:t>VaVaI</w:t>
      </w:r>
      <w:proofErr w:type="spellEnd"/>
      <w:r w:rsidRPr="008C17B9">
        <w:rPr>
          <w:rFonts w:ascii="Times New Roman" w:hAnsi="Times New Roman" w:cs="Times New Roman"/>
          <w:i/>
          <w:sz w:val="18"/>
          <w:szCs w:val="18"/>
        </w:rPr>
        <w:t>, vlastní zpracování</w:t>
      </w:r>
    </w:p>
    <w:p w:rsidR="00073C93" w:rsidRPr="00885C0A" w:rsidRDefault="00073C93" w:rsidP="00996263">
      <w:pPr>
        <w:tabs>
          <w:tab w:val="left" w:pos="477"/>
        </w:tabs>
        <w:jc w:val="both"/>
        <w:rPr>
          <w:rFonts w:ascii="Arial" w:hAnsi="Arial" w:cs="Arial"/>
        </w:rPr>
      </w:pPr>
    </w:p>
    <w:sectPr w:rsidR="00073C93" w:rsidRPr="00885C0A" w:rsidSect="00676EA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5782C"/>
    <w:multiLevelType w:val="hybridMultilevel"/>
    <w:tmpl w:val="F21485BA"/>
    <w:lvl w:ilvl="0" w:tplc="DA987BC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C24359A"/>
    <w:multiLevelType w:val="hybridMultilevel"/>
    <w:tmpl w:val="FAA4078C"/>
    <w:lvl w:ilvl="0" w:tplc="DA987B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BD"/>
    <w:rsid w:val="000147FA"/>
    <w:rsid w:val="00016776"/>
    <w:rsid w:val="00073C93"/>
    <w:rsid w:val="00082488"/>
    <w:rsid w:val="000C4E51"/>
    <w:rsid w:val="000D4E49"/>
    <w:rsid w:val="001014F5"/>
    <w:rsid w:val="001111BA"/>
    <w:rsid w:val="001F7D6E"/>
    <w:rsid w:val="00242B06"/>
    <w:rsid w:val="00253C0A"/>
    <w:rsid w:val="002625F1"/>
    <w:rsid w:val="002B377A"/>
    <w:rsid w:val="002D3119"/>
    <w:rsid w:val="002F7BBB"/>
    <w:rsid w:val="00334F02"/>
    <w:rsid w:val="00364F12"/>
    <w:rsid w:val="0038093F"/>
    <w:rsid w:val="003D664C"/>
    <w:rsid w:val="003D6D03"/>
    <w:rsid w:val="00417CED"/>
    <w:rsid w:val="00486532"/>
    <w:rsid w:val="004A6F55"/>
    <w:rsid w:val="00547AAE"/>
    <w:rsid w:val="0059193A"/>
    <w:rsid w:val="005E12BF"/>
    <w:rsid w:val="00660222"/>
    <w:rsid w:val="00671A30"/>
    <w:rsid w:val="00676EA7"/>
    <w:rsid w:val="00684D38"/>
    <w:rsid w:val="006B1F54"/>
    <w:rsid w:val="00717488"/>
    <w:rsid w:val="007475C8"/>
    <w:rsid w:val="00754D9A"/>
    <w:rsid w:val="0079208A"/>
    <w:rsid w:val="00807120"/>
    <w:rsid w:val="00885C0A"/>
    <w:rsid w:val="008A2956"/>
    <w:rsid w:val="008C77CF"/>
    <w:rsid w:val="008D709C"/>
    <w:rsid w:val="00946FF4"/>
    <w:rsid w:val="00996263"/>
    <w:rsid w:val="009B661A"/>
    <w:rsid w:val="00A57290"/>
    <w:rsid w:val="00A71B4C"/>
    <w:rsid w:val="00A77357"/>
    <w:rsid w:val="00A87929"/>
    <w:rsid w:val="00AC3CBD"/>
    <w:rsid w:val="00AF715E"/>
    <w:rsid w:val="00B87664"/>
    <w:rsid w:val="00B92FAE"/>
    <w:rsid w:val="00BD23A5"/>
    <w:rsid w:val="00BD6BE1"/>
    <w:rsid w:val="00C06AC0"/>
    <w:rsid w:val="00D22591"/>
    <w:rsid w:val="00D31615"/>
    <w:rsid w:val="00D34A73"/>
    <w:rsid w:val="00E44BC5"/>
    <w:rsid w:val="00E70D58"/>
    <w:rsid w:val="00EF3B70"/>
    <w:rsid w:val="00F36CED"/>
    <w:rsid w:val="00F402AF"/>
    <w:rsid w:val="00F45C83"/>
    <w:rsid w:val="00F51493"/>
    <w:rsid w:val="00F77314"/>
    <w:rsid w:val="00F81406"/>
    <w:rsid w:val="00F94EF7"/>
    <w:rsid w:val="00F960AE"/>
    <w:rsid w:val="00F9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5A83"/>
  <w15:chartTrackingRefBased/>
  <w15:docId w15:val="{1DE91C31-AD60-4CA0-B7F9-CA2A1860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C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42B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42B0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824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png"/><Relationship Id="rId18" Type="http://schemas.openxmlformats.org/officeDocument/2006/relationships/chart" Target="charts/chart7.xml"/><Relationship Id="rId26" Type="http://schemas.openxmlformats.org/officeDocument/2006/relationships/chart" Target="charts/chart13.xml"/><Relationship Id="rId3" Type="http://schemas.openxmlformats.org/officeDocument/2006/relationships/settings" Target="settings.xml"/><Relationship Id="rId21" Type="http://schemas.openxmlformats.org/officeDocument/2006/relationships/chart" Target="charts/chart9.xml"/><Relationship Id="rId7" Type="http://schemas.openxmlformats.org/officeDocument/2006/relationships/image" Target="media/image2.png"/><Relationship Id="rId12" Type="http://schemas.openxmlformats.org/officeDocument/2006/relationships/chart" Target="charts/chart3.xml"/><Relationship Id="rId17" Type="http://schemas.openxmlformats.org/officeDocument/2006/relationships/chart" Target="charts/chart6.xml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chart" Target="charts/chart5.xml"/><Relationship Id="rId20" Type="http://schemas.openxmlformats.org/officeDocument/2006/relationships/chart" Target="charts/chart8.xml"/><Relationship Id="rId29" Type="http://schemas.openxmlformats.org/officeDocument/2006/relationships/chart" Target="charts/chart15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chart" Target="charts/chart12.xml"/><Relationship Id="rId32" Type="http://schemas.openxmlformats.org/officeDocument/2006/relationships/theme" Target="theme/theme1.xml"/><Relationship Id="rId5" Type="http://schemas.openxmlformats.org/officeDocument/2006/relationships/chart" Target="charts/chart1.xml"/><Relationship Id="rId15" Type="http://schemas.openxmlformats.org/officeDocument/2006/relationships/chart" Target="charts/chart4.xml"/><Relationship Id="rId23" Type="http://schemas.openxmlformats.org/officeDocument/2006/relationships/chart" Target="charts/chart11.xml"/><Relationship Id="rId28" Type="http://schemas.openxmlformats.org/officeDocument/2006/relationships/image" Target="media/image10.png"/><Relationship Id="rId10" Type="http://schemas.openxmlformats.org/officeDocument/2006/relationships/chart" Target="charts/chart2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chart" Target="charts/chart10.xml"/><Relationship Id="rId27" Type="http://schemas.openxmlformats.org/officeDocument/2006/relationships/chart" Target="charts/chart14.xml"/><Relationship Id="rId30" Type="http://schemas.openxmlformats.org/officeDocument/2006/relationships/chart" Target="charts/chart1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lkCntr_Profil_hrub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Tabulky\VaVpI%20centra_souhrn_%20n&#225;klady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Tabulky\VaVpI%20centra_souhrn_%20n&#225;klady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aVpI%20v%20&#269;&#237;slech%20z%20web,%20v&#253;ro&#269;n&#237;ch%20zpr&#225;v\Ceitec%20II.%20xlsx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Tabulky\IT4I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Tabulky\VaVpI%20centra_souhrn_%20n&#225;klady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Tabulky\IT4I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Velk&#225;%20centra%20p&#345;ehled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tiko\Desktop\&#218;V%20&#268;R%20_%20&#250;koly\355_%20posouzen&#237;%20stavu%20VaVpI%20pro%20dalsi%20financovani\Tabulky\VaVpI%20centra_souhrn_%20n&#225;klady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[VlkCntr_Profil_hrube.xlsx]PIVOT!Kontingenční tabulka3</c:name>
    <c:fmtId val="-1"/>
  </c:pivotSource>
  <c:chart>
    <c:autoTitleDeleted val="1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dLbl>
          <c:idx val="0"/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dLbl>
          <c:idx val="0"/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dLbl>
          <c:idx val="0"/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dLbl>
          <c:idx val="0"/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dLbl>
          <c:idx val="0"/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dLbl>
          <c:idx val="0"/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spPr>
          <a:solidFill>
            <a:schemeClr val="accent1"/>
          </a:solidFill>
          <a:ln>
            <a:noFill/>
          </a:ln>
          <a:effectLst/>
        </c:spPr>
        <c:marker>
          <c:symbol val="diamond"/>
          <c:size val="6"/>
          <c:spPr>
            <a:solidFill>
              <a:schemeClr val="accent1"/>
            </a:solidFill>
            <a:ln w="9525">
              <a:solidFill>
                <a:schemeClr val="accent1"/>
              </a:solidFill>
              <a:round/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chemeClr val="accent1"/>
          </a:solidFill>
          <a:ln>
            <a:noFill/>
          </a:ln>
          <a:effectLst/>
        </c:spPr>
        <c:marker>
          <c:symbol val="square"/>
          <c:size val="6"/>
          <c:spPr>
            <a:solidFill>
              <a:schemeClr val="accent2"/>
            </a:solidFill>
            <a:ln w="9525">
              <a:solidFill>
                <a:schemeClr val="accent2"/>
              </a:solidFill>
              <a:round/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spPr>
          <a:solidFill>
            <a:schemeClr val="accent1"/>
          </a:solidFill>
          <a:ln>
            <a:noFill/>
          </a:ln>
          <a:effectLst/>
        </c:spPr>
        <c:marker>
          <c:symbol val="triangle"/>
          <c:size val="6"/>
          <c:spPr>
            <a:solidFill>
              <a:schemeClr val="accent3"/>
            </a:solidFill>
            <a:ln w="9525">
              <a:solidFill>
                <a:schemeClr val="accent3"/>
              </a:solidFill>
              <a:round/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chemeClr val="accent1"/>
          </a:solidFill>
          <a:ln>
            <a:noFill/>
          </a:ln>
          <a:effectLst/>
        </c:spPr>
        <c:marker>
          <c:symbol val="x"/>
          <c:size val="6"/>
          <c:spPr>
            <a:noFill/>
            <a:ln w="9525">
              <a:solidFill>
                <a:schemeClr val="accent4"/>
              </a:solidFill>
              <a:round/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-540000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PIVOT!$B$3:$B$4</c:f>
              <c:strCache>
                <c:ptCount val="1"/>
                <c:pt idx="0">
                  <c:v>Q1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PIVOT!$A$5:$A$11</c:f>
              <c:strCache>
                <c:ptCount val="6"/>
                <c:pt idx="0">
                  <c:v>BIOCEV</c:v>
                </c:pt>
                <c:pt idx="1">
                  <c:v>CEITEC</c:v>
                </c:pt>
                <c:pt idx="2">
                  <c:v>ELI</c:v>
                </c:pt>
                <c:pt idx="3">
                  <c:v>ICRC</c:v>
                </c:pt>
                <c:pt idx="4">
                  <c:v>IT4I</c:v>
                </c:pt>
                <c:pt idx="5">
                  <c:v>SUSEN</c:v>
                </c:pt>
              </c:strCache>
            </c:strRef>
          </c:cat>
          <c:val>
            <c:numRef>
              <c:f>PIVOT!$B$5:$B$11</c:f>
              <c:numCache>
                <c:formatCode>0.00%</c:formatCode>
                <c:ptCount val="6"/>
                <c:pt idx="0">
                  <c:v>0.20592020592020591</c:v>
                </c:pt>
                <c:pt idx="1">
                  <c:v>0.52509652509652505</c:v>
                </c:pt>
                <c:pt idx="2">
                  <c:v>2.5740025740025738E-2</c:v>
                </c:pt>
                <c:pt idx="3">
                  <c:v>0.17631917631917632</c:v>
                </c:pt>
                <c:pt idx="4">
                  <c:v>6.5637065637065631E-2</c:v>
                </c:pt>
                <c:pt idx="5">
                  <c:v>1.287001287001287E-3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89-42FC-8444-C2EB4D41C41D}"/>
            </c:ext>
          </c:extLst>
        </c:ser>
        <c:ser>
          <c:idx val="1"/>
          <c:order val="1"/>
          <c:tx>
            <c:strRef>
              <c:f>PIVOT!$C$3:$C$4</c:f>
              <c:strCache>
                <c:ptCount val="1"/>
                <c:pt idx="0">
                  <c:v>Q2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PIVOT!$A$5:$A$11</c:f>
              <c:strCache>
                <c:ptCount val="6"/>
                <c:pt idx="0">
                  <c:v>BIOCEV</c:v>
                </c:pt>
                <c:pt idx="1">
                  <c:v>CEITEC</c:v>
                </c:pt>
                <c:pt idx="2">
                  <c:v>ELI</c:v>
                </c:pt>
                <c:pt idx="3">
                  <c:v>ICRC</c:v>
                </c:pt>
                <c:pt idx="4">
                  <c:v>IT4I</c:v>
                </c:pt>
                <c:pt idx="5">
                  <c:v>SUSEN</c:v>
                </c:pt>
              </c:strCache>
            </c:strRef>
          </c:cat>
          <c:val>
            <c:numRef>
              <c:f>PIVOT!$C$5:$C$11</c:f>
              <c:numCache>
                <c:formatCode>0.00%</c:formatCode>
                <c:ptCount val="6"/>
                <c:pt idx="0">
                  <c:v>0.16281895504252733</c:v>
                </c:pt>
                <c:pt idx="1">
                  <c:v>0.48967193195625758</c:v>
                </c:pt>
                <c:pt idx="2">
                  <c:v>5.5893074119076548E-2</c:v>
                </c:pt>
                <c:pt idx="3">
                  <c:v>0.13365735115431349</c:v>
                </c:pt>
                <c:pt idx="4">
                  <c:v>0.12636695018226002</c:v>
                </c:pt>
                <c:pt idx="5">
                  <c:v>3.1591737545565005E-2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189-42FC-8444-C2EB4D41C41D}"/>
            </c:ext>
          </c:extLst>
        </c:ser>
        <c:ser>
          <c:idx val="2"/>
          <c:order val="2"/>
          <c:tx>
            <c:strRef>
              <c:f>PIVOT!$D$3:$D$4</c:f>
              <c:strCache>
                <c:ptCount val="1"/>
                <c:pt idx="0">
                  <c:v>Q3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PIVOT!$A$5:$A$11</c:f>
              <c:strCache>
                <c:ptCount val="6"/>
                <c:pt idx="0">
                  <c:v>BIOCEV</c:v>
                </c:pt>
                <c:pt idx="1">
                  <c:v>CEITEC</c:v>
                </c:pt>
                <c:pt idx="2">
                  <c:v>ELI</c:v>
                </c:pt>
                <c:pt idx="3">
                  <c:v>ICRC</c:v>
                </c:pt>
                <c:pt idx="4">
                  <c:v>IT4I</c:v>
                </c:pt>
                <c:pt idx="5">
                  <c:v>SUSEN</c:v>
                </c:pt>
              </c:strCache>
            </c:strRef>
          </c:cat>
          <c:val>
            <c:numRef>
              <c:f>PIVOT!$D$5:$D$11</c:f>
              <c:numCache>
                <c:formatCode>0.00%</c:formatCode>
                <c:ptCount val="6"/>
                <c:pt idx="0">
                  <c:v>0.11405835543766578</c:v>
                </c:pt>
                <c:pt idx="1">
                  <c:v>0.37400530503978779</c:v>
                </c:pt>
                <c:pt idx="2">
                  <c:v>5.8355437665782495E-2</c:v>
                </c:pt>
                <c:pt idx="3">
                  <c:v>0.25198938992042441</c:v>
                </c:pt>
                <c:pt idx="4">
                  <c:v>0.12466843501326259</c:v>
                </c:pt>
                <c:pt idx="5">
                  <c:v>7.6923076923076927E-2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189-42FC-8444-C2EB4D41C41D}"/>
            </c:ext>
          </c:extLst>
        </c:ser>
        <c:ser>
          <c:idx val="3"/>
          <c:order val="3"/>
          <c:tx>
            <c:strRef>
              <c:f>PIVOT!$E$3:$E$4</c:f>
              <c:strCache>
                <c:ptCount val="1"/>
                <c:pt idx="0">
                  <c:v>Q4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PIVOT!$A$5:$A$11</c:f>
              <c:strCache>
                <c:ptCount val="6"/>
                <c:pt idx="0">
                  <c:v>BIOCEV</c:v>
                </c:pt>
                <c:pt idx="1">
                  <c:v>CEITEC</c:v>
                </c:pt>
                <c:pt idx="2">
                  <c:v>ELI</c:v>
                </c:pt>
                <c:pt idx="3">
                  <c:v>ICRC</c:v>
                </c:pt>
                <c:pt idx="4">
                  <c:v>IT4I</c:v>
                </c:pt>
                <c:pt idx="5">
                  <c:v>SUSEN</c:v>
                </c:pt>
              </c:strCache>
            </c:strRef>
          </c:cat>
          <c:val>
            <c:numRef>
              <c:f>PIVOT!$E$5:$E$11</c:f>
              <c:numCache>
                <c:formatCode>0.00%</c:formatCode>
                <c:ptCount val="6"/>
                <c:pt idx="0">
                  <c:v>0.1125</c:v>
                </c:pt>
                <c:pt idx="1">
                  <c:v>0.22083333333333333</c:v>
                </c:pt>
                <c:pt idx="2">
                  <c:v>1.6666666666666666E-2</c:v>
                </c:pt>
                <c:pt idx="3">
                  <c:v>0.31666666666666665</c:v>
                </c:pt>
                <c:pt idx="4">
                  <c:v>0.3</c:v>
                </c:pt>
                <c:pt idx="5">
                  <c:v>3.3333333333333333E-2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189-42FC-8444-C2EB4D41C41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1343311184"/>
        <c:axId val="1343309520"/>
      </c:barChart>
      <c:catAx>
        <c:axId val="1343311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43309520"/>
        <c:crosses val="autoZero"/>
        <c:auto val="1"/>
        <c:lblAlgn val="ctr"/>
        <c:lblOffset val="100"/>
        <c:noMultiLvlLbl val="0"/>
      </c:catAx>
      <c:valAx>
        <c:axId val="1343309520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extTo"/>
        <c:crossAx val="1343311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ELI!$B$5</c:f>
              <c:strCache>
                <c:ptCount val="1"/>
                <c:pt idx="0">
                  <c:v>ED1.1.00/02.0061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(ELI!$C$4:$D$4,ELI!$K$4)</c:f>
              <c:strCache>
                <c:ptCount val="3"/>
                <c:pt idx="0">
                  <c:v>Článek (J)</c:v>
                </c:pt>
                <c:pt idx="1">
                  <c:v>Článek ve sborníku (D)</c:v>
                </c:pt>
                <c:pt idx="2">
                  <c:v>Funkční vzorek (GB)</c:v>
                </c:pt>
              </c:strCache>
            </c:strRef>
          </c:cat>
          <c:val>
            <c:numRef>
              <c:f>(ELI!$C$5:$D$5,ELI!$K$5)</c:f>
              <c:numCache>
                <c:formatCode>General</c:formatCode>
                <c:ptCount val="3"/>
                <c:pt idx="0">
                  <c:v>101</c:v>
                </c:pt>
                <c:pt idx="1">
                  <c:v>59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48-4CC4-BDD6-703236549C34}"/>
            </c:ext>
          </c:extLst>
        </c:ser>
        <c:ser>
          <c:idx val="1"/>
          <c:order val="1"/>
          <c:tx>
            <c:strRef>
              <c:f>ELI!$B$6</c:f>
              <c:strCache>
                <c:ptCount val="1"/>
                <c:pt idx="0">
                  <c:v>LQ1606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(ELI!$C$4:$D$4,ELI!$K$4)</c:f>
              <c:strCache>
                <c:ptCount val="3"/>
                <c:pt idx="0">
                  <c:v>Článek (J)</c:v>
                </c:pt>
                <c:pt idx="1">
                  <c:v>Článek ve sborníku (D)</c:v>
                </c:pt>
                <c:pt idx="2">
                  <c:v>Funkční vzorek (GB)</c:v>
                </c:pt>
              </c:strCache>
            </c:strRef>
          </c:cat>
          <c:val>
            <c:numRef>
              <c:f>(ELI!$C$6:$D$6,ELI!$K$6)</c:f>
              <c:numCache>
                <c:formatCode>General</c:formatCode>
                <c:ptCount val="3"/>
                <c:pt idx="0">
                  <c:v>118</c:v>
                </c:pt>
                <c:pt idx="1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48-4CC4-BDD6-703236549C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63927632"/>
        <c:axId val="363926320"/>
      </c:barChart>
      <c:catAx>
        <c:axId val="363927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63926320"/>
        <c:crosses val="autoZero"/>
        <c:auto val="1"/>
        <c:lblAlgn val="ctr"/>
        <c:lblOffset val="100"/>
        <c:noMultiLvlLbl val="0"/>
      </c:catAx>
      <c:valAx>
        <c:axId val="363926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63927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ELI!$B$11</c:f>
              <c:strCache>
                <c:ptCount val="1"/>
                <c:pt idx="0">
                  <c:v>ED1.1.00/02.0061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ELI!$F$10:$I$10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ELI!$F$11:$I$11</c:f>
              <c:numCache>
                <c:formatCode>General</c:formatCode>
                <c:ptCount val="4"/>
                <c:pt idx="0">
                  <c:v>1</c:v>
                </c:pt>
                <c:pt idx="1">
                  <c:v>4</c:v>
                </c:pt>
                <c:pt idx="2">
                  <c:v>4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4B-44D1-A8F2-91CDEAF88748}"/>
            </c:ext>
          </c:extLst>
        </c:ser>
        <c:ser>
          <c:idx val="1"/>
          <c:order val="1"/>
          <c:tx>
            <c:strRef>
              <c:f>ELI!$B$12</c:f>
              <c:strCache>
                <c:ptCount val="1"/>
                <c:pt idx="0">
                  <c:v>LQ1606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ELI!$F$10:$I$10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ELI!$F$12:$I$12</c:f>
              <c:numCache>
                <c:formatCode>General</c:formatCode>
                <c:ptCount val="4"/>
                <c:pt idx="0">
                  <c:v>15</c:v>
                </c:pt>
                <c:pt idx="1">
                  <c:v>33</c:v>
                </c:pt>
                <c:pt idx="2">
                  <c:v>8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74B-44D1-A8F2-91CDEAF887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17114216"/>
        <c:axId val="517116184"/>
      </c:barChart>
      <c:catAx>
        <c:axId val="5171142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17116184"/>
        <c:crosses val="autoZero"/>
        <c:auto val="1"/>
        <c:lblAlgn val="ctr"/>
        <c:lblOffset val="100"/>
        <c:noMultiLvlLbl val="0"/>
      </c:catAx>
      <c:valAx>
        <c:axId val="517116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17114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'ELI II'!$B$3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'ELI II'!$A$4:$A$9</c:f>
              <c:strCache>
                <c:ptCount val="6"/>
                <c:pt idx="0">
                  <c:v>Národní institucionální podpora - AV ČR</c:v>
                </c:pt>
                <c:pt idx="1">
                  <c:v>Zahraniční - ELI ERIC*</c:v>
                </c:pt>
                <c:pt idx="2">
                  <c:v>ESIF - OP VVV, OP JAK</c:v>
                </c:pt>
                <c:pt idx="3">
                  <c:v>Horizont 2020/ Evropa</c:v>
                </c:pt>
                <c:pt idx="4">
                  <c:v>Soukromé zdroje</c:v>
                </c:pt>
                <c:pt idx="5">
                  <c:v>Národní účelová podpora - program **</c:v>
                </c:pt>
              </c:strCache>
            </c:strRef>
          </c:cat>
          <c:val>
            <c:numRef>
              <c:f>'ELI II'!$B$4:$B$9</c:f>
              <c:numCache>
                <c:formatCode>#,##0</c:formatCode>
                <c:ptCount val="6"/>
                <c:pt idx="0">
                  <c:v>210000</c:v>
                </c:pt>
                <c:pt idx="1">
                  <c:v>300024</c:v>
                </c:pt>
                <c:pt idx="2">
                  <c:v>110000</c:v>
                </c:pt>
                <c:pt idx="3">
                  <c:v>40000</c:v>
                </c:pt>
                <c:pt idx="4">
                  <c:v>4500</c:v>
                </c:pt>
                <c:pt idx="5">
                  <c:v>70680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F9-4069-A501-04A6CA153879}"/>
            </c:ext>
          </c:extLst>
        </c:ser>
        <c:ser>
          <c:idx val="1"/>
          <c:order val="1"/>
          <c:tx>
            <c:strRef>
              <c:f>'ELI II'!$C$3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'ELI II'!$A$4:$A$9</c:f>
              <c:strCache>
                <c:ptCount val="6"/>
                <c:pt idx="0">
                  <c:v>Národní institucionální podpora - AV ČR</c:v>
                </c:pt>
                <c:pt idx="1">
                  <c:v>Zahraniční - ELI ERIC*</c:v>
                </c:pt>
                <c:pt idx="2">
                  <c:v>ESIF - OP VVV, OP JAK</c:v>
                </c:pt>
                <c:pt idx="3">
                  <c:v>Horizont 2020/ Evropa</c:v>
                </c:pt>
                <c:pt idx="4">
                  <c:v>Soukromé zdroje</c:v>
                </c:pt>
                <c:pt idx="5">
                  <c:v>Národní účelová podpora - program **</c:v>
                </c:pt>
              </c:strCache>
            </c:strRef>
          </c:cat>
          <c:val>
            <c:numRef>
              <c:f>'ELI II'!$C$4:$C$9</c:f>
              <c:numCache>
                <c:formatCode>#,##0</c:formatCode>
                <c:ptCount val="6"/>
                <c:pt idx="0">
                  <c:v>100000</c:v>
                </c:pt>
                <c:pt idx="1">
                  <c:v>493368</c:v>
                </c:pt>
                <c:pt idx="2">
                  <c:v>80000</c:v>
                </c:pt>
                <c:pt idx="3">
                  <c:v>60000</c:v>
                </c:pt>
                <c:pt idx="4">
                  <c:v>6750</c:v>
                </c:pt>
                <c:pt idx="5">
                  <c:v>74024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F9-4069-A501-04A6CA153879}"/>
            </c:ext>
          </c:extLst>
        </c:ser>
        <c:ser>
          <c:idx val="2"/>
          <c:order val="2"/>
          <c:tx>
            <c:strRef>
              <c:f>'ELI II'!$D$3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'ELI II'!$A$4:$A$9</c:f>
              <c:strCache>
                <c:ptCount val="6"/>
                <c:pt idx="0">
                  <c:v>Národní institucionální podpora - AV ČR</c:v>
                </c:pt>
                <c:pt idx="1">
                  <c:v>Zahraniční - ELI ERIC*</c:v>
                </c:pt>
                <c:pt idx="2">
                  <c:v>ESIF - OP VVV, OP JAK</c:v>
                </c:pt>
                <c:pt idx="3">
                  <c:v>Horizont 2020/ Evropa</c:v>
                </c:pt>
                <c:pt idx="4">
                  <c:v>Soukromé zdroje</c:v>
                </c:pt>
                <c:pt idx="5">
                  <c:v>Národní účelová podpora - program **</c:v>
                </c:pt>
              </c:strCache>
            </c:strRef>
          </c:cat>
          <c:val>
            <c:numRef>
              <c:f>'ELI II'!$D$4:$D$9</c:f>
              <c:numCache>
                <c:formatCode>#,##0</c:formatCode>
                <c:ptCount val="6"/>
                <c:pt idx="0">
                  <c:v>100000</c:v>
                </c:pt>
                <c:pt idx="1">
                  <c:v>569920</c:v>
                </c:pt>
                <c:pt idx="2">
                  <c:v>10000</c:v>
                </c:pt>
                <c:pt idx="3">
                  <c:v>80000</c:v>
                </c:pt>
                <c:pt idx="4">
                  <c:v>10125</c:v>
                </c:pt>
                <c:pt idx="5">
                  <c:v>82080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AF9-4069-A501-04A6CA1538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1672536"/>
        <c:axId val="441673520"/>
      </c:barChart>
      <c:catAx>
        <c:axId val="441672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41673520"/>
        <c:crosses val="autoZero"/>
        <c:auto val="1"/>
        <c:lblAlgn val="ctr"/>
        <c:lblOffset val="100"/>
        <c:noMultiLvlLbl val="0"/>
      </c:catAx>
      <c:valAx>
        <c:axId val="441673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416725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ICRC!$B$11</c:f>
              <c:strCache>
                <c:ptCount val="1"/>
                <c:pt idx="0">
                  <c:v>ED1.100/02/0123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ICRC!$F$10:$I$10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ICRC!$F$11:$I$11</c:f>
              <c:numCache>
                <c:formatCode>General</c:formatCode>
                <c:ptCount val="4"/>
                <c:pt idx="0">
                  <c:v>98</c:v>
                </c:pt>
                <c:pt idx="1">
                  <c:v>73</c:v>
                </c:pt>
                <c:pt idx="2">
                  <c:v>54</c:v>
                </c:pt>
                <c:pt idx="3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97-44B8-A958-6F9F6597DA4C}"/>
            </c:ext>
          </c:extLst>
        </c:ser>
        <c:ser>
          <c:idx val="1"/>
          <c:order val="1"/>
          <c:tx>
            <c:strRef>
              <c:f>ICRC!$B$12</c:f>
              <c:strCache>
                <c:ptCount val="1"/>
                <c:pt idx="0">
                  <c:v>LQ1605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ICRC!$F$10:$I$10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ICRC!$F$12:$I$12</c:f>
              <c:numCache>
                <c:formatCode>General</c:formatCode>
                <c:ptCount val="4"/>
                <c:pt idx="0">
                  <c:v>91</c:v>
                </c:pt>
                <c:pt idx="1">
                  <c:v>60</c:v>
                </c:pt>
                <c:pt idx="2">
                  <c:v>33</c:v>
                </c:pt>
                <c:pt idx="3">
                  <c:v>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897-44B8-A958-6F9F6597DA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63913200"/>
        <c:axId val="363918120"/>
      </c:barChart>
      <c:catAx>
        <c:axId val="363913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63918120"/>
        <c:crosses val="autoZero"/>
        <c:auto val="1"/>
        <c:lblAlgn val="ctr"/>
        <c:lblOffset val="100"/>
        <c:noMultiLvlLbl val="0"/>
      </c:catAx>
      <c:valAx>
        <c:axId val="3639181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63913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List1!$A$3</c:f>
              <c:strCache>
                <c:ptCount val="1"/>
                <c:pt idx="0">
                  <c:v>Plánované financování 2021 - 2024 (v mil. Kč)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List1!$B$2:$E$2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List1!$B$3:$E$3</c:f>
              <c:numCache>
                <c:formatCode>General</c:formatCode>
                <c:ptCount val="4"/>
                <c:pt idx="0">
                  <c:v>392</c:v>
                </c:pt>
                <c:pt idx="1">
                  <c:v>359</c:v>
                </c:pt>
                <c:pt idx="2">
                  <c:v>325</c:v>
                </c:pt>
                <c:pt idx="3">
                  <c:v>325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4C-4AF2-A037-C88DE070CC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230360"/>
        <c:axId val="426230688"/>
      </c:barChart>
      <c:catAx>
        <c:axId val="426230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6230688"/>
        <c:crosses val="autoZero"/>
        <c:auto val="1"/>
        <c:lblAlgn val="ctr"/>
        <c:lblOffset val="100"/>
        <c:noMultiLvlLbl val="0"/>
      </c:catAx>
      <c:valAx>
        <c:axId val="426230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6230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SUSEN!$B$11</c:f>
              <c:strCache>
                <c:ptCount val="1"/>
                <c:pt idx="0">
                  <c:v>ED2.1.00/03.0108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SUSEN!$F$10:$I$10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SUSEN!$F$11:$I$11</c:f>
              <c:numCache>
                <c:formatCode>General</c:formatCode>
                <c:ptCount val="4"/>
                <c:pt idx="0">
                  <c:v>1</c:v>
                </c:pt>
                <c:pt idx="1">
                  <c:v>15</c:v>
                </c:pt>
                <c:pt idx="2">
                  <c:v>11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B1-4091-9D80-3546B11FF843}"/>
            </c:ext>
          </c:extLst>
        </c:ser>
        <c:ser>
          <c:idx val="1"/>
          <c:order val="1"/>
          <c:tx>
            <c:strRef>
              <c:f>SUSEN!$B$12</c:f>
              <c:strCache>
                <c:ptCount val="1"/>
                <c:pt idx="0">
                  <c:v>LQ1603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SUSEN!$F$10:$I$10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SUSEN!$F$12:$I$12</c:f>
              <c:numCache>
                <c:formatCode>General</c:formatCode>
                <c:ptCount val="4"/>
                <c:pt idx="0">
                  <c:v>1</c:v>
                </c:pt>
                <c:pt idx="1">
                  <c:v>10</c:v>
                </c:pt>
                <c:pt idx="2">
                  <c:v>11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7B1-4091-9D80-3546B11FF8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93440104"/>
        <c:axId val="493440432"/>
      </c:barChart>
      <c:catAx>
        <c:axId val="4934401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3440432"/>
        <c:crosses val="autoZero"/>
        <c:auto val="1"/>
        <c:lblAlgn val="ctr"/>
        <c:lblOffset val="100"/>
        <c:noMultiLvlLbl val="0"/>
      </c:catAx>
      <c:valAx>
        <c:axId val="4934404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3440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SUSEN!$B$3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SUSEN!$A$4:$A$6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SUSEN!$B$4:$B$6</c:f>
              <c:numCache>
                <c:formatCode>#,##0</c:formatCode>
                <c:ptCount val="3"/>
                <c:pt idx="0">
                  <c:v>4700</c:v>
                </c:pt>
                <c:pt idx="1">
                  <c:v>500</c:v>
                </c:pt>
                <c:pt idx="2">
                  <c:v>1500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67-42DD-A558-F0C8F9638A48}"/>
            </c:ext>
          </c:extLst>
        </c:ser>
        <c:ser>
          <c:idx val="1"/>
          <c:order val="1"/>
          <c:tx>
            <c:strRef>
              <c:f>SUSEN!$C$3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SUSEN!$A$4:$A$6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SUSEN!$C$4:$C$6</c:f>
              <c:numCache>
                <c:formatCode>#,##0</c:formatCode>
                <c:ptCount val="3"/>
                <c:pt idx="0">
                  <c:v>5400</c:v>
                </c:pt>
                <c:pt idx="1">
                  <c:v>500</c:v>
                </c:pt>
                <c:pt idx="2">
                  <c:v>1500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F67-42DD-A558-F0C8F9638A48}"/>
            </c:ext>
          </c:extLst>
        </c:ser>
        <c:ser>
          <c:idx val="2"/>
          <c:order val="2"/>
          <c:tx>
            <c:strRef>
              <c:f>SUSEN!$D$3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SUSEN!$A$4:$A$6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SUSEN!$D$4:$D$6</c:f>
              <c:numCache>
                <c:formatCode>#,##0</c:formatCode>
                <c:ptCount val="3"/>
                <c:pt idx="0">
                  <c:v>6500</c:v>
                </c:pt>
                <c:pt idx="1">
                  <c:v>500</c:v>
                </c:pt>
                <c:pt idx="2">
                  <c:v>1500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F67-42DD-A558-F0C8F9638A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77106448"/>
        <c:axId val="477109072"/>
      </c:barChart>
      <c:catAx>
        <c:axId val="47710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7109072"/>
        <c:crosses val="autoZero"/>
        <c:auto val="1"/>
        <c:lblAlgn val="ctr"/>
        <c:lblOffset val="100"/>
        <c:noMultiLvlLbl val="0"/>
      </c:catAx>
      <c:valAx>
        <c:axId val="477109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7106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'Ceitec čísla'!$A$31</c:f>
              <c:strCache>
                <c:ptCount val="1"/>
                <c:pt idx="0">
                  <c:v>Vědečtí pracovníci (FTE)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multiLvlStrRef>
              <c:f>'Ceitec čísla'!$B$29:$E$30</c:f>
              <c:multiLvlStrCache>
                <c:ptCount val="4"/>
                <c:lvl>
                  <c:pt idx="0">
                    <c:v>2019</c:v>
                  </c:pt>
                  <c:pt idx="1">
                    <c:v>2018</c:v>
                  </c:pt>
                  <c:pt idx="2">
                    <c:v>2019</c:v>
                  </c:pt>
                  <c:pt idx="3">
                    <c:v>2018</c:v>
                  </c:pt>
                </c:lvl>
                <c:lvl>
                  <c:pt idx="0">
                    <c:v>MU</c:v>
                  </c:pt>
                  <c:pt idx="2">
                    <c:v>VUT</c:v>
                  </c:pt>
                </c:lvl>
              </c:multiLvlStrCache>
            </c:multiLvlStrRef>
          </c:cat>
          <c:val>
            <c:numRef>
              <c:f>'Ceitec čísla'!$B$31:$E$31</c:f>
              <c:numCache>
                <c:formatCode>General</c:formatCode>
                <c:ptCount val="4"/>
                <c:pt idx="0">
                  <c:v>298</c:v>
                </c:pt>
                <c:pt idx="1">
                  <c:v>276</c:v>
                </c:pt>
                <c:pt idx="2">
                  <c:v>327</c:v>
                </c:pt>
                <c:pt idx="3">
                  <c:v>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66-4152-B0AE-80CAB1AF4EA6}"/>
            </c:ext>
          </c:extLst>
        </c:ser>
        <c:ser>
          <c:idx val="1"/>
          <c:order val="1"/>
          <c:tx>
            <c:strRef>
              <c:f>'Ceitec čísla'!$A$32</c:f>
              <c:strCache>
                <c:ptCount val="1"/>
                <c:pt idx="0">
                  <c:v>Vědkyně (FTE)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multiLvlStrRef>
              <c:f>'Ceitec čísla'!$B$29:$E$30</c:f>
              <c:multiLvlStrCache>
                <c:ptCount val="4"/>
                <c:lvl>
                  <c:pt idx="0">
                    <c:v>2019</c:v>
                  </c:pt>
                  <c:pt idx="1">
                    <c:v>2018</c:v>
                  </c:pt>
                  <c:pt idx="2">
                    <c:v>2019</c:v>
                  </c:pt>
                  <c:pt idx="3">
                    <c:v>2018</c:v>
                  </c:pt>
                </c:lvl>
                <c:lvl>
                  <c:pt idx="0">
                    <c:v>MU</c:v>
                  </c:pt>
                  <c:pt idx="2">
                    <c:v>VUT</c:v>
                  </c:pt>
                </c:lvl>
              </c:multiLvlStrCache>
            </c:multiLvlStrRef>
          </c:cat>
          <c:val>
            <c:numRef>
              <c:f>'Ceitec čísla'!$B$32:$E$32</c:f>
              <c:numCache>
                <c:formatCode>0</c:formatCode>
                <c:ptCount val="4"/>
                <c:pt idx="0">
                  <c:v>134.1</c:v>
                </c:pt>
                <c:pt idx="1">
                  <c:v>121.44</c:v>
                </c:pt>
                <c:pt idx="2">
                  <c:v>34.440000000000005</c:v>
                </c:pt>
                <c:pt idx="3">
                  <c:v>45.730000000000004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66-4152-B0AE-80CAB1AF4EA6}"/>
            </c:ext>
          </c:extLst>
        </c:ser>
        <c:ser>
          <c:idx val="2"/>
          <c:order val="2"/>
          <c:tx>
            <c:strRef>
              <c:f>'Ceitec čísla'!$A$33</c:f>
              <c:strCache>
                <c:ptCount val="1"/>
                <c:pt idx="0">
                  <c:v>Zahraniční výzkumníci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multiLvlStrRef>
              <c:f>'Ceitec čísla'!$B$29:$E$30</c:f>
              <c:multiLvlStrCache>
                <c:ptCount val="4"/>
                <c:lvl>
                  <c:pt idx="0">
                    <c:v>2019</c:v>
                  </c:pt>
                  <c:pt idx="1">
                    <c:v>2018</c:v>
                  </c:pt>
                  <c:pt idx="2">
                    <c:v>2019</c:v>
                  </c:pt>
                  <c:pt idx="3">
                    <c:v>2018</c:v>
                  </c:pt>
                </c:lvl>
                <c:lvl>
                  <c:pt idx="0">
                    <c:v>MU</c:v>
                  </c:pt>
                  <c:pt idx="2">
                    <c:v>VUT</c:v>
                  </c:pt>
                </c:lvl>
              </c:multiLvlStrCache>
            </c:multiLvlStrRef>
          </c:cat>
          <c:val>
            <c:numRef>
              <c:f>'Ceitec čísla'!$B$33:$E$33</c:f>
              <c:numCache>
                <c:formatCode>0</c:formatCode>
                <c:ptCount val="4"/>
                <c:pt idx="0">
                  <c:v>116.22</c:v>
                </c:pt>
                <c:pt idx="1">
                  <c:v>102.12</c:v>
                </c:pt>
                <c:pt idx="2">
                  <c:v>22.14</c:v>
                </c:pt>
                <c:pt idx="3">
                  <c:v>37.660000000000004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66-4152-B0AE-80CAB1AF4E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56836040"/>
        <c:axId val="656834728"/>
      </c:barChart>
      <c:catAx>
        <c:axId val="656836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56834728"/>
        <c:crosses val="autoZero"/>
        <c:auto val="1"/>
        <c:lblAlgn val="ctr"/>
        <c:lblOffset val="100"/>
        <c:noMultiLvlLbl val="0"/>
      </c:catAx>
      <c:valAx>
        <c:axId val="656834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56836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CEITEC!$A$9</c:f>
              <c:strCache>
                <c:ptCount val="1"/>
                <c:pt idx="0">
                  <c:v>ED1.1.00/02.0068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CEITEC!$E$8:$H$8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CEITEC!$E$9:$H$9</c:f>
              <c:numCache>
                <c:formatCode>General</c:formatCode>
                <c:ptCount val="4"/>
                <c:pt idx="0">
                  <c:v>102</c:v>
                </c:pt>
                <c:pt idx="1">
                  <c:v>78</c:v>
                </c:pt>
                <c:pt idx="2">
                  <c:v>32</c:v>
                </c:pt>
                <c:pt idx="3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3B-4CA0-AE14-756033F5CB4A}"/>
            </c:ext>
          </c:extLst>
        </c:ser>
        <c:ser>
          <c:idx val="1"/>
          <c:order val="1"/>
          <c:tx>
            <c:strRef>
              <c:f>CEITEC!$A$10</c:f>
              <c:strCache>
                <c:ptCount val="1"/>
                <c:pt idx="0">
                  <c:v>LQ1601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CEITEC!$E$8:$H$8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CEITEC!$E$10:$H$10</c:f>
              <c:numCache>
                <c:formatCode>General</c:formatCode>
                <c:ptCount val="4"/>
                <c:pt idx="0">
                  <c:v>214</c:v>
                </c:pt>
                <c:pt idx="1">
                  <c:v>186</c:v>
                </c:pt>
                <c:pt idx="2">
                  <c:v>55</c:v>
                </c:pt>
                <c:pt idx="3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3B-4CA0-AE14-756033F5CB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83299280"/>
        <c:axId val="583307808"/>
      </c:barChart>
      <c:catAx>
        <c:axId val="5832992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3307808"/>
        <c:crosses val="autoZero"/>
        <c:auto val="1"/>
        <c:lblAlgn val="ctr"/>
        <c:lblOffset val="100"/>
        <c:noMultiLvlLbl val="0"/>
      </c:catAx>
      <c:valAx>
        <c:axId val="5833078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3299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IT4I!$B$11</c:f>
              <c:strCache>
                <c:ptCount val="1"/>
                <c:pt idx="0">
                  <c:v>ED1.1.00/02.0070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IT4I!$F$10:$I$10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IT4I!$F$11:$I$11</c:f>
              <c:numCache>
                <c:formatCode>General</c:formatCode>
                <c:ptCount val="4"/>
                <c:pt idx="0">
                  <c:v>9</c:v>
                </c:pt>
                <c:pt idx="1">
                  <c:v>34</c:v>
                </c:pt>
                <c:pt idx="2">
                  <c:v>13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0E-4AFE-BF02-28ED5466DB61}"/>
            </c:ext>
          </c:extLst>
        </c:ser>
        <c:ser>
          <c:idx val="1"/>
          <c:order val="1"/>
          <c:tx>
            <c:strRef>
              <c:f>IT4I!$B$12</c:f>
              <c:strCache>
                <c:ptCount val="1"/>
                <c:pt idx="0">
                  <c:v>LQ1602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IT4I!$F$10:$I$10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IT4I!$F$12:$I$12</c:f>
              <c:numCache>
                <c:formatCode>General</c:formatCode>
                <c:ptCount val="4"/>
                <c:pt idx="0">
                  <c:v>28</c:v>
                </c:pt>
                <c:pt idx="1">
                  <c:v>42</c:v>
                </c:pt>
                <c:pt idx="2">
                  <c:v>19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E0E-4AFE-BF02-28ED5466DB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99697008"/>
        <c:axId val="499697336"/>
      </c:barChart>
      <c:catAx>
        <c:axId val="4996970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9697336"/>
        <c:crosses val="autoZero"/>
        <c:auto val="1"/>
        <c:lblAlgn val="ctr"/>
        <c:lblOffset val="100"/>
        <c:noMultiLvlLbl val="0"/>
      </c:catAx>
      <c:valAx>
        <c:axId val="499697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9697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'IT4I - náklady'!$B$3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'IT4I - náklady'!$A$4:$A$6</c:f>
              <c:strCache>
                <c:ptCount val="3"/>
                <c:pt idx="0">
                  <c:v>Mezinárodní granty</c:v>
                </c:pt>
                <c:pt idx="1">
                  <c:v>Národní granty</c:v>
                </c:pt>
                <c:pt idx="2">
                  <c:v>Zdroje financování provozních výdajů ústavu</c:v>
                </c:pt>
              </c:strCache>
            </c:strRef>
          </c:cat>
          <c:val>
            <c:numRef>
              <c:f>'IT4I - náklady'!$B$4:$B$6</c:f>
              <c:numCache>
                <c:formatCode>General</c:formatCode>
                <c:ptCount val="3"/>
                <c:pt idx="0">
                  <c:v>24.6</c:v>
                </c:pt>
                <c:pt idx="1">
                  <c:v>103.3</c:v>
                </c:pt>
                <c:pt idx="2">
                  <c:v>152.6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6B-4B33-94DA-FBDE531B45F4}"/>
            </c:ext>
          </c:extLst>
        </c:ser>
        <c:ser>
          <c:idx val="1"/>
          <c:order val="1"/>
          <c:tx>
            <c:strRef>
              <c:f>'IT4I - náklady'!$C$3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'IT4I - náklady'!$A$4:$A$6</c:f>
              <c:strCache>
                <c:ptCount val="3"/>
                <c:pt idx="0">
                  <c:v>Mezinárodní granty</c:v>
                </c:pt>
                <c:pt idx="1">
                  <c:v>Národní granty</c:v>
                </c:pt>
                <c:pt idx="2">
                  <c:v>Zdroje financování provozních výdajů ústavu</c:v>
                </c:pt>
              </c:strCache>
            </c:strRef>
          </c:cat>
          <c:val>
            <c:numRef>
              <c:f>'IT4I - náklady'!$C$4:$C$6</c:f>
              <c:numCache>
                <c:formatCode>General</c:formatCode>
                <c:ptCount val="3"/>
                <c:pt idx="0">
                  <c:v>23.4</c:v>
                </c:pt>
                <c:pt idx="1">
                  <c:v>98.9</c:v>
                </c:pt>
                <c:pt idx="2">
                  <c:v>153.6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66B-4B33-94DA-FBDE531B45F4}"/>
            </c:ext>
          </c:extLst>
        </c:ser>
        <c:ser>
          <c:idx val="2"/>
          <c:order val="2"/>
          <c:tx>
            <c:strRef>
              <c:f>'IT4I - náklady'!$D$3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'IT4I - náklady'!$A$4:$A$6</c:f>
              <c:strCache>
                <c:ptCount val="3"/>
                <c:pt idx="0">
                  <c:v>Mezinárodní granty</c:v>
                </c:pt>
                <c:pt idx="1">
                  <c:v>Národní granty</c:v>
                </c:pt>
                <c:pt idx="2">
                  <c:v>Zdroje financování provozních výdajů ústavu</c:v>
                </c:pt>
              </c:strCache>
            </c:strRef>
          </c:cat>
          <c:val>
            <c:numRef>
              <c:f>'IT4I - náklady'!$D$4:$D$6</c:f>
              <c:numCache>
                <c:formatCode>General</c:formatCode>
                <c:ptCount val="3"/>
                <c:pt idx="0">
                  <c:v>19.600000000000001</c:v>
                </c:pt>
                <c:pt idx="1">
                  <c:v>96.2</c:v>
                </c:pt>
                <c:pt idx="2">
                  <c:v>174.1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66B-4B33-94DA-FBDE531B45F4}"/>
            </c:ext>
          </c:extLst>
        </c:ser>
        <c:ser>
          <c:idx val="3"/>
          <c:order val="3"/>
          <c:tx>
            <c:strRef>
              <c:f>'IT4I - náklady'!$E$3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'IT4I - náklady'!$A$4:$A$6</c:f>
              <c:strCache>
                <c:ptCount val="3"/>
                <c:pt idx="0">
                  <c:v>Mezinárodní granty</c:v>
                </c:pt>
                <c:pt idx="1">
                  <c:v>Národní granty</c:v>
                </c:pt>
                <c:pt idx="2">
                  <c:v>Zdroje financování provozních výdajů ústavu</c:v>
                </c:pt>
              </c:strCache>
            </c:strRef>
          </c:cat>
          <c:val>
            <c:numRef>
              <c:f>'IT4I - náklady'!$E$4:$E$6</c:f>
              <c:numCache>
                <c:formatCode>General</c:formatCode>
                <c:ptCount val="3"/>
                <c:pt idx="0">
                  <c:v>24.1</c:v>
                </c:pt>
                <c:pt idx="1">
                  <c:v>136.69999999999999</c:v>
                </c:pt>
                <c:pt idx="2">
                  <c:v>315.60000000000002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66B-4B33-94DA-FBDE531B45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21901472"/>
        <c:axId val="521899176"/>
      </c:barChart>
      <c:catAx>
        <c:axId val="52190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21899176"/>
        <c:crosses val="autoZero"/>
        <c:auto val="1"/>
        <c:lblAlgn val="ctr"/>
        <c:lblOffset val="100"/>
        <c:noMultiLvlLbl val="0"/>
      </c:catAx>
      <c:valAx>
        <c:axId val="521899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21901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IT4I!$B$3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IT4I!$A$4:$A$6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IT4I!$B$4:$B$6</c:f>
              <c:numCache>
                <c:formatCode>#,##0</c:formatCode>
                <c:ptCount val="3"/>
                <c:pt idx="0">
                  <c:v>542841</c:v>
                </c:pt>
                <c:pt idx="1">
                  <c:v>41152</c:v>
                </c:pt>
                <c:pt idx="2">
                  <c:v>21181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6D-49E0-BF4B-FAD1C0DFA665}"/>
            </c:ext>
          </c:extLst>
        </c:ser>
        <c:ser>
          <c:idx val="1"/>
          <c:order val="1"/>
          <c:tx>
            <c:strRef>
              <c:f>IT4I!$C$3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IT4I!$A$4:$A$6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IT4I!$C$4:$C$6</c:f>
              <c:numCache>
                <c:formatCode>#,##0</c:formatCode>
                <c:ptCount val="3"/>
                <c:pt idx="0">
                  <c:v>273655</c:v>
                </c:pt>
                <c:pt idx="1">
                  <c:v>41116</c:v>
                </c:pt>
                <c:pt idx="2">
                  <c:v>22243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26D-49E0-BF4B-FAD1C0DFA665}"/>
            </c:ext>
          </c:extLst>
        </c:ser>
        <c:ser>
          <c:idx val="2"/>
          <c:order val="2"/>
          <c:tx>
            <c:strRef>
              <c:f>IT4I!$D$3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IT4I!$A$4:$A$6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IT4I!$D$4:$D$6</c:f>
              <c:numCache>
                <c:formatCode>#,##0</c:formatCode>
                <c:ptCount val="3"/>
                <c:pt idx="0">
                  <c:v>541109</c:v>
                </c:pt>
                <c:pt idx="1">
                  <c:v>41810</c:v>
                </c:pt>
                <c:pt idx="2">
                  <c:v>23026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26D-49E0-BF4B-FAD1C0DFA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76384056"/>
        <c:axId val="476382088"/>
      </c:barChart>
      <c:catAx>
        <c:axId val="476384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6382088"/>
        <c:crosses val="autoZero"/>
        <c:auto val="1"/>
        <c:lblAlgn val="ctr"/>
        <c:lblOffset val="100"/>
        <c:noMultiLvlLbl val="0"/>
      </c:catAx>
      <c:valAx>
        <c:axId val="476382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6384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IT4I_personál!$B$5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IT4I_personál!$A$6:$A$8</c:f>
              <c:strCache>
                <c:ptCount val="3"/>
                <c:pt idx="0">
                  <c:v>Výzkum a vývoj</c:v>
                </c:pt>
                <c:pt idx="1">
                  <c:v>Managament a administrativa</c:v>
                </c:pt>
                <c:pt idx="2">
                  <c:v>Superpočítačové služby</c:v>
                </c:pt>
              </c:strCache>
            </c:strRef>
          </c:cat>
          <c:val>
            <c:numRef>
              <c:f>IT4I_personál!$B$6:$B$8</c:f>
              <c:numCache>
                <c:formatCode>0%</c:formatCode>
                <c:ptCount val="3"/>
                <c:pt idx="0">
                  <c:v>0.7</c:v>
                </c:pt>
                <c:pt idx="1">
                  <c:v>0.2</c:v>
                </c:pt>
                <c:pt idx="2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848-4E18-992B-14B62C305883}"/>
            </c:ext>
          </c:extLst>
        </c:ser>
        <c:ser>
          <c:idx val="1"/>
          <c:order val="1"/>
          <c:tx>
            <c:strRef>
              <c:f>IT4I_personál!$C$5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IT4I_personál!$A$6:$A$8</c:f>
              <c:strCache>
                <c:ptCount val="3"/>
                <c:pt idx="0">
                  <c:v>Výzkum a vývoj</c:v>
                </c:pt>
                <c:pt idx="1">
                  <c:v>Managament a administrativa</c:v>
                </c:pt>
                <c:pt idx="2">
                  <c:v>Superpočítačové služby</c:v>
                </c:pt>
              </c:strCache>
            </c:strRef>
          </c:cat>
          <c:val>
            <c:numRef>
              <c:f>IT4I_personál!$C$6:$C$8</c:f>
              <c:numCache>
                <c:formatCode>0%</c:formatCode>
                <c:ptCount val="3"/>
                <c:pt idx="0">
                  <c:v>0.68</c:v>
                </c:pt>
                <c:pt idx="1">
                  <c:v>0.21</c:v>
                </c:pt>
                <c:pt idx="2">
                  <c:v>0.11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848-4E18-992B-14B62C305883}"/>
            </c:ext>
          </c:extLst>
        </c:ser>
        <c:ser>
          <c:idx val="2"/>
          <c:order val="2"/>
          <c:tx>
            <c:strRef>
              <c:f>IT4I_personál!$D$5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IT4I_personál!$A$6:$A$8</c:f>
              <c:strCache>
                <c:ptCount val="3"/>
                <c:pt idx="0">
                  <c:v>Výzkum a vývoj</c:v>
                </c:pt>
                <c:pt idx="1">
                  <c:v>Managament a administrativa</c:v>
                </c:pt>
                <c:pt idx="2">
                  <c:v>Superpočítačové služby</c:v>
                </c:pt>
              </c:strCache>
            </c:strRef>
          </c:cat>
          <c:val>
            <c:numRef>
              <c:f>IT4I_personál!$D$6:$D$8</c:f>
              <c:numCache>
                <c:formatCode>0%</c:formatCode>
                <c:ptCount val="3"/>
                <c:pt idx="0">
                  <c:v>0.69</c:v>
                </c:pt>
                <c:pt idx="1">
                  <c:v>0.21</c:v>
                </c:pt>
                <c:pt idx="2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848-4E18-992B-14B62C305883}"/>
            </c:ext>
          </c:extLst>
        </c:ser>
        <c:ser>
          <c:idx val="3"/>
          <c:order val="3"/>
          <c:tx>
            <c:strRef>
              <c:f>IT4I_personál!$E$5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IT4I_personál!$A$6:$A$8</c:f>
              <c:strCache>
                <c:ptCount val="3"/>
                <c:pt idx="0">
                  <c:v>Výzkum a vývoj</c:v>
                </c:pt>
                <c:pt idx="1">
                  <c:v>Managament a administrativa</c:v>
                </c:pt>
                <c:pt idx="2">
                  <c:v>Superpočítačové služby</c:v>
                </c:pt>
              </c:strCache>
            </c:strRef>
          </c:cat>
          <c:val>
            <c:numRef>
              <c:f>IT4I_personál!$E$6:$E$8</c:f>
              <c:numCache>
                <c:formatCode>0%</c:formatCode>
                <c:ptCount val="3"/>
                <c:pt idx="0">
                  <c:v>0.7</c:v>
                </c:pt>
                <c:pt idx="1">
                  <c:v>0.21</c:v>
                </c:pt>
                <c:pt idx="2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848-4E18-992B-14B62C3058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3854272"/>
        <c:axId val="433854600"/>
      </c:barChart>
      <c:catAx>
        <c:axId val="433854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33854600"/>
        <c:crosses val="autoZero"/>
        <c:auto val="1"/>
        <c:lblAlgn val="ctr"/>
        <c:lblOffset val="100"/>
        <c:noMultiLvlLbl val="0"/>
      </c:catAx>
      <c:valAx>
        <c:axId val="43385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33854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BIOCEV!$B$11</c:f>
              <c:strCache>
                <c:ptCount val="1"/>
                <c:pt idx="0">
                  <c:v>ED1.1.00/02.0109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BIOCEV!$F$10:$I$10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BIOCEV!$F$11:$I$11</c:f>
              <c:numCache>
                <c:formatCode>General</c:formatCode>
                <c:ptCount val="4"/>
                <c:pt idx="0">
                  <c:v>128</c:v>
                </c:pt>
                <c:pt idx="1">
                  <c:v>72</c:v>
                </c:pt>
                <c:pt idx="2">
                  <c:v>26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ED-4C14-9A23-FA6C12452D24}"/>
            </c:ext>
          </c:extLst>
        </c:ser>
        <c:ser>
          <c:idx val="1"/>
          <c:order val="1"/>
          <c:tx>
            <c:strRef>
              <c:f>BIOCEV!$B$12</c:f>
              <c:strCache>
                <c:ptCount val="1"/>
                <c:pt idx="0">
                  <c:v>LQ1604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BIOCEV!$F$10:$I$10</c:f>
              <c:strCache>
                <c:ptCount val="4"/>
                <c:pt idx="0">
                  <c:v> 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BIOCEV!$F$12:$I$12</c:f>
              <c:numCache>
                <c:formatCode>General</c:formatCode>
                <c:ptCount val="4"/>
                <c:pt idx="0">
                  <c:v>56</c:v>
                </c:pt>
                <c:pt idx="1">
                  <c:v>32</c:v>
                </c:pt>
                <c:pt idx="2">
                  <c:v>10</c:v>
                </c:pt>
                <c:pt idx="3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EED-4C14-9A23-FA6C12452D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1028576"/>
        <c:axId val="251029560"/>
      </c:barChart>
      <c:catAx>
        <c:axId val="2510285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51029560"/>
        <c:crosses val="autoZero"/>
        <c:auto val="1"/>
        <c:lblAlgn val="ctr"/>
        <c:lblOffset val="100"/>
        <c:noMultiLvlLbl val="0"/>
      </c:catAx>
      <c:valAx>
        <c:axId val="2510295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51028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'BIOCEV od MŠMT'!$B$4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'BIOCEV od MŠMT'!$A$5:$A$7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'BIOCEV od MŠMT'!$B$5:$B$7</c:f>
              <c:numCache>
                <c:formatCode>#,##0</c:formatCode>
                <c:ptCount val="3"/>
                <c:pt idx="0">
                  <c:v>93626</c:v>
                </c:pt>
                <c:pt idx="1">
                  <c:v>47958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FB-42E9-84FE-B91C5FA0ECF1}"/>
            </c:ext>
          </c:extLst>
        </c:ser>
        <c:ser>
          <c:idx val="1"/>
          <c:order val="1"/>
          <c:tx>
            <c:strRef>
              <c:f>'BIOCEV od MŠMT'!$C$4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'BIOCEV od MŠMT'!$A$5:$A$7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'BIOCEV od MŠMT'!$C$5:$C$7</c:f>
              <c:numCache>
                <c:formatCode>#,##0</c:formatCode>
                <c:ptCount val="3"/>
                <c:pt idx="0">
                  <c:v>151573</c:v>
                </c:pt>
                <c:pt idx="1">
                  <c:v>100231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FB-42E9-84FE-B91C5FA0ECF1}"/>
            </c:ext>
          </c:extLst>
        </c:ser>
        <c:ser>
          <c:idx val="2"/>
          <c:order val="2"/>
          <c:tx>
            <c:strRef>
              <c:f>'BIOCEV od MŠMT'!$D$4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'BIOCEV od MŠMT'!$A$5:$A$7</c:f>
              <c:strCache>
                <c:ptCount val="3"/>
                <c:pt idx="0">
                  <c:v>Veřejné národní zdroje</c:v>
                </c:pt>
                <c:pt idx="1">
                  <c:v>Veřejné zahraniční zdroje</c:v>
                </c:pt>
                <c:pt idx="2">
                  <c:v>Neveřejné zdroje</c:v>
                </c:pt>
              </c:strCache>
            </c:strRef>
          </c:cat>
          <c:val>
            <c:numRef>
              <c:f>'BIOCEV od MŠMT'!$D$5:$D$7</c:f>
              <c:numCache>
                <c:formatCode>#,##0</c:formatCode>
                <c:ptCount val="3"/>
                <c:pt idx="0">
                  <c:v>102236</c:v>
                </c:pt>
                <c:pt idx="1">
                  <c:v>52368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EFB-42E9-84FE-B91C5FA0EC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77956856"/>
        <c:axId val="477955216"/>
      </c:barChart>
      <c:catAx>
        <c:axId val="477956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7955216"/>
        <c:crosses val="autoZero"/>
        <c:auto val="1"/>
        <c:lblAlgn val="ctr"/>
        <c:lblOffset val="100"/>
        <c:noMultiLvlLbl val="0"/>
      </c:catAx>
      <c:valAx>
        <c:axId val="477955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7956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1164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Frantíková Jana</dc:creator>
  <cp:keywords/>
  <dc:description/>
  <cp:lastModifiedBy>Filip Přemysl</cp:lastModifiedBy>
  <cp:revision>3</cp:revision>
  <dcterms:created xsi:type="dcterms:W3CDTF">2021-09-17T08:02:00Z</dcterms:created>
  <dcterms:modified xsi:type="dcterms:W3CDTF">2021-09-17T08:03:00Z</dcterms:modified>
</cp:coreProperties>
</file>