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5A117" w14:textId="77777777" w:rsidR="000B5404" w:rsidRDefault="00FA5CCC">
      <w:pPr>
        <w:pBdr>
          <w:top w:val="nil"/>
          <w:left w:val="nil"/>
          <w:bottom w:val="nil"/>
          <w:right w:val="nil"/>
          <w:between w:val="nil"/>
        </w:pBdr>
        <w:spacing w:after="1440"/>
        <w:jc w:val="both"/>
        <w:rPr>
          <w:rFonts w:ascii="Arial" w:eastAsia="Arial" w:hAnsi="Arial" w:cs="Arial"/>
          <w:b/>
          <w:color w:val="000000"/>
          <w:sz w:val="36"/>
          <w:szCs w:val="36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Zpráva o činnosti výzkumné rady Technologické agentury České republiky za rok 2023 a </w:t>
      </w:r>
      <w:r>
        <w:rPr>
          <w:rFonts w:ascii="Arial" w:eastAsia="Arial" w:hAnsi="Arial" w:cs="Arial"/>
          <w:b/>
          <w:noProof/>
          <w:color w:val="00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0D756E34" wp14:editId="6D116B26">
                <wp:simplePos x="0" y="0"/>
                <wp:positionH relativeFrom="margin">
                  <wp:align>right</wp:align>
                </wp:positionH>
                <wp:positionV relativeFrom="page">
                  <wp:posOffset>2149158</wp:posOffset>
                </wp:positionV>
                <wp:extent cx="6129525" cy="22225"/>
                <wp:effectExtent l="0" t="0" r="0" b="0"/>
                <wp:wrapNone/>
                <wp:docPr id="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6000" y="378000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align>right</wp:align>
                </wp:positionH>
                <wp:positionV relativeFrom="page">
                  <wp:posOffset>2149158</wp:posOffset>
                </wp:positionV>
                <wp:extent cx="6129525" cy="222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95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b/>
          <w:color w:val="000000"/>
          <w:sz w:val="36"/>
          <w:szCs w:val="36"/>
        </w:rPr>
        <w:t>návrh na stanovení odměn za výkon veřejné funkce členů výzkumné rady Technologické agentury České republiky za rok 2023</w:t>
      </w:r>
    </w:p>
    <w:p w14:paraId="5191D987" w14:textId="77777777" w:rsidR="000B5404" w:rsidRDefault="00FA5CCC">
      <w:pPr>
        <w:spacing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Obsah</w:t>
      </w:r>
    </w:p>
    <w:sdt>
      <w:sdtPr>
        <w:id w:val="-1666234654"/>
        <w:docPartObj>
          <w:docPartGallery w:val="Table of Contents"/>
          <w:docPartUnique/>
        </w:docPartObj>
      </w:sdtPr>
      <w:sdtEndPr/>
      <w:sdtContent>
        <w:p w14:paraId="6352F8A4" w14:textId="77777777" w:rsidR="000B5404" w:rsidRDefault="00FA5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8"/>
            </w:tabs>
            <w:spacing w:after="100"/>
            <w:rPr>
              <w:rFonts w:ascii="Cambria" w:eastAsia="Cambria" w:hAnsi="Cambria" w:cs="Cambria"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1fob9te">
            <w:r>
              <w:rPr>
                <w:rFonts w:ascii="Arial" w:eastAsia="Arial" w:hAnsi="Arial" w:cs="Arial"/>
                <w:color w:val="000000"/>
              </w:rPr>
              <w:t>1.</w:t>
            </w:r>
          </w:hyperlink>
          <w:hyperlink w:anchor="_1fob9te">
            <w:r>
              <w:rPr>
                <w:rFonts w:ascii="Cambria" w:eastAsia="Cambria" w:hAnsi="Cambria" w:cs="Cambria"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rFonts w:ascii="Arial" w:eastAsia="Arial" w:hAnsi="Arial" w:cs="Arial"/>
              <w:color w:val="000000"/>
            </w:rPr>
            <w:t>Úvod</w:t>
          </w:r>
          <w:r>
            <w:rPr>
              <w:color w:val="000000"/>
            </w:rPr>
            <w:tab/>
            <w:t>2</w:t>
          </w:r>
          <w:r>
            <w:fldChar w:fldCharType="end"/>
          </w:r>
        </w:p>
        <w:p w14:paraId="01199B4D" w14:textId="77777777" w:rsidR="000B5404" w:rsidRDefault="00887E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8"/>
            </w:tabs>
            <w:spacing w:after="100"/>
            <w:rPr>
              <w:rFonts w:ascii="Cambria" w:eastAsia="Cambria" w:hAnsi="Cambria" w:cs="Cambria"/>
              <w:color w:val="000000"/>
            </w:rPr>
          </w:pPr>
          <w:hyperlink w:anchor="_2et92p0">
            <w:r w:rsidR="00FA5CCC">
              <w:rPr>
                <w:rFonts w:ascii="Arial" w:eastAsia="Arial" w:hAnsi="Arial" w:cs="Arial"/>
                <w:color w:val="000000"/>
              </w:rPr>
              <w:t>2.</w:t>
            </w:r>
          </w:hyperlink>
          <w:hyperlink w:anchor="_2et92p0">
            <w:r w:rsidR="00FA5CCC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FA5CCC">
            <w:fldChar w:fldCharType="begin"/>
          </w:r>
          <w:r w:rsidR="00FA5CCC">
            <w:instrText xml:space="preserve"> PAGEREF _2et92p0 \h </w:instrText>
          </w:r>
          <w:r w:rsidR="00FA5CCC">
            <w:fldChar w:fldCharType="separate"/>
          </w:r>
          <w:r w:rsidR="00FA5CCC">
            <w:rPr>
              <w:rFonts w:ascii="Arial" w:eastAsia="Arial" w:hAnsi="Arial" w:cs="Arial"/>
              <w:color w:val="000000"/>
            </w:rPr>
            <w:t>Složení výzkumné rady</w:t>
          </w:r>
          <w:r w:rsidR="00FA5CCC">
            <w:rPr>
              <w:color w:val="000000"/>
            </w:rPr>
            <w:tab/>
            <w:t>2</w:t>
          </w:r>
          <w:r w:rsidR="00FA5CCC">
            <w:fldChar w:fldCharType="end"/>
          </w:r>
        </w:p>
        <w:p w14:paraId="4E6785C7" w14:textId="77777777" w:rsidR="000B5404" w:rsidRDefault="00887E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8"/>
            </w:tabs>
            <w:spacing w:after="100"/>
            <w:rPr>
              <w:rFonts w:ascii="Cambria" w:eastAsia="Cambria" w:hAnsi="Cambria" w:cs="Cambria"/>
              <w:color w:val="000000"/>
            </w:rPr>
          </w:pPr>
          <w:hyperlink w:anchor="_3dy6vkm">
            <w:r w:rsidR="00FA5CCC">
              <w:rPr>
                <w:rFonts w:ascii="Arial" w:eastAsia="Arial" w:hAnsi="Arial" w:cs="Arial"/>
                <w:color w:val="000000"/>
              </w:rPr>
              <w:t>3.</w:t>
            </w:r>
          </w:hyperlink>
          <w:hyperlink w:anchor="_3dy6vkm">
            <w:r w:rsidR="00FA5CCC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FA5CCC">
            <w:fldChar w:fldCharType="begin"/>
          </w:r>
          <w:r w:rsidR="00FA5CCC">
            <w:instrText xml:space="preserve"> PAGEREF _3dy6vkm \h </w:instrText>
          </w:r>
          <w:r w:rsidR="00FA5CCC">
            <w:fldChar w:fldCharType="separate"/>
          </w:r>
          <w:r w:rsidR="00FA5CCC">
            <w:rPr>
              <w:rFonts w:ascii="Arial" w:eastAsia="Arial" w:hAnsi="Arial" w:cs="Arial"/>
              <w:color w:val="000000"/>
            </w:rPr>
            <w:t>Činnost výzkumné rady za období 10/2022–09/2023</w:t>
          </w:r>
          <w:r w:rsidR="00FA5CCC">
            <w:rPr>
              <w:color w:val="000000"/>
            </w:rPr>
            <w:tab/>
            <w:t>3</w:t>
          </w:r>
          <w:r w:rsidR="00FA5CCC">
            <w:fldChar w:fldCharType="end"/>
          </w:r>
        </w:p>
        <w:p w14:paraId="748414F5" w14:textId="77777777" w:rsidR="000B5404" w:rsidRDefault="00887E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8"/>
            </w:tabs>
            <w:spacing w:after="100"/>
            <w:rPr>
              <w:rFonts w:ascii="Cambria" w:eastAsia="Cambria" w:hAnsi="Cambria" w:cs="Cambria"/>
              <w:color w:val="000000"/>
            </w:rPr>
          </w:pPr>
          <w:hyperlink w:anchor="_4d34og8">
            <w:r w:rsidR="00FA5CCC">
              <w:rPr>
                <w:rFonts w:ascii="Arial" w:eastAsia="Arial" w:hAnsi="Arial" w:cs="Arial"/>
                <w:color w:val="000000"/>
              </w:rPr>
              <w:t>4.</w:t>
            </w:r>
          </w:hyperlink>
          <w:hyperlink w:anchor="_4d34og8">
            <w:r w:rsidR="00FA5CCC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FA5CCC">
            <w:fldChar w:fldCharType="begin"/>
          </w:r>
          <w:r w:rsidR="00FA5CCC">
            <w:instrText xml:space="preserve"> PAGEREF _4d34og8 \h </w:instrText>
          </w:r>
          <w:r w:rsidR="00FA5CCC">
            <w:fldChar w:fldCharType="separate"/>
          </w:r>
          <w:r w:rsidR="00FA5CCC">
            <w:rPr>
              <w:rFonts w:ascii="Arial" w:eastAsia="Arial" w:hAnsi="Arial" w:cs="Arial"/>
              <w:color w:val="000000"/>
            </w:rPr>
            <w:t>Závěr</w:t>
          </w:r>
          <w:r w:rsidR="00FA5CCC">
            <w:rPr>
              <w:color w:val="000000"/>
            </w:rPr>
            <w:tab/>
            <w:t>6</w:t>
          </w:r>
          <w:r w:rsidR="00FA5CCC">
            <w:fldChar w:fldCharType="end"/>
          </w:r>
        </w:p>
        <w:p w14:paraId="0A24F55E" w14:textId="77777777" w:rsidR="000B5404" w:rsidRDefault="00887E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8"/>
            </w:tabs>
            <w:spacing w:after="100"/>
            <w:rPr>
              <w:rFonts w:ascii="Cambria" w:eastAsia="Cambria" w:hAnsi="Cambria" w:cs="Cambria"/>
              <w:color w:val="000000"/>
            </w:rPr>
          </w:pPr>
          <w:hyperlink w:anchor="_2s8eyo1">
            <w:r w:rsidR="00FA5CCC">
              <w:rPr>
                <w:rFonts w:ascii="Arial" w:eastAsia="Arial" w:hAnsi="Arial" w:cs="Arial"/>
                <w:color w:val="000000"/>
              </w:rPr>
              <w:t>5.</w:t>
            </w:r>
          </w:hyperlink>
          <w:hyperlink w:anchor="_2s8eyo1">
            <w:r w:rsidR="00FA5CCC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FA5CCC">
            <w:fldChar w:fldCharType="begin"/>
          </w:r>
          <w:r w:rsidR="00FA5CCC">
            <w:instrText xml:space="preserve"> PAGEREF _2s8eyo1 \h </w:instrText>
          </w:r>
          <w:r w:rsidR="00FA5CCC">
            <w:fldChar w:fldCharType="separate"/>
          </w:r>
          <w:r w:rsidR="00FA5CCC">
            <w:rPr>
              <w:rFonts w:ascii="Arial" w:eastAsia="Arial" w:hAnsi="Arial" w:cs="Arial"/>
              <w:color w:val="000000"/>
            </w:rPr>
            <w:t>Příloha – Návrh odměn</w:t>
          </w:r>
          <w:r w:rsidR="00FA5CCC">
            <w:rPr>
              <w:color w:val="000000"/>
            </w:rPr>
            <w:tab/>
            <w:t>7</w:t>
          </w:r>
          <w:r w:rsidR="00FA5CCC">
            <w:fldChar w:fldCharType="end"/>
          </w:r>
        </w:p>
        <w:p w14:paraId="46E5BC17" w14:textId="77777777" w:rsidR="000B5404" w:rsidRDefault="00FA5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061"/>
            </w:tabs>
            <w:spacing w:before="0"/>
            <w:jc w:val="both"/>
            <w:rPr>
              <w:rFonts w:ascii="Cambria" w:eastAsia="Cambria" w:hAnsi="Cambria" w:cs="Cambria"/>
              <w:color w:val="000000"/>
            </w:rPr>
          </w:pPr>
          <w:r>
            <w:fldChar w:fldCharType="end"/>
          </w:r>
        </w:p>
      </w:sdtContent>
    </w:sdt>
    <w:p w14:paraId="766D86E2" w14:textId="77777777" w:rsidR="000B5404" w:rsidRDefault="00FA5CCC">
      <w:pPr>
        <w:jc w:val="both"/>
        <w:rPr>
          <w:rFonts w:ascii="Arial" w:eastAsia="Arial" w:hAnsi="Arial" w:cs="Arial"/>
        </w:rPr>
      </w:pPr>
      <w:bookmarkStart w:id="1" w:name="_30j0zll" w:colFirst="0" w:colLast="0"/>
      <w:bookmarkEnd w:id="1"/>
      <w:r>
        <w:br w:type="page"/>
      </w:r>
    </w:p>
    <w:p w14:paraId="62DC85B5" w14:textId="77777777" w:rsidR="000B5404" w:rsidRDefault="00FA5CCC">
      <w:pPr>
        <w:pStyle w:val="Nadpis1"/>
        <w:numPr>
          <w:ilvl w:val="0"/>
          <w:numId w:val="2"/>
        </w:numPr>
        <w:jc w:val="both"/>
        <w:rPr>
          <w:rFonts w:ascii="Arial" w:eastAsia="Arial" w:hAnsi="Arial" w:cs="Arial"/>
        </w:rPr>
      </w:pPr>
      <w:bookmarkStart w:id="2" w:name="_1fob9te" w:colFirst="0" w:colLast="0"/>
      <w:bookmarkEnd w:id="2"/>
      <w:r>
        <w:rPr>
          <w:rFonts w:ascii="Arial" w:eastAsia="Arial" w:hAnsi="Arial" w:cs="Arial"/>
        </w:rPr>
        <w:lastRenderedPageBreak/>
        <w:t>Úvod</w:t>
      </w:r>
    </w:p>
    <w:p w14:paraId="41026977" w14:textId="30CC6F24" w:rsidR="000B5404" w:rsidRDefault="00FA5CCC">
      <w:pPr>
        <w:jc w:val="both"/>
        <w:rPr>
          <w:rFonts w:ascii="Arial" w:eastAsia="Arial" w:hAnsi="Arial" w:cs="Arial"/>
        </w:rPr>
      </w:pPr>
      <w:bookmarkStart w:id="3" w:name="_3znysh7" w:colFirst="0" w:colLast="0"/>
      <w:bookmarkEnd w:id="3"/>
      <w:r>
        <w:rPr>
          <w:rFonts w:ascii="Arial" w:eastAsia="Arial" w:hAnsi="Arial" w:cs="Arial"/>
        </w:rPr>
        <w:t>V období říjen 2022 až září 2023 bylo uskutečněno celkem 11 zasedání výzkumné rady</w:t>
      </w:r>
      <w:r w:rsidR="00D136DC">
        <w:rPr>
          <w:rFonts w:ascii="Arial" w:eastAsia="Arial" w:hAnsi="Arial" w:cs="Arial"/>
        </w:rPr>
        <w:t xml:space="preserve"> (dále též „výzkumná rada“, „VR“ nebo „VR TA ČR“)</w:t>
      </w:r>
      <w:r>
        <w:rPr>
          <w:rFonts w:ascii="Arial" w:eastAsia="Arial" w:hAnsi="Arial" w:cs="Arial"/>
        </w:rPr>
        <w:t xml:space="preserve"> Technologické agentury České republiky (dále též </w:t>
      </w:r>
      <w:r w:rsidR="00D136DC">
        <w:rPr>
          <w:rFonts w:ascii="Arial" w:eastAsia="Arial" w:hAnsi="Arial" w:cs="Arial"/>
        </w:rPr>
        <w:t>„</w:t>
      </w:r>
      <w:r>
        <w:rPr>
          <w:rFonts w:ascii="Arial" w:eastAsia="Arial" w:hAnsi="Arial" w:cs="Arial"/>
        </w:rPr>
        <w:t>TA</w:t>
      </w:r>
      <w:r w:rsidR="00D136D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ČR“), která se konala pravidelně v intervalu jednou měsíčně s výjimkou července. Dne 4.</w:t>
      </w:r>
      <w:r w:rsidR="00D136D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11.</w:t>
      </w:r>
      <w:r w:rsidR="00D136D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2022 proběhlo setkání členů výzkumné rady s ministryní pro vědu a výzkum Helenou </w:t>
      </w:r>
      <w:proofErr w:type="spellStart"/>
      <w:r>
        <w:rPr>
          <w:rFonts w:ascii="Arial" w:eastAsia="Arial" w:hAnsi="Arial" w:cs="Arial"/>
        </w:rPr>
        <w:t>Langšádlovou</w:t>
      </w:r>
      <w:proofErr w:type="spellEnd"/>
      <w:r>
        <w:rPr>
          <w:rFonts w:ascii="Arial" w:eastAsia="Arial" w:hAnsi="Arial" w:cs="Arial"/>
        </w:rPr>
        <w:t xml:space="preserve"> v rámci výjezdního zasedání.</w:t>
      </w:r>
    </w:p>
    <w:p w14:paraId="1494C59C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Účast členů výzkumné rady na všech zasedání se pohybuje v rozmezí 73–100 %.</w:t>
      </w:r>
    </w:p>
    <w:p w14:paraId="2A6DC12C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 zasedání výzkumné rady řídil její předseda prof. Martin Fusek, jedno zasedání místopředseda VR Ing. Jan Kleindienst, Ph.D.</w:t>
      </w:r>
    </w:p>
    <w:p w14:paraId="4F98841C" w14:textId="77777777" w:rsidR="000B5404" w:rsidRDefault="00FA5CCC">
      <w:pPr>
        <w:pStyle w:val="Nadpis1"/>
        <w:numPr>
          <w:ilvl w:val="0"/>
          <w:numId w:val="2"/>
        </w:numPr>
        <w:jc w:val="both"/>
        <w:rPr>
          <w:rFonts w:ascii="Arial" w:eastAsia="Arial" w:hAnsi="Arial" w:cs="Arial"/>
        </w:rPr>
      </w:pPr>
      <w:bookmarkStart w:id="4" w:name="_2et92p0" w:colFirst="0" w:colLast="0"/>
      <w:bookmarkEnd w:id="4"/>
      <w:r>
        <w:rPr>
          <w:rFonts w:ascii="Arial" w:eastAsia="Arial" w:hAnsi="Arial" w:cs="Arial"/>
        </w:rPr>
        <w:t>Složení výzkumné rady</w:t>
      </w:r>
    </w:p>
    <w:p w14:paraId="2910F8D2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Složení výzkumné rady k 30. září 2023:</w:t>
      </w:r>
    </w:p>
    <w:p w14:paraId="0B26512E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prof. Ing. Martin Fusek, CSc. - předseda výzkumné rady</w:t>
      </w:r>
    </w:p>
    <w:p w14:paraId="580510B9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Ing. Jan Kleindienst, Ph.D. – místopředseda výzkumné rady</w:t>
      </w:r>
    </w:p>
    <w:p w14:paraId="555F8031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doc. Mgr. Tomáš Apeltauer, Ph.D.</w:t>
      </w:r>
    </w:p>
    <w:p w14:paraId="4BC5C2B9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Mgr. Miroslav Havránek</w:t>
      </w:r>
    </w:p>
    <w:p w14:paraId="7CCC14C3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prof. Ing. Ján </w:t>
      </w:r>
      <w:proofErr w:type="spellStart"/>
      <w:r>
        <w:rPr>
          <w:rFonts w:ascii="Arial" w:eastAsia="Arial" w:hAnsi="Arial" w:cs="Arial"/>
        </w:rPr>
        <w:t>Džugan</w:t>
      </w:r>
      <w:proofErr w:type="spellEnd"/>
      <w:r>
        <w:rPr>
          <w:rFonts w:ascii="Arial" w:eastAsia="Arial" w:hAnsi="Arial" w:cs="Arial"/>
        </w:rPr>
        <w:t>, Ph.D.</w:t>
      </w:r>
    </w:p>
    <w:p w14:paraId="3C4569B6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Ing. Jiří Reiss, CSc., MBA</w:t>
      </w:r>
    </w:p>
    <w:p w14:paraId="4DF5421C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prof. RNDr. Jana Klánová, Ph.D.</w:t>
      </w:r>
    </w:p>
    <w:p w14:paraId="54F60197" w14:textId="77777777" w:rsidR="000B5404" w:rsidRDefault="00FA5CCC">
      <w:pPr>
        <w:jc w:val="both"/>
        <w:rPr>
          <w:rFonts w:ascii="Arial" w:eastAsia="Arial" w:hAnsi="Arial" w:cs="Arial"/>
        </w:rPr>
      </w:pPr>
      <w:bookmarkStart w:id="5" w:name="_tyjcwt" w:colFirst="0" w:colLast="0"/>
      <w:bookmarkEnd w:id="5"/>
      <w:r>
        <w:rPr>
          <w:rFonts w:ascii="Arial" w:eastAsia="Arial" w:hAnsi="Arial" w:cs="Arial"/>
        </w:rPr>
        <w:t xml:space="preserve">Ing. Josef Kašpar, </w:t>
      </w:r>
      <w:proofErr w:type="spellStart"/>
      <w:r>
        <w:rPr>
          <w:rFonts w:ascii="Arial" w:eastAsia="Arial" w:hAnsi="Arial" w:cs="Arial"/>
        </w:rPr>
        <w:t>FEng</w:t>
      </w:r>
      <w:proofErr w:type="spellEnd"/>
      <w:r>
        <w:rPr>
          <w:rFonts w:ascii="Arial" w:eastAsia="Arial" w:hAnsi="Arial" w:cs="Arial"/>
        </w:rPr>
        <w:t>.</w:t>
      </w:r>
    </w:p>
    <w:p w14:paraId="7CA7DA63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Ing. Miroslav Punčochář, </w:t>
      </w:r>
      <w:proofErr w:type="spellStart"/>
      <w:r>
        <w:rPr>
          <w:rFonts w:ascii="Arial" w:eastAsia="Arial" w:hAnsi="Arial" w:cs="Arial"/>
        </w:rPr>
        <w:t>DSc</w:t>
      </w:r>
      <w:proofErr w:type="spellEnd"/>
      <w:r>
        <w:rPr>
          <w:rFonts w:ascii="Arial" w:eastAsia="Arial" w:hAnsi="Arial" w:cs="Arial"/>
        </w:rPr>
        <w:t>.</w:t>
      </w:r>
    </w:p>
    <w:p w14:paraId="4E7214AE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doc. Ing. Šárka Houdková Šimůnková, Ph.D.</w:t>
      </w:r>
    </w:p>
    <w:p w14:paraId="099035D9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doc. Ing. Karel Kouřil, Ph.D., MBA, </w:t>
      </w:r>
      <w:proofErr w:type="spellStart"/>
      <w:r>
        <w:rPr>
          <w:rFonts w:ascii="Arial" w:eastAsia="Arial" w:hAnsi="Arial" w:cs="Arial"/>
        </w:rPr>
        <w:t>FEng</w:t>
      </w:r>
      <w:proofErr w:type="spellEnd"/>
      <w:r>
        <w:rPr>
          <w:rFonts w:ascii="Arial" w:eastAsia="Arial" w:hAnsi="Arial" w:cs="Arial"/>
        </w:rPr>
        <w:t>.</w:t>
      </w:r>
    </w:p>
    <w:p w14:paraId="7C6E891D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PhDr. Pavel Baran, CSc.</w:t>
      </w:r>
    </w:p>
    <w:p w14:paraId="378F2216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Usnesením vlády České republiky ze dne 12. října 2022 č. 862 byli jmenováni členové a členky výzkumné rady s účinností od 12. října 2022 (doc. Mgr. Tomáš Apeltauer, Ph.D., prof. Ing. Ján </w:t>
      </w:r>
      <w:proofErr w:type="spellStart"/>
      <w:r>
        <w:rPr>
          <w:rFonts w:ascii="Arial" w:eastAsia="Arial" w:hAnsi="Arial" w:cs="Arial"/>
        </w:rPr>
        <w:t>Džugan</w:t>
      </w:r>
      <w:proofErr w:type="spellEnd"/>
      <w:r>
        <w:rPr>
          <w:rFonts w:ascii="Arial" w:eastAsia="Arial" w:hAnsi="Arial" w:cs="Arial"/>
        </w:rPr>
        <w:t xml:space="preserve">, Ph.D., prof. Ing. Martin Fusek, CSc., Mgr. Miroslav Havránek, doc. Ing. Šárka Houdková Šimůnková, Ph.D., Ing. Jan Kleindienst, Ph.D., doc. Ing. Karel Kouřil, Ph.D. MBA, Ing. Miroslav Punčochář, </w:t>
      </w:r>
      <w:proofErr w:type="spellStart"/>
      <w:r>
        <w:rPr>
          <w:rFonts w:ascii="Arial" w:eastAsia="Arial" w:hAnsi="Arial" w:cs="Arial"/>
        </w:rPr>
        <w:t>DSc</w:t>
      </w:r>
      <w:proofErr w:type="spellEnd"/>
      <w:r>
        <w:rPr>
          <w:rFonts w:ascii="Arial" w:eastAsia="Arial" w:hAnsi="Arial" w:cs="Arial"/>
        </w:rPr>
        <w:t>.).</w:t>
      </w:r>
    </w:p>
    <w:p w14:paraId="091B65E9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Zároveň byl stejným usnesením s účinností od 12. října jmenován předseda výzkumné rady prof. Ing. Martin Fusek, CSc.</w:t>
      </w:r>
    </w:p>
    <w:p w14:paraId="7B214CCB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Usnesením vlády České republiky ze dne 26. dubna 2023 č. 286 byli jmenováni členy výzkumné rady s účinností od 26. dubna 2023 Ing. Jiří Reiss, CSc., MBA a PhDr. Pavel Baran, CSc.</w:t>
      </w:r>
    </w:p>
    <w:p w14:paraId="478C0DF1" w14:textId="77777777" w:rsidR="000B5404" w:rsidRDefault="00FA5CCC">
      <w:pPr>
        <w:pStyle w:val="Nadpis1"/>
        <w:numPr>
          <w:ilvl w:val="0"/>
          <w:numId w:val="2"/>
        </w:numPr>
        <w:jc w:val="both"/>
        <w:rPr>
          <w:rFonts w:ascii="Arial" w:eastAsia="Arial" w:hAnsi="Arial" w:cs="Arial"/>
        </w:rPr>
      </w:pPr>
      <w:bookmarkStart w:id="6" w:name="_3dy6vkm" w:colFirst="0" w:colLast="0"/>
      <w:bookmarkEnd w:id="6"/>
      <w:r>
        <w:rPr>
          <w:rFonts w:ascii="Arial" w:eastAsia="Arial" w:hAnsi="Arial" w:cs="Arial"/>
        </w:rPr>
        <w:t>Činnost výzkumné rady za období 10/2022–09/2023</w:t>
      </w:r>
    </w:p>
    <w:p w14:paraId="07F628CB" w14:textId="3840147A" w:rsidR="000B5404" w:rsidRDefault="00FA5CCC">
      <w:pPr>
        <w:jc w:val="both"/>
        <w:rPr>
          <w:rFonts w:ascii="Arial" w:eastAsia="Arial" w:hAnsi="Arial" w:cs="Arial"/>
        </w:rPr>
      </w:pPr>
      <w:bookmarkStart w:id="7" w:name="_1t3h5sf" w:colFirst="0" w:colLast="0"/>
      <w:bookmarkEnd w:id="7"/>
      <w:r>
        <w:rPr>
          <w:rFonts w:ascii="Arial" w:eastAsia="Arial" w:hAnsi="Arial" w:cs="Arial"/>
        </w:rPr>
        <w:t>Po období charakterizovaném pandemií COVID</w:t>
      </w:r>
      <w:r w:rsidR="00D5498E"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 xml:space="preserve">19, začátkem invaze Ruska na Ukrajinu a z toho vyplývajících problémů v oblasti energetiky a v oblasti dodavatelsko-odběratelských vztahů nastoupilo období ekonomických problémů a nebývalé inflace. Uplynulé období zároveň zaznamenalo významný rozvoj aplikací umělé inteligence, strojového učení ale i dynamický rozvoj bezemisních technologií a obecně tlak na řešení klimatické změny. Ekonomická situace se silně odráží v rozpočtové oblasti a ovlivňuje mimo jiné i možnosti vyhlašování nových výzev a programů TA ČR. Toto období bylo také charakterizováno participací </w:t>
      </w:r>
      <w:r w:rsidR="001346A9">
        <w:rPr>
          <w:rFonts w:ascii="Arial" w:eastAsia="Arial" w:hAnsi="Arial" w:cs="Arial"/>
        </w:rPr>
        <w:t>Rady pro výzkum, vývoj a inovace (dále též „</w:t>
      </w:r>
      <w:r>
        <w:rPr>
          <w:rFonts w:ascii="Arial" w:eastAsia="Arial" w:hAnsi="Arial" w:cs="Arial"/>
        </w:rPr>
        <w:t>RVVI</w:t>
      </w:r>
      <w:r w:rsidR="001346A9">
        <w:rPr>
          <w:rFonts w:ascii="Arial" w:eastAsia="Arial" w:hAnsi="Arial" w:cs="Arial"/>
        </w:rPr>
        <w:t xml:space="preserve">“) </w:t>
      </w:r>
      <w:r>
        <w:rPr>
          <w:rFonts w:ascii="Arial" w:eastAsia="Arial" w:hAnsi="Arial" w:cs="Arial"/>
        </w:rPr>
        <w:t xml:space="preserve">na přípravě novel zákonů o výzkumu, vývoji, inovacích a transferu znalostí a dalších zákonů. Z hlavních ukončených programů TA ČR v minulém období lze jmenovat soutěž programu </w:t>
      </w:r>
      <w:r w:rsidR="001346A9">
        <w:rPr>
          <w:rFonts w:ascii="Arial" w:eastAsia="Arial" w:hAnsi="Arial" w:cs="Arial"/>
        </w:rPr>
        <w:t>Národní centra kompetence (dále též „</w:t>
      </w:r>
      <w:r>
        <w:rPr>
          <w:rFonts w:ascii="Arial" w:eastAsia="Arial" w:hAnsi="Arial" w:cs="Arial"/>
        </w:rPr>
        <w:t>NCK</w:t>
      </w:r>
      <w:r w:rsidR="001346A9">
        <w:rPr>
          <w:rFonts w:ascii="Arial" w:eastAsia="Arial" w:hAnsi="Arial" w:cs="Arial"/>
        </w:rPr>
        <w:t>“)</w:t>
      </w:r>
      <w:r>
        <w:rPr>
          <w:rFonts w:ascii="Arial" w:eastAsia="Arial" w:hAnsi="Arial" w:cs="Arial"/>
        </w:rPr>
        <w:t xml:space="preserve"> a vyhlášení výsledků druhé soutěže tohoto programu. V tomto složitém období výzkumná rada</w:t>
      </w:r>
      <w:r w:rsidR="0063016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poskytovala </w:t>
      </w:r>
      <w:r w:rsidR="001346A9">
        <w:rPr>
          <w:rFonts w:ascii="Arial" w:eastAsia="Arial" w:hAnsi="Arial" w:cs="Arial"/>
        </w:rPr>
        <w:t>TA ČR</w:t>
      </w:r>
      <w:r>
        <w:rPr>
          <w:rFonts w:ascii="Arial" w:eastAsia="Arial" w:hAnsi="Arial" w:cs="Arial"/>
        </w:rPr>
        <w:t xml:space="preserve">, kromě standardních bodů (viz níže), podporu v definici priorit při komplikované krátkodobé, a i střednědobé rozpočtové situaci s hlavním důrazem na zachování podpory aplikovaného výzkumu jak v komerčních, tak akademických pracovištích. Hlavním cílem výzkumné rady zůstává zvýšení konkurenceschopnosti podniků České republiky podporou vzniku a uplatnění inovací.  </w:t>
      </w:r>
    </w:p>
    <w:p w14:paraId="0987B576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VR aktivně napomáhá rozvoji aplikovaného výzkumu v několika stěžejních rovinách:</w:t>
      </w:r>
    </w:p>
    <w:p w14:paraId="36492ECF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Směřuje a zaostřuje priority poskytované podpory prostřednictvím odborné debaty o zaměření, cílech a přínosech vyhlášených programů.</w:t>
      </w:r>
    </w:p>
    <w:p w14:paraId="309584DB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Iniciuje vytváření nových programů pro podporu aplikovaného výzkumu v souladu s prioritami vlády a příslušnými dokumenty v této oblasti.</w:t>
      </w:r>
    </w:p>
    <w:p w14:paraId="73168E3C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Poskytuje názorový rámec pro hodnocení evaluací a analýz prováděných programů Technologické agentury ČR.</w:t>
      </w:r>
    </w:p>
    <w:p w14:paraId="435B9B58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Participuje v diskusích o metodologií objektivního hodnocení projektů, včetně sdílení "</w:t>
      </w:r>
      <w:proofErr w:type="spellStart"/>
      <w:r>
        <w:rPr>
          <w:rFonts w:ascii="Arial" w:eastAsia="Arial" w:hAnsi="Arial" w:cs="Arial"/>
          <w:color w:val="000000"/>
        </w:rPr>
        <w:t>best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practices</w:t>
      </w:r>
      <w:proofErr w:type="spellEnd"/>
      <w:r>
        <w:rPr>
          <w:rFonts w:ascii="Arial" w:eastAsia="Arial" w:hAnsi="Arial" w:cs="Arial"/>
          <w:color w:val="000000"/>
        </w:rPr>
        <w:t>" z mezinárodního prostředí.</w:t>
      </w:r>
    </w:p>
    <w:p w14:paraId="2C634913" w14:textId="786B311C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Představuje aktuální pohledy a postoje různorodé sítě profesních organizací (Svaz průmyslu a dopravy, Hospodářská komora) a výzkumných institucí, což je významná zpětná vazba pro</w:t>
      </w:r>
      <w:r w:rsidR="000633DF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směřování vyhlášených programů.</w:t>
      </w:r>
    </w:p>
    <w:p w14:paraId="77F72A07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Reprezentuje potřeby řešitelů z hlediska uživatelské přívětivosti informačních systémů Technologické agentury ČR.</w:t>
      </w:r>
    </w:p>
    <w:p w14:paraId="60143D5C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Aktivně usiluje o zjednodušení byrokracie a snižování administrativního zatížení pro žadatele a příjemce podpory v souladu s platnou legislativou.</w:t>
      </w:r>
    </w:p>
    <w:p w14:paraId="0382E524" w14:textId="77777777" w:rsidR="000B5404" w:rsidRDefault="00FA5C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Klade důraz na zvýšení povědomí o moderních technologiích a trendech v různých vědeckých oblastech prostřednictvím pravidelných pozvánkových přednášek </w:t>
      </w:r>
      <w:r>
        <w:rPr>
          <w:rFonts w:ascii="Arial" w:eastAsia="Arial" w:hAnsi="Arial" w:cs="Arial"/>
        </w:rPr>
        <w:t>významných</w:t>
      </w:r>
      <w:r>
        <w:rPr>
          <w:rFonts w:ascii="Arial" w:eastAsia="Arial" w:hAnsi="Arial" w:cs="Arial"/>
          <w:color w:val="000000"/>
        </w:rPr>
        <w:t xml:space="preserve"> odborníků, konaných pod záštitou VR.</w:t>
      </w:r>
    </w:p>
    <w:p w14:paraId="4F9D4D13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Pro každé zasedání si výzkumná rada plánem stanovila nejméně dva koncepčně orientované body, které se projednávaly jako hlavní a obsahově pokrývaly základní oblasti činnosti VR tak, jak je ukládá zákon č. 130/2002 Sb., o podpoře výzkumu, experimentálního vývoje a inovací z veřejných prostředků a o změně některých souvisejících zákonů, ve znění pozdějších předpisů (zákon o podpoře výzkumu, experimentálního vývoje a inovací).</w:t>
      </w:r>
    </w:p>
    <w:p w14:paraId="60A2B82E" w14:textId="77777777" w:rsidR="000B5404" w:rsidRDefault="00FA5CCC">
      <w:pPr>
        <w:spacing w:before="240" w:after="2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Hlavní témata v roce 2022/2023</w:t>
      </w:r>
    </w:p>
    <w:p w14:paraId="5D80943A" w14:textId="77777777" w:rsidR="000B5404" w:rsidRDefault="00FA5CCC">
      <w:pPr>
        <w:tabs>
          <w:tab w:val="left" w:pos="709"/>
        </w:tabs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Hlavní témata ve sledovaném období byla projednávaná podle Plánu činnosti výzkumné rady a jsou uvedena v časovém sledu, který odpovídá prvnímu zařazení na jednání výzkumné rady.</w:t>
      </w:r>
    </w:p>
    <w:p w14:paraId="28C354E8" w14:textId="77777777" w:rsidR="000B5404" w:rsidRDefault="00FA5CCC" w:rsidP="000633DF">
      <w:pPr>
        <w:tabs>
          <w:tab w:val="left" w:pos="709"/>
        </w:tabs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Většina hlavních témat byla projednána průběžně na několika následujících jednáních VR, a to tak, jak situace vyžadovala a podle dosažení cílů vytyčených pro dané téma.</w:t>
      </w:r>
    </w:p>
    <w:p w14:paraId="689D07F8" w14:textId="77777777" w:rsidR="000B5404" w:rsidRDefault="00FA5CCC">
      <w:pPr>
        <w:tabs>
          <w:tab w:val="left" w:pos="709"/>
        </w:tabs>
        <w:spacing w:before="36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u w:val="single"/>
        </w:rPr>
        <w:t>Plán činnosti výzkumné rady na 2022/2023</w:t>
      </w:r>
      <w:r>
        <w:rPr>
          <w:rFonts w:ascii="Arial" w:eastAsia="Arial" w:hAnsi="Arial" w:cs="Arial"/>
        </w:rPr>
        <w:t>:</w:t>
      </w:r>
    </w:p>
    <w:p w14:paraId="6B479E11" w14:textId="77777777" w:rsidR="000B5404" w:rsidRDefault="00FA5CCC">
      <w:pPr>
        <w:tabs>
          <w:tab w:val="left" w:pos="709"/>
        </w:tabs>
        <w:spacing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Říjen 2022: </w:t>
      </w:r>
    </w:p>
    <w:p w14:paraId="3587DE60" w14:textId="187FDDB4" w:rsidR="000B5404" w:rsidRDefault="00FA5C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Vyhodnocení veřejných soutěží</w:t>
      </w:r>
      <w:r w:rsidR="006A0DC0">
        <w:rPr>
          <w:rFonts w:ascii="Arial" w:eastAsia="Arial" w:hAnsi="Arial" w:cs="Arial"/>
          <w:color w:val="000000"/>
        </w:rPr>
        <w:t xml:space="preserve"> (dále též „VS“) </w:t>
      </w:r>
      <w:r>
        <w:rPr>
          <w:rFonts w:ascii="Arial" w:eastAsia="Arial" w:hAnsi="Arial" w:cs="Arial"/>
          <w:color w:val="000000"/>
        </w:rPr>
        <w:t xml:space="preserve">programu TREND </w:t>
      </w:r>
    </w:p>
    <w:p w14:paraId="386AC771" w14:textId="77777777" w:rsidR="000B5404" w:rsidRDefault="00FA5C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Diskuse o moderních technologiích a trendech v ČR </w:t>
      </w:r>
    </w:p>
    <w:p w14:paraId="73720739" w14:textId="77777777" w:rsidR="000B5404" w:rsidRDefault="00FA5C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Plán činnosti VR na rok 2023 </w:t>
      </w:r>
    </w:p>
    <w:p w14:paraId="788C195A" w14:textId="77777777" w:rsidR="000B5404" w:rsidRDefault="00FA5C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čerpání rozpočtu TA ČR </w:t>
      </w:r>
    </w:p>
    <w:p w14:paraId="31B59772" w14:textId="77777777" w:rsidR="000B5404" w:rsidRDefault="00FA5CCC">
      <w:pPr>
        <w:tabs>
          <w:tab w:val="left" w:pos="709"/>
        </w:tabs>
        <w:spacing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Listopad 2022:</w:t>
      </w:r>
    </w:p>
    <w:p w14:paraId="1E7FACBC" w14:textId="77777777" w:rsidR="000B5404" w:rsidRDefault="00FA5CC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Financování TA ČR 2023 a výhled 2024–2025 </w:t>
      </w:r>
    </w:p>
    <w:p w14:paraId="2312643E" w14:textId="77777777" w:rsidR="000B5404" w:rsidRDefault="00FA5CC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Harmonogram veřejných soutěží na rok 2023 </w:t>
      </w:r>
    </w:p>
    <w:p w14:paraId="139C5DFE" w14:textId="77777777" w:rsidR="000B5404" w:rsidRDefault="00FA5CCC">
      <w:pPr>
        <w:tabs>
          <w:tab w:val="left" w:pos="709"/>
        </w:tabs>
        <w:spacing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Prosinec 2022: </w:t>
      </w:r>
    </w:p>
    <w:p w14:paraId="70CE86FA" w14:textId="77777777" w:rsidR="000B5404" w:rsidRDefault="00FA5C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Programové týmy a spolupráce s resorty </w:t>
      </w:r>
    </w:p>
    <w:p w14:paraId="3E1D1D61" w14:textId="77777777" w:rsidR="000B5404" w:rsidRDefault="00FA5C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Vyhodnocení souladu programů TA ČR se strategickými plány vlády ČR</w:t>
      </w:r>
    </w:p>
    <w:p w14:paraId="7DFCF61D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Leden 2023: </w:t>
      </w:r>
    </w:p>
    <w:p w14:paraId="6C7ABB9B" w14:textId="77777777" w:rsidR="000B5404" w:rsidRDefault="00FA5C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Programové týmy a spolupráce s resorty </w:t>
      </w:r>
    </w:p>
    <w:p w14:paraId="3B7C19ED" w14:textId="77777777" w:rsidR="000B5404" w:rsidRDefault="00FA5C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Otevřená data </w:t>
      </w:r>
    </w:p>
    <w:p w14:paraId="22FB733D" w14:textId="77777777" w:rsidR="000B5404" w:rsidRDefault="00FA5C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systému SISTA </w:t>
      </w:r>
    </w:p>
    <w:p w14:paraId="2380B258" w14:textId="038426FE" w:rsidR="000B5404" w:rsidRDefault="00FA5C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přípravě </w:t>
      </w:r>
      <w:r w:rsidR="006A0DC0">
        <w:rPr>
          <w:rFonts w:ascii="Arial" w:eastAsia="Arial" w:hAnsi="Arial" w:cs="Arial"/>
          <w:color w:val="000000"/>
        </w:rPr>
        <w:t>VS</w:t>
      </w:r>
      <w:r>
        <w:rPr>
          <w:rFonts w:ascii="Arial" w:eastAsia="Arial" w:hAnsi="Arial" w:cs="Arial"/>
          <w:color w:val="000000"/>
        </w:rPr>
        <w:t xml:space="preserve"> programu SIGMA </w:t>
      </w:r>
    </w:p>
    <w:p w14:paraId="1B46A2E0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Únor 2023: </w:t>
      </w:r>
    </w:p>
    <w:p w14:paraId="7FE33B18" w14:textId="77777777" w:rsidR="000B5404" w:rsidRDefault="00FA5CC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průběhu programu NCK </w:t>
      </w:r>
    </w:p>
    <w:p w14:paraId="4B5F121C" w14:textId="77B163C6" w:rsidR="000B5404" w:rsidRDefault="00FA5CC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přípravě </w:t>
      </w:r>
      <w:r w:rsidR="00FC12DA">
        <w:rPr>
          <w:rFonts w:ascii="Arial" w:eastAsia="Arial" w:hAnsi="Arial" w:cs="Arial"/>
          <w:color w:val="000000"/>
        </w:rPr>
        <w:t>veřejných soutěží</w:t>
      </w:r>
      <w:r>
        <w:rPr>
          <w:rFonts w:ascii="Arial" w:eastAsia="Arial" w:hAnsi="Arial" w:cs="Arial"/>
          <w:color w:val="000000"/>
        </w:rPr>
        <w:t xml:space="preserve"> resortních programů </w:t>
      </w:r>
    </w:p>
    <w:p w14:paraId="1946A8E5" w14:textId="77777777" w:rsidR="000B5404" w:rsidRDefault="00FA5CC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čerpání rozpočtu TA ČR </w:t>
      </w:r>
    </w:p>
    <w:p w14:paraId="46CA222C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Březen 2023: </w:t>
      </w:r>
    </w:p>
    <w:p w14:paraId="538DC8AD" w14:textId="77777777" w:rsidR="000B5404" w:rsidRDefault="00FA5C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Personální zajištění a činnost oponentů a poradních orgánů v programech TA ČR </w:t>
      </w:r>
    </w:p>
    <w:p w14:paraId="015874C3" w14:textId="77777777" w:rsidR="000B5404" w:rsidRDefault="00FA5C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Hodnocení členů Rad programů, kolegií odborníků a oponentů </w:t>
      </w:r>
    </w:p>
    <w:p w14:paraId="3983FD22" w14:textId="77777777" w:rsidR="000B5404" w:rsidRDefault="00FA5C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Průběžná hodnocení a konečné výsledky programů realizovaných TA ČR </w:t>
      </w:r>
    </w:p>
    <w:p w14:paraId="1792E636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Duben 2023:</w:t>
      </w:r>
    </w:p>
    <w:p w14:paraId="799650EC" w14:textId="77777777" w:rsidR="000B5404" w:rsidRDefault="00FA5C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Podpora mezinárodní spolupráce TA ČR </w:t>
      </w:r>
    </w:p>
    <w:p w14:paraId="16AB6D7D" w14:textId="77777777" w:rsidR="000B5404" w:rsidRDefault="00FA5C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Výsledky jednání o </w:t>
      </w:r>
      <w:proofErr w:type="spellStart"/>
      <w:r>
        <w:rPr>
          <w:rFonts w:ascii="Arial" w:eastAsia="Arial" w:hAnsi="Arial" w:cs="Arial"/>
          <w:color w:val="000000"/>
        </w:rPr>
        <w:t>debyrokratizaci</w:t>
      </w:r>
      <w:proofErr w:type="spellEnd"/>
      <w:r>
        <w:rPr>
          <w:rFonts w:ascii="Arial" w:eastAsia="Arial" w:hAnsi="Arial" w:cs="Arial"/>
          <w:color w:val="000000"/>
        </w:rPr>
        <w:t xml:space="preserve"> procesů </w:t>
      </w:r>
    </w:p>
    <w:p w14:paraId="499422B6" w14:textId="77777777" w:rsidR="000B5404" w:rsidRDefault="00FA5C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průběhu VS programu SIGMA </w:t>
      </w:r>
    </w:p>
    <w:p w14:paraId="530472D6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Květen 2023: </w:t>
      </w:r>
    </w:p>
    <w:p w14:paraId="6CB669F6" w14:textId="77777777" w:rsidR="000B5404" w:rsidRDefault="00FA5CC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Diskuse o nových programech a výzvách </w:t>
      </w:r>
    </w:p>
    <w:p w14:paraId="2D0BE3A0" w14:textId="77777777" w:rsidR="000B5404" w:rsidRDefault="00FA5CC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Evaluace programů TA ČR, prezentace postupů, výstupů a spolupráce s KHV </w:t>
      </w:r>
    </w:p>
    <w:p w14:paraId="3C284246" w14:textId="77777777" w:rsidR="000B5404" w:rsidRDefault="00FA5CC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Setkání se zástupci předsednictva a RVVI </w:t>
      </w:r>
    </w:p>
    <w:p w14:paraId="6F834667" w14:textId="77777777" w:rsidR="000B5404" w:rsidRDefault="00FA5CC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čerpání rozpočtu TA ČR </w:t>
      </w:r>
    </w:p>
    <w:p w14:paraId="1A30C87E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Červen 2023: </w:t>
      </w:r>
    </w:p>
    <w:p w14:paraId="5C8852FA" w14:textId="77777777" w:rsidR="000B5404" w:rsidRDefault="00FA5C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Programové týmy a spolupráce s resorty </w:t>
      </w:r>
    </w:p>
    <w:p w14:paraId="74E42C6A" w14:textId="77777777" w:rsidR="000B5404" w:rsidRDefault="00FA5C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Výroční zpráva TA ČR za rok 2022 </w:t>
      </w:r>
    </w:p>
    <w:p w14:paraId="7088D86A" w14:textId="77777777" w:rsidR="000B5404" w:rsidRDefault="00FA5C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Diskuse o moderních technologiích a trendech v ČR</w:t>
      </w:r>
    </w:p>
    <w:p w14:paraId="4CE348BA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Srpen 2023: </w:t>
      </w:r>
    </w:p>
    <w:p w14:paraId="4669E8E7" w14:textId="77777777" w:rsidR="000B5404" w:rsidRDefault="00FA5CC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Hodnotící proces </w:t>
      </w:r>
    </w:p>
    <w:p w14:paraId="6818BDE2" w14:textId="77777777" w:rsidR="000B5404" w:rsidRDefault="00FA5CC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čerpání rozpočtu TA ČR </w:t>
      </w:r>
    </w:p>
    <w:p w14:paraId="18396A62" w14:textId="77777777" w:rsidR="000B5404" w:rsidRDefault="00FA5CC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průběhu programu THÉTA </w:t>
      </w:r>
    </w:p>
    <w:p w14:paraId="6DB2FEED" w14:textId="77777777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Září 2023: </w:t>
      </w:r>
    </w:p>
    <w:p w14:paraId="06EAB553" w14:textId="77777777" w:rsidR="000B5404" w:rsidRDefault="00FA5C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Schválení Zprávy o činnosti VR TA ČR za období říjen 2022–září 2023 a stanovení odměn za funkci členů VR </w:t>
      </w:r>
    </w:p>
    <w:p w14:paraId="753AE1EE" w14:textId="2FA7C1C3" w:rsidR="000B5404" w:rsidRDefault="00FA5C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Informace o výsledcích </w:t>
      </w:r>
      <w:r w:rsidR="001346A9">
        <w:rPr>
          <w:rFonts w:ascii="Arial" w:eastAsia="Arial" w:hAnsi="Arial" w:cs="Arial"/>
          <w:color w:val="000000"/>
        </w:rPr>
        <w:t xml:space="preserve">veřejné soutěže (dále též </w:t>
      </w:r>
      <w:r>
        <w:rPr>
          <w:rFonts w:ascii="Arial" w:eastAsia="Arial" w:hAnsi="Arial" w:cs="Arial"/>
          <w:color w:val="000000"/>
        </w:rPr>
        <w:t>VS</w:t>
      </w:r>
      <w:r w:rsidR="001346A9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 programu SIGMA </w:t>
      </w:r>
    </w:p>
    <w:p w14:paraId="6EFA4AD0" w14:textId="77777777" w:rsidR="000B5404" w:rsidRDefault="00FA5C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Příprava na společné zasedání předsednictva, výzkumné a kontrolní rady TA ČR</w:t>
      </w:r>
    </w:p>
    <w:p w14:paraId="1315085F" w14:textId="77777777" w:rsidR="000B5404" w:rsidRDefault="00FA5CCC">
      <w:pP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Kromě hlavních oblastí vymezených Plánem činnosti VR byla na jednání pravidelně zařazována další témata:</w:t>
      </w:r>
    </w:p>
    <w:p w14:paraId="28EEF343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hanging="578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Reakce na časté změny rozpočtu TA ČR</w:t>
      </w:r>
    </w:p>
    <w:p w14:paraId="71F72781" w14:textId="50B408D9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283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Vypořádávání požadavků RVVI zejména v 2. VS programu NCK (odpověď na Usnesení z</w:t>
      </w:r>
      <w:r w:rsidR="00805499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385. zasedání RVVI)</w:t>
      </w:r>
      <w:r w:rsidR="00AD46FB">
        <w:rPr>
          <w:rFonts w:ascii="Arial" w:eastAsia="Arial" w:hAnsi="Arial" w:cs="Arial"/>
          <w:color w:val="000000"/>
        </w:rPr>
        <w:t xml:space="preserve">. </w:t>
      </w:r>
      <w:r w:rsidR="00AD46FB" w:rsidRPr="00D5498E">
        <w:rPr>
          <w:rFonts w:ascii="Arial" w:eastAsia="Arial" w:hAnsi="Arial" w:cs="Arial"/>
          <w:color w:val="000000"/>
        </w:rPr>
        <w:t>RVVI požádala VR o posouzení naplnění smyslu a cílů programu NCK.</w:t>
      </w:r>
      <w:r w:rsidR="005E18B5" w:rsidRPr="00D5498E">
        <w:rPr>
          <w:rFonts w:ascii="Arial" w:eastAsia="Arial" w:hAnsi="Arial" w:cs="Arial"/>
          <w:color w:val="000000"/>
        </w:rPr>
        <w:t xml:space="preserve"> VR poskytla své stanovisko a RVVI ho vzala na vědomí.</w:t>
      </w:r>
      <w:r w:rsidR="005E18B5">
        <w:rPr>
          <w:rFonts w:ascii="Arial" w:eastAsia="Arial" w:hAnsi="Arial" w:cs="Arial"/>
          <w:color w:val="000000"/>
        </w:rPr>
        <w:t xml:space="preserve">  </w:t>
      </w:r>
      <w:r w:rsidR="00AD46FB">
        <w:rPr>
          <w:rFonts w:ascii="Arial" w:eastAsia="Arial" w:hAnsi="Arial" w:cs="Arial"/>
          <w:color w:val="000000"/>
        </w:rPr>
        <w:t xml:space="preserve">  </w:t>
      </w:r>
    </w:p>
    <w:p w14:paraId="31B37BB9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283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Aplikace rozdílných podmínek projektů financovaných z prostředků Státního rozpočtu a Národního plánu obnovy</w:t>
      </w:r>
    </w:p>
    <w:p w14:paraId="4D9E256C" w14:textId="101F024F" w:rsidR="000B5404" w:rsidRDefault="00FA5CCC" w:rsidP="00F1129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283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Objasňování vzniku a využití nároků z nespotřebovaných výdajů v roce 2023</w:t>
      </w:r>
      <w:r w:rsidR="00B44B38">
        <w:rPr>
          <w:rFonts w:ascii="Arial" w:eastAsia="Arial" w:hAnsi="Arial" w:cs="Arial"/>
          <w:color w:val="000000"/>
        </w:rPr>
        <w:t xml:space="preserve">. VR v tomto bodě zcela chápe, že tyto nespotřebované výdaje jsou způsobeny jednak nestabilitami </w:t>
      </w:r>
      <w:r w:rsidR="00B44B38">
        <w:rPr>
          <w:rFonts w:ascii="Arial" w:eastAsia="Arial" w:hAnsi="Arial" w:cs="Arial"/>
          <w:color w:val="000000"/>
        </w:rPr>
        <w:lastRenderedPageBreak/>
        <w:t>ve</w:t>
      </w:r>
      <w:r w:rsidR="00530202">
        <w:rPr>
          <w:rFonts w:ascii="Arial" w:eastAsia="Arial" w:hAnsi="Arial" w:cs="Arial"/>
          <w:color w:val="000000"/>
        </w:rPr>
        <w:t> </w:t>
      </w:r>
      <w:r w:rsidR="00B44B38">
        <w:rPr>
          <w:rFonts w:ascii="Arial" w:eastAsia="Arial" w:hAnsi="Arial" w:cs="Arial"/>
          <w:color w:val="000000"/>
        </w:rPr>
        <w:t xml:space="preserve">financování TA ČR a dále přechodnými vratkami od </w:t>
      </w:r>
      <w:r w:rsidR="00B44B38" w:rsidRPr="00D5498E">
        <w:rPr>
          <w:rFonts w:ascii="Arial" w:eastAsia="Arial" w:hAnsi="Arial" w:cs="Arial"/>
          <w:color w:val="000000"/>
        </w:rPr>
        <w:t>příjemců</w:t>
      </w:r>
      <w:r w:rsidR="0063016F" w:rsidRPr="00D5498E">
        <w:rPr>
          <w:rFonts w:ascii="Arial" w:eastAsia="Arial" w:hAnsi="Arial" w:cs="Arial"/>
          <w:color w:val="000000"/>
        </w:rPr>
        <w:t xml:space="preserve"> v závěru kalendářního roku</w:t>
      </w:r>
      <w:r w:rsidR="00B44B38" w:rsidRPr="00D5498E">
        <w:rPr>
          <w:rFonts w:ascii="Arial" w:eastAsia="Arial" w:hAnsi="Arial" w:cs="Arial"/>
          <w:color w:val="000000"/>
        </w:rPr>
        <w:t>.</w:t>
      </w:r>
      <w:r w:rsidR="00B44B38">
        <w:rPr>
          <w:rFonts w:ascii="Arial" w:eastAsia="Arial" w:hAnsi="Arial" w:cs="Arial"/>
          <w:color w:val="000000"/>
        </w:rPr>
        <w:t xml:space="preserve"> Zapojení těchto prostředků v roce 2024 vyrovná výpadky v rozpočtu TA ČR.</w:t>
      </w:r>
    </w:p>
    <w:p w14:paraId="470E896F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Otevřená věda a inovace</w:t>
      </w:r>
    </w:p>
    <w:p w14:paraId="13BB4211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Návrh témat pro spolupráci s New </w:t>
      </w:r>
      <w:proofErr w:type="spellStart"/>
      <w:r>
        <w:rPr>
          <w:rFonts w:ascii="Arial" w:eastAsia="Arial" w:hAnsi="Arial" w:cs="Arial"/>
          <w:color w:val="000000"/>
        </w:rPr>
        <w:t>Energy</w:t>
      </w:r>
      <w:proofErr w:type="spellEnd"/>
      <w:r>
        <w:rPr>
          <w:rFonts w:ascii="Arial" w:eastAsia="Arial" w:hAnsi="Arial" w:cs="Arial"/>
          <w:color w:val="000000"/>
        </w:rPr>
        <w:t xml:space="preserve"> and </w:t>
      </w:r>
      <w:proofErr w:type="spellStart"/>
      <w:r>
        <w:rPr>
          <w:rFonts w:ascii="Arial" w:eastAsia="Arial" w:hAnsi="Arial" w:cs="Arial"/>
          <w:color w:val="000000"/>
        </w:rPr>
        <w:t>Industrial</w:t>
      </w:r>
      <w:proofErr w:type="spellEnd"/>
      <w:r>
        <w:rPr>
          <w:rFonts w:ascii="Arial" w:eastAsia="Arial" w:hAnsi="Arial" w:cs="Arial"/>
          <w:color w:val="000000"/>
        </w:rPr>
        <w:t xml:space="preserve"> Technology </w:t>
      </w:r>
      <w:proofErr w:type="spellStart"/>
      <w:r>
        <w:rPr>
          <w:rFonts w:ascii="Arial" w:eastAsia="Arial" w:hAnsi="Arial" w:cs="Arial"/>
          <w:color w:val="000000"/>
        </w:rPr>
        <w:t>Development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Organization</w:t>
      </w:r>
      <w:proofErr w:type="spellEnd"/>
      <w:r>
        <w:rPr>
          <w:rFonts w:ascii="Arial" w:eastAsia="Arial" w:hAnsi="Arial" w:cs="Arial"/>
          <w:color w:val="000000"/>
        </w:rPr>
        <w:t xml:space="preserve"> (NEDO), Japonsko</w:t>
      </w:r>
    </w:p>
    <w:p w14:paraId="11E23862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Metodika MET-12 Specifikace požadavků poskytovatele na výsledky </w:t>
      </w:r>
      <w:proofErr w:type="spellStart"/>
      <w:r>
        <w:rPr>
          <w:rFonts w:ascii="Arial" w:eastAsia="Arial" w:hAnsi="Arial" w:cs="Arial"/>
          <w:color w:val="000000"/>
        </w:rPr>
        <w:t>VaV</w:t>
      </w:r>
      <w:proofErr w:type="spellEnd"/>
    </w:p>
    <w:p w14:paraId="2E99AF8A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Příprava programu Ministerstva obrany PRODEF</w:t>
      </w:r>
    </w:p>
    <w:p w14:paraId="58F013DA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Dokončení informačního systému SISTA</w:t>
      </w:r>
    </w:p>
    <w:p w14:paraId="0D36806B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Analýza vytíženosti zpravodajů</w:t>
      </w:r>
    </w:p>
    <w:p w14:paraId="7EE943C3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Rámec strategie rozvoje TA ČR 2030+</w:t>
      </w:r>
    </w:p>
    <w:p w14:paraId="55D98733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Složitost implementačních plánů a ex post hodnocení</w:t>
      </w:r>
    </w:p>
    <w:p w14:paraId="15249702" w14:textId="6B6AD5BC" w:rsidR="000B5404" w:rsidRDefault="00FA5CCC" w:rsidP="001346A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Analýza administrativní zátěže ve </w:t>
      </w:r>
      <w:r w:rsidR="001346A9">
        <w:rPr>
          <w:rFonts w:ascii="Arial" w:eastAsia="Arial" w:hAnsi="Arial" w:cs="Arial"/>
          <w:color w:val="000000"/>
        </w:rPr>
        <w:t>výzkumu, vývoji a inovacích (dále též „</w:t>
      </w:r>
      <w:proofErr w:type="spellStart"/>
      <w:r>
        <w:rPr>
          <w:rFonts w:ascii="Arial" w:eastAsia="Arial" w:hAnsi="Arial" w:cs="Arial"/>
          <w:color w:val="000000"/>
        </w:rPr>
        <w:t>VaVaI</w:t>
      </w:r>
      <w:proofErr w:type="spellEnd"/>
      <w:r w:rsidR="001346A9">
        <w:rPr>
          <w:rFonts w:ascii="Arial" w:eastAsia="Arial" w:hAnsi="Arial" w:cs="Arial"/>
          <w:color w:val="000000"/>
        </w:rPr>
        <w:t>“)</w:t>
      </w:r>
      <w:r>
        <w:rPr>
          <w:rFonts w:ascii="Arial" w:eastAsia="Arial" w:hAnsi="Arial" w:cs="Arial"/>
          <w:color w:val="000000"/>
        </w:rPr>
        <w:t xml:space="preserve"> (materiál Svazu průmyslu a dopravy, Ernst &amp; </w:t>
      </w:r>
      <w:proofErr w:type="spellStart"/>
      <w:r>
        <w:rPr>
          <w:rFonts w:ascii="Arial" w:eastAsia="Arial" w:hAnsi="Arial" w:cs="Arial"/>
          <w:color w:val="000000"/>
        </w:rPr>
        <w:t>Young</w:t>
      </w:r>
      <w:proofErr w:type="spellEnd"/>
      <w:r>
        <w:rPr>
          <w:rFonts w:ascii="Arial" w:eastAsia="Arial" w:hAnsi="Arial" w:cs="Arial"/>
          <w:color w:val="000000"/>
        </w:rPr>
        <w:t>)</w:t>
      </w:r>
    </w:p>
    <w:p w14:paraId="37C1D549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Příprava programů BETA 3 a THÉTA 2</w:t>
      </w:r>
    </w:p>
    <w:p w14:paraId="222015C8" w14:textId="77777777" w:rsidR="000B5404" w:rsidRDefault="00FA5C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hanging="57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Realizace opatření k zabránění střetu zájmů, změna Statutu TA ČR</w:t>
      </w:r>
    </w:p>
    <w:p w14:paraId="43F05F57" w14:textId="2FF50743" w:rsidR="000B5404" w:rsidRDefault="00FA5CCC">
      <w:pPr>
        <w:spacing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iniciativy členů výzkumné rady proběhlo setkání s autory materiálu </w:t>
      </w:r>
      <w:r w:rsidR="001346A9">
        <w:rPr>
          <w:rFonts w:ascii="Arial" w:eastAsia="Arial" w:hAnsi="Arial" w:cs="Arial"/>
        </w:rPr>
        <w:t>„</w:t>
      </w:r>
      <w:r>
        <w:rPr>
          <w:rFonts w:ascii="Arial" w:eastAsia="Arial" w:hAnsi="Arial" w:cs="Arial"/>
        </w:rPr>
        <w:t xml:space="preserve">Analýza administrativní zátěže ve </w:t>
      </w:r>
      <w:proofErr w:type="spellStart"/>
      <w:r>
        <w:rPr>
          <w:rFonts w:ascii="Arial" w:eastAsia="Arial" w:hAnsi="Arial" w:cs="Arial"/>
        </w:rPr>
        <w:t>VaVaI</w:t>
      </w:r>
      <w:proofErr w:type="spellEnd"/>
      <w:r w:rsidR="001346A9">
        <w:rPr>
          <w:rFonts w:ascii="Arial" w:eastAsia="Arial" w:hAnsi="Arial" w:cs="Arial"/>
        </w:rPr>
        <w:t>“</w:t>
      </w:r>
      <w:r>
        <w:rPr>
          <w:rFonts w:ascii="Arial" w:eastAsia="Arial" w:hAnsi="Arial" w:cs="Arial"/>
        </w:rPr>
        <w:t xml:space="preserve"> ze Svazu průmyslu a dopravy, který výborně mapuje danou oblast a mohl by napomoci</w:t>
      </w:r>
      <w:r>
        <w:t xml:space="preserve"> </w:t>
      </w:r>
      <w:r>
        <w:rPr>
          <w:rFonts w:ascii="Arial" w:eastAsia="Arial" w:hAnsi="Arial" w:cs="Arial"/>
        </w:rPr>
        <w:t>sjednocení postupů mezi jednotlivými poskytovateli podpory.</w:t>
      </w:r>
    </w:p>
    <w:p w14:paraId="77866398" w14:textId="77777777" w:rsidR="000B5404" w:rsidRDefault="00FA5CCC">
      <w:pPr>
        <w:spacing w:before="240" w:after="1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V letošním roce více než v letech minulých musela práce členů výzkumné rady reflektovat měnící se podmínky v souvislosti s rozpočtovým provizoriem, změnami rozpočtu i nastupujícími krizemi. Podařilo se projednat všechna témata navržená v Plánu činnosti </w:t>
      </w:r>
      <w:r w:rsidR="00C26F72">
        <w:rPr>
          <w:rFonts w:ascii="Arial" w:eastAsia="Arial" w:hAnsi="Arial" w:cs="Arial"/>
          <w:b/>
        </w:rPr>
        <w:br/>
      </w:r>
      <w:r>
        <w:rPr>
          <w:rFonts w:ascii="Arial" w:eastAsia="Arial" w:hAnsi="Arial" w:cs="Arial"/>
          <w:b/>
        </w:rPr>
        <w:t>(viz příloha Programy zasedání VR TA ČR_10_2022-09_2023) a jejich výsledky jsou shrnuty v </w:t>
      </w:r>
      <w:hyperlink r:id="rId8">
        <w:r>
          <w:rPr>
            <w:rFonts w:ascii="Arial" w:eastAsia="Arial" w:hAnsi="Arial" w:cs="Arial"/>
            <w:b/>
            <w:color w:val="0070C0"/>
            <w:u w:val="single"/>
          </w:rPr>
          <w:t>zápisech z jednotlivých zasedání</w:t>
        </w:r>
      </w:hyperlink>
      <w:r>
        <w:rPr>
          <w:rFonts w:ascii="Arial" w:eastAsia="Arial" w:hAnsi="Arial" w:cs="Arial"/>
          <w:b/>
        </w:rPr>
        <w:t>.</w:t>
      </w:r>
    </w:p>
    <w:p w14:paraId="79A7B9FF" w14:textId="77777777" w:rsidR="000B5404" w:rsidRDefault="00FA5CCC">
      <w:pPr>
        <w:tabs>
          <w:tab w:val="left" w:pos="709"/>
        </w:tabs>
        <w:spacing w:before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>
        <w:rPr>
          <w:rFonts w:ascii="Arial" w:eastAsia="Arial" w:hAnsi="Arial" w:cs="Arial"/>
          <w:b/>
        </w:rPr>
        <w:t>klíčové aktivity a výsledky činnosti výzkumné rady</w:t>
      </w:r>
      <w:r>
        <w:rPr>
          <w:rFonts w:ascii="Arial" w:eastAsia="Arial" w:hAnsi="Arial" w:cs="Arial"/>
        </w:rPr>
        <w:t xml:space="preserve"> ve sledovaném období lze považovat:</w:t>
      </w:r>
    </w:p>
    <w:p w14:paraId="32976E8A" w14:textId="160E685B" w:rsidR="000B5404" w:rsidRDefault="00FA5C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Náměty a odborná stanoviska k přípravě změn zákonů v oblasti </w:t>
      </w:r>
      <w:r w:rsidR="00067CD4">
        <w:rPr>
          <w:rFonts w:ascii="Arial" w:eastAsia="Arial" w:hAnsi="Arial" w:cs="Arial"/>
          <w:color w:val="000000"/>
        </w:rPr>
        <w:t>vědy a výzkumu,</w:t>
      </w:r>
      <w:r>
        <w:rPr>
          <w:rFonts w:ascii="Arial" w:eastAsia="Arial" w:hAnsi="Arial" w:cs="Arial"/>
          <w:color w:val="000000"/>
        </w:rPr>
        <w:t xml:space="preserve"> zejména zákona 130/2002 Sb. </w:t>
      </w:r>
    </w:p>
    <w:p w14:paraId="76786432" w14:textId="74E1CAE1" w:rsidR="000B5404" w:rsidRDefault="00FA5C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Dlouhodobá </w:t>
      </w:r>
      <w:r w:rsidR="001346A9">
        <w:rPr>
          <w:rFonts w:ascii="Arial" w:eastAsia="Arial" w:hAnsi="Arial" w:cs="Arial"/>
          <w:color w:val="000000"/>
        </w:rPr>
        <w:t>péče</w:t>
      </w:r>
      <w:r>
        <w:rPr>
          <w:rFonts w:ascii="Arial" w:eastAsia="Arial" w:hAnsi="Arial" w:cs="Arial"/>
          <w:color w:val="000000"/>
        </w:rPr>
        <w:t xml:space="preserve"> o optimalizaci a maximální objektivitu hodnotícího procesu žádostí o podporu.</w:t>
      </w:r>
    </w:p>
    <w:p w14:paraId="03A8B79F" w14:textId="7EF12096" w:rsidR="000B5404" w:rsidRPr="00D5498E" w:rsidRDefault="006301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D5498E">
        <w:rPr>
          <w:rFonts w:ascii="Arial" w:eastAsia="Arial" w:hAnsi="Arial" w:cs="Arial"/>
          <w:color w:val="000000"/>
        </w:rPr>
        <w:t>Z</w:t>
      </w:r>
      <w:r w:rsidR="00FA5CCC" w:rsidRPr="00D5498E">
        <w:rPr>
          <w:rFonts w:ascii="Arial" w:eastAsia="Arial" w:hAnsi="Arial" w:cs="Arial"/>
          <w:color w:val="000000"/>
        </w:rPr>
        <w:t xml:space="preserve">výšení počtu </w:t>
      </w:r>
      <w:r w:rsidR="00805499" w:rsidRPr="00D5498E">
        <w:rPr>
          <w:rFonts w:ascii="Arial" w:eastAsia="Arial" w:hAnsi="Arial" w:cs="Arial"/>
          <w:color w:val="000000"/>
        </w:rPr>
        <w:t>funkčních</w:t>
      </w:r>
      <w:r w:rsidR="00FA5CCC" w:rsidRPr="00D5498E">
        <w:rPr>
          <w:rFonts w:ascii="Arial" w:eastAsia="Arial" w:hAnsi="Arial" w:cs="Arial"/>
          <w:color w:val="000000"/>
        </w:rPr>
        <w:t xml:space="preserve"> míst v TA ČR</w:t>
      </w:r>
      <w:r w:rsidR="00B44B38" w:rsidRPr="00D5498E">
        <w:rPr>
          <w:rFonts w:ascii="Arial" w:eastAsia="Arial" w:hAnsi="Arial" w:cs="Arial"/>
          <w:color w:val="000000"/>
        </w:rPr>
        <w:t xml:space="preserve">, které </w:t>
      </w:r>
      <w:r w:rsidRPr="00D5498E">
        <w:rPr>
          <w:rFonts w:ascii="Arial" w:eastAsia="Arial" w:hAnsi="Arial" w:cs="Arial"/>
          <w:color w:val="000000"/>
        </w:rPr>
        <w:t>bylo realizováno v souvislosti s potřebami</w:t>
      </w:r>
      <w:r w:rsidR="00B44B38" w:rsidRPr="00D5498E">
        <w:rPr>
          <w:rFonts w:ascii="Arial" w:eastAsia="Arial" w:hAnsi="Arial" w:cs="Arial"/>
          <w:color w:val="000000"/>
        </w:rPr>
        <w:t xml:space="preserve"> administrace projektů MPO, MŽP, MD a MO. </w:t>
      </w:r>
      <w:r w:rsidRPr="00D5498E">
        <w:rPr>
          <w:rFonts w:ascii="Arial" w:eastAsia="Arial" w:hAnsi="Arial" w:cs="Arial"/>
          <w:color w:val="000000"/>
        </w:rPr>
        <w:t>Navýšení počtu pracovníků neznamená</w:t>
      </w:r>
      <w:r w:rsidR="00B44B38" w:rsidRPr="00D5498E">
        <w:rPr>
          <w:rFonts w:ascii="Arial" w:eastAsia="Arial" w:hAnsi="Arial" w:cs="Arial"/>
          <w:color w:val="000000"/>
        </w:rPr>
        <w:t xml:space="preserve"> zvýšení byrokratické zátěže žadatelů a příjemců.</w:t>
      </w:r>
    </w:p>
    <w:p w14:paraId="7A990023" w14:textId="77777777" w:rsidR="000B5404" w:rsidRDefault="00FA5C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Dokončení prioritizace témat dílčího cíle 5 programu SIGMA v rámci Koordinační skupiny.</w:t>
      </w:r>
    </w:p>
    <w:p w14:paraId="5AA73374" w14:textId="77777777" w:rsidR="000B5404" w:rsidRDefault="00FA5C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Prosazení podpory spin-</w:t>
      </w:r>
      <w:proofErr w:type="spellStart"/>
      <w:r>
        <w:rPr>
          <w:rFonts w:ascii="Arial" w:eastAsia="Arial" w:hAnsi="Arial" w:cs="Arial"/>
          <w:color w:val="000000"/>
        </w:rPr>
        <w:t>off</w:t>
      </w:r>
      <w:proofErr w:type="spellEnd"/>
      <w:r>
        <w:rPr>
          <w:rFonts w:ascii="Arial" w:eastAsia="Arial" w:hAnsi="Arial" w:cs="Arial"/>
          <w:color w:val="000000"/>
        </w:rPr>
        <w:t xml:space="preserve"> firem v programu SIGMA, která je klíčová pro transformaci výzkumných výsledků do reálného hospodářského přínosu a rozvoje inovačního prostředí.</w:t>
      </w:r>
    </w:p>
    <w:p w14:paraId="5B6DC2FA" w14:textId="4D0B9A33" w:rsidR="000B5404" w:rsidRDefault="00FA5C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Podpora mezinárodních partnerství ve spolupráci s ministryní H</w:t>
      </w:r>
      <w:r w:rsidR="00067CD4">
        <w:rPr>
          <w:rFonts w:ascii="Arial" w:eastAsia="Arial" w:hAnsi="Arial" w:cs="Arial"/>
          <w:color w:val="000000"/>
        </w:rPr>
        <w:t xml:space="preserve">elenou </w:t>
      </w:r>
      <w:proofErr w:type="spellStart"/>
      <w:r>
        <w:rPr>
          <w:rFonts w:ascii="Arial" w:eastAsia="Arial" w:hAnsi="Arial" w:cs="Arial"/>
          <w:color w:val="000000"/>
        </w:rPr>
        <w:t>Langšádlovou</w:t>
      </w:r>
      <w:proofErr w:type="spellEnd"/>
      <w:r>
        <w:rPr>
          <w:rFonts w:ascii="Arial" w:eastAsia="Arial" w:hAnsi="Arial" w:cs="Arial"/>
          <w:color w:val="000000"/>
        </w:rPr>
        <w:t xml:space="preserve"> a</w:t>
      </w:r>
      <w:r w:rsidR="00067CD4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MŠMT.</w:t>
      </w:r>
    </w:p>
    <w:p w14:paraId="1CDDE8DC" w14:textId="77777777" w:rsidR="000B5404" w:rsidRDefault="00FA5CCC">
      <w:pPr>
        <w:pStyle w:val="Nadpis1"/>
        <w:numPr>
          <w:ilvl w:val="0"/>
          <w:numId w:val="2"/>
        </w:numPr>
        <w:jc w:val="both"/>
        <w:rPr>
          <w:rFonts w:ascii="Arial" w:eastAsia="Arial" w:hAnsi="Arial" w:cs="Arial"/>
        </w:rPr>
      </w:pPr>
      <w:bookmarkStart w:id="8" w:name="_4d34og8" w:colFirst="0" w:colLast="0"/>
      <w:bookmarkEnd w:id="8"/>
      <w:r>
        <w:rPr>
          <w:rFonts w:ascii="Arial" w:eastAsia="Arial" w:hAnsi="Arial" w:cs="Arial"/>
        </w:rPr>
        <w:lastRenderedPageBreak/>
        <w:t>Závěr</w:t>
      </w:r>
    </w:p>
    <w:p w14:paraId="083AF2F4" w14:textId="4140728E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Výzkumná rada se v období říjen 2022–září 2023 věnovala především adaptaci na nové výzvy v rámci změněné ekonomické situace. Cílem bylo udržet účinnou podporu klíčovým projektům v oblasti aplikovaného výzkumu. Značnou pozornost VR věnovala spolupráci s RVVI a zejména ministryní pro vědu, výzkum a inovace, paní Helenou </w:t>
      </w:r>
      <w:proofErr w:type="spellStart"/>
      <w:r>
        <w:rPr>
          <w:rFonts w:ascii="Arial" w:eastAsia="Arial" w:hAnsi="Arial" w:cs="Arial"/>
        </w:rPr>
        <w:t>Langšádlovou</w:t>
      </w:r>
      <w:proofErr w:type="spellEnd"/>
      <w:r>
        <w:rPr>
          <w:rFonts w:ascii="Arial" w:eastAsia="Arial" w:hAnsi="Arial" w:cs="Arial"/>
        </w:rPr>
        <w:t xml:space="preserve">. Snahou bylo maximálně podpořit její úsilí modernizace celého systému finančního zázemí pro vědecký výzkum a přenos technologií. Výzkumná rada </w:t>
      </w:r>
      <w:r w:rsidR="00067CD4">
        <w:rPr>
          <w:rFonts w:ascii="Arial" w:eastAsia="Arial" w:hAnsi="Arial" w:cs="Arial"/>
        </w:rPr>
        <w:t xml:space="preserve">intenzivně diskutovala </w:t>
      </w:r>
      <w:r>
        <w:rPr>
          <w:rFonts w:ascii="Arial" w:eastAsia="Arial" w:hAnsi="Arial" w:cs="Arial"/>
        </w:rPr>
        <w:t>námět</w:t>
      </w:r>
      <w:r w:rsidR="00067CD4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pro chystanou revizi zákona č. 130</w:t>
      </w:r>
      <w:r>
        <w:rPr>
          <w:rFonts w:ascii="Arial" w:eastAsia="Arial" w:hAnsi="Arial" w:cs="Arial"/>
          <w:color w:val="000000"/>
        </w:rPr>
        <w:t>/2002 Sb</w:t>
      </w:r>
      <w:r>
        <w:rPr>
          <w:rFonts w:ascii="Arial" w:eastAsia="Arial" w:hAnsi="Arial" w:cs="Arial"/>
        </w:rPr>
        <w:t>. VR též významně spolupracovala s vedením TA ČR, včetně předsedy, předsednictva a kanceláře</w:t>
      </w:r>
      <w:r w:rsidR="004256E1">
        <w:rPr>
          <w:rFonts w:ascii="Arial" w:eastAsia="Arial" w:hAnsi="Arial" w:cs="Arial"/>
        </w:rPr>
        <w:t>. Výsledkem této spolupráce je mimo jiné stálé zkvalitňování informačního systému, optimalizace metodik pro žadatele a lepší zapojení nároků nespotřebovaných výdajů. Na</w:t>
      </w:r>
      <w:r w:rsidR="00F1129B">
        <w:rPr>
          <w:rFonts w:ascii="Arial" w:eastAsia="Arial" w:hAnsi="Arial" w:cs="Arial"/>
        </w:rPr>
        <w:t> </w:t>
      </w:r>
      <w:r w:rsidR="004256E1">
        <w:rPr>
          <w:rFonts w:ascii="Arial" w:eastAsia="Arial" w:hAnsi="Arial" w:cs="Arial"/>
        </w:rPr>
        <w:t>základě práce VR se daří zkvalitňovat základnu oponentů, zpravodajů a členů odborných poradních orgánů</w:t>
      </w:r>
    </w:p>
    <w:p w14:paraId="494C8364" w14:textId="10A84E4B" w:rsidR="004256E1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Dlouhodobé programy NCK a SIGMA budou nadále podporovat trvalou spolupráci v oblasti výzkumu a inovací mezi firmami a výzkumnými institucemi. Tyto programy si zachovávají svou účinnost a osvědčený přístup k podpoře.</w:t>
      </w:r>
      <w:r w:rsidR="004256E1">
        <w:rPr>
          <w:rFonts w:ascii="Arial" w:eastAsia="Arial" w:hAnsi="Arial" w:cs="Arial"/>
        </w:rPr>
        <w:t xml:space="preserve"> Z hlediska potřebné flexibility, kterou si vynucují neustále se tvořící nové ekonomické a společenské výzvy</w:t>
      </w:r>
      <w:r w:rsidR="00530202">
        <w:rPr>
          <w:rFonts w:ascii="Arial" w:eastAsia="Arial" w:hAnsi="Arial" w:cs="Arial"/>
        </w:rPr>
        <w:t>,</w:t>
      </w:r>
      <w:r w:rsidR="004256E1">
        <w:rPr>
          <w:rFonts w:ascii="Arial" w:eastAsia="Arial" w:hAnsi="Arial" w:cs="Arial"/>
        </w:rPr>
        <w:t xml:space="preserve"> se jeví jako klíč</w:t>
      </w:r>
      <w:r w:rsidR="00A109DD">
        <w:rPr>
          <w:rFonts w:ascii="Arial" w:eastAsia="Arial" w:hAnsi="Arial" w:cs="Arial"/>
        </w:rPr>
        <w:t>o</w:t>
      </w:r>
      <w:r w:rsidR="004256E1">
        <w:rPr>
          <w:rFonts w:ascii="Arial" w:eastAsia="Arial" w:hAnsi="Arial" w:cs="Arial"/>
        </w:rPr>
        <w:t>vý program SIGMA. Tato flexibilita je ale</w:t>
      </w:r>
      <w:r w:rsidR="0063016F">
        <w:rPr>
          <w:rFonts w:ascii="Arial" w:eastAsia="Arial" w:hAnsi="Arial" w:cs="Arial"/>
        </w:rPr>
        <w:t xml:space="preserve"> do</w:t>
      </w:r>
      <w:r w:rsidR="00F1129B">
        <w:rPr>
          <w:rFonts w:ascii="Arial" w:eastAsia="Arial" w:hAnsi="Arial" w:cs="Arial"/>
        </w:rPr>
        <w:t> </w:t>
      </w:r>
      <w:r w:rsidR="0063016F">
        <w:rPr>
          <w:rFonts w:ascii="Arial" w:eastAsia="Arial" w:hAnsi="Arial" w:cs="Arial"/>
        </w:rPr>
        <w:t xml:space="preserve">určité míry </w:t>
      </w:r>
      <w:r w:rsidR="004256E1">
        <w:rPr>
          <w:rFonts w:ascii="Arial" w:eastAsia="Arial" w:hAnsi="Arial" w:cs="Arial"/>
        </w:rPr>
        <w:t xml:space="preserve">snižována tvorbou dalších poradních orgánů, koordinačních </w:t>
      </w:r>
      <w:r w:rsidR="00A109DD">
        <w:rPr>
          <w:rFonts w:ascii="Arial" w:eastAsia="Arial" w:hAnsi="Arial" w:cs="Arial"/>
        </w:rPr>
        <w:t xml:space="preserve">a pracovních </w:t>
      </w:r>
      <w:r w:rsidR="004256E1">
        <w:rPr>
          <w:rFonts w:ascii="Arial" w:eastAsia="Arial" w:hAnsi="Arial" w:cs="Arial"/>
        </w:rPr>
        <w:t>skupin</w:t>
      </w:r>
      <w:r w:rsidR="00A109DD">
        <w:rPr>
          <w:rFonts w:ascii="Arial" w:eastAsia="Arial" w:hAnsi="Arial" w:cs="Arial"/>
        </w:rPr>
        <w:t>. VR j</w:t>
      </w:r>
      <w:r w:rsidR="0063016F">
        <w:rPr>
          <w:rFonts w:ascii="Arial" w:eastAsia="Arial" w:hAnsi="Arial" w:cs="Arial"/>
        </w:rPr>
        <w:t>e</w:t>
      </w:r>
      <w:r w:rsidR="00A109DD">
        <w:rPr>
          <w:rFonts w:ascii="Arial" w:eastAsia="Arial" w:hAnsi="Arial" w:cs="Arial"/>
        </w:rPr>
        <w:t xml:space="preserve"> přesvědčena, že v této oblasti je stále prostor pro snižování byrokracie a výsledkem její činnosti je urychlování procesů vzniku a vyhlašování nových dílčích cílů a podprojektů. </w:t>
      </w:r>
      <w:r w:rsidR="004256E1">
        <w:rPr>
          <w:rFonts w:ascii="Arial" w:eastAsia="Arial" w:hAnsi="Arial" w:cs="Arial"/>
        </w:rPr>
        <w:t xml:space="preserve"> </w:t>
      </w:r>
    </w:p>
    <w:p w14:paraId="53437A9D" w14:textId="179D3A4A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Zvýšená administrativní náročnost programů, která pramení z používání stále složitějších pravidel pro veřejnou podporu, představuje významnou výzvu pro transformaci výzkumu do praktických realizací. Je tedy důležité podpořit vládní snahu o revizi zákonů týkajících se vědy a výzkumu. </w:t>
      </w:r>
      <w:r w:rsidR="00A109DD">
        <w:rPr>
          <w:rFonts w:ascii="Arial" w:eastAsia="Arial" w:hAnsi="Arial" w:cs="Arial"/>
        </w:rPr>
        <w:t>VR v této oblasti úzce spolupracovala s vedením TA ČR ve snaze minimalizovat dopad administrativní zátěže</w:t>
      </w:r>
      <w:r w:rsidR="00D5498E">
        <w:rPr>
          <w:rFonts w:ascii="Arial" w:eastAsia="Arial" w:hAnsi="Arial" w:cs="Arial"/>
        </w:rPr>
        <w:t xml:space="preserve"> na</w:t>
      </w:r>
      <w:r w:rsidR="00A109DD">
        <w:rPr>
          <w:rFonts w:ascii="Arial" w:eastAsia="Arial" w:hAnsi="Arial" w:cs="Arial"/>
        </w:rPr>
        <w:t xml:space="preserve"> příjemc</w:t>
      </w:r>
      <w:r w:rsidR="00D5498E">
        <w:rPr>
          <w:rFonts w:ascii="Arial" w:eastAsia="Arial" w:hAnsi="Arial" w:cs="Arial"/>
        </w:rPr>
        <w:t>e</w:t>
      </w:r>
      <w:r w:rsidR="00A109DD">
        <w:rPr>
          <w:rFonts w:ascii="Arial" w:eastAsia="Arial" w:hAnsi="Arial" w:cs="Arial"/>
        </w:rPr>
        <w:t>.</w:t>
      </w:r>
    </w:p>
    <w:p w14:paraId="5EC3CB60" w14:textId="3A1CDE55" w:rsidR="000B5404" w:rsidRDefault="00FA5CC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Plán činnosti výzkumné rady na rok 2023, který slouží jako podklad pro stanovení odměn za výkon veřejné funkce členů výzkumné rady TA ČR v roce 2023, byl předložen na 385. zasedání Rady pro</w:t>
      </w:r>
      <w:r w:rsidR="00F1129B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výzkum, vývoj a inovace konaném 16. prosince 2022 na Úřadu vlády ČR, a na tomto jednání byl taktéž schválen.</w:t>
      </w:r>
    </w:p>
    <w:p w14:paraId="185E02C3" w14:textId="77777777" w:rsidR="000B5404" w:rsidRDefault="00FA5CCC">
      <w:pPr>
        <w:pStyle w:val="Nadpis1"/>
        <w:numPr>
          <w:ilvl w:val="0"/>
          <w:numId w:val="2"/>
        </w:numPr>
        <w:jc w:val="both"/>
        <w:rPr>
          <w:rFonts w:ascii="Arial" w:eastAsia="Arial" w:hAnsi="Arial" w:cs="Arial"/>
        </w:rPr>
      </w:pPr>
      <w:bookmarkStart w:id="9" w:name="_2s8eyo1" w:colFirst="0" w:colLast="0"/>
      <w:bookmarkEnd w:id="9"/>
      <w:r>
        <w:rPr>
          <w:rFonts w:ascii="Arial" w:eastAsia="Arial" w:hAnsi="Arial" w:cs="Arial"/>
        </w:rPr>
        <w:t>Příloha – Návrh odměn</w:t>
      </w:r>
    </w:p>
    <w:p w14:paraId="699CA0FE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bookmarkStart w:id="10" w:name="_17dp8vu" w:colFirst="0" w:colLast="0"/>
      <w:bookmarkEnd w:id="10"/>
      <w:r>
        <w:rPr>
          <w:rFonts w:ascii="Arial" w:eastAsia="Arial" w:hAnsi="Arial" w:cs="Arial"/>
        </w:rPr>
        <w:t xml:space="preserve">Z přílohy s názvem Podklad k návrhu odměn – Zpráva o činnosti VR 2023 je patrné, jakým způsobem se jednotliví členové VR účastnili aktivit výzkumné rady v uplynulém období. První část tabulky je věnována pravidelným jednáním, jejichž program vždy vychází z Plánu činnosti VR a je doplněn o další témata nutná k projednání (seznam programů zasedání VR je součástí přílohy s názvem Programy zasedání VR TA ČR_10_2022-09_2023). V druhé části tabulky jsou zaznamenány participace na jednání pracovních skupin, ať už s resorty nebo interních. Každý člen výzkumné rady se podílí svou účastí na činnosti některé z pracovních skupin, a tím významně přispívá nejen k plnění cílů daných Plánem činnosti VR. Z důvodu zastupitelnosti má výzkumná rada v pracovních </w:t>
      </w:r>
      <w:r>
        <w:rPr>
          <w:rFonts w:ascii="Arial" w:eastAsia="Arial" w:hAnsi="Arial" w:cs="Arial"/>
        </w:rPr>
        <w:lastRenderedPageBreak/>
        <w:t>skupinách vždy nejméně dva členy. Nominace členů do konkrétních pracovních skupin je uvedena na konci tohoto materiálu v závěrečném přehledu výše odměn.</w:t>
      </w:r>
    </w:p>
    <w:p w14:paraId="38D92C48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Výše odměn členů výzkumné rady</w:t>
      </w:r>
      <w:r>
        <w:rPr>
          <w:rFonts w:ascii="Arial" w:eastAsia="Arial" w:hAnsi="Arial" w:cs="Arial"/>
        </w:rPr>
        <w:t xml:space="preserve"> je stanovena dle následujícího klíče:</w:t>
      </w:r>
    </w:p>
    <w:p w14:paraId="7E84913B" w14:textId="77777777" w:rsidR="000B5404" w:rsidRDefault="00FA5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50 % účast na pravidelných jednáních VR, </w:t>
      </w:r>
    </w:p>
    <w:p w14:paraId="3EC484C9" w14:textId="77777777" w:rsidR="000B5404" w:rsidRDefault="00FA5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24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30 % účast na schůzkách pracovních skupin a mimořádných akcích,</w:t>
      </w:r>
    </w:p>
    <w:tbl>
      <w:tblPr>
        <w:tblStyle w:val="a"/>
        <w:tblW w:w="948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5380"/>
      </w:tblGrid>
      <w:tr w:rsidR="000B5404" w14:paraId="02DB3516" w14:textId="77777777">
        <w:tc>
          <w:tcPr>
            <w:tcW w:w="4106" w:type="dxa"/>
          </w:tcPr>
          <w:p w14:paraId="1426F2B5" w14:textId="77777777" w:rsidR="000B5404" w:rsidRPr="00F92A63" w:rsidRDefault="00FA5CCC">
            <w:pPr>
              <w:jc w:val="both"/>
              <w:rPr>
                <w:rFonts w:ascii="Arial" w:eastAsia="Arial" w:hAnsi="Arial" w:cs="Arial"/>
                <w:b/>
              </w:rPr>
            </w:pPr>
            <w:r w:rsidRPr="00F92A63">
              <w:rPr>
                <w:rFonts w:ascii="Arial" w:eastAsia="Arial" w:hAnsi="Arial" w:cs="Arial"/>
                <w:b/>
              </w:rPr>
              <w:t>Účast členů VR v pracovních skupinách TA ČR za období říjen 2022</w:t>
            </w:r>
            <w:r w:rsidRPr="00F92A63">
              <w:rPr>
                <w:rFonts w:ascii="Arial" w:eastAsia="Arial" w:hAnsi="Arial" w:cs="Arial"/>
              </w:rPr>
              <w:t>–</w:t>
            </w:r>
            <w:r w:rsidRPr="00F92A63">
              <w:rPr>
                <w:rFonts w:ascii="Arial" w:eastAsia="Arial" w:hAnsi="Arial" w:cs="Arial"/>
                <w:b/>
              </w:rPr>
              <w:t>září 2023</w:t>
            </w:r>
          </w:p>
        </w:tc>
        <w:tc>
          <w:tcPr>
            <w:tcW w:w="5380" w:type="dxa"/>
          </w:tcPr>
          <w:p w14:paraId="3539BB82" w14:textId="77777777" w:rsidR="000B5404" w:rsidRPr="00F92A63" w:rsidRDefault="00FA5CCC">
            <w:pPr>
              <w:spacing w:after="240"/>
              <w:jc w:val="both"/>
              <w:rPr>
                <w:rFonts w:ascii="Arial" w:eastAsia="Arial" w:hAnsi="Arial" w:cs="Arial"/>
                <w:b/>
              </w:rPr>
            </w:pPr>
            <w:r w:rsidRPr="00F92A63">
              <w:rPr>
                <w:rFonts w:ascii="Arial" w:eastAsia="Arial" w:hAnsi="Arial" w:cs="Arial"/>
                <w:b/>
              </w:rPr>
              <w:t>Plán činnosti výzkumné rady na 2022/2023</w:t>
            </w:r>
          </w:p>
        </w:tc>
      </w:tr>
      <w:tr w:rsidR="000B5404" w14:paraId="29BD33E7" w14:textId="77777777">
        <w:tc>
          <w:tcPr>
            <w:tcW w:w="4106" w:type="dxa"/>
          </w:tcPr>
          <w:p w14:paraId="2E902BB7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RVVI, ÚV</w:t>
            </w:r>
          </w:p>
        </w:tc>
        <w:tc>
          <w:tcPr>
            <w:tcW w:w="5380" w:type="dxa"/>
          </w:tcPr>
          <w:p w14:paraId="6BE9D117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Financování TA ČR 2023 a výhled 2024–2025</w:t>
            </w:r>
          </w:p>
          <w:p w14:paraId="04074663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Harmonogram veřejných soutěží na rok 2023</w:t>
            </w:r>
          </w:p>
          <w:p w14:paraId="2623EE27" w14:textId="57EB3754" w:rsidR="000B5404" w:rsidRPr="00F92A63" w:rsidRDefault="00FA5CCC" w:rsidP="00F92A63">
            <w:pPr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 xml:space="preserve">Vyhodnocení souladu programů TA ČR se </w:t>
            </w:r>
            <w:r w:rsidR="00F92A63">
              <w:rPr>
                <w:rFonts w:ascii="Arial" w:eastAsia="Arial" w:hAnsi="Arial" w:cs="Arial"/>
              </w:rPr>
              <w:t>s</w:t>
            </w:r>
            <w:r w:rsidRPr="00F92A63">
              <w:rPr>
                <w:rFonts w:ascii="Arial" w:eastAsia="Arial" w:hAnsi="Arial" w:cs="Arial"/>
              </w:rPr>
              <w:t>trategickými plány vlády ČR</w:t>
            </w:r>
          </w:p>
          <w:p w14:paraId="4B740BC2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Diskuse o moderních technologiích a trendech</w:t>
            </w:r>
          </w:p>
          <w:p w14:paraId="3DF3F728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Setkání se zástupci předsednictva a RVVI</w:t>
            </w:r>
          </w:p>
          <w:p w14:paraId="535D7FAA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 xml:space="preserve">Výsledky jednání o </w:t>
            </w:r>
            <w:proofErr w:type="spellStart"/>
            <w:r w:rsidRPr="00F92A63">
              <w:rPr>
                <w:rFonts w:ascii="Arial" w:eastAsia="Arial" w:hAnsi="Arial" w:cs="Arial"/>
              </w:rPr>
              <w:t>debyrokratizaci</w:t>
            </w:r>
            <w:proofErr w:type="spellEnd"/>
            <w:r w:rsidRPr="00F92A63">
              <w:rPr>
                <w:rFonts w:ascii="Arial" w:eastAsia="Arial" w:hAnsi="Arial" w:cs="Arial"/>
              </w:rPr>
              <w:t xml:space="preserve"> procesů</w:t>
            </w:r>
          </w:p>
          <w:p w14:paraId="44F77732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Informace o průběhu programu NCK</w:t>
            </w:r>
          </w:p>
          <w:p w14:paraId="64A49C38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Informace o čerpání rozpočtu TA ČR</w:t>
            </w:r>
          </w:p>
          <w:p w14:paraId="1A09EF21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Diskuse o nových programech a výzvách</w:t>
            </w:r>
          </w:p>
          <w:p w14:paraId="0A279637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Výroční zpráva TA ČR</w:t>
            </w:r>
          </w:p>
          <w:p w14:paraId="2BBA6B90" w14:textId="37D06FA1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Příprava na společné zasedání předsednictva, kontrolní a</w:t>
            </w:r>
            <w:r w:rsidR="00F92A63" w:rsidRPr="00F92A63">
              <w:rPr>
                <w:rFonts w:ascii="Arial" w:eastAsia="Arial" w:hAnsi="Arial" w:cs="Arial"/>
              </w:rPr>
              <w:t> </w:t>
            </w:r>
            <w:r w:rsidRPr="00F92A63">
              <w:rPr>
                <w:rFonts w:ascii="Arial" w:eastAsia="Arial" w:hAnsi="Arial" w:cs="Arial"/>
              </w:rPr>
              <w:t>výzkumné rady</w:t>
            </w:r>
          </w:p>
        </w:tc>
      </w:tr>
      <w:tr w:rsidR="000B5404" w14:paraId="048F7931" w14:textId="77777777">
        <w:tc>
          <w:tcPr>
            <w:tcW w:w="4106" w:type="dxa"/>
          </w:tcPr>
          <w:p w14:paraId="5A7CEE6C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Otevřená data, SISTA</w:t>
            </w:r>
          </w:p>
        </w:tc>
        <w:tc>
          <w:tcPr>
            <w:tcW w:w="5380" w:type="dxa"/>
          </w:tcPr>
          <w:p w14:paraId="05D38658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Otevřená data</w:t>
            </w:r>
          </w:p>
          <w:p w14:paraId="1ED5A108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Informace o systému SISTA</w:t>
            </w:r>
          </w:p>
        </w:tc>
      </w:tr>
      <w:tr w:rsidR="000B5404" w14:paraId="2F302312" w14:textId="77777777">
        <w:tc>
          <w:tcPr>
            <w:tcW w:w="4106" w:type="dxa"/>
          </w:tcPr>
          <w:p w14:paraId="0F28F2A5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MPO, MŽP, MD</w:t>
            </w:r>
          </w:p>
        </w:tc>
        <w:tc>
          <w:tcPr>
            <w:tcW w:w="5380" w:type="dxa"/>
          </w:tcPr>
          <w:p w14:paraId="30F14D01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Vyhodnocení veřejných soutěží programu TREND</w:t>
            </w:r>
          </w:p>
          <w:p w14:paraId="3423E785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Programové týmy a spolupráce s resorty</w:t>
            </w:r>
          </w:p>
          <w:p w14:paraId="6075B015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Informace o přípravě VS resortních programů</w:t>
            </w:r>
          </w:p>
          <w:p w14:paraId="1DF0FC82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Personální zajištění a činnost oponentů a poradních orgánů v programech TA ČR</w:t>
            </w:r>
          </w:p>
          <w:p w14:paraId="4113C9C3" w14:textId="64D8081B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 xml:space="preserve">Informace o přípravě, průběhu a výsledcích </w:t>
            </w:r>
            <w:r w:rsidR="00F92A63">
              <w:rPr>
                <w:rFonts w:ascii="Arial" w:eastAsia="Arial" w:hAnsi="Arial" w:cs="Arial"/>
              </w:rPr>
              <w:t>veřejných soutěží</w:t>
            </w:r>
            <w:r w:rsidRPr="00F92A63">
              <w:rPr>
                <w:rFonts w:ascii="Arial" w:eastAsia="Arial" w:hAnsi="Arial" w:cs="Arial"/>
              </w:rPr>
              <w:t xml:space="preserve"> programu SIGMA</w:t>
            </w:r>
          </w:p>
        </w:tc>
      </w:tr>
      <w:tr w:rsidR="000B5404" w14:paraId="765740D1" w14:textId="77777777">
        <w:tc>
          <w:tcPr>
            <w:tcW w:w="4106" w:type="dxa"/>
          </w:tcPr>
          <w:p w14:paraId="64BE2C39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Mezinárodní spolupráce</w:t>
            </w:r>
          </w:p>
        </w:tc>
        <w:tc>
          <w:tcPr>
            <w:tcW w:w="5380" w:type="dxa"/>
          </w:tcPr>
          <w:p w14:paraId="6EB379DF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Podpora mezinárodní spolupráce TA ČR</w:t>
            </w:r>
          </w:p>
        </w:tc>
      </w:tr>
      <w:tr w:rsidR="000B5404" w14:paraId="1CC57445" w14:textId="77777777">
        <w:tc>
          <w:tcPr>
            <w:tcW w:w="4106" w:type="dxa"/>
          </w:tcPr>
          <w:p w14:paraId="0C5E85D8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Hodnocení</w:t>
            </w:r>
          </w:p>
        </w:tc>
        <w:tc>
          <w:tcPr>
            <w:tcW w:w="5380" w:type="dxa"/>
          </w:tcPr>
          <w:p w14:paraId="214162F2" w14:textId="77777777" w:rsidR="000B5404" w:rsidRPr="00F92A63" w:rsidRDefault="00FA5CCC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Hodnocení členů Rad programů, kolegií odborníků a oponentů</w:t>
            </w:r>
          </w:p>
          <w:p w14:paraId="647DAF96" w14:textId="77777777" w:rsidR="000B5404" w:rsidRPr="00F92A63" w:rsidRDefault="00FA5CCC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lastRenderedPageBreak/>
              <w:t>Průběžná hodnocení a konečné výsledky programů realizovaných TA ČR</w:t>
            </w:r>
          </w:p>
          <w:p w14:paraId="44C5E6E2" w14:textId="77777777" w:rsidR="000B5404" w:rsidRPr="00F92A63" w:rsidRDefault="00FA5CCC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Evaluace programů TA ČR, prezentace postupů, výstupů a spolupráce s KHV</w:t>
            </w:r>
          </w:p>
          <w:p w14:paraId="77373A53" w14:textId="77777777" w:rsidR="000B5404" w:rsidRPr="00F92A63" w:rsidRDefault="00FA5CCC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Hodnotící proces</w:t>
            </w:r>
          </w:p>
        </w:tc>
      </w:tr>
      <w:tr w:rsidR="000B5404" w14:paraId="6B1C6325" w14:textId="77777777">
        <w:tc>
          <w:tcPr>
            <w:tcW w:w="4106" w:type="dxa"/>
          </w:tcPr>
          <w:p w14:paraId="5E0A471E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lastRenderedPageBreak/>
              <w:t>THÉTA, THÉTA 2</w:t>
            </w:r>
          </w:p>
        </w:tc>
        <w:tc>
          <w:tcPr>
            <w:tcW w:w="5380" w:type="dxa"/>
          </w:tcPr>
          <w:p w14:paraId="4B5731C0" w14:textId="77777777" w:rsidR="000B5404" w:rsidRPr="00F92A63" w:rsidRDefault="00FA5CCC">
            <w:pPr>
              <w:jc w:val="both"/>
              <w:rPr>
                <w:rFonts w:ascii="Arial" w:eastAsia="Arial" w:hAnsi="Arial" w:cs="Arial"/>
              </w:rPr>
            </w:pPr>
            <w:r w:rsidRPr="00F92A63">
              <w:rPr>
                <w:rFonts w:ascii="Arial" w:eastAsia="Arial" w:hAnsi="Arial" w:cs="Arial"/>
              </w:rPr>
              <w:t>Informace o průběhu programu THÉTA</w:t>
            </w:r>
          </w:p>
        </w:tc>
      </w:tr>
    </w:tbl>
    <w:p w14:paraId="3B147ED3" w14:textId="77777777" w:rsidR="000B5404" w:rsidRDefault="00FA5CCC" w:rsidP="00F92A6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Arial" w:eastAsia="Arial" w:hAnsi="Arial" w:cs="Arial"/>
          <w:color w:val="000000"/>
        </w:rPr>
      </w:pPr>
      <w:bookmarkStart w:id="11" w:name="_GoBack"/>
      <w:bookmarkEnd w:id="11"/>
      <w:r>
        <w:rPr>
          <w:rFonts w:ascii="Arial" w:eastAsia="Arial" w:hAnsi="Arial" w:cs="Arial"/>
          <w:color w:val="000000"/>
        </w:rPr>
        <w:t>20 % je rozděleno na základě hodnocení aktivity členů.</w:t>
      </w:r>
    </w:p>
    <w:p w14:paraId="1C522C36" w14:textId="77777777" w:rsidR="000B5404" w:rsidRDefault="00FA5CCC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50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Rozdělení odměn ve výši 20 % z celkové částky navrhuje předseda VR, a to na základě aktivního zapojení jednotlivých členů při jednáních VR i v pracovních skupinách. Konečné rozdělení 20 % je výsledkem konsensu na zářijovém zasedání VR.</w:t>
      </w:r>
    </w:p>
    <w:p w14:paraId="1776D901" w14:textId="77777777" w:rsidR="000B5404" w:rsidRDefault="00FA5CCC">
      <w:pPr>
        <w:spacing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Jak vyplývá z výše uvedených informací a komentáře k Plánu činnosti VR TA ČR na 2022/2023, byly všechny body Plánu splněny, a tudíž navrhujeme rozdělení odměn v plném rozsahu.</w:t>
      </w:r>
    </w:p>
    <w:p w14:paraId="456FB67B" w14:textId="52573533" w:rsidR="000B5404" w:rsidRDefault="000B5404">
      <w:pPr>
        <w:jc w:val="both"/>
        <w:rPr>
          <w:rFonts w:ascii="Arial" w:eastAsia="Arial" w:hAnsi="Arial" w:cs="Arial"/>
        </w:rPr>
      </w:pPr>
    </w:p>
    <w:tbl>
      <w:tblPr>
        <w:tblStyle w:val="a0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560"/>
        <w:gridCol w:w="4671"/>
      </w:tblGrid>
      <w:tr w:rsidR="000B5404" w14:paraId="52505CDD" w14:textId="77777777">
        <w:trPr>
          <w:trHeight w:val="624"/>
        </w:trPr>
        <w:tc>
          <w:tcPr>
            <w:tcW w:w="3289" w:type="dxa"/>
            <w:shd w:val="clear" w:color="auto" w:fill="D9D9D9"/>
            <w:vAlign w:val="center"/>
          </w:tcPr>
          <w:p w14:paraId="69B87295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Člen výzkumné rady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6410BF87" w14:textId="77777777" w:rsidR="000B5404" w:rsidRDefault="00FA5CCC">
            <w:pPr>
              <w:ind w:left="14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Odměna (Kč)</w:t>
            </w:r>
          </w:p>
        </w:tc>
        <w:tc>
          <w:tcPr>
            <w:tcW w:w="4671" w:type="dxa"/>
            <w:shd w:val="clear" w:color="auto" w:fill="D9D9D9"/>
            <w:vAlign w:val="center"/>
          </w:tcPr>
          <w:p w14:paraId="7190927B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Hlavní činnosti:</w:t>
            </w:r>
          </w:p>
        </w:tc>
      </w:tr>
      <w:tr w:rsidR="000B5404" w14:paraId="5EDC0138" w14:textId="77777777">
        <w:trPr>
          <w:trHeight w:val="414"/>
        </w:trPr>
        <w:tc>
          <w:tcPr>
            <w:tcW w:w="3289" w:type="dxa"/>
            <w:vAlign w:val="center"/>
          </w:tcPr>
          <w:p w14:paraId="70075E94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prof. Ing. Martin Fusek, CSc. – předseda</w:t>
            </w:r>
          </w:p>
        </w:tc>
        <w:tc>
          <w:tcPr>
            <w:tcW w:w="1560" w:type="dxa"/>
            <w:vAlign w:val="center"/>
          </w:tcPr>
          <w:p w14:paraId="65C43ADD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96 000 Kč</w:t>
            </w:r>
          </w:p>
        </w:tc>
        <w:tc>
          <w:tcPr>
            <w:tcW w:w="4671" w:type="dxa"/>
            <w:vAlign w:val="center"/>
          </w:tcPr>
          <w:p w14:paraId="34132E17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Řízení jednání VR, příprava podkladů pro jednání VR, jednání s dalšími orgány TA ČR, příprava strategie TA ČR, koordinace mezi orgány TA ČR, účast </w:t>
            </w:r>
            <w:r w:rsidR="00C26F72"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t xml:space="preserve">na jednáních s představiteli resortů, jednání s ministryní pro vědu a výzkum. </w:t>
            </w:r>
          </w:p>
        </w:tc>
      </w:tr>
      <w:tr w:rsidR="000B5404" w14:paraId="4FE947B8" w14:textId="77777777">
        <w:trPr>
          <w:trHeight w:val="414"/>
        </w:trPr>
        <w:tc>
          <w:tcPr>
            <w:tcW w:w="3289" w:type="dxa"/>
            <w:vAlign w:val="center"/>
          </w:tcPr>
          <w:p w14:paraId="3927AB85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Ing. Jan Kleindienst, Ph.D. – místopředseda</w:t>
            </w:r>
          </w:p>
        </w:tc>
        <w:tc>
          <w:tcPr>
            <w:tcW w:w="1560" w:type="dxa"/>
            <w:vAlign w:val="center"/>
          </w:tcPr>
          <w:p w14:paraId="41EBCF8E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93 700 Kč</w:t>
            </w:r>
          </w:p>
        </w:tc>
        <w:tc>
          <w:tcPr>
            <w:tcW w:w="4671" w:type="dxa"/>
            <w:vAlign w:val="center"/>
          </w:tcPr>
          <w:p w14:paraId="0E8643F2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zástup při vedení zasedání VR a jednání s orgány TA ČR, participace na pracovních schůzkách pro mezinárodní spolupráci, členství v pracovní skupině SISTA/otevřená data.</w:t>
            </w:r>
          </w:p>
        </w:tc>
      </w:tr>
      <w:tr w:rsidR="000B5404" w14:paraId="4CECAA93" w14:textId="77777777">
        <w:trPr>
          <w:trHeight w:val="414"/>
        </w:trPr>
        <w:tc>
          <w:tcPr>
            <w:tcW w:w="3289" w:type="dxa"/>
            <w:vAlign w:val="center"/>
          </w:tcPr>
          <w:p w14:paraId="43714F83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Ing. Jiří Reiss, CSc., MBA</w:t>
            </w:r>
          </w:p>
        </w:tc>
        <w:tc>
          <w:tcPr>
            <w:tcW w:w="1560" w:type="dxa"/>
            <w:vAlign w:val="center"/>
          </w:tcPr>
          <w:p w14:paraId="6D041D1E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117 900 Kč</w:t>
            </w:r>
          </w:p>
        </w:tc>
        <w:tc>
          <w:tcPr>
            <w:tcW w:w="4671" w:type="dxa"/>
            <w:vAlign w:val="center"/>
          </w:tcPr>
          <w:p w14:paraId="51DE0182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participace na schůzkách se zástupci vysokých škol, pro spolupráci TA ČR – MPO a MŽP, členství ve skupinách Hodnocení a program THÉTA.</w:t>
            </w:r>
          </w:p>
        </w:tc>
      </w:tr>
      <w:tr w:rsidR="000B5404" w14:paraId="750264AD" w14:textId="77777777">
        <w:trPr>
          <w:trHeight w:val="414"/>
        </w:trPr>
        <w:tc>
          <w:tcPr>
            <w:tcW w:w="3289" w:type="dxa"/>
            <w:vAlign w:val="center"/>
          </w:tcPr>
          <w:p w14:paraId="2E5894C8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prof. RNDr. Jana Klánová, Ph.D.</w:t>
            </w:r>
          </w:p>
        </w:tc>
        <w:tc>
          <w:tcPr>
            <w:tcW w:w="1560" w:type="dxa"/>
            <w:vAlign w:val="center"/>
          </w:tcPr>
          <w:p w14:paraId="17508C28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99 500 Kč</w:t>
            </w:r>
          </w:p>
        </w:tc>
        <w:tc>
          <w:tcPr>
            <w:tcW w:w="4671" w:type="dxa"/>
            <w:vAlign w:val="center"/>
          </w:tcPr>
          <w:p w14:paraId="081DA9A9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účast v Koordinační skupině programu SIGMA, zapojení do pracovní skupiny pro spolupráci TA ČR – MŽP, participace na schůzkách pro mezinárodní spolupráci a SISTA/ otevřená data.</w:t>
            </w:r>
          </w:p>
        </w:tc>
      </w:tr>
      <w:tr w:rsidR="000B5404" w14:paraId="5454090F" w14:textId="77777777">
        <w:trPr>
          <w:trHeight w:val="414"/>
        </w:trPr>
        <w:tc>
          <w:tcPr>
            <w:tcW w:w="3289" w:type="dxa"/>
            <w:vAlign w:val="center"/>
          </w:tcPr>
          <w:p w14:paraId="77DD2819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doc. Mgr. Tomáš Apeltauer, Ph.D.</w:t>
            </w:r>
          </w:p>
        </w:tc>
        <w:tc>
          <w:tcPr>
            <w:tcW w:w="1560" w:type="dxa"/>
            <w:vAlign w:val="center"/>
          </w:tcPr>
          <w:p w14:paraId="7A582C9B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121 300 Kč</w:t>
            </w:r>
          </w:p>
        </w:tc>
        <w:tc>
          <w:tcPr>
            <w:tcW w:w="4671" w:type="dxa"/>
            <w:vAlign w:val="center"/>
          </w:tcPr>
          <w:p w14:paraId="23B43B4F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zapojení do pracovní skupiny pro spolupráci TA ČR – MD, členství ve skupinách SISTA/otevřená data a Hodnocení, analýza podkladů pro nominace do odborných poradních orgánů.</w:t>
            </w:r>
          </w:p>
        </w:tc>
      </w:tr>
      <w:tr w:rsidR="000B5404" w14:paraId="337631AA" w14:textId="77777777">
        <w:trPr>
          <w:trHeight w:val="414"/>
        </w:trPr>
        <w:tc>
          <w:tcPr>
            <w:tcW w:w="3289" w:type="dxa"/>
            <w:vAlign w:val="center"/>
          </w:tcPr>
          <w:p w14:paraId="36EC699A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Mgr. Miroslav Havránek</w:t>
            </w:r>
          </w:p>
        </w:tc>
        <w:tc>
          <w:tcPr>
            <w:tcW w:w="1560" w:type="dxa"/>
            <w:vAlign w:val="center"/>
          </w:tcPr>
          <w:p w14:paraId="269C1B07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93 500 Kč</w:t>
            </w:r>
          </w:p>
        </w:tc>
        <w:tc>
          <w:tcPr>
            <w:tcW w:w="4671" w:type="dxa"/>
            <w:vAlign w:val="center"/>
          </w:tcPr>
          <w:p w14:paraId="4DC5AC77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zapojení do pracovní skupiny pro spolupráci TA ČR – MŽP, členství v pracovních skupinách pro program THÉTA a SISTA/ otevřená data.</w:t>
            </w:r>
          </w:p>
        </w:tc>
      </w:tr>
      <w:tr w:rsidR="000B5404" w14:paraId="11ABBEDE" w14:textId="77777777">
        <w:trPr>
          <w:trHeight w:val="414"/>
        </w:trPr>
        <w:tc>
          <w:tcPr>
            <w:tcW w:w="3289" w:type="dxa"/>
            <w:vAlign w:val="center"/>
          </w:tcPr>
          <w:p w14:paraId="585C17D4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prof. Ing. Ján </w:t>
            </w:r>
            <w:proofErr w:type="spellStart"/>
            <w:r>
              <w:rPr>
                <w:rFonts w:ascii="Arial" w:eastAsia="Arial" w:hAnsi="Arial" w:cs="Arial"/>
              </w:rPr>
              <w:t>Džugan</w:t>
            </w:r>
            <w:proofErr w:type="spellEnd"/>
            <w:r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1560" w:type="dxa"/>
            <w:vAlign w:val="center"/>
          </w:tcPr>
          <w:p w14:paraId="600B0E62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82 200 Kč</w:t>
            </w:r>
          </w:p>
        </w:tc>
        <w:tc>
          <w:tcPr>
            <w:tcW w:w="4671" w:type="dxa"/>
            <w:vAlign w:val="center"/>
          </w:tcPr>
          <w:p w14:paraId="2333B4CC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participace na schůzkách týkajících se mezinárodní spolupráce a spolupráce TA ČR – MPO, členství ve skupinách SISTA/otevřená data, Hodnocení a program THÉTA.</w:t>
            </w:r>
          </w:p>
        </w:tc>
      </w:tr>
      <w:tr w:rsidR="000B5404" w14:paraId="06E408F5" w14:textId="77777777">
        <w:trPr>
          <w:trHeight w:val="414"/>
        </w:trPr>
        <w:tc>
          <w:tcPr>
            <w:tcW w:w="3289" w:type="dxa"/>
            <w:vAlign w:val="center"/>
          </w:tcPr>
          <w:p w14:paraId="04C60C70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Ing. Josef Kašpar, </w:t>
            </w:r>
            <w:proofErr w:type="spellStart"/>
            <w:r>
              <w:rPr>
                <w:rFonts w:ascii="Arial" w:eastAsia="Arial" w:hAnsi="Arial" w:cs="Arial"/>
              </w:rPr>
              <w:t>FEng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0" w:type="dxa"/>
            <w:vAlign w:val="center"/>
          </w:tcPr>
          <w:p w14:paraId="3CD7EA99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100 000 Kč</w:t>
            </w:r>
          </w:p>
        </w:tc>
        <w:tc>
          <w:tcPr>
            <w:tcW w:w="4671" w:type="dxa"/>
            <w:vAlign w:val="center"/>
          </w:tcPr>
          <w:p w14:paraId="424FB51E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účast v Koordinační skupině programu SIGMA, participace na schůzkách pro mezinárodní spolupráci, zapojení do pracovních skupin pro spolupráci TA ČR – MPO a MD.</w:t>
            </w:r>
          </w:p>
        </w:tc>
      </w:tr>
      <w:tr w:rsidR="000B5404" w14:paraId="084ECA38" w14:textId="77777777">
        <w:trPr>
          <w:trHeight w:val="414"/>
        </w:trPr>
        <w:tc>
          <w:tcPr>
            <w:tcW w:w="3289" w:type="dxa"/>
            <w:vAlign w:val="center"/>
          </w:tcPr>
          <w:p w14:paraId="7538564C" w14:textId="77777777" w:rsidR="000B5404" w:rsidRDefault="00FA5CC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Ing. Miroslav Punčochář, </w:t>
            </w:r>
            <w:proofErr w:type="spellStart"/>
            <w:r>
              <w:rPr>
                <w:rFonts w:ascii="Arial" w:eastAsia="Arial" w:hAnsi="Arial" w:cs="Arial"/>
              </w:rPr>
              <w:t>DSc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0" w:type="dxa"/>
            <w:vAlign w:val="center"/>
          </w:tcPr>
          <w:p w14:paraId="0D53A3C3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62 300 Kč</w:t>
            </w:r>
          </w:p>
        </w:tc>
        <w:tc>
          <w:tcPr>
            <w:tcW w:w="4671" w:type="dxa"/>
            <w:vAlign w:val="center"/>
          </w:tcPr>
          <w:p w14:paraId="5CBE36F2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participace na schůzkách týkajících</w:t>
            </w:r>
            <w:r w:rsidR="00C26F72">
              <w:rPr>
                <w:rFonts w:ascii="Arial" w:eastAsia="Arial" w:hAnsi="Arial" w:cs="Arial"/>
              </w:rPr>
              <w:t xml:space="preserve"> se programu</w:t>
            </w:r>
            <w:r>
              <w:rPr>
                <w:rFonts w:ascii="Arial" w:eastAsia="Arial" w:hAnsi="Arial" w:cs="Arial"/>
              </w:rPr>
              <w:t xml:space="preserve"> THÉTA 2.</w:t>
            </w:r>
          </w:p>
        </w:tc>
      </w:tr>
      <w:tr w:rsidR="000B5404" w14:paraId="136AD37F" w14:textId="77777777">
        <w:trPr>
          <w:trHeight w:val="414"/>
        </w:trPr>
        <w:tc>
          <w:tcPr>
            <w:tcW w:w="3289" w:type="dxa"/>
            <w:tcBorders>
              <w:bottom w:val="single" w:sz="4" w:space="0" w:color="000000"/>
            </w:tcBorders>
            <w:vAlign w:val="center"/>
          </w:tcPr>
          <w:p w14:paraId="51B073D3" w14:textId="77777777" w:rsidR="000B5404" w:rsidRDefault="00FA5C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doc. Ing. Šárka Houdková Šimůnková, Ph.D.</w:t>
            </w:r>
          </w:p>
          <w:p w14:paraId="7958494E" w14:textId="77777777" w:rsidR="000B5404" w:rsidRDefault="000B5404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14:paraId="4B012581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70 900 Kč</w:t>
            </w:r>
          </w:p>
        </w:tc>
        <w:tc>
          <w:tcPr>
            <w:tcW w:w="4671" w:type="dxa"/>
            <w:tcBorders>
              <w:bottom w:val="single" w:sz="4" w:space="0" w:color="000000"/>
            </w:tcBorders>
            <w:vAlign w:val="center"/>
          </w:tcPr>
          <w:p w14:paraId="06089C8F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participace na schůzkách pro spolupráci TA ČR – MPO, členství ve skupinách Hodnocení a program THÉTA 2.</w:t>
            </w:r>
          </w:p>
        </w:tc>
      </w:tr>
      <w:tr w:rsidR="000B5404" w14:paraId="28310494" w14:textId="77777777">
        <w:trPr>
          <w:trHeight w:val="414"/>
        </w:trPr>
        <w:tc>
          <w:tcPr>
            <w:tcW w:w="3289" w:type="dxa"/>
            <w:tcBorders>
              <w:bottom w:val="single" w:sz="4" w:space="0" w:color="000000"/>
            </w:tcBorders>
            <w:vAlign w:val="center"/>
          </w:tcPr>
          <w:p w14:paraId="044075CC" w14:textId="77777777" w:rsidR="000B5404" w:rsidRDefault="00FA5C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doc. Ing. Karel Kouřil, Ph.D., MBA, </w:t>
            </w:r>
            <w:proofErr w:type="spellStart"/>
            <w:r>
              <w:rPr>
                <w:rFonts w:ascii="Arial" w:eastAsia="Arial" w:hAnsi="Arial" w:cs="Arial"/>
              </w:rPr>
              <w:t>FEng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14:paraId="37F3D19A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66 000 Kč</w:t>
            </w:r>
          </w:p>
        </w:tc>
        <w:tc>
          <w:tcPr>
            <w:tcW w:w="4671" w:type="dxa"/>
            <w:tcBorders>
              <w:bottom w:val="single" w:sz="4" w:space="0" w:color="000000"/>
            </w:tcBorders>
            <w:vAlign w:val="center"/>
          </w:tcPr>
          <w:p w14:paraId="1FBCC728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participace na schůzkách pro spolupráci TA ČR – MPO, jednání s RVVI.</w:t>
            </w:r>
          </w:p>
        </w:tc>
      </w:tr>
      <w:tr w:rsidR="000B5404" w14:paraId="14D96358" w14:textId="77777777">
        <w:trPr>
          <w:trHeight w:val="414"/>
        </w:trPr>
        <w:tc>
          <w:tcPr>
            <w:tcW w:w="3289" w:type="dxa"/>
            <w:tcBorders>
              <w:bottom w:val="single" w:sz="4" w:space="0" w:color="000000"/>
            </w:tcBorders>
            <w:vAlign w:val="center"/>
          </w:tcPr>
          <w:p w14:paraId="7B895A55" w14:textId="77777777" w:rsidR="000B5404" w:rsidRDefault="00FA5CCC">
            <w:pPr>
              <w:spacing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PhDr. Pavel Baran, CSc.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14:paraId="5F5B7466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16 700 Kč</w:t>
            </w:r>
          </w:p>
        </w:tc>
        <w:tc>
          <w:tcPr>
            <w:tcW w:w="4671" w:type="dxa"/>
            <w:tcBorders>
              <w:bottom w:val="single" w:sz="4" w:space="0" w:color="000000"/>
            </w:tcBorders>
            <w:vAlign w:val="center"/>
          </w:tcPr>
          <w:p w14:paraId="528D6145" w14:textId="77777777" w:rsidR="000B5404" w:rsidRDefault="00FA5CCC" w:rsidP="00670D26">
            <w:pPr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Účast na jednání a běžné činnosti VR, jednání s RVVI.</w:t>
            </w:r>
          </w:p>
        </w:tc>
      </w:tr>
      <w:tr w:rsidR="000B5404" w14:paraId="6B78C213" w14:textId="77777777">
        <w:trPr>
          <w:trHeight w:val="567"/>
        </w:trPr>
        <w:tc>
          <w:tcPr>
            <w:tcW w:w="328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C4E12F" w14:textId="77777777" w:rsidR="000B5404" w:rsidRDefault="00FA5CCC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Celkem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FFCD73" w14:textId="77777777" w:rsidR="000B5404" w:rsidRDefault="00FA5CCC">
            <w:pPr>
              <w:ind w:left="142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1 020 000 Kč</w:t>
            </w:r>
          </w:p>
        </w:tc>
        <w:tc>
          <w:tcPr>
            <w:tcW w:w="467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79748B" w14:textId="77777777" w:rsidR="000B5404" w:rsidRDefault="000B5404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2BA3AFB" w14:textId="77777777" w:rsidR="000B5404" w:rsidRDefault="000B5404">
      <w:pPr>
        <w:spacing w:before="360"/>
        <w:jc w:val="both"/>
        <w:rPr>
          <w:rFonts w:ascii="Arial" w:eastAsia="Arial" w:hAnsi="Arial" w:cs="Arial"/>
        </w:rPr>
      </w:pPr>
    </w:p>
    <w:sectPr w:rsidR="000B5404">
      <w:headerReference w:type="default" r:id="rId9"/>
      <w:footerReference w:type="default" r:id="rId10"/>
      <w:pgSz w:w="11906" w:h="16838"/>
      <w:pgMar w:top="1134" w:right="1134" w:bottom="1134" w:left="1134" w:header="2438" w:footer="7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99880" w14:textId="77777777" w:rsidR="00887E25" w:rsidRDefault="00887E25">
      <w:pPr>
        <w:spacing w:before="0" w:line="240" w:lineRule="auto"/>
      </w:pPr>
      <w:r>
        <w:separator/>
      </w:r>
    </w:p>
  </w:endnote>
  <w:endnote w:type="continuationSeparator" w:id="0">
    <w:p w14:paraId="16F15555" w14:textId="77777777" w:rsidR="00887E25" w:rsidRDefault="00887E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5AA0" w14:textId="77777777" w:rsidR="000B5404" w:rsidRDefault="000B54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778B593B" w14:textId="77777777" w:rsidR="000B5404" w:rsidRDefault="000B54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37EB139C" w14:textId="77777777" w:rsidR="000B5404" w:rsidRDefault="000B54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505C2628" w14:textId="77777777" w:rsidR="000B5404" w:rsidRDefault="000B54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7A30A83E" w14:textId="16CB36EB" w:rsidR="000B5404" w:rsidRDefault="00FA5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70D26">
      <w:rPr>
        <w:noProof/>
        <w:color w:val="000000"/>
        <w:sz w:val="16"/>
        <w:szCs w:val="16"/>
      </w:rPr>
      <w:t>9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>/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670D26">
      <w:rPr>
        <w:noProof/>
        <w:color w:val="000000"/>
        <w:sz w:val="16"/>
        <w:szCs w:val="16"/>
      </w:rPr>
      <w:t>10</w:t>
    </w:r>
    <w:r>
      <w:rPr>
        <w:color w:val="000000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D4FE6B0" wp14:editId="6D51AA67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5796000" cy="87762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6000" cy="8776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B338F4" w14:textId="77777777" w:rsidR="000B5404" w:rsidRDefault="000B5404">
    <w:pPr>
      <w:widowControl w:val="0"/>
      <w:pBdr>
        <w:top w:val="nil"/>
        <w:left w:val="nil"/>
        <w:bottom w:val="nil"/>
        <w:right w:val="nil"/>
        <w:between w:val="nil"/>
      </w:pBdr>
      <w:spacing w:before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1E173" w14:textId="77777777" w:rsidR="00887E25" w:rsidRDefault="00887E25">
      <w:pPr>
        <w:spacing w:before="0" w:line="240" w:lineRule="auto"/>
      </w:pPr>
      <w:r>
        <w:separator/>
      </w:r>
    </w:p>
  </w:footnote>
  <w:footnote w:type="continuationSeparator" w:id="0">
    <w:p w14:paraId="2CF41076" w14:textId="77777777" w:rsidR="00887E25" w:rsidRDefault="00887E2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1019C" w14:textId="77777777" w:rsidR="000B5404" w:rsidRDefault="00FA5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6C57CD85" wp14:editId="7F74578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1107"/>
    <w:multiLevelType w:val="multilevel"/>
    <w:tmpl w:val="C902E4C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1C0154"/>
    <w:multiLevelType w:val="multilevel"/>
    <w:tmpl w:val="20E2C0D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7854E0"/>
    <w:multiLevelType w:val="multilevel"/>
    <w:tmpl w:val="93C4474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A36C6D"/>
    <w:multiLevelType w:val="multilevel"/>
    <w:tmpl w:val="DB4810A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1A27F0"/>
    <w:multiLevelType w:val="multilevel"/>
    <w:tmpl w:val="B18489D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CA5282"/>
    <w:multiLevelType w:val="multilevel"/>
    <w:tmpl w:val="3CF6F9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46317F"/>
    <w:multiLevelType w:val="multilevel"/>
    <w:tmpl w:val="2DB4CDB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7E1CD3"/>
    <w:multiLevelType w:val="multilevel"/>
    <w:tmpl w:val="11CC11E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3261CC"/>
    <w:multiLevelType w:val="multilevel"/>
    <w:tmpl w:val="482C203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C048DE"/>
    <w:multiLevelType w:val="multilevel"/>
    <w:tmpl w:val="62CC8E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D08DF"/>
    <w:multiLevelType w:val="multilevel"/>
    <w:tmpl w:val="131A4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934D1"/>
    <w:multiLevelType w:val="multilevel"/>
    <w:tmpl w:val="D7FA3B32"/>
    <w:lvl w:ilvl="0">
      <w:start w:val="1"/>
      <w:numFmt w:val="bullet"/>
      <w:lvlText w:val="▪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AC049C4"/>
    <w:multiLevelType w:val="multilevel"/>
    <w:tmpl w:val="53FA13F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CB54A55"/>
    <w:multiLevelType w:val="multilevel"/>
    <w:tmpl w:val="CD66486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D25004F"/>
    <w:multiLevelType w:val="multilevel"/>
    <w:tmpl w:val="E7786FD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6E74EAC"/>
    <w:multiLevelType w:val="multilevel"/>
    <w:tmpl w:val="B7583AB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8"/>
  </w:num>
  <w:num w:numId="5">
    <w:abstractNumId w:val="3"/>
  </w:num>
  <w:num w:numId="6">
    <w:abstractNumId w:val="4"/>
  </w:num>
  <w:num w:numId="7">
    <w:abstractNumId w:val="11"/>
  </w:num>
  <w:num w:numId="8">
    <w:abstractNumId w:val="6"/>
  </w:num>
  <w:num w:numId="9">
    <w:abstractNumId w:val="1"/>
  </w:num>
  <w:num w:numId="10">
    <w:abstractNumId w:val="12"/>
  </w:num>
  <w:num w:numId="11">
    <w:abstractNumId w:val="0"/>
  </w:num>
  <w:num w:numId="12">
    <w:abstractNumId w:val="5"/>
  </w:num>
  <w:num w:numId="13">
    <w:abstractNumId w:val="14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404"/>
    <w:rsid w:val="000633DF"/>
    <w:rsid w:val="00067CD4"/>
    <w:rsid w:val="000B5404"/>
    <w:rsid w:val="001346A9"/>
    <w:rsid w:val="001A5E47"/>
    <w:rsid w:val="001C15DF"/>
    <w:rsid w:val="00265E66"/>
    <w:rsid w:val="002C404E"/>
    <w:rsid w:val="004256E1"/>
    <w:rsid w:val="0052424B"/>
    <w:rsid w:val="00530202"/>
    <w:rsid w:val="00577613"/>
    <w:rsid w:val="005E18B5"/>
    <w:rsid w:val="0063016F"/>
    <w:rsid w:val="00647E8B"/>
    <w:rsid w:val="00670D26"/>
    <w:rsid w:val="006A0DC0"/>
    <w:rsid w:val="00805499"/>
    <w:rsid w:val="00887E25"/>
    <w:rsid w:val="008F557B"/>
    <w:rsid w:val="00960905"/>
    <w:rsid w:val="0097623D"/>
    <w:rsid w:val="00991886"/>
    <w:rsid w:val="00A109DD"/>
    <w:rsid w:val="00AD46FB"/>
    <w:rsid w:val="00B1121F"/>
    <w:rsid w:val="00B44B38"/>
    <w:rsid w:val="00C26F72"/>
    <w:rsid w:val="00CC4CCE"/>
    <w:rsid w:val="00D045F7"/>
    <w:rsid w:val="00D136DC"/>
    <w:rsid w:val="00D5498E"/>
    <w:rsid w:val="00DE327A"/>
    <w:rsid w:val="00F1129B"/>
    <w:rsid w:val="00F92A63"/>
    <w:rsid w:val="00FA5CCC"/>
    <w:rsid w:val="00FC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E22"/>
  <w15:docId w15:val="{437B5C1C-2A8C-468C-907C-C942155C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color w:val="000000"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200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pBdr>
        <w:bottom w:val="single" w:sz="8" w:space="4" w:color="F03741"/>
      </w:pBdr>
      <w:spacing w:before="0" w:after="300" w:line="240" w:lineRule="auto"/>
    </w:pPr>
    <w:rPr>
      <w:color w:val="CD0F19"/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rPr>
      <w:i/>
      <w:color w:val="F03741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F55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5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55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5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5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57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57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44B38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S6nUuvDkQ81ImfANHQZybwrNLIT-9Vq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2707</Words>
  <Characters>15973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Alexandra Pirošová</dc:creator>
  <cp:lastModifiedBy>Alexandra Pirošová</cp:lastModifiedBy>
  <cp:revision>2</cp:revision>
  <dcterms:created xsi:type="dcterms:W3CDTF">2023-10-10T08:21:00Z</dcterms:created>
  <dcterms:modified xsi:type="dcterms:W3CDTF">2023-10-10T08:21:00Z</dcterms:modified>
</cp:coreProperties>
</file>