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76B72" w:rsidRDefault="00D54126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PŘEDKLÁDACÍ ZPRÁVA</w:t>
      </w:r>
    </w:p>
    <w:p w14:paraId="2F48CBC2" w14:textId="77777777" w:rsidR="004F597B" w:rsidRDefault="004F597B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0000002" w14:textId="13F31673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programu na podporu aplikovaného výzkumu a inovací v obranném průmyslu PRODEF (dále také „program“) předkládá vládě České republiky ke schválení Ministerstvo obrany České republiky (dále také „MO ČR“). Návrh programu je popsán v části III.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 tohoto materiálu.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 ČR 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materiál </w:t>
      </w:r>
      <w:r>
        <w:rPr>
          <w:rFonts w:ascii="Times New Roman" w:eastAsia="Times New Roman" w:hAnsi="Times New Roman" w:cs="Times New Roman"/>
          <w:sz w:val="24"/>
          <w:szCs w:val="24"/>
        </w:rPr>
        <w:t>předkládá podle §5 odst. 2 zákona č. 130/2002 Sb., o podpoře výzkumu, experimentálního vývoje a inovací z veřejných prostředků a o změně některých souvisejících zákonů ve znění pozdějších předpisů</w:t>
      </w:r>
    </w:p>
    <w:p w14:paraId="00000003" w14:textId="778EE9DA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Program PRODEF vznikl ve spolupráci MO ČR s Technologickou agenturou České republiky (dále také „TA ČR“), která bude zajišťovat administraci jednotlivých výzev a veřejných soutěží programu a která rovněž aktivně spolupracovala při nastavování základních parametrů programu i na tvorbě dalších dokumentů spojených s programem.</w:t>
      </w:r>
      <w:r w:rsidR="00CF74F4">
        <w:rPr>
          <w:rFonts w:ascii="Times New Roman" w:eastAsia="Times New Roman" w:hAnsi="Times New Roman" w:cs="Times New Roman"/>
          <w:sz w:val="24"/>
          <w:szCs w:val="24"/>
        </w:rPr>
        <w:t xml:space="preserve"> Finanční krytí programu PRODEF bude zajištěno z výdajů na obranu dle zákona č. 177/2023 Sb., o financování obrany, které budou rozpočtovány do kapitoly Technologické agentury ČR.</w:t>
      </w:r>
    </w:p>
    <w:p w14:paraId="00000004" w14:textId="313E3DD6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Program je realizován v souladu s aktuálně platnými strategickými a koncepčními dokum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enty zaměřenými na oblasti výzkumu, vývoje a inovací (dále jen </w:t>
      </w:r>
      <w:r w:rsidR="00EF5699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="004F597B"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 w:rsidR="004F597B">
        <w:rPr>
          <w:rFonts w:ascii="Times New Roman" w:eastAsia="Times New Roman" w:hAnsi="Times New Roman" w:cs="Times New Roman"/>
          <w:sz w:val="24"/>
          <w:szCs w:val="24"/>
        </w:rPr>
        <w:t>“)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DA4015">
        <w:rPr>
          <w:rFonts w:ascii="Times New Roman" w:eastAsia="Times New Roman" w:hAnsi="Times New Roman" w:cs="Times New Roman"/>
          <w:sz w:val="24"/>
          <w:szCs w:val="24"/>
        </w:rPr>
        <w:t>na obranný a 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bezpečnostní průmysl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přispívá k jejich naplnění – např. Ná</w:t>
      </w:r>
      <w:r w:rsidR="00DA4015">
        <w:rPr>
          <w:rFonts w:ascii="Times New Roman" w:eastAsia="Times New Roman" w:hAnsi="Times New Roman" w:cs="Times New Roman"/>
          <w:sz w:val="24"/>
          <w:szCs w:val="24"/>
        </w:rPr>
        <w:t>rodní politika výzkumu vývoje a </w:t>
      </w:r>
      <w:r>
        <w:rPr>
          <w:rFonts w:ascii="Times New Roman" w:eastAsia="Times New Roman" w:hAnsi="Times New Roman" w:cs="Times New Roman"/>
          <w:sz w:val="24"/>
          <w:szCs w:val="24"/>
        </w:rPr>
        <w:t>inovací České re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publiky 2021+,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Inovační strategie České republiky 2019-2030, Národní RIS3 strategie. Z oblasti obrany a bezpečnosti PRODEF reaguje především na Dlouhodobý výhled pro obranu 2035, Koncepci výstavby Armády České republiky do roku 2030, Strategii vyzbrojování a podpory rozvoje obranné</w:t>
      </w:r>
      <w:r w:rsidR="004429AE">
        <w:rPr>
          <w:rFonts w:ascii="Times New Roman" w:eastAsia="Times New Roman" w:hAnsi="Times New Roman" w:cs="Times New Roman"/>
          <w:sz w:val="24"/>
          <w:szCs w:val="24"/>
        </w:rPr>
        <w:t xml:space="preserve">ho průmyslu v ČR do roku 2030, na Koncepci obranného </w:t>
      </w:r>
      <w:r>
        <w:rPr>
          <w:rFonts w:ascii="Times New Roman" w:eastAsia="Times New Roman" w:hAnsi="Times New Roman" w:cs="Times New Roman"/>
          <w:sz w:val="24"/>
          <w:szCs w:val="24"/>
        </w:rPr>
        <w:t>aplikovaného výzkumu, v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ývoje a inovací 2016-2022</w:t>
      </w:r>
      <w:r w:rsidR="004429AE">
        <w:rPr>
          <w:rFonts w:ascii="Times New Roman" w:eastAsia="Times New Roman" w:hAnsi="Times New Roman" w:cs="Times New Roman"/>
          <w:sz w:val="24"/>
          <w:szCs w:val="24"/>
        </w:rPr>
        <w:t xml:space="preserve"> a také na Koncepci obranného aplikovaného výzkumu, vývoje a inovací 2023-2029, která je v současné době v procesu schvalování.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následujících</w:t>
      </w:r>
      <w:r w:rsidR="00DA4015">
        <w:rPr>
          <w:rFonts w:ascii="Times New Roman" w:eastAsia="Times New Roman" w:hAnsi="Times New Roman" w:cs="Times New Roman"/>
          <w:sz w:val="24"/>
          <w:szCs w:val="24"/>
        </w:rPr>
        <w:t xml:space="preserve"> měsících a </w:t>
      </w:r>
      <w:r>
        <w:rPr>
          <w:rFonts w:ascii="Times New Roman" w:eastAsia="Times New Roman" w:hAnsi="Times New Roman" w:cs="Times New Roman"/>
          <w:sz w:val="24"/>
          <w:szCs w:val="24"/>
        </w:rPr>
        <w:t>letech dojde k aktualizaci některých koncepčních dokume</w:t>
      </w:r>
      <w:r w:rsidR="00DA4015">
        <w:rPr>
          <w:rFonts w:ascii="Times New Roman" w:eastAsia="Times New Roman" w:hAnsi="Times New Roman" w:cs="Times New Roman"/>
          <w:sz w:val="24"/>
          <w:szCs w:val="24"/>
        </w:rPr>
        <w:t xml:space="preserve">ntů (např.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Koncepce výstavby AČR), na které program 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díky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svému širokému zaměření dokáže rovněž účinně reagovat.</w:t>
      </w:r>
    </w:p>
    <w:p w14:paraId="00000005" w14:textId="65784215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Cílem programu je další rozvoj národního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oblasti obranného průmyslu, a to prostřednictvím zvýšení zapojení českých subjektů do me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zinárodních řetězců a konsorcií. Cílem je rovněž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posílení technologické úrovně českých subjektů, které již v obranném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působ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í nebo mohou působit – přičemž je žádoucí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zvýšení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multidisciplinarity</w:t>
      </w:r>
      <w:proofErr w:type="spellEnd"/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 a spektra možných řešení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prostřednictvím zapojení právě těch subjektů, které dosud v obranném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nepůsobily. Zároveň PRODEF reaguje na neexistenci specifického nástroje k dofinancování účasti českých subjektů v rámci projektů Evropského obranného fondu (dále také „EDF“).</w:t>
      </w:r>
    </w:p>
    <w:p w14:paraId="00000006" w14:textId="77777777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 účely dosažení cíle je program členěn na dva podprogramy:</w:t>
      </w:r>
    </w:p>
    <w:p w14:paraId="00000007" w14:textId="77777777" w:rsidR="00476B72" w:rsidRDefault="00D54126" w:rsidP="00D72F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Podprogram 1: Podpora českých uchazečů ve výzvách EDF;</w:t>
      </w:r>
    </w:p>
    <w:p w14:paraId="00000008" w14:textId="77777777" w:rsidR="00476B72" w:rsidRDefault="00D54126" w:rsidP="00D72F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Podprogram 2: Národní veřejné soutěže v obranném výzkumu.</w:t>
      </w:r>
    </w:p>
    <w:p w14:paraId="518C1EA2" w14:textId="77777777" w:rsidR="004F597B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Účelem prvního podprogramu je usnadnění plnění podmínek stanovených ve výzvách EDF či navazujících programech. Cílem je poté zvýšení účasti českých subjektů v rámci jednotlivých výzev EDF a navazujících programů tím, že bude spolufinancovat část doplatku českého člena konsorcia v projektu EDF, a to až do výše 50 % způsobilých nákladů daného uchazeče. </w:t>
      </w:r>
    </w:p>
    <w:p w14:paraId="00000009" w14:textId="74D7AAB1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Druhý podprogram formou veřejné soutěže cílí na posilování rozvoje českého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 oblasti obranného průmyslu pomocí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a) zvýšení počtu subjektů provádějících obranný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na národní úrovni, b) rozšíření okruhu budoucích uchazečů o podporu z EDF a dalších mezinárodních výzev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 jako je obranný akcelerátor DIANA či Inovační fond NATO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c) posílení užitečnosti a relevance projektů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 obranném průmyslu a d) zvýšení užitečnosti českého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ve smyslu využití konkrétními institucemi.</w:t>
      </w:r>
    </w:p>
    <w:p w14:paraId="0000000A" w14:textId="67AA0AA0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Doba financování programu je stanovena na </w:t>
      </w:r>
      <w:r w:rsidR="004429AE">
        <w:rPr>
          <w:rFonts w:ascii="Times New Roman" w:eastAsia="Times New Roman" w:hAnsi="Times New Roman" w:cs="Times New Roman"/>
          <w:sz w:val="24"/>
          <w:szCs w:val="24"/>
        </w:rPr>
        <w:t>období od roku 2024 do roku 2031, tj.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let. Jednotlivé výzvy v prvním podprogramu předpokládá poskytovatel vyhlašovat dle zveřejnění výsledků výzev EDF (zveřejňovány na přelomu června a července). V rámci druhého podprogramu je první veřejná soutěž ve výzkumu, vývoji a inovacích předpokládána v roce 2024 se zahájením poskytování podpory od roku 2025, přičemž je počítáno s dvouroční periodicitou vyhlašování veřejných soutěží.</w:t>
      </w:r>
    </w:p>
    <w:p w14:paraId="0000000B" w14:textId="28A1F4DD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Celkové výdaje na program vycházejí z analýzy absorpční kapacity (součástí dokumentu „Analýza řešené problematiky programu PRODEF“), která zohledňuje vyhodnocení dosavadních zkušeností z EDF a jemu předchozích programů PADR a EDIDP a z dosavadních programů Bezpečnostní výzkum České republiky (VI) Ministerstva vnitra ČR a Rozvoje ozbrojených sil České republiky (OW) Ministerstva obrany ČR, jež byly zaměřeny obdobně jako program PRODEF. Současně s nimi bylo pro určení absorpční kapacity jako kritérium vyhledávání užito oborů CEP JY – Střelné zbraně, munice, výbušniny, bojová vozidla a KA – vojenství. Celkové výdaje ze státního r</w:t>
      </w:r>
      <w:r w:rsidR="004429AE">
        <w:rPr>
          <w:rFonts w:ascii="Times New Roman" w:eastAsia="Times New Roman" w:hAnsi="Times New Roman" w:cs="Times New Roman"/>
          <w:sz w:val="24"/>
          <w:szCs w:val="24"/>
        </w:rPr>
        <w:t>ozpočtu se plánují ve výši 3,600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mil. Kč. Výše vý</w:t>
      </w:r>
      <w:r w:rsidR="004429AE">
        <w:rPr>
          <w:rFonts w:ascii="Times New Roman" w:eastAsia="Times New Roman" w:hAnsi="Times New Roman" w:cs="Times New Roman"/>
          <w:sz w:val="24"/>
          <w:szCs w:val="24"/>
        </w:rPr>
        <w:t xml:space="preserve">dajů </w:t>
      </w:r>
      <w:r w:rsidR="004429AE">
        <w:rPr>
          <w:rFonts w:ascii="Times New Roman" w:eastAsia="Times New Roman" w:hAnsi="Times New Roman" w:cs="Times New Roman"/>
          <w:sz w:val="24"/>
          <w:szCs w:val="24"/>
        </w:rPr>
        <w:lastRenderedPageBreak/>
        <w:t>z ostatních zdrojů je 2,520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mil. Kč.</w:t>
      </w:r>
      <w:r w:rsidR="00CF74F4">
        <w:rPr>
          <w:rFonts w:ascii="Times New Roman" w:eastAsia="Times New Roman" w:hAnsi="Times New Roman" w:cs="Times New Roman"/>
          <w:sz w:val="24"/>
          <w:szCs w:val="24"/>
        </w:rPr>
        <w:t xml:space="preserve"> Konkrétní finanční zdroje budou odvislé od možností státního rozpočtu.</w:t>
      </w:r>
      <w:bookmarkStart w:id="0" w:name="_GoBack"/>
      <w:bookmarkEnd w:id="0"/>
    </w:p>
    <w:p w14:paraId="0000000C" w14:textId="1EC6B630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Evaluační rámec PRODEF předpokládá provedení několika druhů hodnocení v různých obdobích realizace, která se zaměří na samotný program, jeho výzvy a veřejné soutěže a 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podpořené projekty. K tomu byly a </w:t>
      </w:r>
      <w:r>
        <w:rPr>
          <w:rFonts w:ascii="Times New Roman" w:eastAsia="Times New Roman" w:hAnsi="Times New Roman" w:cs="Times New Roman"/>
          <w:sz w:val="24"/>
          <w:szCs w:val="24"/>
        </w:rPr>
        <w:t>budou využity následující typy hodnocení, které jsou blíže definovány v Analýze řešené problematiky (v závorce termín uskutečnění):</w:t>
      </w:r>
    </w:p>
    <w:p w14:paraId="0000000D" w14:textId="77777777" w:rsidR="00476B72" w:rsidRDefault="00D54126" w:rsidP="00153A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9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ex-ante hodnocení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(2023) – vzniklá doporučení byla v návrhu programu zohledněna, též byla detailněji rozpracována intervenční logika programu a doplněn evaluační rámec);</w:t>
      </w:r>
    </w:p>
    <w:p w14:paraId="0000000E" w14:textId="484536F7" w:rsidR="00476B72" w:rsidRDefault="00D54126" w:rsidP="00153A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9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průběžné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429AE">
        <w:rPr>
          <w:rFonts w:ascii="Times New Roman" w:eastAsia="Times New Roman" w:hAnsi="Times New Roman" w:cs="Times New Roman"/>
          <w:color w:val="000000"/>
          <w:sz w:val="24"/>
          <w:szCs w:val="24"/>
        </w:rPr>
        <w:t>2027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0000000F" w14:textId="25E33E3B" w:rsidR="00476B72" w:rsidRDefault="00D54126" w:rsidP="00153A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9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závěrečné</w:t>
      </w:r>
      <w:r w:rsidR="00442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00000010" w14:textId="42A82460" w:rsidR="00476B72" w:rsidRDefault="00D54126" w:rsidP="00153A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97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dopadové</w:t>
      </w:r>
      <w:r w:rsidR="00442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0000011" w14:textId="69BC807C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 program PRODEF bude vytvořena pracovní skupina skládající se z expertů na obranný průmysl 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MO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dalších resortů, která bude mít za úkol např. nastavování podmínek a témat pro jednotlivé výzvy a veřejné soutěže či vyhodnocovat průběh programu. </w:t>
      </w:r>
    </w:p>
    <w:p w14:paraId="00000012" w14:textId="11DC1C64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rámci návrhů projektů se nepředpokládá zpracovávání utajovaných informací, naopak jsou přípustné výsledky s utajovanými skutečnostmi </w:t>
      </w:r>
      <w:r w:rsidR="00862D04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takovém případě bude výsledky projektu přebírat, kontrolovat a hodnotit Ministerstvo obrany ČR a své závěry TA ČR předá, neboť ta nyní není přizpůsobena k tomu, aby mohla s utajovanými daty pracovat v požadovaném rozsahu. </w:t>
      </w:r>
    </w:p>
    <w:p w14:paraId="00000013" w14:textId="72FA2712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 souladu s dokumentem Postup Rady při hodnocení ná</w:t>
      </w:r>
      <w:r w:rsidR="002726FE">
        <w:rPr>
          <w:rFonts w:ascii="Times New Roman" w:eastAsia="Times New Roman" w:hAnsi="Times New Roman" w:cs="Times New Roman"/>
          <w:sz w:val="24"/>
          <w:szCs w:val="24"/>
        </w:rPr>
        <w:t>vrhů programů účelové podpory a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skupin grantových projektů schváleném na 351. zasedání dne </w:t>
      </w:r>
      <w:r w:rsidR="002726FE">
        <w:rPr>
          <w:rFonts w:ascii="Times New Roman" w:eastAsia="Times New Roman" w:hAnsi="Times New Roman" w:cs="Times New Roman"/>
          <w:sz w:val="24"/>
          <w:szCs w:val="24"/>
        </w:rPr>
        <w:t>29. listopad 2019 předložila TA </w:t>
      </w:r>
      <w:r>
        <w:rPr>
          <w:rFonts w:ascii="Times New Roman" w:eastAsia="Times New Roman" w:hAnsi="Times New Roman" w:cs="Times New Roman"/>
          <w:sz w:val="24"/>
          <w:szCs w:val="24"/>
        </w:rPr>
        <w:t>ČR návrh programu PRODEF také dvěma posuzovatelům k provedení expertního posouzení dle kontrolního listu. Kontrolní list byl postoupen k vyplnění zhotoviteli ex-ante hodnocení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Group, s. r. o.) a dalšímu externímu expertovi (doc. Jiřímu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Krechlovi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 Na základě posouzení a vyplnění kontrolního listu získal program PRODEF 87 a 96 % bodů (hranice pro doporučení programu k realizaci je 79 %).</w:t>
      </w:r>
    </w:p>
    <w:p w14:paraId="00000014" w14:textId="7EC8A315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Program nemá negativní dopad na podnikatelské prostředí, sociální oblast, životní prostředí, rodiny (ve všech aspektech definovaných v Jednacím řádu vlády) ani na rovné postavení mužů a žen. 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inancování</w:t>
      </w:r>
      <w:r w:rsidR="004F597B">
        <w:rPr>
          <w:rFonts w:ascii="Times New Roman" w:eastAsia="Times New Roman" w:hAnsi="Times New Roman" w:cs="Times New Roman"/>
          <w:sz w:val="24"/>
          <w:szCs w:val="24"/>
        </w:rPr>
        <w:t xml:space="preserve">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bude zajištěno dle možností státního rozpočtu.</w:t>
      </w:r>
    </w:p>
    <w:p w14:paraId="00000015" w14:textId="77777777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Materiál byl projednán na XXX. zasedání Rady pro výzkum, vývoj a inovace, které se konalo dne XXX. Do materiálu byly zapracovány vznesené připomínky.</w:t>
      </w:r>
    </w:p>
    <w:p w14:paraId="00000016" w14:textId="77777777" w:rsidR="00476B72" w:rsidRDefault="00D54126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meziresortního připomínkového řízení byl materiál rozeslán XXX s termínem zaslání připomínek do XXXX. Byly doručeny připomínky ze X schvalovacích míst. Vypořádání výsledků meziresortního připomínkového řízení je uvedeno v části IV předkládaného materiálu. Materiál je předkládán bez rozporu.</w:t>
      </w:r>
    </w:p>
    <w:p w14:paraId="00000019" w14:textId="77777777" w:rsidR="00476B72" w:rsidRDefault="00476B72" w:rsidP="00D72F5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476B72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A549C" w14:textId="77777777" w:rsidR="002B051E" w:rsidRDefault="002B051E">
      <w:pPr>
        <w:spacing w:after="0" w:line="240" w:lineRule="auto"/>
      </w:pPr>
      <w:r>
        <w:separator/>
      </w:r>
    </w:p>
  </w:endnote>
  <w:endnote w:type="continuationSeparator" w:id="0">
    <w:p w14:paraId="5D6A298A" w14:textId="77777777" w:rsidR="002B051E" w:rsidRDefault="002B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97172" w14:textId="77777777" w:rsidR="002B051E" w:rsidRDefault="002B051E">
      <w:pPr>
        <w:spacing w:after="0" w:line="240" w:lineRule="auto"/>
      </w:pPr>
      <w:r>
        <w:separator/>
      </w:r>
    </w:p>
  </w:footnote>
  <w:footnote w:type="continuationSeparator" w:id="0">
    <w:p w14:paraId="49AA45E0" w14:textId="77777777" w:rsidR="002B051E" w:rsidRDefault="002B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A" w14:textId="77777777" w:rsidR="00476B72" w:rsidRDefault="00D541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846"/>
    <w:multiLevelType w:val="multilevel"/>
    <w:tmpl w:val="B1EAE7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A8358D3"/>
    <w:multiLevelType w:val="multilevel"/>
    <w:tmpl w:val="E51E54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72"/>
    <w:rsid w:val="00153A18"/>
    <w:rsid w:val="002726FE"/>
    <w:rsid w:val="002B051E"/>
    <w:rsid w:val="004429AE"/>
    <w:rsid w:val="00476B72"/>
    <w:rsid w:val="004F597B"/>
    <w:rsid w:val="0071430B"/>
    <w:rsid w:val="007E3FD8"/>
    <w:rsid w:val="00862D04"/>
    <w:rsid w:val="00CF74F4"/>
    <w:rsid w:val="00D319F2"/>
    <w:rsid w:val="00D54126"/>
    <w:rsid w:val="00D72F56"/>
    <w:rsid w:val="00DA4015"/>
    <w:rsid w:val="00E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FA3C"/>
  <w15:docId w15:val="{3A6CB55B-743C-4695-AC2F-29C170B0C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1060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AČR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uživatel</cp:lastModifiedBy>
  <cp:revision>10</cp:revision>
  <dcterms:created xsi:type="dcterms:W3CDTF">2023-09-06T12:00:00Z</dcterms:created>
  <dcterms:modified xsi:type="dcterms:W3CDTF">2023-12-01T10:30:00Z</dcterms:modified>
</cp:coreProperties>
</file>