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73C17" w14:textId="038109AE" w:rsidR="00DD35E9" w:rsidRDefault="00BF1715" w:rsidP="006B0032">
      <w:pPr>
        <w:pBdr>
          <w:bottom w:val="single" w:sz="6" w:space="1" w:color="auto"/>
        </w:pBdr>
        <w:spacing w:before="120"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 Rady</w:t>
      </w:r>
      <w:r w:rsidR="00BE77A0">
        <w:rPr>
          <w:rFonts w:ascii="Arial" w:hAnsi="Arial" w:cs="Arial"/>
          <w:b/>
          <w:color w:val="0070C0"/>
          <w:sz w:val="28"/>
          <w:szCs w:val="28"/>
        </w:rPr>
        <w:t xml:space="preserve"> pro výzkum, vývoj a inovace k </w:t>
      </w:r>
      <w:r w:rsidR="00EB4E1F">
        <w:rPr>
          <w:rFonts w:ascii="Arial" w:hAnsi="Arial" w:cs="Arial"/>
          <w:b/>
          <w:color w:val="0070C0"/>
          <w:sz w:val="28"/>
          <w:szCs w:val="28"/>
        </w:rPr>
        <w:t>n</w:t>
      </w:r>
      <w:r w:rsidR="00EB4E1F" w:rsidRPr="00EB4E1F">
        <w:rPr>
          <w:rFonts w:ascii="Arial" w:hAnsi="Arial" w:cs="Arial"/>
          <w:b/>
          <w:color w:val="0070C0"/>
          <w:sz w:val="28"/>
          <w:szCs w:val="28"/>
        </w:rPr>
        <w:t>ávrh</w:t>
      </w:r>
      <w:r w:rsidR="00EB4E1F">
        <w:rPr>
          <w:rFonts w:ascii="Arial" w:hAnsi="Arial" w:cs="Arial"/>
          <w:b/>
          <w:color w:val="0070C0"/>
          <w:sz w:val="28"/>
          <w:szCs w:val="28"/>
        </w:rPr>
        <w:t>u</w:t>
      </w:r>
      <w:r w:rsidR="00EB4E1F" w:rsidRPr="00EB4E1F">
        <w:rPr>
          <w:rFonts w:ascii="Arial" w:hAnsi="Arial" w:cs="Arial"/>
          <w:b/>
          <w:color w:val="0070C0"/>
          <w:sz w:val="28"/>
          <w:szCs w:val="28"/>
        </w:rPr>
        <w:t xml:space="preserve"> na změnu Programu výzkumu, vývoje a inovací </w:t>
      </w:r>
      <w:proofErr w:type="spellStart"/>
      <w:r w:rsidR="00EB4E1F" w:rsidRPr="00EB4E1F">
        <w:rPr>
          <w:rFonts w:ascii="Arial" w:hAnsi="Arial" w:cs="Arial"/>
          <w:b/>
          <w:color w:val="0070C0"/>
          <w:sz w:val="28"/>
          <w:szCs w:val="28"/>
        </w:rPr>
        <w:t>The</w:t>
      </w:r>
      <w:proofErr w:type="spellEnd"/>
      <w:r w:rsidR="00EB4E1F" w:rsidRPr="00EB4E1F">
        <w:rPr>
          <w:rFonts w:ascii="Arial" w:hAnsi="Arial" w:cs="Arial"/>
          <w:b/>
          <w:color w:val="0070C0"/>
          <w:sz w:val="28"/>
          <w:szCs w:val="28"/>
        </w:rPr>
        <w:t xml:space="preserve"> Country </w:t>
      </w:r>
      <w:proofErr w:type="spellStart"/>
      <w:r w:rsidR="00EB4E1F" w:rsidRPr="00EB4E1F">
        <w:rPr>
          <w:rFonts w:ascii="Arial" w:hAnsi="Arial" w:cs="Arial"/>
          <w:b/>
          <w:color w:val="0070C0"/>
          <w:sz w:val="28"/>
          <w:szCs w:val="28"/>
        </w:rPr>
        <w:t>for</w:t>
      </w:r>
      <w:proofErr w:type="spellEnd"/>
      <w:r w:rsidR="00EB4E1F" w:rsidRPr="00EB4E1F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proofErr w:type="spellStart"/>
      <w:r w:rsidR="00EB4E1F" w:rsidRPr="00EB4E1F">
        <w:rPr>
          <w:rFonts w:ascii="Arial" w:hAnsi="Arial" w:cs="Arial"/>
          <w:b/>
          <w:color w:val="0070C0"/>
          <w:sz w:val="28"/>
          <w:szCs w:val="28"/>
        </w:rPr>
        <w:t>the</w:t>
      </w:r>
      <w:proofErr w:type="spellEnd"/>
      <w:r w:rsidR="00EB4E1F" w:rsidRPr="00EB4E1F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proofErr w:type="spellStart"/>
      <w:r w:rsidR="00EB4E1F" w:rsidRPr="00EB4E1F">
        <w:rPr>
          <w:rFonts w:ascii="Arial" w:hAnsi="Arial" w:cs="Arial"/>
          <w:b/>
          <w:color w:val="0070C0"/>
          <w:sz w:val="28"/>
          <w:szCs w:val="28"/>
        </w:rPr>
        <w:t>Future</w:t>
      </w:r>
      <w:proofErr w:type="spellEnd"/>
    </w:p>
    <w:p w14:paraId="337888F2" w14:textId="77777777" w:rsidR="006A30ED" w:rsidRPr="006A30ED" w:rsidRDefault="00BF1715" w:rsidP="006A30ED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B27405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  <w:bookmarkStart w:id="0" w:name="_GoBack"/>
      <w:bookmarkEnd w:id="0"/>
    </w:p>
    <w:p w14:paraId="322A859B" w14:textId="4CED169A" w:rsidR="005116B5" w:rsidRPr="001E38C7" w:rsidRDefault="00EB4E1F" w:rsidP="006A30ED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B4E1F">
        <w:rPr>
          <w:rFonts w:ascii="Arial" w:hAnsi="Arial" w:cs="Arial"/>
          <w:sz w:val="22"/>
          <w:szCs w:val="22"/>
        </w:rPr>
        <w:t xml:space="preserve">Návrh na změnu Programu výzkumu, vývoje a inovací </w:t>
      </w:r>
      <w:proofErr w:type="spellStart"/>
      <w:r w:rsidRPr="00EB4E1F">
        <w:rPr>
          <w:rFonts w:ascii="Arial" w:hAnsi="Arial" w:cs="Arial"/>
          <w:sz w:val="22"/>
          <w:szCs w:val="22"/>
        </w:rPr>
        <w:t>The</w:t>
      </w:r>
      <w:proofErr w:type="spellEnd"/>
      <w:r w:rsidRPr="00EB4E1F">
        <w:rPr>
          <w:rFonts w:ascii="Arial" w:hAnsi="Arial" w:cs="Arial"/>
          <w:sz w:val="22"/>
          <w:szCs w:val="22"/>
        </w:rPr>
        <w:t xml:space="preserve"> Country </w:t>
      </w:r>
      <w:proofErr w:type="spellStart"/>
      <w:r w:rsidRPr="00EB4E1F">
        <w:rPr>
          <w:rFonts w:ascii="Arial" w:hAnsi="Arial" w:cs="Arial"/>
          <w:sz w:val="22"/>
          <w:szCs w:val="22"/>
        </w:rPr>
        <w:t>for</w:t>
      </w:r>
      <w:proofErr w:type="spellEnd"/>
      <w:r w:rsidRPr="00EB4E1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4E1F">
        <w:rPr>
          <w:rFonts w:ascii="Arial" w:hAnsi="Arial" w:cs="Arial"/>
          <w:sz w:val="22"/>
          <w:szCs w:val="22"/>
        </w:rPr>
        <w:t>the</w:t>
      </w:r>
      <w:proofErr w:type="spellEnd"/>
      <w:r w:rsidRPr="00EB4E1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4E1F">
        <w:rPr>
          <w:rFonts w:ascii="Arial" w:hAnsi="Arial" w:cs="Arial"/>
          <w:sz w:val="22"/>
          <w:szCs w:val="22"/>
        </w:rPr>
        <w:t>Future</w:t>
      </w:r>
      <w:proofErr w:type="spellEnd"/>
      <w:r w:rsidR="00261F35" w:rsidRPr="00261F35">
        <w:rPr>
          <w:rFonts w:ascii="Arial" w:hAnsi="Arial" w:cs="Arial"/>
          <w:sz w:val="22"/>
          <w:szCs w:val="22"/>
        </w:rPr>
        <w:t xml:space="preserve"> </w:t>
      </w:r>
      <w:r w:rsidR="00571676" w:rsidRPr="001E38C7">
        <w:rPr>
          <w:rFonts w:ascii="Arial" w:hAnsi="Arial" w:cs="Arial"/>
          <w:sz w:val="22"/>
          <w:szCs w:val="22"/>
        </w:rPr>
        <w:t>(dále jen „Program“) byl předložen Radě pro výzkum, vývoj a</w:t>
      </w:r>
      <w:r w:rsidR="00CF0116" w:rsidRPr="001E38C7">
        <w:rPr>
          <w:rFonts w:ascii="Arial" w:hAnsi="Arial" w:cs="Arial"/>
          <w:sz w:val="22"/>
          <w:szCs w:val="22"/>
          <w:lang w:val="en-US"/>
        </w:rPr>
        <w:t> </w:t>
      </w:r>
      <w:r w:rsidR="00571676" w:rsidRPr="001E38C7">
        <w:rPr>
          <w:rFonts w:ascii="Arial" w:hAnsi="Arial" w:cs="Arial"/>
          <w:sz w:val="22"/>
          <w:szCs w:val="22"/>
        </w:rPr>
        <w:t xml:space="preserve"> inovace </w:t>
      </w:r>
      <w:r w:rsidR="00CF0116" w:rsidRPr="001E38C7">
        <w:rPr>
          <w:rFonts w:ascii="Arial" w:hAnsi="Arial" w:cs="Arial"/>
          <w:sz w:val="22"/>
          <w:szCs w:val="22"/>
        </w:rPr>
        <w:t xml:space="preserve">(dále jen „Rada“) </w:t>
      </w:r>
      <w:r w:rsidR="00B66E9F">
        <w:rPr>
          <w:rFonts w:ascii="Arial" w:hAnsi="Arial" w:cs="Arial"/>
          <w:sz w:val="22"/>
          <w:szCs w:val="22"/>
        </w:rPr>
        <w:t xml:space="preserve">na základě </w:t>
      </w:r>
      <w:r w:rsidR="00847929">
        <w:rPr>
          <w:rFonts w:ascii="Arial" w:hAnsi="Arial" w:cs="Arial"/>
          <w:sz w:val="22"/>
          <w:szCs w:val="22"/>
        </w:rPr>
        <w:t>ž</w:t>
      </w:r>
      <w:r w:rsidR="00B66E9F">
        <w:rPr>
          <w:rFonts w:ascii="Arial" w:hAnsi="Arial" w:cs="Arial"/>
          <w:sz w:val="22"/>
          <w:szCs w:val="22"/>
        </w:rPr>
        <w:t>ádosti</w:t>
      </w:r>
      <w:r w:rsidR="00571676" w:rsidRPr="001E38C7">
        <w:rPr>
          <w:rFonts w:ascii="Arial" w:hAnsi="Arial" w:cs="Arial"/>
          <w:sz w:val="22"/>
          <w:szCs w:val="22"/>
        </w:rPr>
        <w:t xml:space="preserve"> </w:t>
      </w:r>
      <w:r w:rsidR="00847929">
        <w:rPr>
          <w:rFonts w:ascii="Arial" w:hAnsi="Arial" w:cs="Arial"/>
          <w:sz w:val="22"/>
          <w:szCs w:val="22"/>
        </w:rPr>
        <w:t>M</w:t>
      </w:r>
      <w:r w:rsidR="00B66E9F">
        <w:rPr>
          <w:rFonts w:ascii="Arial" w:hAnsi="Arial" w:cs="Arial"/>
          <w:sz w:val="22"/>
          <w:szCs w:val="22"/>
        </w:rPr>
        <w:t>inisterstva průmyslu a </w:t>
      </w:r>
      <w:r w:rsidR="00847929">
        <w:rPr>
          <w:rFonts w:ascii="Arial" w:hAnsi="Arial" w:cs="Arial"/>
          <w:sz w:val="22"/>
          <w:szCs w:val="22"/>
        </w:rPr>
        <w:t xml:space="preserve">obchodu </w:t>
      </w:r>
      <w:r w:rsidR="00BE77A0">
        <w:rPr>
          <w:rFonts w:ascii="Arial" w:hAnsi="Arial" w:cs="Arial"/>
          <w:sz w:val="22"/>
          <w:szCs w:val="22"/>
        </w:rPr>
        <w:t>(dále jen „poskytovatel“)</w:t>
      </w:r>
      <w:r w:rsidR="00132384">
        <w:rPr>
          <w:rFonts w:ascii="Arial" w:hAnsi="Arial" w:cs="Arial"/>
          <w:sz w:val="22"/>
          <w:szCs w:val="22"/>
        </w:rPr>
        <w:t> </w:t>
      </w:r>
      <w:r w:rsidR="00766839">
        <w:rPr>
          <w:rFonts w:ascii="Arial" w:hAnsi="Arial" w:cs="Arial"/>
          <w:sz w:val="22"/>
          <w:szCs w:val="22"/>
        </w:rPr>
        <w:t xml:space="preserve">ze </w:t>
      </w:r>
      <w:r w:rsidR="00847929">
        <w:rPr>
          <w:rFonts w:ascii="Arial" w:hAnsi="Arial" w:cs="Arial"/>
          <w:sz w:val="22"/>
          <w:szCs w:val="22"/>
        </w:rPr>
        <w:t>dne 13. února 2024</w:t>
      </w:r>
      <w:r w:rsidR="00261F35">
        <w:rPr>
          <w:rFonts w:ascii="Arial" w:hAnsi="Arial" w:cs="Arial"/>
          <w:sz w:val="22"/>
          <w:szCs w:val="22"/>
        </w:rPr>
        <w:t>.</w:t>
      </w:r>
    </w:p>
    <w:p w14:paraId="24544F0C" w14:textId="77777777" w:rsidR="00BF1715" w:rsidRPr="00E57AEA" w:rsidRDefault="00BF1715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E57AEA">
        <w:rPr>
          <w:rFonts w:ascii="Arial" w:hAnsi="Arial" w:cs="Arial"/>
          <w:b/>
          <w:color w:val="0070C0"/>
          <w:sz w:val="28"/>
          <w:szCs w:val="28"/>
        </w:rPr>
        <w:t>Způsob projednání návrhu</w:t>
      </w:r>
    </w:p>
    <w:p w14:paraId="51693AA0" w14:textId="00604E39" w:rsidR="005116B5" w:rsidRPr="001E38C7" w:rsidRDefault="004D2D6C" w:rsidP="006A30ED">
      <w:pPr>
        <w:spacing w:after="120"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1E38C7">
        <w:rPr>
          <w:rFonts w:ascii="Arial" w:hAnsi="Arial" w:cs="Arial"/>
          <w:sz w:val="22"/>
          <w:szCs w:val="22"/>
        </w:rPr>
        <w:t>N</w:t>
      </w:r>
      <w:r w:rsidR="00492346" w:rsidRPr="001E38C7">
        <w:rPr>
          <w:rFonts w:ascii="Arial" w:hAnsi="Arial" w:cs="Arial"/>
          <w:sz w:val="22"/>
          <w:szCs w:val="22"/>
        </w:rPr>
        <w:t xml:space="preserve">ávrh byl projednán na </w:t>
      </w:r>
      <w:r w:rsidR="00DD35E9">
        <w:rPr>
          <w:rFonts w:ascii="Arial" w:hAnsi="Arial" w:cs="Arial"/>
          <w:sz w:val="22"/>
          <w:szCs w:val="22"/>
        </w:rPr>
        <w:t>399.</w:t>
      </w:r>
      <w:r w:rsidR="00E57AEA" w:rsidRPr="001E38C7">
        <w:rPr>
          <w:rFonts w:ascii="Arial" w:hAnsi="Arial" w:cs="Arial"/>
          <w:sz w:val="22"/>
          <w:szCs w:val="22"/>
        </w:rPr>
        <w:t xml:space="preserve"> </w:t>
      </w:r>
      <w:r w:rsidR="008F2B28" w:rsidRPr="001E38C7">
        <w:rPr>
          <w:rFonts w:ascii="Arial" w:hAnsi="Arial" w:cs="Arial"/>
          <w:sz w:val="22"/>
          <w:szCs w:val="22"/>
        </w:rPr>
        <w:t xml:space="preserve">zasedání Rady dne </w:t>
      </w:r>
      <w:r w:rsidR="00DD35E9">
        <w:rPr>
          <w:rFonts w:ascii="Arial" w:hAnsi="Arial" w:cs="Arial"/>
          <w:sz w:val="22"/>
          <w:szCs w:val="22"/>
        </w:rPr>
        <w:t>22. března</w:t>
      </w:r>
      <w:r w:rsidR="00847929">
        <w:rPr>
          <w:rFonts w:ascii="Arial" w:hAnsi="Arial" w:cs="Arial"/>
          <w:sz w:val="22"/>
          <w:szCs w:val="22"/>
        </w:rPr>
        <w:t xml:space="preserve"> 2024</w:t>
      </w:r>
      <w:r w:rsidR="00E57AEA" w:rsidRPr="001E38C7">
        <w:rPr>
          <w:rFonts w:ascii="Arial" w:hAnsi="Arial" w:cs="Arial"/>
          <w:sz w:val="22"/>
          <w:szCs w:val="22"/>
        </w:rPr>
        <w:t>.</w:t>
      </w:r>
    </w:p>
    <w:p w14:paraId="4CFAFFF7" w14:textId="77777777" w:rsidR="00B025F8" w:rsidRPr="00EE33FB" w:rsidRDefault="008F566B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B025F8">
        <w:rPr>
          <w:rFonts w:ascii="Arial" w:hAnsi="Arial" w:cs="Arial"/>
          <w:b/>
          <w:color w:val="0070C0"/>
          <w:sz w:val="28"/>
          <w:szCs w:val="28"/>
        </w:rPr>
        <w:t>P</w:t>
      </w:r>
      <w:r w:rsidR="00B025F8" w:rsidRPr="00B025F8">
        <w:rPr>
          <w:rFonts w:ascii="Arial" w:hAnsi="Arial" w:cs="Arial"/>
          <w:b/>
          <w:color w:val="0070C0"/>
          <w:sz w:val="28"/>
          <w:szCs w:val="28"/>
        </w:rPr>
        <w:t>rogram a jeho dosavadní</w:t>
      </w:r>
      <w:r w:rsidRPr="00B025F8">
        <w:rPr>
          <w:rFonts w:ascii="Arial" w:hAnsi="Arial" w:cs="Arial"/>
          <w:b/>
          <w:color w:val="0070C0"/>
          <w:sz w:val="28"/>
          <w:szCs w:val="28"/>
        </w:rPr>
        <w:t xml:space="preserve"> průběh</w:t>
      </w:r>
    </w:p>
    <w:p w14:paraId="7A35B343" w14:textId="77777777" w:rsidR="00847929" w:rsidRDefault="00847929" w:rsidP="006B0032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47929">
        <w:rPr>
          <w:rFonts w:ascii="Arial" w:hAnsi="Arial" w:cs="Arial"/>
          <w:sz w:val="22"/>
          <w:szCs w:val="22"/>
        </w:rPr>
        <w:t>Program byl schválen Usnesením vlády  č. 350 ze dne 20. května 2019.</w:t>
      </w:r>
    </w:p>
    <w:p w14:paraId="2A841C27" w14:textId="76BF2EA0" w:rsidR="00103A2C" w:rsidRPr="00103A2C" w:rsidRDefault="00DD35E9" w:rsidP="00103A2C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Hlavním cílem programu bylo</w:t>
      </w:r>
      <w:r w:rsidR="00103A2C" w:rsidRPr="00103A2C">
        <w:rPr>
          <w:rFonts w:ascii="Arial" w:hAnsi="Arial" w:cs="Arial"/>
          <w:sz w:val="22"/>
          <w:szCs w:val="22"/>
        </w:rPr>
        <w:t xml:space="preserve"> zvýšení mezinárodní konkurenceschopnosti podniků prostřednictvím propojení spolupráce mezi akademickou sférou, podnikatelským sektorem, inovačním prostředím a většího využití výsled</w:t>
      </w:r>
      <w:r w:rsidR="00103A2C">
        <w:rPr>
          <w:rFonts w:ascii="Arial" w:hAnsi="Arial" w:cs="Arial"/>
          <w:sz w:val="22"/>
          <w:szCs w:val="22"/>
        </w:rPr>
        <w:t>ků výzkumu a vývoje do praxe, a </w:t>
      </w:r>
      <w:r w:rsidR="00103A2C" w:rsidRPr="00103A2C">
        <w:rPr>
          <w:rFonts w:ascii="Arial" w:hAnsi="Arial" w:cs="Arial"/>
          <w:sz w:val="22"/>
          <w:szCs w:val="22"/>
        </w:rPr>
        <w:t xml:space="preserve">to včetně usnadnění vstupu na nové trhy či posunem výše v globálních hodnotových řetězcích. Program je zaměřen na řadu aktivit směřujících ke zvýšení inovační výkonnosti české ekonomiky. V souladu s vizí Inovační strategie České republiky 2019– 2030 je proto konečným cílem zařadit se mezi inovační lídry Evropy. Časově tak splnění tohoto cíle strategie koresponduje s plánovaným termínem hodnocením dopadů Programu v roce 2031. </w:t>
      </w:r>
    </w:p>
    <w:p w14:paraId="4A145B64" w14:textId="1E93E34F" w:rsidR="00643852" w:rsidRPr="00103A2C" w:rsidRDefault="00643852" w:rsidP="006B0032">
      <w:pPr>
        <w:spacing w:after="12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3A2C">
        <w:rPr>
          <w:rFonts w:ascii="Arial" w:hAnsi="Arial" w:cs="Arial"/>
          <w:b/>
          <w:sz w:val="22"/>
          <w:szCs w:val="22"/>
        </w:rPr>
        <w:t>Program má tři podprogramy:</w:t>
      </w:r>
    </w:p>
    <w:p w14:paraId="2CF887AD" w14:textId="2D84EDAB" w:rsidR="00103A2C" w:rsidRPr="00103A2C" w:rsidRDefault="00103A2C" w:rsidP="006A30ED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03A2C">
        <w:rPr>
          <w:rFonts w:ascii="Arial" w:hAnsi="Arial" w:cs="Arial"/>
          <w:sz w:val="22"/>
          <w:szCs w:val="22"/>
          <w:u w:val="single"/>
        </w:rPr>
        <w:t>Podprogram 1 „Start-</w:t>
      </w:r>
      <w:proofErr w:type="spellStart"/>
      <w:r w:rsidRPr="00103A2C">
        <w:rPr>
          <w:rFonts w:ascii="Arial" w:hAnsi="Arial" w:cs="Arial"/>
          <w:sz w:val="22"/>
          <w:szCs w:val="22"/>
          <w:u w:val="single"/>
        </w:rPr>
        <w:t>upy</w:t>
      </w:r>
      <w:proofErr w:type="spellEnd"/>
      <w:r w:rsidRPr="00103A2C">
        <w:rPr>
          <w:rFonts w:ascii="Arial" w:hAnsi="Arial" w:cs="Arial"/>
          <w:sz w:val="22"/>
          <w:szCs w:val="22"/>
          <w:u w:val="single"/>
        </w:rPr>
        <w:t>“</w:t>
      </w:r>
    </w:p>
    <w:p w14:paraId="7240E903" w14:textId="4A597162" w:rsidR="006A30ED" w:rsidRDefault="000E2DC0" w:rsidP="00103A2C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Smyslem podprogramu bylo</w:t>
      </w:r>
      <w:r w:rsidR="00103A2C" w:rsidRPr="00103A2C">
        <w:rPr>
          <w:rFonts w:ascii="Arial" w:hAnsi="Arial" w:cs="Arial"/>
          <w:sz w:val="22"/>
          <w:szCs w:val="22"/>
        </w:rPr>
        <w:t xml:space="preserve"> nastavit ucelenou pod</w:t>
      </w:r>
      <w:r>
        <w:rPr>
          <w:rFonts w:ascii="Arial" w:hAnsi="Arial" w:cs="Arial"/>
          <w:sz w:val="22"/>
          <w:szCs w:val="22"/>
        </w:rPr>
        <w:t>poru pro zakládání, rozvíjení a </w:t>
      </w:r>
      <w:r w:rsidR="00103A2C" w:rsidRPr="00103A2C">
        <w:rPr>
          <w:rFonts w:ascii="Arial" w:hAnsi="Arial" w:cs="Arial"/>
          <w:sz w:val="22"/>
          <w:szCs w:val="22"/>
        </w:rPr>
        <w:t xml:space="preserve">financování </w:t>
      </w:r>
      <w:proofErr w:type="spellStart"/>
      <w:r w:rsidR="00103A2C" w:rsidRPr="00103A2C">
        <w:rPr>
          <w:rFonts w:ascii="Arial" w:hAnsi="Arial" w:cs="Arial"/>
          <w:sz w:val="22"/>
          <w:szCs w:val="22"/>
        </w:rPr>
        <w:t>High</w:t>
      </w:r>
      <w:proofErr w:type="spellEnd"/>
      <w:r w:rsidR="00103A2C" w:rsidRPr="00103A2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3A2C" w:rsidRPr="00103A2C">
        <w:rPr>
          <w:rFonts w:ascii="Arial" w:hAnsi="Arial" w:cs="Arial"/>
          <w:sz w:val="22"/>
          <w:szCs w:val="22"/>
        </w:rPr>
        <w:t>potential</w:t>
      </w:r>
      <w:proofErr w:type="spellEnd"/>
      <w:r w:rsidR="00103A2C" w:rsidRPr="00103A2C">
        <w:rPr>
          <w:rFonts w:ascii="Arial" w:hAnsi="Arial" w:cs="Arial"/>
          <w:sz w:val="22"/>
          <w:szCs w:val="22"/>
        </w:rPr>
        <w:t xml:space="preserve"> start-up zaměřených na inovativní produkt či službu</w:t>
      </w:r>
      <w:r w:rsidR="00103A2C">
        <w:rPr>
          <w:rFonts w:ascii="Arial" w:hAnsi="Arial" w:cs="Arial"/>
          <w:sz w:val="22"/>
          <w:szCs w:val="22"/>
        </w:rPr>
        <w:t>.</w:t>
      </w:r>
      <w:r w:rsidR="00103A2C" w:rsidRPr="00103A2C">
        <w:t xml:space="preserve"> </w:t>
      </w:r>
      <w:r>
        <w:rPr>
          <w:rFonts w:ascii="Arial" w:hAnsi="Arial" w:cs="Arial"/>
          <w:sz w:val="22"/>
          <w:szCs w:val="22"/>
        </w:rPr>
        <w:t xml:space="preserve">V rámci podprogramu byla </w:t>
      </w:r>
      <w:r w:rsidR="00103A2C" w:rsidRPr="00103A2C">
        <w:rPr>
          <w:rFonts w:ascii="Arial" w:hAnsi="Arial" w:cs="Arial"/>
          <w:sz w:val="22"/>
          <w:szCs w:val="22"/>
        </w:rPr>
        <w:t xml:space="preserve">podpora </w:t>
      </w:r>
      <w:r>
        <w:rPr>
          <w:rFonts w:ascii="Arial" w:hAnsi="Arial" w:cs="Arial"/>
          <w:sz w:val="22"/>
          <w:szCs w:val="22"/>
        </w:rPr>
        <w:t xml:space="preserve">určena </w:t>
      </w:r>
      <w:r w:rsidR="00103A2C" w:rsidRPr="00103A2C">
        <w:rPr>
          <w:rFonts w:ascii="Arial" w:hAnsi="Arial" w:cs="Arial"/>
          <w:sz w:val="22"/>
          <w:szCs w:val="22"/>
        </w:rPr>
        <w:t>pro rozvoj st</w:t>
      </w:r>
      <w:r w:rsidR="00103A2C">
        <w:rPr>
          <w:rFonts w:ascii="Arial" w:hAnsi="Arial" w:cs="Arial"/>
          <w:sz w:val="22"/>
          <w:szCs w:val="22"/>
        </w:rPr>
        <w:t>art-</w:t>
      </w:r>
      <w:proofErr w:type="spellStart"/>
      <w:r w:rsidR="00103A2C">
        <w:rPr>
          <w:rFonts w:ascii="Arial" w:hAnsi="Arial" w:cs="Arial"/>
          <w:sz w:val="22"/>
          <w:szCs w:val="22"/>
        </w:rPr>
        <w:t>upů</w:t>
      </w:r>
      <w:proofErr w:type="spellEnd"/>
      <w:r w:rsidR="00103A2C">
        <w:rPr>
          <w:rFonts w:ascii="Arial" w:hAnsi="Arial" w:cs="Arial"/>
          <w:sz w:val="22"/>
          <w:szCs w:val="22"/>
        </w:rPr>
        <w:t xml:space="preserve"> v tematicky zaměřených </w:t>
      </w:r>
      <w:r w:rsidR="00103A2C" w:rsidRPr="00103A2C">
        <w:rPr>
          <w:rFonts w:ascii="Arial" w:hAnsi="Arial" w:cs="Arial"/>
          <w:sz w:val="22"/>
          <w:szCs w:val="22"/>
        </w:rPr>
        <w:t>projektech, tzv. “technologických inkubačních center”, podporuj</w:t>
      </w:r>
      <w:r>
        <w:rPr>
          <w:rFonts w:ascii="Arial" w:hAnsi="Arial" w:cs="Arial"/>
          <w:sz w:val="22"/>
          <w:szCs w:val="22"/>
        </w:rPr>
        <w:t>ící start-</w:t>
      </w:r>
      <w:proofErr w:type="spellStart"/>
      <w:r>
        <w:rPr>
          <w:rFonts w:ascii="Arial" w:hAnsi="Arial" w:cs="Arial"/>
          <w:sz w:val="22"/>
          <w:szCs w:val="22"/>
        </w:rPr>
        <w:t>upy</w:t>
      </w:r>
      <w:proofErr w:type="spellEnd"/>
      <w:r>
        <w:rPr>
          <w:rFonts w:ascii="Arial" w:hAnsi="Arial" w:cs="Arial"/>
          <w:sz w:val="22"/>
          <w:szCs w:val="22"/>
        </w:rPr>
        <w:t xml:space="preserve"> v </w:t>
      </w:r>
      <w:r w:rsidR="00103A2C">
        <w:rPr>
          <w:rFonts w:ascii="Arial" w:hAnsi="Arial" w:cs="Arial"/>
          <w:sz w:val="22"/>
          <w:szCs w:val="22"/>
        </w:rPr>
        <w:t xml:space="preserve">perspektivních </w:t>
      </w:r>
      <w:r w:rsidR="00103A2C" w:rsidRPr="00103A2C">
        <w:rPr>
          <w:rFonts w:ascii="Arial" w:hAnsi="Arial" w:cs="Arial"/>
          <w:sz w:val="22"/>
          <w:szCs w:val="22"/>
        </w:rPr>
        <w:t>technologiích</w:t>
      </w:r>
      <w:r w:rsidR="00103A2C">
        <w:rPr>
          <w:rFonts w:ascii="Arial" w:hAnsi="Arial" w:cs="Arial"/>
          <w:sz w:val="22"/>
          <w:szCs w:val="22"/>
        </w:rPr>
        <w:t>.</w:t>
      </w:r>
    </w:p>
    <w:p w14:paraId="6FD4A47F" w14:textId="17F32585" w:rsidR="00103A2C" w:rsidRPr="00103A2C" w:rsidRDefault="00103A2C" w:rsidP="00103A2C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Podprogram 2 „Digitální lídři“</w:t>
      </w:r>
    </w:p>
    <w:p w14:paraId="59310D88" w14:textId="57F2988C" w:rsidR="00103A2C" w:rsidRPr="00103A2C" w:rsidRDefault="00103A2C" w:rsidP="00103A2C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03A2C">
        <w:rPr>
          <w:rFonts w:ascii="Arial" w:hAnsi="Arial" w:cs="Arial"/>
          <w:sz w:val="22"/>
          <w:szCs w:val="22"/>
        </w:rPr>
        <w:t xml:space="preserve">Cílem podprogramu byla podpora vzniku Digital </w:t>
      </w:r>
      <w:proofErr w:type="spellStart"/>
      <w:r w:rsidRPr="00103A2C">
        <w:rPr>
          <w:rFonts w:ascii="Arial" w:hAnsi="Arial" w:cs="Arial"/>
          <w:sz w:val="22"/>
          <w:szCs w:val="22"/>
        </w:rPr>
        <w:t>Innovation</w:t>
      </w:r>
      <w:proofErr w:type="spellEnd"/>
      <w:r w:rsidRPr="00103A2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03A2C">
        <w:rPr>
          <w:rFonts w:ascii="Arial" w:hAnsi="Arial" w:cs="Arial"/>
          <w:sz w:val="22"/>
          <w:szCs w:val="22"/>
        </w:rPr>
        <w:t>Hubs</w:t>
      </w:r>
      <w:proofErr w:type="spellEnd"/>
      <w:r w:rsidRPr="00103A2C">
        <w:rPr>
          <w:rFonts w:ascii="Arial" w:hAnsi="Arial" w:cs="Arial"/>
          <w:sz w:val="22"/>
          <w:szCs w:val="22"/>
        </w:rPr>
        <w:t>(DIH) a rozvoje jejich služeb podle potřeb strategie Digitální Česko. Podprogram měl podporovat synerg</w:t>
      </w:r>
      <w:r w:rsidR="000E2DC0">
        <w:rPr>
          <w:rFonts w:ascii="Arial" w:hAnsi="Arial" w:cs="Arial"/>
          <w:sz w:val="22"/>
          <w:szCs w:val="22"/>
        </w:rPr>
        <w:t>ické a </w:t>
      </w:r>
      <w:r>
        <w:rPr>
          <w:rFonts w:ascii="Arial" w:hAnsi="Arial" w:cs="Arial"/>
          <w:sz w:val="22"/>
          <w:szCs w:val="22"/>
        </w:rPr>
        <w:t xml:space="preserve">komplementární aktivity </w:t>
      </w:r>
      <w:r w:rsidRPr="00103A2C">
        <w:rPr>
          <w:rFonts w:ascii="Arial" w:hAnsi="Arial" w:cs="Arial"/>
          <w:sz w:val="22"/>
          <w:szCs w:val="22"/>
        </w:rPr>
        <w:t xml:space="preserve">k připravovanému programu Digital </w:t>
      </w:r>
      <w:proofErr w:type="spellStart"/>
      <w:r w:rsidRPr="00103A2C">
        <w:rPr>
          <w:rFonts w:ascii="Arial" w:hAnsi="Arial" w:cs="Arial"/>
          <w:sz w:val="22"/>
          <w:szCs w:val="22"/>
        </w:rPr>
        <w:t>Europe</w:t>
      </w:r>
      <w:proofErr w:type="spellEnd"/>
      <w:r w:rsidRPr="00103A2C">
        <w:rPr>
          <w:rFonts w:ascii="Arial" w:hAnsi="Arial" w:cs="Arial"/>
          <w:sz w:val="22"/>
          <w:szCs w:val="22"/>
        </w:rPr>
        <w:t>.</w:t>
      </w:r>
    </w:p>
    <w:p w14:paraId="0C6733B1" w14:textId="0C18733E" w:rsidR="00103A2C" w:rsidRDefault="00103A2C" w:rsidP="00103A2C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03A2C">
        <w:rPr>
          <w:rFonts w:ascii="Arial" w:hAnsi="Arial" w:cs="Arial"/>
          <w:sz w:val="22"/>
          <w:szCs w:val="22"/>
        </w:rPr>
        <w:t>S ohledem na možnost realizace v rámci Národního plánu obnovy ČR</w:t>
      </w:r>
      <w:r>
        <w:rPr>
          <w:rFonts w:ascii="Arial" w:hAnsi="Arial" w:cs="Arial"/>
          <w:sz w:val="22"/>
          <w:szCs w:val="22"/>
        </w:rPr>
        <w:t xml:space="preserve"> a využití prostředků RRF bylo </w:t>
      </w:r>
      <w:r w:rsidRPr="00103A2C">
        <w:rPr>
          <w:rFonts w:ascii="Arial" w:hAnsi="Arial" w:cs="Arial"/>
          <w:sz w:val="22"/>
          <w:szCs w:val="22"/>
        </w:rPr>
        <w:t xml:space="preserve">rozhodnuto o realizaci příslušných aktivit mimo Program a Podprogram </w:t>
      </w:r>
      <w:r>
        <w:rPr>
          <w:rFonts w:ascii="Arial" w:hAnsi="Arial" w:cs="Arial"/>
          <w:sz w:val="22"/>
          <w:szCs w:val="22"/>
        </w:rPr>
        <w:t xml:space="preserve">2 „Digitální lídři“ tak zůstane </w:t>
      </w:r>
      <w:r w:rsidRPr="00103A2C">
        <w:rPr>
          <w:rFonts w:ascii="Arial" w:hAnsi="Arial" w:cs="Arial"/>
          <w:sz w:val="22"/>
          <w:szCs w:val="22"/>
        </w:rPr>
        <w:t>nerealizován.</w:t>
      </w:r>
    </w:p>
    <w:p w14:paraId="2109DBDB" w14:textId="6AC83E45" w:rsidR="00103A2C" w:rsidRPr="00790116" w:rsidRDefault="00790116" w:rsidP="00103A2C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790116">
        <w:rPr>
          <w:rFonts w:ascii="Arial" w:hAnsi="Arial" w:cs="Arial"/>
          <w:sz w:val="22"/>
          <w:szCs w:val="22"/>
          <w:u w:val="single"/>
        </w:rPr>
        <w:t>Podprogram 3 „Inovace do praxe“</w:t>
      </w:r>
    </w:p>
    <w:p w14:paraId="661DAEF7" w14:textId="5B41CD8B" w:rsidR="00103A2C" w:rsidRDefault="00790116" w:rsidP="00790116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90116">
        <w:rPr>
          <w:rFonts w:ascii="Arial" w:hAnsi="Arial" w:cs="Arial"/>
          <w:sz w:val="22"/>
          <w:szCs w:val="22"/>
        </w:rPr>
        <w:t xml:space="preserve">Tento podprogram </w:t>
      </w:r>
      <w:r w:rsidR="000E2DC0">
        <w:rPr>
          <w:rFonts w:ascii="Arial" w:hAnsi="Arial" w:cs="Arial"/>
          <w:sz w:val="22"/>
          <w:szCs w:val="22"/>
        </w:rPr>
        <w:t>měl za cíl reagovat</w:t>
      </w:r>
      <w:r w:rsidRPr="00790116">
        <w:rPr>
          <w:rFonts w:ascii="Arial" w:hAnsi="Arial" w:cs="Arial"/>
          <w:sz w:val="22"/>
          <w:szCs w:val="22"/>
        </w:rPr>
        <w:t xml:space="preserve"> na masivní podporu projektů aplikovaného výzkumu v minulých letech i zahájení činnosti mnoha výzkumných organiza</w:t>
      </w:r>
      <w:r>
        <w:rPr>
          <w:rFonts w:ascii="Arial" w:hAnsi="Arial" w:cs="Arial"/>
          <w:sz w:val="22"/>
          <w:szCs w:val="22"/>
        </w:rPr>
        <w:t>cí a výzkumných infrastruktur a </w:t>
      </w:r>
      <w:r w:rsidR="000E2DC0">
        <w:rPr>
          <w:rFonts w:ascii="Arial" w:hAnsi="Arial" w:cs="Arial"/>
          <w:sz w:val="22"/>
          <w:szCs w:val="22"/>
        </w:rPr>
        <w:t>nabídnout</w:t>
      </w:r>
      <w:r w:rsidRPr="00790116">
        <w:rPr>
          <w:rFonts w:ascii="Arial" w:hAnsi="Arial" w:cs="Arial"/>
          <w:sz w:val="22"/>
          <w:szCs w:val="22"/>
        </w:rPr>
        <w:t xml:space="preserve"> motivaci pro využití výsledků těchto aktivit. Podpora poskytovaná </w:t>
      </w:r>
      <w:r w:rsidR="000E2DC0">
        <w:rPr>
          <w:rFonts w:ascii="Arial" w:hAnsi="Arial" w:cs="Arial"/>
          <w:sz w:val="22"/>
          <w:szCs w:val="22"/>
        </w:rPr>
        <w:lastRenderedPageBreak/>
        <w:t xml:space="preserve">v podprogramu </w:t>
      </w:r>
      <w:r w:rsidRPr="00790116">
        <w:rPr>
          <w:rFonts w:ascii="Arial" w:hAnsi="Arial" w:cs="Arial"/>
          <w:sz w:val="22"/>
          <w:szCs w:val="22"/>
        </w:rPr>
        <w:t>měla být</w:t>
      </w:r>
      <w:r>
        <w:rPr>
          <w:rFonts w:ascii="Arial" w:hAnsi="Arial" w:cs="Arial"/>
          <w:sz w:val="22"/>
          <w:szCs w:val="22"/>
        </w:rPr>
        <w:t xml:space="preserve"> nahrazena financováním z ESIF fondů</w:t>
      </w:r>
      <w:r w:rsidRPr="00790116">
        <w:rPr>
          <w:rFonts w:ascii="Arial" w:hAnsi="Arial" w:cs="Arial"/>
          <w:sz w:val="22"/>
          <w:szCs w:val="22"/>
        </w:rPr>
        <w:t xml:space="preserve"> po roce 2022, proto </w:t>
      </w:r>
      <w:r w:rsidR="000E2DC0">
        <w:rPr>
          <w:rFonts w:ascii="Arial" w:hAnsi="Arial" w:cs="Arial"/>
          <w:sz w:val="22"/>
          <w:szCs w:val="22"/>
        </w:rPr>
        <w:t>se počítalo</w:t>
      </w:r>
      <w:r w:rsidRPr="00790116">
        <w:rPr>
          <w:rFonts w:ascii="Arial" w:hAnsi="Arial" w:cs="Arial"/>
          <w:sz w:val="22"/>
          <w:szCs w:val="22"/>
        </w:rPr>
        <w:t xml:space="preserve"> se zahajování</w:t>
      </w:r>
      <w:r>
        <w:rPr>
          <w:rFonts w:ascii="Arial" w:hAnsi="Arial" w:cs="Arial"/>
          <w:sz w:val="22"/>
          <w:szCs w:val="22"/>
        </w:rPr>
        <w:t xml:space="preserve">m projektů k podpoře především </w:t>
      </w:r>
      <w:r w:rsidRPr="00790116">
        <w:rPr>
          <w:rFonts w:ascii="Arial" w:hAnsi="Arial" w:cs="Arial"/>
          <w:sz w:val="22"/>
          <w:szCs w:val="22"/>
        </w:rPr>
        <w:t>v letech 2020, 2021 a 2022.</w:t>
      </w:r>
    </w:p>
    <w:p w14:paraId="7CAB92F7" w14:textId="38C63586" w:rsidR="00790116" w:rsidRPr="00EE33FB" w:rsidRDefault="00790116" w:rsidP="00790116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všech podprogramů se nepodařilo naplnit očekávané cíle, a proto se poskytovatel rozhodl k níže uvedeným změnám.</w:t>
      </w:r>
    </w:p>
    <w:p w14:paraId="3F381DFD" w14:textId="77777777" w:rsidR="00BF1715" w:rsidRPr="008F566B" w:rsidRDefault="001E518C" w:rsidP="006B0032">
      <w:pPr>
        <w:pStyle w:val="Odstavecseseznamem"/>
        <w:numPr>
          <w:ilvl w:val="0"/>
          <w:numId w:val="2"/>
        </w:numPr>
        <w:spacing w:after="120" w:line="276" w:lineRule="auto"/>
        <w:ind w:left="1077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8F566B">
        <w:rPr>
          <w:rFonts w:ascii="Arial" w:hAnsi="Arial" w:cs="Arial"/>
          <w:b/>
          <w:color w:val="0070C0"/>
          <w:sz w:val="28"/>
          <w:szCs w:val="28"/>
        </w:rPr>
        <w:t>Navrhované změny a jejich s</w:t>
      </w:r>
      <w:r w:rsidR="00BF1715" w:rsidRPr="008F566B">
        <w:rPr>
          <w:rFonts w:ascii="Arial" w:hAnsi="Arial" w:cs="Arial"/>
          <w:b/>
          <w:color w:val="0070C0"/>
          <w:sz w:val="28"/>
          <w:szCs w:val="28"/>
        </w:rPr>
        <w:t>oulad se zákonem o podpoře výzkumu, experimentálního vývoje a inovací</w:t>
      </w:r>
    </w:p>
    <w:p w14:paraId="66E33D29" w14:textId="273A56D3" w:rsidR="00E7659E" w:rsidRDefault="008F2B28" w:rsidP="006B0032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E33FB">
        <w:rPr>
          <w:rFonts w:ascii="Arial" w:hAnsi="Arial" w:cs="Arial"/>
          <w:sz w:val="22"/>
          <w:szCs w:val="22"/>
        </w:rPr>
        <w:t xml:space="preserve">Rada hodnotí náležitosti </w:t>
      </w:r>
      <w:r w:rsidR="00A513E5">
        <w:rPr>
          <w:rFonts w:ascii="Arial" w:hAnsi="Arial" w:cs="Arial"/>
          <w:sz w:val="22"/>
          <w:szCs w:val="22"/>
        </w:rPr>
        <w:t>ná</w:t>
      </w:r>
      <w:r w:rsidRPr="00EE33FB">
        <w:rPr>
          <w:rFonts w:ascii="Arial" w:hAnsi="Arial" w:cs="Arial"/>
          <w:sz w:val="22"/>
          <w:szCs w:val="22"/>
        </w:rPr>
        <w:t xml:space="preserve">vrhu na </w:t>
      </w:r>
      <w:r w:rsidR="00A92BF6" w:rsidRPr="00EE33FB">
        <w:rPr>
          <w:rFonts w:ascii="Arial" w:hAnsi="Arial" w:cs="Arial"/>
          <w:sz w:val="22"/>
          <w:szCs w:val="22"/>
        </w:rPr>
        <w:t>změnu</w:t>
      </w:r>
      <w:r w:rsidRPr="00EE33FB">
        <w:rPr>
          <w:rFonts w:ascii="Arial" w:hAnsi="Arial" w:cs="Arial"/>
          <w:sz w:val="22"/>
          <w:szCs w:val="22"/>
        </w:rPr>
        <w:t xml:space="preserve"> Programu</w:t>
      </w:r>
      <w:r w:rsidR="004D2D6C" w:rsidRPr="00EE33FB">
        <w:rPr>
          <w:rFonts w:ascii="Arial" w:hAnsi="Arial" w:cs="Arial"/>
          <w:sz w:val="22"/>
          <w:szCs w:val="22"/>
        </w:rPr>
        <w:t xml:space="preserve"> ve smyslu § 5 odst. 3</w:t>
      </w:r>
      <w:r w:rsidR="007E65F4" w:rsidRPr="00EE33FB">
        <w:rPr>
          <w:rFonts w:ascii="Arial" w:hAnsi="Arial" w:cs="Arial"/>
          <w:sz w:val="22"/>
          <w:szCs w:val="22"/>
        </w:rPr>
        <w:t> </w:t>
      </w:r>
      <w:r w:rsidR="004D2D6C" w:rsidRPr="00EE33FB">
        <w:rPr>
          <w:rFonts w:ascii="Arial" w:hAnsi="Arial" w:cs="Arial"/>
          <w:sz w:val="22"/>
          <w:szCs w:val="22"/>
        </w:rPr>
        <w:t>zákona č.</w:t>
      </w:r>
      <w:r w:rsidR="00B02709">
        <w:rPr>
          <w:rFonts w:ascii="Arial" w:hAnsi="Arial" w:cs="Arial"/>
          <w:sz w:val="22"/>
          <w:szCs w:val="22"/>
        </w:rPr>
        <w:t> </w:t>
      </w:r>
      <w:r w:rsidR="004D2D6C" w:rsidRPr="00EE33FB">
        <w:rPr>
          <w:rFonts w:ascii="Arial" w:hAnsi="Arial" w:cs="Arial"/>
          <w:sz w:val="22"/>
          <w:szCs w:val="22"/>
        </w:rPr>
        <w:t>130/2002 Sb., o podpoře výzkumu, experimentálního vývoje a inovací z veřejných prostředků a o změně některých souvisejících zákonů (dále jen „</w:t>
      </w:r>
      <w:r w:rsidR="00650EE6">
        <w:rPr>
          <w:rFonts w:ascii="Arial" w:hAnsi="Arial" w:cs="Arial"/>
          <w:sz w:val="22"/>
          <w:szCs w:val="22"/>
        </w:rPr>
        <w:t>Zákon</w:t>
      </w:r>
      <w:r w:rsidR="004D2D6C" w:rsidRPr="00EE33FB">
        <w:rPr>
          <w:rFonts w:ascii="Arial" w:hAnsi="Arial" w:cs="Arial"/>
          <w:sz w:val="22"/>
          <w:szCs w:val="22"/>
        </w:rPr>
        <w:t>“)</w:t>
      </w:r>
      <w:r w:rsidR="00A92BF6" w:rsidRPr="00EE33FB">
        <w:rPr>
          <w:rFonts w:ascii="Arial" w:hAnsi="Arial" w:cs="Arial"/>
          <w:sz w:val="22"/>
          <w:szCs w:val="22"/>
        </w:rPr>
        <w:t xml:space="preserve">. </w:t>
      </w:r>
    </w:p>
    <w:p w14:paraId="093D7129" w14:textId="77777777" w:rsidR="00847929" w:rsidRPr="00847929" w:rsidRDefault="00847929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47929">
        <w:rPr>
          <w:rFonts w:ascii="Arial" w:hAnsi="Arial" w:cs="Arial"/>
          <w:sz w:val="22"/>
          <w:szCs w:val="22"/>
        </w:rPr>
        <w:t>Předkládaná změna spočívá zejména v následujících úpravách jednotlivých podprogramů:</w:t>
      </w:r>
    </w:p>
    <w:p w14:paraId="152AF6AF" w14:textId="7EAE1A66" w:rsidR="00847929" w:rsidRPr="00847929" w:rsidRDefault="00847929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47929">
        <w:rPr>
          <w:rFonts w:ascii="Arial" w:hAnsi="Arial" w:cs="Arial"/>
          <w:sz w:val="22"/>
          <w:szCs w:val="22"/>
        </w:rPr>
        <w:t>Podprogram 1 „Start-</w:t>
      </w:r>
      <w:proofErr w:type="spellStart"/>
      <w:r w:rsidRPr="00847929">
        <w:rPr>
          <w:rFonts w:ascii="Arial" w:hAnsi="Arial" w:cs="Arial"/>
          <w:sz w:val="22"/>
          <w:szCs w:val="22"/>
        </w:rPr>
        <w:t>upy</w:t>
      </w:r>
      <w:proofErr w:type="spellEnd"/>
      <w:r w:rsidRPr="00847929">
        <w:rPr>
          <w:rFonts w:ascii="Arial" w:hAnsi="Arial" w:cs="Arial"/>
          <w:sz w:val="22"/>
          <w:szCs w:val="22"/>
        </w:rPr>
        <w:t xml:space="preserve">“, který měl původně plnit dva cíle realizované dvěma systémovými projekty v oblasti inovací podle § 2 odst. 2 písm. i) </w:t>
      </w:r>
      <w:r w:rsidR="00650EE6">
        <w:rPr>
          <w:rFonts w:ascii="Arial" w:hAnsi="Arial" w:cs="Arial"/>
          <w:sz w:val="22"/>
          <w:szCs w:val="22"/>
        </w:rPr>
        <w:t>Z</w:t>
      </w:r>
      <w:r w:rsidRPr="00847929">
        <w:rPr>
          <w:rFonts w:ascii="Arial" w:hAnsi="Arial" w:cs="Arial"/>
          <w:sz w:val="22"/>
          <w:szCs w:val="22"/>
        </w:rPr>
        <w:t xml:space="preserve">ákona, je realizován pouze jedním systémovým projektem Technologická </w:t>
      </w:r>
      <w:r w:rsidR="00650EE6">
        <w:rPr>
          <w:rFonts w:ascii="Arial" w:hAnsi="Arial" w:cs="Arial"/>
          <w:sz w:val="22"/>
          <w:szCs w:val="22"/>
        </w:rPr>
        <w:t>inkubace start-</w:t>
      </w:r>
      <w:proofErr w:type="spellStart"/>
      <w:r w:rsidR="00650EE6">
        <w:rPr>
          <w:rFonts w:ascii="Arial" w:hAnsi="Arial" w:cs="Arial"/>
          <w:sz w:val="22"/>
          <w:szCs w:val="22"/>
        </w:rPr>
        <w:t>upů</w:t>
      </w:r>
      <w:proofErr w:type="spellEnd"/>
      <w:r w:rsidR="00650EE6">
        <w:rPr>
          <w:rFonts w:ascii="Arial" w:hAnsi="Arial" w:cs="Arial"/>
          <w:sz w:val="22"/>
          <w:szCs w:val="22"/>
        </w:rPr>
        <w:t xml:space="preserve"> zaměřeným na </w:t>
      </w:r>
      <w:r w:rsidRPr="00847929">
        <w:rPr>
          <w:rFonts w:ascii="Arial" w:hAnsi="Arial" w:cs="Arial"/>
          <w:sz w:val="22"/>
          <w:szCs w:val="22"/>
        </w:rPr>
        <w:t>podporu vzniku a rozvoje start-</w:t>
      </w:r>
      <w:proofErr w:type="spellStart"/>
      <w:r w:rsidRPr="00847929">
        <w:rPr>
          <w:rFonts w:ascii="Arial" w:hAnsi="Arial" w:cs="Arial"/>
          <w:sz w:val="22"/>
          <w:szCs w:val="22"/>
        </w:rPr>
        <w:t>upů</w:t>
      </w:r>
      <w:proofErr w:type="spellEnd"/>
      <w:r w:rsidRPr="00847929">
        <w:rPr>
          <w:rFonts w:ascii="Arial" w:hAnsi="Arial" w:cs="Arial"/>
          <w:sz w:val="22"/>
          <w:szCs w:val="22"/>
        </w:rPr>
        <w:t xml:space="preserve"> v definovaných technologických oblastech. Původně plánovaná druhá aktivita zaměřená na podporu internacionalizace start-</w:t>
      </w:r>
      <w:proofErr w:type="spellStart"/>
      <w:r w:rsidRPr="00847929">
        <w:rPr>
          <w:rFonts w:ascii="Arial" w:hAnsi="Arial" w:cs="Arial"/>
          <w:sz w:val="22"/>
          <w:szCs w:val="22"/>
        </w:rPr>
        <w:t>upů</w:t>
      </w:r>
      <w:proofErr w:type="spellEnd"/>
      <w:r w:rsidRPr="00847929">
        <w:rPr>
          <w:rFonts w:ascii="Arial" w:hAnsi="Arial" w:cs="Arial"/>
          <w:sz w:val="22"/>
          <w:szCs w:val="22"/>
        </w:rPr>
        <w:t xml:space="preserve"> realizována nebyla, především proto, že byla následně zařazena do Národního plánu obnovy (dále jen „NPO“), komponenty 1.4 Digitální ekonomika a společnost, inovativní start-</w:t>
      </w:r>
      <w:proofErr w:type="spellStart"/>
      <w:r w:rsidRPr="00847929">
        <w:rPr>
          <w:rFonts w:ascii="Arial" w:hAnsi="Arial" w:cs="Arial"/>
          <w:sz w:val="22"/>
          <w:szCs w:val="22"/>
        </w:rPr>
        <w:t>upy</w:t>
      </w:r>
      <w:proofErr w:type="spellEnd"/>
      <w:r w:rsidRPr="00847929">
        <w:rPr>
          <w:rFonts w:ascii="Arial" w:hAnsi="Arial" w:cs="Arial"/>
          <w:sz w:val="22"/>
          <w:szCs w:val="22"/>
        </w:rPr>
        <w:t xml:space="preserve"> a nové technologie a bude realizována mimo režim </w:t>
      </w:r>
      <w:r w:rsidR="00650EE6">
        <w:rPr>
          <w:rFonts w:ascii="Arial" w:hAnsi="Arial" w:cs="Arial"/>
          <w:sz w:val="22"/>
          <w:szCs w:val="22"/>
        </w:rPr>
        <w:t>Z</w:t>
      </w:r>
      <w:r w:rsidRPr="00847929">
        <w:rPr>
          <w:rFonts w:ascii="Arial" w:hAnsi="Arial" w:cs="Arial"/>
          <w:sz w:val="22"/>
          <w:szCs w:val="22"/>
        </w:rPr>
        <w:t>ákona.</w:t>
      </w:r>
    </w:p>
    <w:p w14:paraId="2C464150" w14:textId="3312BCEF" w:rsidR="00847929" w:rsidRPr="00847929" w:rsidRDefault="00847929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47929">
        <w:rPr>
          <w:rFonts w:ascii="Arial" w:hAnsi="Arial" w:cs="Arial"/>
          <w:sz w:val="22"/>
          <w:szCs w:val="22"/>
        </w:rPr>
        <w:t xml:space="preserve">Podprogram 2 „Digitální lídři“ zaměřený na podporu vzniku a rozvoje digitálních inovačních </w:t>
      </w:r>
      <w:proofErr w:type="spellStart"/>
      <w:r w:rsidRPr="00847929">
        <w:rPr>
          <w:rFonts w:ascii="Arial" w:hAnsi="Arial" w:cs="Arial"/>
          <w:sz w:val="22"/>
          <w:szCs w:val="22"/>
        </w:rPr>
        <w:t>hubů</w:t>
      </w:r>
      <w:proofErr w:type="spellEnd"/>
      <w:r w:rsidRPr="00847929">
        <w:rPr>
          <w:rFonts w:ascii="Arial" w:hAnsi="Arial" w:cs="Arial"/>
          <w:sz w:val="22"/>
          <w:szCs w:val="22"/>
        </w:rPr>
        <w:t xml:space="preserve"> není a nebude v rámci Programu realizován. Kofinancování těchto projektů podpořených z programu Digitální Evropa ze zdrojů Evropské unie je realizováno v rámci NPO v komponentě 1.5 Digitální transformace podniků mimo režim </w:t>
      </w:r>
      <w:r w:rsidR="00650EE6">
        <w:rPr>
          <w:rFonts w:ascii="Arial" w:hAnsi="Arial" w:cs="Arial"/>
          <w:sz w:val="22"/>
          <w:szCs w:val="22"/>
        </w:rPr>
        <w:t>Zákona</w:t>
      </w:r>
      <w:r w:rsidRPr="00847929">
        <w:rPr>
          <w:rFonts w:ascii="Arial" w:hAnsi="Arial" w:cs="Arial"/>
          <w:sz w:val="22"/>
          <w:szCs w:val="22"/>
        </w:rPr>
        <w:t xml:space="preserve">. </w:t>
      </w:r>
    </w:p>
    <w:p w14:paraId="1E445436" w14:textId="77777777" w:rsidR="00847929" w:rsidRPr="00847929" w:rsidRDefault="00847929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47929">
        <w:rPr>
          <w:rFonts w:ascii="Arial" w:hAnsi="Arial" w:cs="Arial"/>
          <w:sz w:val="22"/>
          <w:szCs w:val="22"/>
        </w:rPr>
        <w:t xml:space="preserve">Podprogram 3 „Inovace do praxe“ je realizován v původně zamýšlené podobě, pouze došlo ke zpoždění harmonogramu čerpání a celkový objem podpory bude snížen. Mezi faktory, které tuto změnu ovlivnily, patří i pandemie COVID-19, neboť zahájení podprogramu spadalo právě do tohoto období a celý Program jí byl významně ovlivněn, mj. realizací jedné veřejné soutěže zaměřené explicitně na řešení pro boj s pandemií či obdobnými hrozbami do budoucna. Realizaci tohoto podprogramu ovlivnilo i vyhlašování veřejných soutěží zaměřených výhradně na digitální cíle v rámci NPO, komponenty 5.2 Podpora výzkumu a vývoje v podnicích a zavádění inovací do podnikové praxe. Další souvislosti jsou uvedeny v Průběžné zprávě o realizaci Programu. </w:t>
      </w:r>
    </w:p>
    <w:p w14:paraId="3E5F4D4C" w14:textId="7ADF5800" w:rsidR="00847929" w:rsidRPr="00847929" w:rsidRDefault="00847929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47929">
        <w:rPr>
          <w:rFonts w:ascii="Arial" w:hAnsi="Arial" w:cs="Arial"/>
          <w:sz w:val="22"/>
          <w:szCs w:val="22"/>
        </w:rPr>
        <w:t xml:space="preserve">Hlavním důvodem </w:t>
      </w:r>
      <w:r w:rsidR="00650EE6">
        <w:rPr>
          <w:rFonts w:ascii="Arial" w:hAnsi="Arial" w:cs="Arial"/>
          <w:sz w:val="22"/>
          <w:szCs w:val="22"/>
        </w:rPr>
        <w:t>(</w:t>
      </w:r>
      <w:r w:rsidR="000E2DC0">
        <w:rPr>
          <w:rFonts w:ascii="Arial" w:hAnsi="Arial" w:cs="Arial"/>
          <w:sz w:val="22"/>
          <w:szCs w:val="22"/>
        </w:rPr>
        <w:t>dle poskytovatele</w:t>
      </w:r>
      <w:r w:rsidR="00650EE6">
        <w:rPr>
          <w:rFonts w:ascii="Arial" w:hAnsi="Arial" w:cs="Arial"/>
          <w:sz w:val="22"/>
          <w:szCs w:val="22"/>
        </w:rPr>
        <w:t>)</w:t>
      </w:r>
      <w:r w:rsidR="000E2DC0">
        <w:rPr>
          <w:rFonts w:ascii="Arial" w:hAnsi="Arial" w:cs="Arial"/>
          <w:sz w:val="22"/>
          <w:szCs w:val="22"/>
        </w:rPr>
        <w:t xml:space="preserve"> </w:t>
      </w:r>
      <w:r w:rsidRPr="00847929">
        <w:rPr>
          <w:rFonts w:ascii="Arial" w:hAnsi="Arial" w:cs="Arial"/>
          <w:sz w:val="22"/>
          <w:szCs w:val="22"/>
        </w:rPr>
        <w:t xml:space="preserve">pro výše uvedené změny </w:t>
      </w:r>
      <w:r w:rsidR="000E2DC0">
        <w:rPr>
          <w:rFonts w:ascii="Arial" w:hAnsi="Arial" w:cs="Arial"/>
          <w:sz w:val="22"/>
          <w:szCs w:val="22"/>
        </w:rPr>
        <w:t>je fakt, že zatím nedošlo k </w:t>
      </w:r>
      <w:r w:rsidRPr="00847929">
        <w:rPr>
          <w:rFonts w:ascii="Arial" w:hAnsi="Arial" w:cs="Arial"/>
          <w:sz w:val="22"/>
          <w:szCs w:val="22"/>
        </w:rPr>
        <w:t xml:space="preserve">potřebné změně </w:t>
      </w:r>
      <w:r w:rsidR="00650EE6">
        <w:rPr>
          <w:rFonts w:ascii="Arial" w:hAnsi="Arial" w:cs="Arial"/>
          <w:sz w:val="22"/>
          <w:szCs w:val="22"/>
        </w:rPr>
        <w:t>Z</w:t>
      </w:r>
      <w:r w:rsidRPr="00847929">
        <w:rPr>
          <w:rFonts w:ascii="Arial" w:hAnsi="Arial" w:cs="Arial"/>
          <w:sz w:val="22"/>
          <w:szCs w:val="22"/>
        </w:rPr>
        <w:t xml:space="preserve">ákona, se kterou bylo již při přípravě Programu počítáno </w:t>
      </w:r>
      <w:r w:rsidR="00650EE6">
        <w:rPr>
          <w:rFonts w:ascii="Arial" w:hAnsi="Arial" w:cs="Arial"/>
          <w:sz w:val="22"/>
          <w:szCs w:val="22"/>
        </w:rPr>
        <w:t xml:space="preserve">a </w:t>
      </w:r>
      <w:r w:rsidRPr="00847929">
        <w:rPr>
          <w:rFonts w:ascii="Arial" w:hAnsi="Arial" w:cs="Arial"/>
          <w:sz w:val="22"/>
          <w:szCs w:val="22"/>
        </w:rPr>
        <w:t>která by zavedla pružnější a vhodnější pravidla pro financování inovací a dalších aktivit směřujících k podpoře inovačního podnikání. Z toho důvodu poskytovatel</w:t>
      </w:r>
      <w:r w:rsidR="00650EE6">
        <w:rPr>
          <w:rFonts w:ascii="Arial" w:hAnsi="Arial" w:cs="Arial"/>
          <w:sz w:val="22"/>
          <w:szCs w:val="22"/>
        </w:rPr>
        <w:t xml:space="preserve"> vyhodnotil realizaci aktivit v </w:t>
      </w:r>
      <w:r w:rsidRPr="00847929">
        <w:rPr>
          <w:rFonts w:ascii="Arial" w:hAnsi="Arial" w:cs="Arial"/>
          <w:sz w:val="22"/>
          <w:szCs w:val="22"/>
        </w:rPr>
        <w:t>podprogramech 1 a 2 jako příliš rizikovou, administ</w:t>
      </w:r>
      <w:r w:rsidR="00650EE6">
        <w:rPr>
          <w:rFonts w:ascii="Arial" w:hAnsi="Arial" w:cs="Arial"/>
          <w:sz w:val="22"/>
          <w:szCs w:val="22"/>
        </w:rPr>
        <w:t>rativně náročnou a nevhodnou, a </w:t>
      </w:r>
      <w:r w:rsidRPr="00847929">
        <w:rPr>
          <w:rFonts w:ascii="Arial" w:hAnsi="Arial" w:cs="Arial"/>
          <w:sz w:val="22"/>
          <w:szCs w:val="22"/>
        </w:rPr>
        <w:t>zajistil pro jejich financování jiné zdroje než program výzkumu, vývoje a inovací, především pak NPO.</w:t>
      </w:r>
    </w:p>
    <w:p w14:paraId="286A1B1A" w14:textId="77777777" w:rsidR="007575C1" w:rsidRDefault="00847929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47929">
        <w:rPr>
          <w:rFonts w:ascii="Arial" w:hAnsi="Arial" w:cs="Arial"/>
          <w:sz w:val="22"/>
          <w:szCs w:val="22"/>
        </w:rPr>
        <w:t xml:space="preserve">Předkládaná změna </w:t>
      </w:r>
      <w:r w:rsidR="007575C1">
        <w:rPr>
          <w:rFonts w:ascii="Arial" w:hAnsi="Arial" w:cs="Arial"/>
          <w:sz w:val="22"/>
          <w:szCs w:val="22"/>
        </w:rPr>
        <w:t>má dopad na rozpočet Programu, kdy dojde ke</w:t>
      </w:r>
      <w:r w:rsidRPr="00847929">
        <w:rPr>
          <w:rFonts w:ascii="Arial" w:hAnsi="Arial" w:cs="Arial"/>
          <w:sz w:val="22"/>
          <w:szCs w:val="22"/>
        </w:rPr>
        <w:t xml:space="preserve"> snížení celkového plánovaného objemu podpory z</w:t>
      </w:r>
      <w:r w:rsidR="007575C1">
        <w:rPr>
          <w:rFonts w:ascii="Arial" w:hAnsi="Arial" w:cs="Arial"/>
          <w:sz w:val="22"/>
          <w:szCs w:val="22"/>
        </w:rPr>
        <w:t>e státního rozpočtu</w:t>
      </w:r>
      <w:r w:rsidRPr="00847929">
        <w:rPr>
          <w:rFonts w:ascii="Arial" w:hAnsi="Arial" w:cs="Arial"/>
          <w:sz w:val="22"/>
          <w:szCs w:val="22"/>
        </w:rPr>
        <w:t xml:space="preserve"> z 6 100 mil. Kč na 2 </w:t>
      </w:r>
      <w:r w:rsidR="007575C1">
        <w:rPr>
          <w:rFonts w:ascii="Arial" w:hAnsi="Arial" w:cs="Arial"/>
          <w:sz w:val="22"/>
          <w:szCs w:val="22"/>
        </w:rPr>
        <w:t>669</w:t>
      </w:r>
      <w:r w:rsidRPr="00847929">
        <w:rPr>
          <w:rFonts w:ascii="Arial" w:hAnsi="Arial" w:cs="Arial"/>
          <w:sz w:val="22"/>
          <w:szCs w:val="22"/>
        </w:rPr>
        <w:t xml:space="preserve"> mil.</w:t>
      </w:r>
      <w:r w:rsidR="007575C1">
        <w:rPr>
          <w:rFonts w:ascii="Arial" w:hAnsi="Arial" w:cs="Arial"/>
          <w:sz w:val="22"/>
          <w:szCs w:val="22"/>
        </w:rPr>
        <w:t> </w:t>
      </w:r>
      <w:r w:rsidRPr="00847929">
        <w:rPr>
          <w:rFonts w:ascii="Arial" w:hAnsi="Arial" w:cs="Arial"/>
          <w:sz w:val="22"/>
          <w:szCs w:val="22"/>
        </w:rPr>
        <w:t xml:space="preserve">Kč. </w:t>
      </w:r>
    </w:p>
    <w:p w14:paraId="1249054E" w14:textId="6072BDC5" w:rsidR="006211A9" w:rsidRDefault="007575C1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této souvislosti dochází i ke změnám stanovených indikátorů</w:t>
      </w:r>
      <w:r w:rsidR="006211A9">
        <w:rPr>
          <w:rFonts w:ascii="Arial" w:hAnsi="Arial" w:cs="Arial"/>
          <w:sz w:val="22"/>
          <w:szCs w:val="22"/>
        </w:rPr>
        <w:t>, viz níže uvedené tabulky.</w:t>
      </w:r>
    </w:p>
    <w:p w14:paraId="2CE72255" w14:textId="77777777" w:rsidR="006211A9" w:rsidRDefault="006211A9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7AEF0D5A" w14:textId="0A226831" w:rsidR="006211A9" w:rsidRDefault="006211A9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211A9">
        <w:rPr>
          <w:rFonts w:ascii="Arial" w:hAnsi="Arial" w:cs="Arial"/>
          <w:i/>
          <w:sz w:val="22"/>
          <w:szCs w:val="22"/>
        </w:rPr>
        <w:lastRenderedPageBreak/>
        <w:t>Tabulka č. 1 - základní indikátory výstupů (</w:t>
      </w:r>
      <w:r w:rsidRPr="006211A9">
        <w:rPr>
          <w:rFonts w:ascii="Arial" w:hAnsi="Arial" w:cs="Arial"/>
          <w:b/>
          <w:i/>
          <w:sz w:val="22"/>
          <w:szCs w:val="22"/>
        </w:rPr>
        <w:t>platné znění Programu</w:t>
      </w:r>
      <w:r w:rsidRPr="006211A9">
        <w:rPr>
          <w:rFonts w:ascii="Arial" w:hAnsi="Arial" w:cs="Arial"/>
          <w:i/>
          <w:sz w:val="22"/>
          <w:szCs w:val="22"/>
        </w:rPr>
        <w:t>)</w:t>
      </w:r>
      <w:r w:rsidRPr="006211A9">
        <w:rPr>
          <w:rFonts w:ascii="Arial" w:hAnsi="Arial" w:cs="Arial"/>
          <w:i/>
          <w:sz w:val="22"/>
          <w:szCs w:val="22"/>
        </w:rPr>
        <w:cr/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F87CE69" wp14:editId="1493C87B">
            <wp:extent cx="5749925" cy="3050540"/>
            <wp:effectExtent l="0" t="0" r="317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22157" w14:textId="7922DD54" w:rsidR="006211A9" w:rsidRDefault="006211A9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211A9">
        <w:rPr>
          <w:rFonts w:ascii="Arial" w:hAnsi="Arial" w:cs="Arial"/>
          <w:i/>
          <w:sz w:val="22"/>
          <w:szCs w:val="22"/>
        </w:rPr>
        <w:t xml:space="preserve">Tabulka č. </w:t>
      </w:r>
      <w:r>
        <w:rPr>
          <w:rFonts w:ascii="Arial" w:hAnsi="Arial" w:cs="Arial"/>
          <w:i/>
          <w:sz w:val="22"/>
          <w:szCs w:val="22"/>
        </w:rPr>
        <w:t>2</w:t>
      </w:r>
      <w:r w:rsidRPr="006211A9">
        <w:rPr>
          <w:rFonts w:ascii="Arial" w:hAnsi="Arial" w:cs="Arial"/>
          <w:i/>
          <w:sz w:val="22"/>
          <w:szCs w:val="22"/>
        </w:rPr>
        <w:t xml:space="preserve"> - základní indikátory výstupů (</w:t>
      </w:r>
      <w:r w:rsidRPr="006211A9">
        <w:rPr>
          <w:rFonts w:ascii="Arial" w:hAnsi="Arial" w:cs="Arial"/>
          <w:b/>
          <w:i/>
          <w:sz w:val="22"/>
          <w:szCs w:val="22"/>
        </w:rPr>
        <w:t>navrhované znění Programu</w:t>
      </w:r>
      <w:r w:rsidRPr="006211A9">
        <w:rPr>
          <w:rFonts w:ascii="Arial" w:hAnsi="Arial" w:cs="Arial"/>
          <w:i/>
          <w:sz w:val="22"/>
          <w:szCs w:val="22"/>
        </w:rPr>
        <w:t>)</w:t>
      </w:r>
      <w:r w:rsidRPr="006211A9">
        <w:rPr>
          <w:rFonts w:ascii="Arial" w:hAnsi="Arial" w:cs="Arial"/>
          <w:i/>
          <w:sz w:val="22"/>
          <w:szCs w:val="22"/>
        </w:rPr>
        <w:cr/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8FE7156" wp14:editId="023382CF">
            <wp:extent cx="5749925" cy="2604135"/>
            <wp:effectExtent l="0" t="0" r="3175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60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5207E" w14:textId="3A2E037F" w:rsidR="00847929" w:rsidRPr="00847929" w:rsidRDefault="00847929" w:rsidP="0084792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47929">
        <w:rPr>
          <w:rFonts w:ascii="Arial" w:hAnsi="Arial" w:cs="Arial"/>
          <w:sz w:val="22"/>
          <w:szCs w:val="22"/>
        </w:rPr>
        <w:t>V</w:t>
      </w:r>
      <w:r w:rsidR="007575C1">
        <w:rPr>
          <w:rFonts w:ascii="Arial" w:hAnsi="Arial" w:cs="Arial"/>
          <w:sz w:val="22"/>
          <w:szCs w:val="22"/>
        </w:rPr>
        <w:t> </w:t>
      </w:r>
      <w:r w:rsidRPr="00847929">
        <w:rPr>
          <w:rFonts w:ascii="Arial" w:hAnsi="Arial" w:cs="Arial"/>
          <w:sz w:val="22"/>
          <w:szCs w:val="22"/>
        </w:rPr>
        <w:t>rámci Programu již byly vyhlášeny a</w:t>
      </w:r>
      <w:r w:rsidR="00790116">
        <w:rPr>
          <w:rFonts w:ascii="Arial" w:hAnsi="Arial" w:cs="Arial"/>
          <w:sz w:val="22"/>
          <w:szCs w:val="22"/>
        </w:rPr>
        <w:t> </w:t>
      </w:r>
      <w:r w:rsidRPr="00847929">
        <w:rPr>
          <w:rFonts w:ascii="Arial" w:hAnsi="Arial" w:cs="Arial"/>
          <w:sz w:val="22"/>
          <w:szCs w:val="22"/>
        </w:rPr>
        <w:t>vyhodnoceny všechny plánované veřejné soutěže, žádné nové projekty již podpořeny nebudou.</w:t>
      </w:r>
    </w:p>
    <w:p w14:paraId="69DE3032" w14:textId="48EDA32D" w:rsidR="00AD70B0" w:rsidRDefault="00AD70B0" w:rsidP="006B0032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7038A">
        <w:rPr>
          <w:rFonts w:ascii="Arial" w:hAnsi="Arial" w:cs="Arial"/>
          <w:sz w:val="22"/>
          <w:szCs w:val="22"/>
        </w:rPr>
        <w:t>Ostatní podmínky Programu se nemění.</w:t>
      </w:r>
    </w:p>
    <w:p w14:paraId="5F99CE5C" w14:textId="77777777" w:rsidR="00650EE6" w:rsidRDefault="00650EE6" w:rsidP="006B0032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73725158" w14:textId="77777777" w:rsidR="00734EE9" w:rsidRPr="005116B5" w:rsidRDefault="0026521D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5116B5">
        <w:rPr>
          <w:rFonts w:ascii="Arial" w:hAnsi="Arial" w:cs="Arial"/>
          <w:b/>
          <w:color w:val="0070C0"/>
          <w:sz w:val="28"/>
          <w:szCs w:val="28"/>
        </w:rPr>
        <w:t xml:space="preserve">Vyjádření Komise </w:t>
      </w:r>
      <w:r w:rsidR="005257D1" w:rsidRPr="005116B5">
        <w:rPr>
          <w:rFonts w:ascii="Arial" w:hAnsi="Arial" w:cs="Arial"/>
          <w:b/>
          <w:color w:val="0070C0"/>
          <w:sz w:val="28"/>
          <w:szCs w:val="28"/>
        </w:rPr>
        <w:t>pro ho</w:t>
      </w:r>
      <w:r w:rsidR="005116B5">
        <w:rPr>
          <w:rFonts w:ascii="Arial" w:hAnsi="Arial" w:cs="Arial"/>
          <w:b/>
          <w:color w:val="0070C0"/>
          <w:sz w:val="28"/>
          <w:szCs w:val="28"/>
        </w:rPr>
        <w:t>dnocení výzkumných organizací a </w:t>
      </w:r>
      <w:r w:rsidR="005257D1" w:rsidRPr="005116B5">
        <w:rPr>
          <w:rFonts w:ascii="Arial" w:hAnsi="Arial" w:cs="Arial"/>
          <w:b/>
          <w:color w:val="0070C0"/>
          <w:sz w:val="28"/>
          <w:szCs w:val="28"/>
        </w:rPr>
        <w:t>ukončených programů</w:t>
      </w:r>
    </w:p>
    <w:p w14:paraId="2AC07277" w14:textId="49BEF29B" w:rsidR="005116B5" w:rsidRPr="005B3127" w:rsidRDefault="0026521D" w:rsidP="005B3127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Program byl podle Postupu Rady při hodnocení návrhů programů účelové podpory a skupin grant</w:t>
      </w:r>
      <w:r w:rsidR="00643852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ových projektů </w:t>
      </w:r>
      <w:r w:rsidR="0015414E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(</w:t>
      </w:r>
      <w:r w:rsidR="00643852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schváleném </w:t>
      </w:r>
      <w:r w:rsidR="00823255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351. zasedání </w:t>
      </w:r>
      <w:r w:rsidR="004D31CB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dne 29. listopadu 2019</w:t>
      </w:r>
      <w:r w:rsidR="0015414E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</w:t>
      </w:r>
      <w:r w:rsidR="004D31CB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15414E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projednán</w:t>
      </w:r>
      <w:r w:rsidR="00823255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dne </w:t>
      </w:r>
      <w:r w:rsidR="005B31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4. března 2024. </w:t>
      </w:r>
      <w:r w:rsidR="00823255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Komis</w:t>
      </w:r>
      <w:r w:rsidR="0015414E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í</w:t>
      </w:r>
      <w:r w:rsidR="00823255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 ho</w:t>
      </w:r>
      <w:r w:rsidR="009E5DA7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dnocení výzkumných organizací a </w:t>
      </w:r>
      <w:r w:rsidR="00823255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ukon</w:t>
      </w:r>
      <w:r w:rsidR="004D31CB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čených programů</w:t>
      </w:r>
      <w:r w:rsidR="0015414E" w:rsidRPr="007901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(dále jen „KHV</w:t>
      </w:r>
      <w:r w:rsidR="0015414E" w:rsidRPr="005B31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“)</w:t>
      </w:r>
      <w:r w:rsidR="00823255" w:rsidRPr="005B31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="004D31CB" w:rsidRPr="005B31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B3127" w:rsidRPr="005B31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KHV v</w:t>
      </w:r>
      <w:r w:rsidR="00650EE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 svém vyjádření konstatuje, že </w:t>
      </w:r>
      <w:r w:rsidR="005B3127" w:rsidRPr="005B31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navrhované změny jsou jas</w:t>
      </w:r>
      <w:r w:rsidR="005B31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ně vysvětleny a nemá ke změně programu</w:t>
      </w:r>
      <w:r w:rsidR="005B3127" w:rsidRPr="005B31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připomínky</w:t>
      </w:r>
      <w:r w:rsidR="005B31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33F406F0" w14:textId="77777777" w:rsidR="00BA3F02" w:rsidRDefault="00BA3F02" w:rsidP="006B0032">
      <w:pPr>
        <w:pStyle w:val="Odstavecseseznamem"/>
        <w:numPr>
          <w:ilvl w:val="0"/>
          <w:numId w:val="2"/>
        </w:numPr>
        <w:spacing w:after="120" w:line="276" w:lineRule="auto"/>
        <w:ind w:left="1077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BA3F02">
        <w:rPr>
          <w:rFonts w:ascii="Arial" w:hAnsi="Arial" w:cs="Arial"/>
          <w:b/>
          <w:color w:val="0070C0"/>
          <w:sz w:val="28"/>
          <w:szCs w:val="28"/>
        </w:rPr>
        <w:lastRenderedPageBreak/>
        <w:t>Hodnocení návrhu na změnu Programu Radou</w:t>
      </w:r>
    </w:p>
    <w:p w14:paraId="33BAF882" w14:textId="5B26BBD8" w:rsidR="008B6EE7" w:rsidRPr="001E26B9" w:rsidRDefault="008B6EE7" w:rsidP="006B0032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5761E">
        <w:rPr>
          <w:rFonts w:ascii="Arial" w:hAnsi="Arial" w:cs="Arial"/>
          <w:sz w:val="22"/>
          <w:szCs w:val="22"/>
        </w:rPr>
        <w:t xml:space="preserve">Hodnocený návrh na změnu Programu </w:t>
      </w:r>
      <w:r w:rsidR="00E5761E" w:rsidRPr="00E5761E">
        <w:rPr>
          <w:rFonts w:ascii="Arial" w:hAnsi="Arial" w:cs="Arial"/>
          <w:sz w:val="22"/>
          <w:szCs w:val="22"/>
        </w:rPr>
        <w:t>má své důvodové opodstatnění a navrhované změny jsou v návrhu dostatečně vysvětleny.</w:t>
      </w:r>
    </w:p>
    <w:p w14:paraId="26DC6C78" w14:textId="77777777" w:rsidR="002B1A47" w:rsidRPr="001E26B9" w:rsidRDefault="00BA3F02" w:rsidP="006B0032">
      <w:pPr>
        <w:pStyle w:val="Odstavecseseznamem1"/>
        <w:keepNext/>
        <w:tabs>
          <w:tab w:val="left" w:pos="851"/>
          <w:tab w:val="left" w:pos="1260"/>
        </w:tabs>
        <w:spacing w:after="120"/>
        <w:ind w:left="357"/>
        <w:contextualSpacing w:val="0"/>
        <w:jc w:val="both"/>
        <w:rPr>
          <w:rFonts w:ascii="Arial" w:hAnsi="Arial" w:cs="Arial"/>
        </w:rPr>
      </w:pPr>
      <w:r w:rsidRPr="001E26B9">
        <w:rPr>
          <w:rFonts w:ascii="Arial" w:hAnsi="Arial" w:cs="Arial"/>
        </w:rPr>
        <w:t xml:space="preserve">Program je v souladu s Národní politikou výzkumu, vývoje a </w:t>
      </w:r>
      <w:r w:rsidR="00D2180B">
        <w:rPr>
          <w:rFonts w:ascii="Arial" w:hAnsi="Arial" w:cs="Arial"/>
        </w:rPr>
        <w:t>inovací České republiky 2021+.</w:t>
      </w:r>
      <w:r w:rsidRPr="001E26B9">
        <w:rPr>
          <w:rFonts w:ascii="Arial" w:hAnsi="Arial" w:cs="Arial"/>
        </w:rPr>
        <w:t xml:space="preserve"> </w:t>
      </w:r>
    </w:p>
    <w:p w14:paraId="7139F7E1" w14:textId="66AF7527" w:rsidR="00BF1715" w:rsidRPr="004D31CB" w:rsidRDefault="002B1A47" w:rsidP="006B0032">
      <w:pPr>
        <w:pStyle w:val="Odstavecseseznamem"/>
        <w:numPr>
          <w:ilvl w:val="0"/>
          <w:numId w:val="2"/>
        </w:numPr>
        <w:spacing w:after="120" w:line="276" w:lineRule="auto"/>
        <w:ind w:left="1077"/>
        <w:contextualSpacing w:val="0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4D31CB">
        <w:rPr>
          <w:rFonts w:ascii="Arial" w:hAnsi="Arial" w:cs="Arial"/>
          <w:b/>
          <w:color w:val="0070C0"/>
          <w:sz w:val="28"/>
          <w:szCs w:val="28"/>
        </w:rPr>
        <w:t>P</w:t>
      </w:r>
      <w:r w:rsidR="00713576" w:rsidRPr="004D31CB">
        <w:rPr>
          <w:rFonts w:ascii="Arial" w:hAnsi="Arial" w:cs="Arial"/>
          <w:b/>
          <w:color w:val="0070C0"/>
          <w:sz w:val="28"/>
          <w:szCs w:val="28"/>
        </w:rPr>
        <w:t>řipomínky</w:t>
      </w:r>
      <w:r w:rsidRPr="004D31CB">
        <w:rPr>
          <w:rFonts w:ascii="Arial" w:hAnsi="Arial" w:cs="Arial"/>
          <w:b/>
          <w:color w:val="0070C0"/>
          <w:sz w:val="28"/>
          <w:szCs w:val="28"/>
        </w:rPr>
        <w:t xml:space="preserve"> Rady</w:t>
      </w:r>
    </w:p>
    <w:p w14:paraId="07FF5B8F" w14:textId="7C30E9E5" w:rsidR="00303A3E" w:rsidRPr="00303A3E" w:rsidRDefault="00303A3E" w:rsidP="00303A3E">
      <w:pPr>
        <w:pStyle w:val="Odstavecseseznamem"/>
        <w:spacing w:after="120" w:line="276" w:lineRule="auto"/>
        <w:ind w:left="42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303A3E">
        <w:rPr>
          <w:rFonts w:ascii="Arial" w:hAnsi="Arial" w:cs="Arial"/>
          <w:b/>
          <w:sz w:val="22"/>
          <w:szCs w:val="22"/>
        </w:rPr>
        <w:t>Zásadní připomínka k financování Programu:</w:t>
      </w:r>
    </w:p>
    <w:p w14:paraId="6A6828B5" w14:textId="77777777" w:rsidR="00303A3E" w:rsidRDefault="00303A3E" w:rsidP="00650EE6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ohledem na výše uvedené skutečnosti navrhuje MPO snížení celkových výdajů na Program. Původně schválená částka celkových výdajů ze SR ve výši 6 100 mil. Kč se sníží na 2 669 mil. Kč, tedy o 3 431 mil. Kč. Nově jsou navrhovány následující alokace celkových výdajů na Program (v mil. Kč):</w:t>
      </w:r>
    </w:p>
    <w:tbl>
      <w:tblPr>
        <w:tblW w:w="906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851"/>
        <w:gridCol w:w="850"/>
        <w:gridCol w:w="851"/>
        <w:gridCol w:w="850"/>
        <w:gridCol w:w="851"/>
        <w:gridCol w:w="850"/>
        <w:gridCol w:w="851"/>
        <w:gridCol w:w="708"/>
        <w:gridCol w:w="848"/>
      </w:tblGrid>
      <w:tr w:rsidR="004F251A" w:rsidRPr="00303A3E" w14:paraId="2861DEB4" w14:textId="77777777" w:rsidTr="004F251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8EE8497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16170B8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22E10D9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C490BAE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951EA8D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6A019FC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711AE91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C62B83C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2429B2E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0481531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celkem</w:t>
            </w:r>
          </w:p>
        </w:tc>
      </w:tr>
      <w:tr w:rsidR="004F251A" w:rsidRPr="00303A3E" w14:paraId="769B0235" w14:textId="77777777" w:rsidTr="004F251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7A6E" w14:textId="1A6B20BD" w:rsidR="00303A3E" w:rsidRPr="00650EE6" w:rsidRDefault="00303A3E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Výdaje ze SR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A9C08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0E972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278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98B513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434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75AB6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FFCE5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707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58B93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445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84A96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24192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A5926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2 669</w:t>
            </w:r>
          </w:p>
        </w:tc>
      </w:tr>
      <w:tr w:rsidR="004F251A" w:rsidRPr="00303A3E" w14:paraId="3A9F4E39" w14:textId="77777777" w:rsidTr="004F251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B1C0" w14:textId="022812FB" w:rsidR="00303A3E" w:rsidRPr="00650EE6" w:rsidRDefault="00303A3E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Celkové výdaje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EE64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2B6D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556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B7CF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755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F576B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963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967D4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1 204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1268D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D6DA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F24B1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5652" w14:textId="77777777" w:rsidR="00303A3E" w:rsidRPr="00650EE6" w:rsidRDefault="00303A3E">
            <w:pPr>
              <w:spacing w:before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50E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4 480</w:t>
            </w:r>
          </w:p>
        </w:tc>
      </w:tr>
    </w:tbl>
    <w:p w14:paraId="0C88B0A9" w14:textId="77777777" w:rsidR="00303A3E" w:rsidRDefault="00303A3E" w:rsidP="00303A3E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14:paraId="72EDEF99" w14:textId="77777777" w:rsidR="00303A3E" w:rsidRPr="00650EE6" w:rsidRDefault="00303A3E" w:rsidP="00650EE6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50EE6">
        <w:rPr>
          <w:rFonts w:ascii="Arial" w:hAnsi="Arial" w:cs="Arial"/>
          <w:sz w:val="22"/>
          <w:szCs w:val="22"/>
        </w:rPr>
        <w:t>MPO uvádí, že v rámci Programu již byly vyhlášeny a vyhodnoceny všechny plánované veřejné soutěže, žádné nové projekty již podpořeny nebudou.</w:t>
      </w:r>
    </w:p>
    <w:p w14:paraId="2D0DC73B" w14:textId="57BD7226" w:rsidR="00303A3E" w:rsidRPr="00650EE6" w:rsidRDefault="00303A3E" w:rsidP="00650EE6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50EE6">
        <w:rPr>
          <w:rFonts w:ascii="Arial" w:hAnsi="Arial" w:cs="Arial"/>
          <w:sz w:val="22"/>
          <w:szCs w:val="22"/>
        </w:rPr>
        <w:t xml:space="preserve">Dle zákona o SR na r. 2024 a ve schváleném střednědobém výhledu má MPO schválené celkové výdaje na účelovou podporu (tj. na </w:t>
      </w:r>
      <w:r w:rsidR="00650EE6" w:rsidRPr="00650EE6">
        <w:rPr>
          <w:rFonts w:ascii="Arial" w:hAnsi="Arial" w:cs="Arial"/>
          <w:sz w:val="22"/>
          <w:szCs w:val="22"/>
        </w:rPr>
        <w:t>P</w:t>
      </w:r>
      <w:r w:rsidRPr="00650EE6">
        <w:rPr>
          <w:rFonts w:ascii="Arial" w:hAnsi="Arial" w:cs="Arial"/>
          <w:sz w:val="22"/>
          <w:szCs w:val="22"/>
        </w:rPr>
        <w:t>rogram) v letech 2024-2026 ve výši 708 mil. Kč ročně. Je proto třeba v návrhu výdajů na VaVaI na období 2025+, který je v současné době Radou připravován, zohlednit navrhovanou změnu Programu.</w:t>
      </w:r>
    </w:p>
    <w:p w14:paraId="04A0E5A6" w14:textId="2C428729" w:rsidR="00303A3E" w:rsidRPr="00650EE6" w:rsidRDefault="00303A3E" w:rsidP="00650EE6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50EE6">
        <w:rPr>
          <w:rFonts w:ascii="Arial" w:hAnsi="Arial" w:cs="Arial"/>
          <w:sz w:val="22"/>
          <w:szCs w:val="22"/>
        </w:rPr>
        <w:t>MPO nicméně současně připravilo</w:t>
      </w:r>
      <w:r w:rsidR="00650EE6" w:rsidRPr="00650EE6">
        <w:rPr>
          <w:rFonts w:ascii="Arial" w:hAnsi="Arial" w:cs="Arial"/>
          <w:sz w:val="22"/>
          <w:szCs w:val="22"/>
        </w:rPr>
        <w:t xml:space="preserve"> návrh</w:t>
      </w:r>
      <w:r w:rsidRPr="00650EE6">
        <w:rPr>
          <w:rFonts w:ascii="Arial" w:hAnsi="Arial" w:cs="Arial"/>
          <w:sz w:val="22"/>
          <w:szCs w:val="22"/>
        </w:rPr>
        <w:t xml:space="preserve"> nov</w:t>
      </w:r>
      <w:r w:rsidR="00650EE6" w:rsidRPr="00650EE6">
        <w:rPr>
          <w:rFonts w:ascii="Arial" w:hAnsi="Arial" w:cs="Arial"/>
          <w:sz w:val="22"/>
          <w:szCs w:val="22"/>
        </w:rPr>
        <w:t>ého</w:t>
      </w:r>
      <w:r w:rsidRPr="00650EE6">
        <w:rPr>
          <w:rFonts w:ascii="Arial" w:hAnsi="Arial" w:cs="Arial"/>
          <w:sz w:val="22"/>
          <w:szCs w:val="22"/>
        </w:rPr>
        <w:t xml:space="preserve"> program</w:t>
      </w:r>
      <w:r w:rsidR="00650EE6" w:rsidRPr="00650EE6">
        <w:rPr>
          <w:rFonts w:ascii="Arial" w:hAnsi="Arial" w:cs="Arial"/>
          <w:sz w:val="22"/>
          <w:szCs w:val="22"/>
        </w:rPr>
        <w:t>u</w:t>
      </w:r>
      <w:r w:rsidRPr="00650EE6">
        <w:rPr>
          <w:rFonts w:ascii="Arial" w:hAnsi="Arial" w:cs="Arial"/>
          <w:sz w:val="22"/>
          <w:szCs w:val="22"/>
        </w:rPr>
        <w:t xml:space="preserve"> VaVaI „TWIST“ (Transfer, Výzkum, Vývoj a Inovace pro Strategické Technologie) s dobou trvání 1. 1. 2025 - 31.</w:t>
      </w:r>
      <w:r w:rsidR="00650EE6" w:rsidRPr="00650EE6">
        <w:rPr>
          <w:rFonts w:ascii="Arial" w:hAnsi="Arial" w:cs="Arial"/>
          <w:sz w:val="22"/>
          <w:szCs w:val="22"/>
        </w:rPr>
        <w:t> </w:t>
      </w:r>
      <w:r w:rsidRPr="00650EE6">
        <w:rPr>
          <w:rFonts w:ascii="Arial" w:hAnsi="Arial" w:cs="Arial"/>
          <w:sz w:val="22"/>
          <w:szCs w:val="22"/>
        </w:rPr>
        <w:t xml:space="preserve">12. 2031, který také zaslalo Radě ke Stanovisku. Záměrem je nahradit snížení výdajů na </w:t>
      </w:r>
      <w:r w:rsidR="00650EE6" w:rsidRPr="00650EE6">
        <w:rPr>
          <w:rFonts w:ascii="Arial" w:hAnsi="Arial" w:cs="Arial"/>
          <w:sz w:val="22"/>
          <w:szCs w:val="22"/>
        </w:rPr>
        <w:t>Program</w:t>
      </w:r>
      <w:r w:rsidRPr="00650EE6">
        <w:rPr>
          <w:rFonts w:ascii="Arial" w:hAnsi="Arial" w:cs="Arial"/>
          <w:sz w:val="22"/>
          <w:szCs w:val="22"/>
        </w:rPr>
        <w:t xml:space="preserve"> výdaji na nový program TWIST v přibližně stejné výši již od roku 2025, nedošlo by tak k výraznější změně celkové výše účelové podpory MPO schválené ve střednědobém výhledu.</w:t>
      </w:r>
    </w:p>
    <w:p w14:paraId="2B96C229" w14:textId="16A3E88B" w:rsidR="00303A3E" w:rsidRPr="00650EE6" w:rsidRDefault="00303A3E" w:rsidP="00650EE6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50EE6">
        <w:rPr>
          <w:rFonts w:ascii="Arial" w:hAnsi="Arial" w:cs="Arial"/>
          <w:sz w:val="22"/>
          <w:szCs w:val="22"/>
        </w:rPr>
        <w:t xml:space="preserve">Rada upozorňuje na riziko, že nedojde ke včasnému schválení změny Programu i navrhovaného nového programu TWIST vládou tak, aby mohly být oba požadavky zahrnuty do návrhu výdajů na VaVaI na období 2025+, který Rada v současné době připravuje. </w:t>
      </w:r>
    </w:p>
    <w:p w14:paraId="51A362DB" w14:textId="77777777" w:rsidR="00303A3E" w:rsidRPr="00650EE6" w:rsidRDefault="00303A3E" w:rsidP="00650EE6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50EE6">
        <w:rPr>
          <w:rFonts w:ascii="Arial" w:hAnsi="Arial" w:cs="Arial"/>
          <w:sz w:val="22"/>
          <w:szCs w:val="22"/>
        </w:rPr>
        <w:t>V případě, že nový program TWIST nebude vládou schválen v dostatečném časovém předstihu před schválením finálního návrhu výdajů na VaVaI na období 2025+, je ke zvážení „použít“ částku, o kterou budou sníženy výdaje ze SR na program CFF v letech 2025-2026, na pokrytí nadpožadavků v programu TREND administrovaném TA ČR.</w:t>
      </w:r>
    </w:p>
    <w:p w14:paraId="04143BBC" w14:textId="77777777" w:rsidR="00303A3E" w:rsidRPr="00650EE6" w:rsidRDefault="00303A3E" w:rsidP="00650EE6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50EE6">
        <w:rPr>
          <w:rFonts w:ascii="Arial" w:hAnsi="Arial" w:cs="Arial"/>
          <w:sz w:val="22"/>
          <w:szCs w:val="22"/>
        </w:rPr>
        <w:t>Rada dále upozorňuje, že schválení změny Programu vládou nezakládá automaticky nárok na jeho financování ze státního rozpočtu v objemech navržených v Programu. Financování Programu bude zajištěno dle možností státního rozpočtu.</w:t>
      </w:r>
    </w:p>
    <w:p w14:paraId="17445C6A" w14:textId="77777777" w:rsidR="00303A3E" w:rsidRDefault="00303A3E" w:rsidP="00650EE6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  <w:highlight w:val="yellow"/>
          <w:u w:val="single"/>
        </w:rPr>
      </w:pPr>
    </w:p>
    <w:p w14:paraId="0FECAF55" w14:textId="77777777" w:rsidR="00303A3E" w:rsidRPr="00847929" w:rsidRDefault="00303A3E" w:rsidP="0015414E">
      <w:pPr>
        <w:pStyle w:val="Odstavecseseznamem"/>
        <w:spacing w:after="120" w:line="276" w:lineRule="auto"/>
        <w:ind w:left="426"/>
        <w:contextualSpacing w:val="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7F50CEC8" w14:textId="77777777" w:rsidR="0026277C" w:rsidRPr="008C3A37" w:rsidRDefault="0026277C" w:rsidP="006B0032">
      <w:pPr>
        <w:spacing w:after="120" w:line="276" w:lineRule="auto"/>
        <w:jc w:val="both"/>
        <w:rPr>
          <w:rFonts w:ascii="Arial" w:hAnsi="Arial" w:cs="Arial"/>
          <w:sz w:val="22"/>
          <w:szCs w:val="22"/>
          <w:highlight w:val="yellow"/>
          <w:u w:val="single"/>
        </w:rPr>
      </w:pPr>
    </w:p>
    <w:p w14:paraId="4D54B4C5" w14:textId="48A3EFFE" w:rsidR="004D31CB" w:rsidRPr="0015414E" w:rsidRDefault="00BF1715" w:rsidP="0015414E">
      <w:pPr>
        <w:spacing w:after="120" w:line="276" w:lineRule="auto"/>
        <w:ind w:left="426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15414E">
        <w:rPr>
          <w:rFonts w:ascii="Arial" w:hAnsi="Arial" w:cs="Arial"/>
          <w:b/>
          <w:color w:val="0070C0"/>
          <w:sz w:val="28"/>
          <w:szCs w:val="28"/>
        </w:rPr>
        <w:lastRenderedPageBreak/>
        <w:t>Závěr</w:t>
      </w:r>
    </w:p>
    <w:p w14:paraId="47E5AABE" w14:textId="375C3D31" w:rsidR="00713576" w:rsidRPr="004D31CB" w:rsidRDefault="00017DD9" w:rsidP="00CB0DF6">
      <w:pPr>
        <w:spacing w:after="24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0EE6">
        <w:rPr>
          <w:rFonts w:ascii="Arial" w:hAnsi="Arial" w:cs="Arial"/>
          <w:sz w:val="22"/>
          <w:szCs w:val="22"/>
        </w:rPr>
        <w:t>Rada schvaluje</w:t>
      </w:r>
      <w:r w:rsidR="00EE6075" w:rsidRPr="00650EE6">
        <w:rPr>
          <w:rFonts w:ascii="Arial" w:hAnsi="Arial" w:cs="Arial"/>
          <w:sz w:val="22"/>
          <w:szCs w:val="22"/>
        </w:rPr>
        <w:t xml:space="preserve"> Stanovisko k </w:t>
      </w:r>
      <w:r w:rsidR="00F250BE" w:rsidRPr="00650EE6">
        <w:rPr>
          <w:rFonts w:ascii="Arial" w:hAnsi="Arial" w:cs="Arial"/>
          <w:sz w:val="22"/>
          <w:szCs w:val="22"/>
        </w:rPr>
        <w:t>N</w:t>
      </w:r>
      <w:r w:rsidRPr="00650EE6">
        <w:rPr>
          <w:rFonts w:ascii="Arial" w:hAnsi="Arial" w:cs="Arial"/>
          <w:sz w:val="22"/>
          <w:szCs w:val="22"/>
        </w:rPr>
        <w:t>ávrh</w:t>
      </w:r>
      <w:r w:rsidR="00EE6075" w:rsidRPr="00650EE6">
        <w:rPr>
          <w:rFonts w:ascii="Arial" w:hAnsi="Arial" w:cs="Arial"/>
          <w:sz w:val="22"/>
          <w:szCs w:val="22"/>
        </w:rPr>
        <w:t>u</w:t>
      </w:r>
      <w:r w:rsidR="004D30DC" w:rsidRPr="00650EE6">
        <w:rPr>
          <w:rFonts w:ascii="Arial" w:hAnsi="Arial" w:cs="Arial"/>
          <w:sz w:val="22"/>
          <w:szCs w:val="22"/>
        </w:rPr>
        <w:t xml:space="preserve"> na změnu programu „</w:t>
      </w:r>
      <w:r w:rsidR="000E2DC0" w:rsidRPr="00650EE6">
        <w:rPr>
          <w:rFonts w:ascii="Arial" w:hAnsi="Arial" w:cs="Arial"/>
          <w:sz w:val="22"/>
          <w:szCs w:val="22"/>
        </w:rPr>
        <w:t>„</w:t>
      </w:r>
      <w:proofErr w:type="spellStart"/>
      <w:r w:rsidR="000E2DC0" w:rsidRPr="00650EE6">
        <w:rPr>
          <w:rFonts w:ascii="Arial" w:hAnsi="Arial" w:cs="Arial"/>
          <w:sz w:val="22"/>
          <w:szCs w:val="22"/>
        </w:rPr>
        <w:t>The</w:t>
      </w:r>
      <w:proofErr w:type="spellEnd"/>
      <w:r w:rsidR="000E2DC0" w:rsidRPr="00650EE6">
        <w:rPr>
          <w:rFonts w:ascii="Arial" w:hAnsi="Arial" w:cs="Arial"/>
          <w:sz w:val="22"/>
          <w:szCs w:val="22"/>
        </w:rPr>
        <w:t xml:space="preserve"> Country </w:t>
      </w:r>
      <w:proofErr w:type="spellStart"/>
      <w:r w:rsidR="000E2DC0" w:rsidRPr="00650EE6">
        <w:rPr>
          <w:rFonts w:ascii="Arial" w:hAnsi="Arial" w:cs="Arial"/>
          <w:sz w:val="22"/>
          <w:szCs w:val="22"/>
        </w:rPr>
        <w:t>for</w:t>
      </w:r>
      <w:proofErr w:type="spellEnd"/>
      <w:r w:rsidR="000E2DC0" w:rsidRPr="00650EE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2DC0" w:rsidRPr="00650EE6">
        <w:rPr>
          <w:rFonts w:ascii="Arial" w:hAnsi="Arial" w:cs="Arial"/>
          <w:sz w:val="22"/>
          <w:szCs w:val="22"/>
        </w:rPr>
        <w:t>the</w:t>
      </w:r>
      <w:proofErr w:type="spellEnd"/>
      <w:r w:rsidR="000E2DC0" w:rsidRPr="00650EE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2DC0" w:rsidRPr="00650EE6">
        <w:rPr>
          <w:rFonts w:ascii="Arial" w:hAnsi="Arial" w:cs="Arial"/>
          <w:sz w:val="22"/>
          <w:szCs w:val="22"/>
        </w:rPr>
        <w:t>Future</w:t>
      </w:r>
      <w:proofErr w:type="spellEnd"/>
      <w:r w:rsidR="000E2DC0" w:rsidRPr="00650EE6">
        <w:rPr>
          <w:rFonts w:ascii="Arial" w:hAnsi="Arial" w:cs="Arial"/>
          <w:sz w:val="22"/>
          <w:szCs w:val="22"/>
        </w:rPr>
        <w:t>“</w:t>
      </w:r>
      <w:r w:rsidR="004D30DC" w:rsidRPr="00650EE6">
        <w:rPr>
          <w:rFonts w:ascii="Arial" w:hAnsi="Arial" w:cs="Arial"/>
          <w:sz w:val="22"/>
          <w:szCs w:val="22"/>
        </w:rPr>
        <w:t xml:space="preserve"> </w:t>
      </w:r>
      <w:r w:rsidR="000050AA" w:rsidRPr="00650EE6">
        <w:rPr>
          <w:rFonts w:ascii="Arial" w:hAnsi="Arial" w:cs="Arial"/>
          <w:sz w:val="22"/>
          <w:szCs w:val="22"/>
        </w:rPr>
        <w:t>a </w:t>
      </w:r>
      <w:r w:rsidR="00F250BE" w:rsidRPr="00650EE6">
        <w:rPr>
          <w:rFonts w:ascii="Arial" w:hAnsi="Arial" w:cs="Arial"/>
          <w:sz w:val="22"/>
          <w:szCs w:val="22"/>
        </w:rPr>
        <w:t>žádá poskytovatele o</w:t>
      </w:r>
      <w:r w:rsidR="00CB0DF6" w:rsidRPr="00650EE6">
        <w:rPr>
          <w:rFonts w:ascii="Arial" w:hAnsi="Arial" w:cs="Arial"/>
          <w:sz w:val="22"/>
          <w:szCs w:val="22"/>
        </w:rPr>
        <w:t xml:space="preserve"> reflektování </w:t>
      </w:r>
      <w:r w:rsidR="000050AA" w:rsidRPr="00650EE6">
        <w:rPr>
          <w:rFonts w:ascii="Arial" w:hAnsi="Arial" w:cs="Arial"/>
          <w:sz w:val="22"/>
          <w:szCs w:val="22"/>
        </w:rPr>
        <w:t xml:space="preserve">připomínky Rady </w:t>
      </w:r>
      <w:r w:rsidR="00650EE6" w:rsidRPr="00650EE6">
        <w:rPr>
          <w:rFonts w:ascii="Arial" w:hAnsi="Arial" w:cs="Arial"/>
          <w:sz w:val="22"/>
          <w:szCs w:val="22"/>
        </w:rPr>
        <w:t>a zaslání svého vyjádření k připomínce</w:t>
      </w:r>
      <w:r w:rsidR="00F02A1A" w:rsidRPr="00650EE6">
        <w:rPr>
          <w:rFonts w:ascii="Arial" w:hAnsi="Arial" w:cs="Arial"/>
          <w:sz w:val="22"/>
          <w:szCs w:val="22"/>
        </w:rPr>
        <w:t xml:space="preserve"> </w:t>
      </w:r>
      <w:r w:rsidR="005A003C" w:rsidRPr="00650EE6">
        <w:rPr>
          <w:rFonts w:ascii="Arial" w:hAnsi="Arial" w:cs="Arial"/>
          <w:sz w:val="22"/>
          <w:szCs w:val="22"/>
        </w:rPr>
        <w:t>před předložením návrhu na změnu Programu do meziresortního připomínkového řízení</w:t>
      </w:r>
      <w:r w:rsidR="00E32145" w:rsidRPr="00650EE6">
        <w:rPr>
          <w:rFonts w:ascii="Arial" w:hAnsi="Arial" w:cs="Arial"/>
          <w:sz w:val="22"/>
          <w:szCs w:val="22"/>
        </w:rPr>
        <w:t>.</w:t>
      </w:r>
    </w:p>
    <w:p w14:paraId="71695871" w14:textId="77777777" w:rsidR="00017DD9" w:rsidRPr="004D31CB" w:rsidRDefault="00017DD9" w:rsidP="006B0032">
      <w:pPr>
        <w:pStyle w:val="Odstavecseseznamem1"/>
        <w:keepNext/>
        <w:tabs>
          <w:tab w:val="left" w:pos="1260"/>
          <w:tab w:val="left" w:pos="1800"/>
        </w:tabs>
        <w:spacing w:after="120"/>
        <w:ind w:left="1800"/>
        <w:jc w:val="both"/>
        <w:rPr>
          <w:rFonts w:ascii="Arial" w:hAnsi="Arial" w:cs="Arial"/>
        </w:rPr>
      </w:pPr>
    </w:p>
    <w:p w14:paraId="7172DF28" w14:textId="77777777" w:rsidR="00017DD9" w:rsidRPr="004D31CB" w:rsidRDefault="00017DD9" w:rsidP="006B0032">
      <w:pPr>
        <w:pStyle w:val="Odstavecseseznamem1"/>
        <w:keepNext/>
        <w:tabs>
          <w:tab w:val="left" w:pos="1260"/>
          <w:tab w:val="left" w:pos="1800"/>
        </w:tabs>
        <w:spacing w:after="120"/>
        <w:ind w:left="1800"/>
        <w:jc w:val="both"/>
        <w:rPr>
          <w:rFonts w:ascii="Arial" w:hAnsi="Arial" w:cs="Arial"/>
        </w:rPr>
      </w:pPr>
    </w:p>
    <w:p w14:paraId="02C0FBBC" w14:textId="42654A5A" w:rsidR="00BA3F02" w:rsidRPr="0037038A" w:rsidRDefault="004D31CB" w:rsidP="006B0032">
      <w:pPr>
        <w:pStyle w:val="Odstavecseseznamem1"/>
        <w:keepNext/>
        <w:tabs>
          <w:tab w:val="left" w:pos="851"/>
          <w:tab w:val="left" w:pos="1260"/>
        </w:tabs>
        <w:spacing w:after="120"/>
        <w:ind w:left="0"/>
        <w:jc w:val="both"/>
        <w:rPr>
          <w:rFonts w:ascii="Arial" w:hAnsi="Arial" w:cs="Arial"/>
        </w:rPr>
      </w:pPr>
      <w:r w:rsidRPr="006A6166">
        <w:rPr>
          <w:rFonts w:ascii="Arial" w:hAnsi="Arial" w:cs="Arial"/>
        </w:rPr>
        <w:t xml:space="preserve">Praha </w:t>
      </w:r>
      <w:r w:rsidR="006A6166" w:rsidRPr="006A6166">
        <w:rPr>
          <w:rFonts w:ascii="Arial" w:hAnsi="Arial" w:cs="Arial"/>
        </w:rPr>
        <w:t>22. března</w:t>
      </w:r>
      <w:r w:rsidR="00847929" w:rsidRPr="006A6166">
        <w:rPr>
          <w:rFonts w:ascii="Arial" w:hAnsi="Arial" w:cs="Arial"/>
        </w:rPr>
        <w:t xml:space="preserve"> 2024</w:t>
      </w:r>
    </w:p>
    <w:p w14:paraId="40862002" w14:textId="77777777" w:rsidR="00BA3F02" w:rsidRDefault="00BA3F02" w:rsidP="006B0032">
      <w:pPr>
        <w:pStyle w:val="Odstavecseseznamem1"/>
        <w:keepNext/>
        <w:tabs>
          <w:tab w:val="left" w:pos="851"/>
          <w:tab w:val="left" w:pos="1260"/>
        </w:tabs>
        <w:spacing w:after="120"/>
        <w:ind w:left="0"/>
        <w:jc w:val="both"/>
        <w:rPr>
          <w:rFonts w:ascii="Arial" w:hAnsi="Arial" w:cs="Arial"/>
          <w:sz w:val="24"/>
          <w:szCs w:val="24"/>
        </w:rPr>
      </w:pPr>
    </w:p>
    <w:sectPr w:rsidR="00BA3F02" w:rsidSect="009758E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D4993" w14:textId="77777777" w:rsidR="00E52B76" w:rsidRDefault="00E52B76" w:rsidP="008F77F6">
      <w:r>
        <w:separator/>
      </w:r>
    </w:p>
  </w:endnote>
  <w:endnote w:type="continuationSeparator" w:id="0">
    <w:p w14:paraId="6643FFB8" w14:textId="77777777" w:rsidR="00E52B76" w:rsidRDefault="00E52B7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993D4" w14:textId="77777777" w:rsidR="006B0032" w:rsidRDefault="006B0032" w:rsidP="001C1BCA">
    <w:pPr>
      <w:pStyle w:val="Zpat"/>
      <w:rPr>
        <w:rFonts w:ascii="Arial" w:hAnsi="Arial" w:cs="Arial"/>
        <w:sz w:val="18"/>
        <w:szCs w:val="18"/>
      </w:rPr>
    </w:pPr>
  </w:p>
  <w:p w14:paraId="65C91344" w14:textId="5117A8D0"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D311E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D311E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3AB23284" w14:textId="3F75F982"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D311E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D311E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F9E0D" w14:textId="77777777" w:rsidR="00E52B76" w:rsidRDefault="00E52B76" w:rsidP="008F77F6">
      <w:r>
        <w:separator/>
      </w:r>
    </w:p>
  </w:footnote>
  <w:footnote w:type="continuationSeparator" w:id="0">
    <w:p w14:paraId="089A9D9C" w14:textId="77777777" w:rsidR="00E52B76" w:rsidRDefault="00E52B7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4A6A3303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23D080A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B539950" wp14:editId="712D440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733C996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74C22AAF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AA39EFE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0981363" wp14:editId="152CC29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14:paraId="2217591B" w14:textId="1FE5ADCD" w:rsidR="00265A36" w:rsidRPr="003C2A8E" w:rsidRDefault="00482602" w:rsidP="00F02A1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DD35E9">
            <w:rPr>
              <w:rFonts w:ascii="Arial" w:hAnsi="Arial" w:cs="Arial"/>
              <w:b/>
              <w:color w:val="0070C0"/>
              <w:sz w:val="28"/>
              <w:szCs w:val="28"/>
            </w:rPr>
            <w:t>99</w:t>
          </w:r>
          <w:r w:rsidR="00E67A4B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6D311E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14:paraId="57EC7F86" w14:textId="77777777" w:rsidR="00CC370F" w:rsidRDefault="00CC370F">
    <w:pPr>
      <w:pStyle w:val="Zhlav"/>
    </w:pPr>
  </w:p>
  <w:p w14:paraId="26E50C93" w14:textId="77777777" w:rsidR="0023719A" w:rsidRDefault="002371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62B88"/>
    <w:multiLevelType w:val="hybridMultilevel"/>
    <w:tmpl w:val="C71E419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25515203"/>
    <w:multiLevelType w:val="hybridMultilevel"/>
    <w:tmpl w:val="955EAB5C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C430C90"/>
    <w:multiLevelType w:val="multilevel"/>
    <w:tmpl w:val="DAE63B5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8921E4"/>
    <w:multiLevelType w:val="hybridMultilevel"/>
    <w:tmpl w:val="7F821EB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A1254FF"/>
    <w:multiLevelType w:val="hybridMultilevel"/>
    <w:tmpl w:val="FC6E96EA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90809"/>
    <w:multiLevelType w:val="hybridMultilevel"/>
    <w:tmpl w:val="FFEA7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24C60"/>
    <w:multiLevelType w:val="hybridMultilevel"/>
    <w:tmpl w:val="4F3AB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52BDF"/>
    <w:multiLevelType w:val="hybridMultilevel"/>
    <w:tmpl w:val="144ACB9E"/>
    <w:lvl w:ilvl="0" w:tplc="12E64D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3671086"/>
    <w:multiLevelType w:val="multilevel"/>
    <w:tmpl w:val="DAE63B54"/>
    <w:numStyleLink w:val="StylI-aa"/>
  </w:abstractNum>
  <w:abstractNum w:abstractNumId="22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0"/>
  </w:num>
  <w:num w:numId="7">
    <w:abstractNumId w:val="4"/>
  </w:num>
  <w:num w:numId="8">
    <w:abstractNumId w:val="8"/>
  </w:num>
  <w:num w:numId="9">
    <w:abstractNumId w:val="19"/>
  </w:num>
  <w:num w:numId="10">
    <w:abstractNumId w:val="18"/>
  </w:num>
  <w:num w:numId="11">
    <w:abstractNumId w:val="22"/>
  </w:num>
  <w:num w:numId="12">
    <w:abstractNumId w:val="5"/>
  </w:num>
  <w:num w:numId="13">
    <w:abstractNumId w:val="3"/>
  </w:num>
  <w:num w:numId="14">
    <w:abstractNumId w:val="2"/>
  </w:num>
  <w:num w:numId="15">
    <w:abstractNumId w:val="11"/>
  </w:num>
  <w:num w:numId="16">
    <w:abstractNumId w:val="13"/>
  </w:num>
  <w:num w:numId="17">
    <w:abstractNumId w:val="7"/>
  </w:num>
  <w:num w:numId="18">
    <w:abstractNumId w:val="2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1074" w:hanging="36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24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146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1218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1362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6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50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5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8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34" w:hanging="1440"/>
        </w:pPr>
        <w:rPr>
          <w:rFonts w:hint="default"/>
        </w:rPr>
      </w:lvl>
    </w:lvlOverride>
  </w:num>
  <w:num w:numId="20">
    <w:abstractNumId w:val="17"/>
  </w:num>
  <w:num w:numId="21">
    <w:abstractNumId w:val="9"/>
  </w:num>
  <w:num w:numId="22">
    <w:abstractNumId w:val="1"/>
  </w:num>
  <w:num w:numId="23">
    <w:abstractNumId w:val="14"/>
  </w:num>
  <w:num w:numId="24">
    <w:abstractNumId w:val="10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100"/>
    <w:rsid w:val="00002C1D"/>
    <w:rsid w:val="000050AA"/>
    <w:rsid w:val="000121AC"/>
    <w:rsid w:val="00017DD9"/>
    <w:rsid w:val="00027A0F"/>
    <w:rsid w:val="00030D65"/>
    <w:rsid w:val="00057A10"/>
    <w:rsid w:val="00066301"/>
    <w:rsid w:val="00066B5F"/>
    <w:rsid w:val="000B01EA"/>
    <w:rsid w:val="000C3BCE"/>
    <w:rsid w:val="000C4A33"/>
    <w:rsid w:val="000D3E70"/>
    <w:rsid w:val="000E2DC0"/>
    <w:rsid w:val="000E33B8"/>
    <w:rsid w:val="000E7B7E"/>
    <w:rsid w:val="00103A2C"/>
    <w:rsid w:val="00106570"/>
    <w:rsid w:val="00106E81"/>
    <w:rsid w:val="00116145"/>
    <w:rsid w:val="001223D8"/>
    <w:rsid w:val="001249D9"/>
    <w:rsid w:val="00132384"/>
    <w:rsid w:val="001441D8"/>
    <w:rsid w:val="00153175"/>
    <w:rsid w:val="0015414E"/>
    <w:rsid w:val="00154A10"/>
    <w:rsid w:val="0016183E"/>
    <w:rsid w:val="00180ACC"/>
    <w:rsid w:val="001958A4"/>
    <w:rsid w:val="001A7212"/>
    <w:rsid w:val="001B0562"/>
    <w:rsid w:val="001C1BCA"/>
    <w:rsid w:val="001C52C6"/>
    <w:rsid w:val="001D278E"/>
    <w:rsid w:val="001E26B9"/>
    <w:rsid w:val="001E38C7"/>
    <w:rsid w:val="001E518C"/>
    <w:rsid w:val="001F278E"/>
    <w:rsid w:val="001F3095"/>
    <w:rsid w:val="00201426"/>
    <w:rsid w:val="002109AB"/>
    <w:rsid w:val="00232F21"/>
    <w:rsid w:val="00233F96"/>
    <w:rsid w:val="00237006"/>
    <w:rsid w:val="0023719A"/>
    <w:rsid w:val="00261F35"/>
    <w:rsid w:val="0026277C"/>
    <w:rsid w:val="0026521D"/>
    <w:rsid w:val="00265A36"/>
    <w:rsid w:val="00271A68"/>
    <w:rsid w:val="00296CCF"/>
    <w:rsid w:val="002A1361"/>
    <w:rsid w:val="002A4EC4"/>
    <w:rsid w:val="002B1A47"/>
    <w:rsid w:val="002E2591"/>
    <w:rsid w:val="002E6D2C"/>
    <w:rsid w:val="002F5DF1"/>
    <w:rsid w:val="00303A3E"/>
    <w:rsid w:val="00317CFF"/>
    <w:rsid w:val="00324CD0"/>
    <w:rsid w:val="00341A14"/>
    <w:rsid w:val="00360293"/>
    <w:rsid w:val="0036036A"/>
    <w:rsid w:val="00367FC4"/>
    <w:rsid w:val="0037038A"/>
    <w:rsid w:val="003712F7"/>
    <w:rsid w:val="00386056"/>
    <w:rsid w:val="00387B05"/>
    <w:rsid w:val="003C2207"/>
    <w:rsid w:val="003C2A8E"/>
    <w:rsid w:val="003C40FE"/>
    <w:rsid w:val="003E3A66"/>
    <w:rsid w:val="003F2EE0"/>
    <w:rsid w:val="0040468E"/>
    <w:rsid w:val="00426530"/>
    <w:rsid w:val="00427619"/>
    <w:rsid w:val="00452DFC"/>
    <w:rsid w:val="00460435"/>
    <w:rsid w:val="004660E8"/>
    <w:rsid w:val="00482602"/>
    <w:rsid w:val="00484BE0"/>
    <w:rsid w:val="00492346"/>
    <w:rsid w:val="004D2D6C"/>
    <w:rsid w:val="004D30DC"/>
    <w:rsid w:val="004D31CB"/>
    <w:rsid w:val="004F251A"/>
    <w:rsid w:val="004F7DAB"/>
    <w:rsid w:val="00503FF7"/>
    <w:rsid w:val="00505092"/>
    <w:rsid w:val="005116B5"/>
    <w:rsid w:val="00516652"/>
    <w:rsid w:val="005257D1"/>
    <w:rsid w:val="0053696A"/>
    <w:rsid w:val="00571676"/>
    <w:rsid w:val="005A003C"/>
    <w:rsid w:val="005B3127"/>
    <w:rsid w:val="005D26B3"/>
    <w:rsid w:val="005E07E8"/>
    <w:rsid w:val="005E43C2"/>
    <w:rsid w:val="00601FDA"/>
    <w:rsid w:val="00610729"/>
    <w:rsid w:val="00611D82"/>
    <w:rsid w:val="00616978"/>
    <w:rsid w:val="006211A9"/>
    <w:rsid w:val="0062447C"/>
    <w:rsid w:val="00643852"/>
    <w:rsid w:val="00645780"/>
    <w:rsid w:val="00650EE6"/>
    <w:rsid w:val="00662D56"/>
    <w:rsid w:val="00662D90"/>
    <w:rsid w:val="006A30ED"/>
    <w:rsid w:val="006A34F8"/>
    <w:rsid w:val="006A6166"/>
    <w:rsid w:val="006B0032"/>
    <w:rsid w:val="006B0722"/>
    <w:rsid w:val="006B31DD"/>
    <w:rsid w:val="006D311E"/>
    <w:rsid w:val="006D3311"/>
    <w:rsid w:val="006D6D4D"/>
    <w:rsid w:val="006E40D8"/>
    <w:rsid w:val="006F43DD"/>
    <w:rsid w:val="00706854"/>
    <w:rsid w:val="00713576"/>
    <w:rsid w:val="00715F0F"/>
    <w:rsid w:val="00720790"/>
    <w:rsid w:val="00734EE9"/>
    <w:rsid w:val="007575C1"/>
    <w:rsid w:val="007608EC"/>
    <w:rsid w:val="007639F4"/>
    <w:rsid w:val="00764202"/>
    <w:rsid w:val="00766839"/>
    <w:rsid w:val="007838F7"/>
    <w:rsid w:val="00790116"/>
    <w:rsid w:val="007B4FAD"/>
    <w:rsid w:val="007D64A5"/>
    <w:rsid w:val="007E65F4"/>
    <w:rsid w:val="008069B5"/>
    <w:rsid w:val="00810AA0"/>
    <w:rsid w:val="00822F5B"/>
    <w:rsid w:val="00823255"/>
    <w:rsid w:val="00825F99"/>
    <w:rsid w:val="008349FB"/>
    <w:rsid w:val="008449B6"/>
    <w:rsid w:val="00847929"/>
    <w:rsid w:val="0084795D"/>
    <w:rsid w:val="008659F2"/>
    <w:rsid w:val="00876F98"/>
    <w:rsid w:val="008A402F"/>
    <w:rsid w:val="008B6EE7"/>
    <w:rsid w:val="008C3A37"/>
    <w:rsid w:val="008D0383"/>
    <w:rsid w:val="008E5537"/>
    <w:rsid w:val="008F2B28"/>
    <w:rsid w:val="008F566B"/>
    <w:rsid w:val="008F77F6"/>
    <w:rsid w:val="00902988"/>
    <w:rsid w:val="009035D5"/>
    <w:rsid w:val="00916455"/>
    <w:rsid w:val="0093483B"/>
    <w:rsid w:val="00942CEA"/>
    <w:rsid w:val="0095777C"/>
    <w:rsid w:val="009758E5"/>
    <w:rsid w:val="009A085D"/>
    <w:rsid w:val="009D44E8"/>
    <w:rsid w:val="009E2156"/>
    <w:rsid w:val="009E320B"/>
    <w:rsid w:val="009E5DA7"/>
    <w:rsid w:val="009F5416"/>
    <w:rsid w:val="00A21C92"/>
    <w:rsid w:val="00A3472F"/>
    <w:rsid w:val="00A513E5"/>
    <w:rsid w:val="00A57291"/>
    <w:rsid w:val="00A72F1C"/>
    <w:rsid w:val="00A90CE7"/>
    <w:rsid w:val="00A92BF6"/>
    <w:rsid w:val="00A97A8C"/>
    <w:rsid w:val="00AA6A69"/>
    <w:rsid w:val="00AD413F"/>
    <w:rsid w:val="00AD5458"/>
    <w:rsid w:val="00AD68D5"/>
    <w:rsid w:val="00AD6D3E"/>
    <w:rsid w:val="00AD70B0"/>
    <w:rsid w:val="00AE772A"/>
    <w:rsid w:val="00AE795F"/>
    <w:rsid w:val="00B025F8"/>
    <w:rsid w:val="00B02709"/>
    <w:rsid w:val="00B13736"/>
    <w:rsid w:val="00B16526"/>
    <w:rsid w:val="00B26656"/>
    <w:rsid w:val="00B27405"/>
    <w:rsid w:val="00B462EE"/>
    <w:rsid w:val="00B51A36"/>
    <w:rsid w:val="00B66E9F"/>
    <w:rsid w:val="00B75545"/>
    <w:rsid w:val="00B96973"/>
    <w:rsid w:val="00BA3F02"/>
    <w:rsid w:val="00BA6EE3"/>
    <w:rsid w:val="00BD70D7"/>
    <w:rsid w:val="00BD7C77"/>
    <w:rsid w:val="00BE77A0"/>
    <w:rsid w:val="00BF1715"/>
    <w:rsid w:val="00C02FBE"/>
    <w:rsid w:val="00C05CE6"/>
    <w:rsid w:val="00C37615"/>
    <w:rsid w:val="00C37B62"/>
    <w:rsid w:val="00C50430"/>
    <w:rsid w:val="00C62B82"/>
    <w:rsid w:val="00C64375"/>
    <w:rsid w:val="00CA5414"/>
    <w:rsid w:val="00CB0DF6"/>
    <w:rsid w:val="00CB6996"/>
    <w:rsid w:val="00CC370F"/>
    <w:rsid w:val="00CD72F6"/>
    <w:rsid w:val="00CF0116"/>
    <w:rsid w:val="00CF4C80"/>
    <w:rsid w:val="00D013D6"/>
    <w:rsid w:val="00D2180B"/>
    <w:rsid w:val="00D24A04"/>
    <w:rsid w:val="00D32F51"/>
    <w:rsid w:val="00D34C62"/>
    <w:rsid w:val="00D41A7D"/>
    <w:rsid w:val="00D76337"/>
    <w:rsid w:val="00D76F53"/>
    <w:rsid w:val="00D9573B"/>
    <w:rsid w:val="00DA187A"/>
    <w:rsid w:val="00DA3F29"/>
    <w:rsid w:val="00DA7276"/>
    <w:rsid w:val="00DC2F28"/>
    <w:rsid w:val="00DC5FE9"/>
    <w:rsid w:val="00DD35E9"/>
    <w:rsid w:val="00E32145"/>
    <w:rsid w:val="00E42695"/>
    <w:rsid w:val="00E52B76"/>
    <w:rsid w:val="00E5761E"/>
    <w:rsid w:val="00E57AEA"/>
    <w:rsid w:val="00E67A4B"/>
    <w:rsid w:val="00E7659E"/>
    <w:rsid w:val="00E82C93"/>
    <w:rsid w:val="00E90863"/>
    <w:rsid w:val="00EB4E1F"/>
    <w:rsid w:val="00EE33FB"/>
    <w:rsid w:val="00EE4843"/>
    <w:rsid w:val="00EE6075"/>
    <w:rsid w:val="00EF62D8"/>
    <w:rsid w:val="00F02A1A"/>
    <w:rsid w:val="00F06747"/>
    <w:rsid w:val="00F069EC"/>
    <w:rsid w:val="00F123DB"/>
    <w:rsid w:val="00F148E3"/>
    <w:rsid w:val="00F20115"/>
    <w:rsid w:val="00F250BE"/>
    <w:rsid w:val="00F41DC6"/>
    <w:rsid w:val="00F4222F"/>
    <w:rsid w:val="00F643B7"/>
    <w:rsid w:val="00F65F3A"/>
    <w:rsid w:val="00F76FDC"/>
    <w:rsid w:val="00F85F64"/>
    <w:rsid w:val="00F96CDB"/>
    <w:rsid w:val="00FB4178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837AA1"/>
  <w15:docId w15:val="{D545119C-BDD6-49FD-B756-C478CCF8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E3A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3A6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E3A66"/>
    <w:rPr>
      <w:vertAlign w:val="superscript"/>
    </w:rPr>
  </w:style>
  <w:style w:type="numbering" w:customStyle="1" w:styleId="StylI-aa">
    <w:name w:val="Styl I-aa)"/>
    <w:uiPriority w:val="99"/>
    <w:rsid w:val="00C64375"/>
    <w:pPr>
      <w:numPr>
        <w:numId w:val="21"/>
      </w:numPr>
    </w:pPr>
  </w:style>
  <w:style w:type="paragraph" w:customStyle="1" w:styleId="StylI">
    <w:name w:val="Styl I."/>
    <w:link w:val="StylIChar"/>
    <w:qFormat/>
    <w:rsid w:val="00C64375"/>
    <w:pPr>
      <w:numPr>
        <w:numId w:val="19"/>
      </w:numPr>
      <w:spacing w:before="120" w:after="240"/>
      <w:ind w:left="360"/>
      <w:jc w:val="both"/>
    </w:pPr>
    <w:rPr>
      <w:rFonts w:ascii="Arial" w:eastAsia="Calibri" w:hAnsi="Arial" w:cs="Times New Roman"/>
      <w:lang w:val="x-none"/>
    </w:rPr>
  </w:style>
  <w:style w:type="character" w:customStyle="1" w:styleId="StylIChar">
    <w:name w:val="Styl I. Char"/>
    <w:link w:val="StylI"/>
    <w:rsid w:val="00C64375"/>
    <w:rPr>
      <w:rFonts w:ascii="Arial" w:eastAsia="Calibri" w:hAnsi="Arial" w:cs="Times New Roman"/>
      <w:lang w:val="x-none"/>
    </w:rPr>
  </w:style>
  <w:style w:type="paragraph" w:customStyle="1" w:styleId="Stylaa">
    <w:name w:val="Styl aa)"/>
    <w:qFormat/>
    <w:rsid w:val="00C64375"/>
    <w:pPr>
      <w:numPr>
        <w:ilvl w:val="3"/>
        <w:numId w:val="19"/>
      </w:numPr>
      <w:spacing w:before="120" w:after="240"/>
      <w:ind w:left="357" w:hanging="357"/>
      <w:jc w:val="both"/>
    </w:pPr>
    <w:rPr>
      <w:rFonts w:ascii="Arial" w:eastAsia="Calibri" w:hAnsi="Arial" w:cs="Times New Roman"/>
      <w:lang w:val="x-none"/>
    </w:rPr>
  </w:style>
  <w:style w:type="paragraph" w:customStyle="1" w:styleId="Styla">
    <w:name w:val="Styl a)"/>
    <w:qFormat/>
    <w:rsid w:val="00C64375"/>
    <w:pPr>
      <w:numPr>
        <w:ilvl w:val="2"/>
        <w:numId w:val="19"/>
      </w:numPr>
      <w:spacing w:before="120" w:after="240"/>
      <w:ind w:left="357" w:hanging="357"/>
      <w:jc w:val="both"/>
    </w:pPr>
    <w:rPr>
      <w:rFonts w:ascii="Arial" w:eastAsia="Calibri" w:hAnsi="Arial" w:cs="Times New Roman"/>
      <w:lang w:val="x-none"/>
    </w:rPr>
  </w:style>
  <w:style w:type="table" w:styleId="Barevnseznamzvraznn1">
    <w:name w:val="Colorful List Accent 1"/>
    <w:basedOn w:val="Normlntabulka"/>
    <w:uiPriority w:val="72"/>
    <w:semiHidden/>
    <w:unhideWhenUsed/>
    <w:rsid w:val="00C6437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F27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27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27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7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278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Tabulkasmkou21">
    <w:name w:val="Tabulka s mřížkou 21"/>
    <w:basedOn w:val="Normlntabulka"/>
    <w:uiPriority w:val="47"/>
    <w:rsid w:val="002A4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ze">
    <w:name w:val="Revision"/>
    <w:hidden/>
    <w:uiPriority w:val="99"/>
    <w:semiHidden/>
    <w:rsid w:val="005E0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5A2DE-14CB-45D8-A770-2BFFF5182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1322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Lysý Petr</cp:lastModifiedBy>
  <cp:revision>12</cp:revision>
  <cp:lastPrinted>2023-08-23T11:20:00Z</cp:lastPrinted>
  <dcterms:created xsi:type="dcterms:W3CDTF">2024-03-05T07:00:00Z</dcterms:created>
  <dcterms:modified xsi:type="dcterms:W3CDTF">2024-03-07T13:15:00Z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